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8E7D4" w14:textId="77777777" w:rsidR="009260DE" w:rsidRPr="00F36DFC" w:rsidRDefault="0021526C" w:rsidP="009260DE">
      <w:pPr>
        <w:rPr>
          <w:sz w:val="24"/>
          <w:szCs w:val="24"/>
        </w:rPr>
      </w:pPr>
      <w:bookmarkStart w:id="0" w:name="_GoBack"/>
      <w:bookmarkEnd w:id="0"/>
      <w:r w:rsidRPr="00F36DFC">
        <w:rPr>
          <w:noProof/>
          <w:sz w:val="24"/>
          <w:szCs w:val="24"/>
          <w:lang w:eastAsia="da-DK"/>
        </w:rPr>
        <w:drawing>
          <wp:anchor distT="0" distB="0" distL="114300" distR="114300" simplePos="0" relativeHeight="251658240" behindDoc="0" locked="0" layoutInCell="1" allowOverlap="1" wp14:anchorId="59A4D01C" wp14:editId="22D0A21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F36DFC">
        <w:rPr>
          <w:sz w:val="24"/>
          <w:szCs w:val="24"/>
        </w:rPr>
        <w:br w:type="textWrapping" w:clear="all"/>
      </w:r>
    </w:p>
    <w:p w14:paraId="084CD4FB" w14:textId="675826C8" w:rsidR="009260DE" w:rsidRPr="00F36DFC" w:rsidRDefault="009260DE" w:rsidP="009260DE">
      <w:pPr>
        <w:pStyle w:val="Titel"/>
        <w:tabs>
          <w:tab w:val="right" w:pos="9356"/>
        </w:tabs>
        <w:jc w:val="left"/>
        <w:rPr>
          <w:b w:val="0"/>
          <w:szCs w:val="24"/>
          <w:lang w:eastAsia="en-US"/>
        </w:rPr>
      </w:pPr>
      <w:r w:rsidRPr="00F36DFC">
        <w:rPr>
          <w:b w:val="0"/>
          <w:szCs w:val="24"/>
          <w:lang w:eastAsia="en-US"/>
        </w:rPr>
        <w:tab/>
      </w:r>
      <w:r w:rsidR="00CB69A3">
        <w:rPr>
          <w:szCs w:val="24"/>
        </w:rPr>
        <w:t>12. december 2024</w:t>
      </w:r>
    </w:p>
    <w:p w14:paraId="06935AA8" w14:textId="77777777" w:rsidR="009260DE" w:rsidRPr="00F36DFC" w:rsidRDefault="009260DE" w:rsidP="009260DE">
      <w:pPr>
        <w:pStyle w:val="Titel"/>
        <w:tabs>
          <w:tab w:val="left" w:pos="8222"/>
        </w:tabs>
        <w:jc w:val="left"/>
        <w:rPr>
          <w:b w:val="0"/>
          <w:szCs w:val="24"/>
        </w:rPr>
      </w:pPr>
    </w:p>
    <w:p w14:paraId="5E099EB8" w14:textId="77777777" w:rsidR="009260DE" w:rsidRPr="00F36DFC" w:rsidRDefault="009260DE" w:rsidP="009260DE">
      <w:pPr>
        <w:pStyle w:val="Titel"/>
        <w:jc w:val="left"/>
        <w:rPr>
          <w:b w:val="0"/>
          <w:szCs w:val="24"/>
        </w:rPr>
      </w:pPr>
    </w:p>
    <w:p w14:paraId="321AE1D2" w14:textId="77777777" w:rsidR="009260DE" w:rsidRPr="00F36DFC" w:rsidRDefault="009260DE" w:rsidP="009260DE">
      <w:pPr>
        <w:pStyle w:val="Titel"/>
        <w:jc w:val="left"/>
        <w:rPr>
          <w:b w:val="0"/>
          <w:szCs w:val="24"/>
        </w:rPr>
      </w:pPr>
    </w:p>
    <w:p w14:paraId="4C55FB1F" w14:textId="77777777" w:rsidR="009260DE" w:rsidRPr="00F36DFC" w:rsidRDefault="009260DE" w:rsidP="009260DE">
      <w:pPr>
        <w:jc w:val="center"/>
        <w:rPr>
          <w:b/>
          <w:sz w:val="24"/>
          <w:szCs w:val="24"/>
        </w:rPr>
      </w:pPr>
      <w:r w:rsidRPr="00F36DFC">
        <w:rPr>
          <w:b/>
          <w:sz w:val="24"/>
          <w:szCs w:val="24"/>
        </w:rPr>
        <w:t>PRODUKTRESUMÉ</w:t>
      </w:r>
    </w:p>
    <w:p w14:paraId="198FB931" w14:textId="77777777" w:rsidR="009260DE" w:rsidRPr="00F36DFC" w:rsidRDefault="009260DE" w:rsidP="009260DE">
      <w:pPr>
        <w:jc w:val="center"/>
        <w:rPr>
          <w:b/>
          <w:sz w:val="24"/>
          <w:szCs w:val="24"/>
        </w:rPr>
      </w:pPr>
    </w:p>
    <w:p w14:paraId="39C059FA" w14:textId="77777777" w:rsidR="009260DE" w:rsidRPr="00F36DFC" w:rsidRDefault="009260DE" w:rsidP="009260DE">
      <w:pPr>
        <w:jc w:val="center"/>
        <w:rPr>
          <w:b/>
          <w:sz w:val="24"/>
          <w:szCs w:val="24"/>
        </w:rPr>
      </w:pPr>
      <w:r w:rsidRPr="00F36DFC">
        <w:rPr>
          <w:b/>
          <w:sz w:val="24"/>
          <w:szCs w:val="24"/>
        </w:rPr>
        <w:t>for</w:t>
      </w:r>
    </w:p>
    <w:p w14:paraId="2348A91C" w14:textId="77777777" w:rsidR="000B058C" w:rsidRPr="00F36DFC" w:rsidRDefault="000B058C" w:rsidP="009260DE">
      <w:pPr>
        <w:jc w:val="center"/>
        <w:rPr>
          <w:b/>
          <w:sz w:val="24"/>
          <w:szCs w:val="24"/>
        </w:rPr>
      </w:pPr>
    </w:p>
    <w:p w14:paraId="358C501E" w14:textId="736218B5" w:rsidR="009260DE" w:rsidRPr="00F36DFC" w:rsidRDefault="00C40F05" w:rsidP="009260DE">
      <w:pPr>
        <w:jc w:val="center"/>
        <w:rPr>
          <w:b/>
          <w:sz w:val="24"/>
          <w:szCs w:val="24"/>
        </w:rPr>
      </w:pPr>
      <w:proofErr w:type="spellStart"/>
      <w:r w:rsidRPr="00F36DFC">
        <w:rPr>
          <w:b/>
          <w:sz w:val="24"/>
          <w:szCs w:val="24"/>
        </w:rPr>
        <w:t>Zonisamid</w:t>
      </w:r>
      <w:proofErr w:type="spellEnd"/>
      <w:r w:rsidRPr="00F36DFC">
        <w:rPr>
          <w:b/>
          <w:sz w:val="24"/>
          <w:szCs w:val="24"/>
        </w:rPr>
        <w:t xml:space="preserve"> "</w:t>
      </w:r>
      <w:proofErr w:type="spellStart"/>
      <w:r w:rsidRPr="00F36DFC">
        <w:rPr>
          <w:b/>
          <w:sz w:val="24"/>
          <w:szCs w:val="24"/>
        </w:rPr>
        <w:t>Desitin</w:t>
      </w:r>
      <w:proofErr w:type="spellEnd"/>
      <w:r w:rsidRPr="00F36DFC">
        <w:rPr>
          <w:b/>
          <w:sz w:val="24"/>
          <w:szCs w:val="24"/>
        </w:rPr>
        <w:t>", oral suspension</w:t>
      </w:r>
    </w:p>
    <w:p w14:paraId="62EA6A89" w14:textId="77777777" w:rsidR="009260DE" w:rsidRPr="00F36DFC" w:rsidRDefault="009260DE" w:rsidP="009260DE">
      <w:pPr>
        <w:jc w:val="both"/>
        <w:rPr>
          <w:sz w:val="24"/>
          <w:szCs w:val="24"/>
        </w:rPr>
      </w:pPr>
    </w:p>
    <w:p w14:paraId="5605E93A" w14:textId="77777777" w:rsidR="009260DE" w:rsidRPr="00F36DFC" w:rsidRDefault="009260DE" w:rsidP="009260DE">
      <w:pPr>
        <w:jc w:val="both"/>
        <w:rPr>
          <w:sz w:val="24"/>
          <w:szCs w:val="24"/>
        </w:rPr>
      </w:pPr>
    </w:p>
    <w:p w14:paraId="3BD13FA5" w14:textId="77777777" w:rsidR="009260DE" w:rsidRPr="00F36DFC" w:rsidRDefault="009260DE" w:rsidP="009260DE">
      <w:pPr>
        <w:tabs>
          <w:tab w:val="left" w:pos="851"/>
        </w:tabs>
        <w:ind w:left="851" w:hanging="851"/>
        <w:rPr>
          <w:b/>
          <w:sz w:val="24"/>
          <w:szCs w:val="24"/>
        </w:rPr>
      </w:pPr>
      <w:r w:rsidRPr="00F36DFC">
        <w:rPr>
          <w:b/>
          <w:sz w:val="24"/>
          <w:szCs w:val="24"/>
        </w:rPr>
        <w:t>0.</w:t>
      </w:r>
      <w:r w:rsidRPr="00F36DFC">
        <w:rPr>
          <w:b/>
          <w:sz w:val="24"/>
          <w:szCs w:val="24"/>
        </w:rPr>
        <w:tab/>
        <w:t>D.SP.NR.</w:t>
      </w:r>
    </w:p>
    <w:p w14:paraId="65837428" w14:textId="7C12BB38" w:rsidR="009260DE" w:rsidRPr="00F36DFC" w:rsidRDefault="00C40F05" w:rsidP="009260DE">
      <w:pPr>
        <w:tabs>
          <w:tab w:val="left" w:pos="851"/>
        </w:tabs>
        <w:ind w:left="851"/>
        <w:rPr>
          <w:sz w:val="24"/>
          <w:szCs w:val="24"/>
        </w:rPr>
      </w:pPr>
      <w:r w:rsidRPr="00F36DFC">
        <w:rPr>
          <w:sz w:val="24"/>
          <w:szCs w:val="24"/>
        </w:rPr>
        <w:t>33965</w:t>
      </w:r>
    </w:p>
    <w:p w14:paraId="7F0C0CDA" w14:textId="77777777" w:rsidR="009260DE" w:rsidRPr="00F36DFC" w:rsidRDefault="009260DE" w:rsidP="009260DE">
      <w:pPr>
        <w:tabs>
          <w:tab w:val="left" w:pos="851"/>
        </w:tabs>
        <w:ind w:left="851"/>
        <w:rPr>
          <w:sz w:val="24"/>
          <w:szCs w:val="24"/>
        </w:rPr>
      </w:pPr>
    </w:p>
    <w:p w14:paraId="0C55FDBC" w14:textId="77777777" w:rsidR="009260DE" w:rsidRPr="00F36DFC" w:rsidRDefault="009260DE" w:rsidP="009260DE">
      <w:pPr>
        <w:tabs>
          <w:tab w:val="left" w:pos="851"/>
        </w:tabs>
        <w:ind w:left="851" w:hanging="851"/>
        <w:rPr>
          <w:b/>
          <w:sz w:val="24"/>
          <w:szCs w:val="24"/>
        </w:rPr>
      </w:pPr>
      <w:r w:rsidRPr="00F36DFC">
        <w:rPr>
          <w:b/>
          <w:sz w:val="24"/>
          <w:szCs w:val="24"/>
        </w:rPr>
        <w:t>1.</w:t>
      </w:r>
      <w:r w:rsidRPr="00F36DFC">
        <w:rPr>
          <w:b/>
          <w:sz w:val="24"/>
          <w:szCs w:val="24"/>
        </w:rPr>
        <w:tab/>
        <w:t>LÆGEMIDLETS NAVN</w:t>
      </w:r>
    </w:p>
    <w:p w14:paraId="59F3D68F" w14:textId="48927EE4" w:rsidR="009260DE" w:rsidRPr="00F36DFC" w:rsidRDefault="00C40F05" w:rsidP="009260DE">
      <w:pPr>
        <w:tabs>
          <w:tab w:val="left" w:pos="851"/>
        </w:tabs>
        <w:ind w:left="851"/>
        <w:rPr>
          <w:sz w:val="24"/>
          <w:szCs w:val="24"/>
        </w:rPr>
      </w:pPr>
      <w:proofErr w:type="spellStart"/>
      <w:r w:rsidRPr="00F36DFC">
        <w:rPr>
          <w:sz w:val="24"/>
          <w:szCs w:val="24"/>
        </w:rPr>
        <w:t>Zonisamid</w:t>
      </w:r>
      <w:proofErr w:type="spellEnd"/>
      <w:r w:rsidRPr="00F36DFC">
        <w:rPr>
          <w:sz w:val="24"/>
          <w:szCs w:val="24"/>
        </w:rPr>
        <w:t xml:space="preserve"> "</w:t>
      </w:r>
      <w:proofErr w:type="spellStart"/>
      <w:r w:rsidRPr="00F36DFC">
        <w:rPr>
          <w:sz w:val="24"/>
          <w:szCs w:val="24"/>
        </w:rPr>
        <w:t>Desitin</w:t>
      </w:r>
      <w:proofErr w:type="spellEnd"/>
      <w:r w:rsidRPr="00F36DFC">
        <w:rPr>
          <w:sz w:val="24"/>
          <w:szCs w:val="24"/>
        </w:rPr>
        <w:t>"</w:t>
      </w:r>
    </w:p>
    <w:p w14:paraId="7A7B0DCD" w14:textId="77777777" w:rsidR="009260DE" w:rsidRPr="00F36DFC" w:rsidRDefault="009260DE" w:rsidP="009260DE">
      <w:pPr>
        <w:tabs>
          <w:tab w:val="left" w:pos="851"/>
        </w:tabs>
        <w:ind w:left="851"/>
        <w:rPr>
          <w:sz w:val="24"/>
          <w:szCs w:val="24"/>
        </w:rPr>
      </w:pPr>
    </w:p>
    <w:p w14:paraId="5DCD7A37" w14:textId="77777777" w:rsidR="009260DE" w:rsidRPr="00F36DFC" w:rsidRDefault="009260DE" w:rsidP="009260DE">
      <w:pPr>
        <w:tabs>
          <w:tab w:val="left" w:pos="851"/>
        </w:tabs>
        <w:ind w:left="851" w:hanging="851"/>
        <w:rPr>
          <w:b/>
          <w:sz w:val="24"/>
          <w:szCs w:val="24"/>
        </w:rPr>
      </w:pPr>
      <w:r w:rsidRPr="00F36DFC">
        <w:rPr>
          <w:b/>
          <w:sz w:val="24"/>
          <w:szCs w:val="24"/>
        </w:rPr>
        <w:t>2.</w:t>
      </w:r>
      <w:r w:rsidRPr="00F36DFC">
        <w:rPr>
          <w:b/>
          <w:sz w:val="24"/>
          <w:szCs w:val="24"/>
        </w:rPr>
        <w:tab/>
        <w:t>KVALITATIV OG KVANTITATIV SAMMENSÆTNING</w:t>
      </w:r>
    </w:p>
    <w:p w14:paraId="7A13D7EB" w14:textId="77777777" w:rsidR="00F859C7" w:rsidRPr="00F36DFC" w:rsidRDefault="00F859C7" w:rsidP="00D16F2D">
      <w:pPr>
        <w:ind w:left="851"/>
        <w:rPr>
          <w:sz w:val="24"/>
          <w:szCs w:val="24"/>
          <w:lang w:eastAsia="de-DE"/>
        </w:rPr>
      </w:pPr>
      <w:r w:rsidRPr="00F36DFC">
        <w:rPr>
          <w:sz w:val="24"/>
          <w:szCs w:val="24"/>
        </w:rPr>
        <w:t xml:space="preserve">1 ml oral suspension indeholder 20 mg </w:t>
      </w:r>
      <w:proofErr w:type="spellStart"/>
      <w:r w:rsidRPr="00F36DFC">
        <w:rPr>
          <w:sz w:val="24"/>
          <w:szCs w:val="24"/>
        </w:rPr>
        <w:t>zonisamid</w:t>
      </w:r>
      <w:proofErr w:type="spellEnd"/>
      <w:r w:rsidRPr="00F36DFC">
        <w:rPr>
          <w:sz w:val="24"/>
          <w:szCs w:val="24"/>
        </w:rPr>
        <w:t xml:space="preserve">. </w:t>
      </w:r>
    </w:p>
    <w:p w14:paraId="664F4B9A" w14:textId="77777777" w:rsidR="00F859C7" w:rsidRPr="00F36DFC" w:rsidRDefault="00F859C7" w:rsidP="00D16F2D">
      <w:pPr>
        <w:adjustRightInd w:val="0"/>
        <w:ind w:left="851"/>
        <w:rPr>
          <w:sz w:val="24"/>
          <w:szCs w:val="24"/>
        </w:rPr>
      </w:pPr>
    </w:p>
    <w:p w14:paraId="0B144F41" w14:textId="77777777" w:rsidR="00F859C7" w:rsidRPr="00F36DFC" w:rsidRDefault="00F859C7" w:rsidP="00D16F2D">
      <w:pPr>
        <w:adjustRightInd w:val="0"/>
        <w:ind w:left="851"/>
        <w:rPr>
          <w:sz w:val="24"/>
          <w:szCs w:val="24"/>
        </w:rPr>
      </w:pPr>
      <w:r w:rsidRPr="00F36DFC">
        <w:rPr>
          <w:sz w:val="24"/>
          <w:szCs w:val="24"/>
          <w:u w:val="single"/>
        </w:rPr>
        <w:t>Hjælpestoffer, som behandleren skal være opmærksom på</w:t>
      </w:r>
      <w:r w:rsidRPr="00F36DFC">
        <w:rPr>
          <w:sz w:val="24"/>
          <w:szCs w:val="24"/>
        </w:rPr>
        <w:t>:</w:t>
      </w:r>
    </w:p>
    <w:p w14:paraId="25313134" w14:textId="77777777" w:rsidR="00F859C7" w:rsidRPr="00F36DFC" w:rsidRDefault="00F859C7" w:rsidP="00D16F2D">
      <w:pPr>
        <w:adjustRightInd w:val="0"/>
        <w:ind w:left="851"/>
        <w:rPr>
          <w:sz w:val="24"/>
          <w:szCs w:val="24"/>
        </w:rPr>
      </w:pPr>
      <w:r w:rsidRPr="00F36DFC">
        <w:rPr>
          <w:sz w:val="24"/>
          <w:szCs w:val="24"/>
        </w:rPr>
        <w:t xml:space="preserve">2 mg/ml </w:t>
      </w:r>
      <w:proofErr w:type="spellStart"/>
      <w:r w:rsidRPr="00F36DFC">
        <w:rPr>
          <w:sz w:val="24"/>
          <w:szCs w:val="24"/>
        </w:rPr>
        <w:t>natriummethylparahydroxy-benzoat</w:t>
      </w:r>
      <w:proofErr w:type="spellEnd"/>
      <w:r w:rsidRPr="00F36DFC">
        <w:rPr>
          <w:sz w:val="24"/>
          <w:szCs w:val="24"/>
        </w:rPr>
        <w:t xml:space="preserve"> (E 219) og 0,5 mg/ml </w:t>
      </w:r>
      <w:proofErr w:type="spellStart"/>
      <w:r w:rsidRPr="00F36DFC">
        <w:rPr>
          <w:sz w:val="24"/>
          <w:szCs w:val="24"/>
        </w:rPr>
        <w:t>natriumpropylparahydroxy-benzoat</w:t>
      </w:r>
      <w:proofErr w:type="spellEnd"/>
      <w:r w:rsidRPr="00F36DFC">
        <w:rPr>
          <w:sz w:val="24"/>
          <w:szCs w:val="24"/>
        </w:rPr>
        <w:t xml:space="preserve"> (E 217).</w:t>
      </w:r>
    </w:p>
    <w:p w14:paraId="6B396165" w14:textId="77777777" w:rsidR="00F859C7" w:rsidRPr="00F36DFC" w:rsidRDefault="00F859C7" w:rsidP="00D16F2D">
      <w:pPr>
        <w:adjustRightInd w:val="0"/>
        <w:ind w:left="851"/>
        <w:rPr>
          <w:sz w:val="24"/>
          <w:szCs w:val="24"/>
        </w:rPr>
      </w:pPr>
      <w:r w:rsidRPr="00F36DFC">
        <w:rPr>
          <w:sz w:val="24"/>
          <w:szCs w:val="24"/>
        </w:rPr>
        <w:t xml:space="preserve">Dette lægemiddel indeholder mindre end 1 mmol natrium (23 mg) pr. 10 ml sprøjte. </w:t>
      </w:r>
    </w:p>
    <w:p w14:paraId="135A40CD" w14:textId="77777777" w:rsidR="00F859C7" w:rsidRPr="00F36DFC" w:rsidRDefault="00F859C7" w:rsidP="00D16F2D">
      <w:pPr>
        <w:adjustRightInd w:val="0"/>
        <w:ind w:left="851"/>
        <w:rPr>
          <w:noProof/>
          <w:sz w:val="24"/>
          <w:szCs w:val="24"/>
        </w:rPr>
      </w:pPr>
      <w:r w:rsidRPr="00F36DFC">
        <w:rPr>
          <w:noProof/>
          <w:sz w:val="24"/>
          <w:szCs w:val="24"/>
        </w:rPr>
        <w:t xml:space="preserve">Indeholder </w:t>
      </w:r>
      <w:r w:rsidRPr="00F36DFC">
        <w:rPr>
          <w:sz w:val="24"/>
          <w:szCs w:val="24"/>
        </w:rPr>
        <w:t xml:space="preserve">spor af </w:t>
      </w:r>
      <w:r w:rsidRPr="00F36DFC">
        <w:rPr>
          <w:noProof/>
          <w:sz w:val="24"/>
          <w:szCs w:val="24"/>
        </w:rPr>
        <w:t>fructose, glucose, saccharose, svovldioxid [E220].</w:t>
      </w:r>
    </w:p>
    <w:p w14:paraId="0874BB8A" w14:textId="77777777" w:rsidR="00F859C7" w:rsidRPr="00F36DFC" w:rsidRDefault="00F859C7" w:rsidP="00D16F2D">
      <w:pPr>
        <w:ind w:left="851"/>
        <w:rPr>
          <w:sz w:val="24"/>
          <w:szCs w:val="24"/>
        </w:rPr>
      </w:pPr>
    </w:p>
    <w:p w14:paraId="014B400E" w14:textId="77777777" w:rsidR="00F859C7" w:rsidRPr="00F36DFC" w:rsidRDefault="00F859C7" w:rsidP="00D16F2D">
      <w:pPr>
        <w:ind w:left="851"/>
        <w:rPr>
          <w:sz w:val="24"/>
          <w:szCs w:val="24"/>
        </w:rPr>
      </w:pPr>
      <w:r w:rsidRPr="00F36DFC">
        <w:rPr>
          <w:sz w:val="24"/>
          <w:szCs w:val="24"/>
        </w:rPr>
        <w:t>Alle hjælpestoffer er anført under pkt. 6.1.</w:t>
      </w:r>
    </w:p>
    <w:p w14:paraId="75808E1C" w14:textId="77777777" w:rsidR="009260DE" w:rsidRPr="00F36DFC" w:rsidRDefault="009260DE" w:rsidP="009260DE">
      <w:pPr>
        <w:tabs>
          <w:tab w:val="left" w:pos="851"/>
        </w:tabs>
        <w:ind w:left="851"/>
        <w:rPr>
          <w:sz w:val="24"/>
          <w:szCs w:val="24"/>
        </w:rPr>
      </w:pPr>
    </w:p>
    <w:p w14:paraId="5FD8BCFC" w14:textId="77777777" w:rsidR="009260DE" w:rsidRPr="00F36DFC" w:rsidRDefault="009260DE" w:rsidP="009260DE">
      <w:pPr>
        <w:tabs>
          <w:tab w:val="left" w:pos="851"/>
        </w:tabs>
        <w:ind w:left="851" w:hanging="851"/>
        <w:rPr>
          <w:b/>
          <w:sz w:val="24"/>
          <w:szCs w:val="24"/>
        </w:rPr>
      </w:pPr>
      <w:r w:rsidRPr="00F36DFC">
        <w:rPr>
          <w:b/>
          <w:sz w:val="24"/>
          <w:szCs w:val="24"/>
        </w:rPr>
        <w:t>3.</w:t>
      </w:r>
      <w:r w:rsidRPr="00F36DFC">
        <w:rPr>
          <w:b/>
          <w:sz w:val="24"/>
          <w:szCs w:val="24"/>
        </w:rPr>
        <w:tab/>
        <w:t>LÆGEMIDDELFORM</w:t>
      </w:r>
    </w:p>
    <w:p w14:paraId="47B5F1D9" w14:textId="77777777" w:rsidR="00F859C7" w:rsidRPr="00F36DFC" w:rsidRDefault="00F859C7" w:rsidP="00D16F2D">
      <w:pPr>
        <w:ind w:left="851"/>
        <w:rPr>
          <w:sz w:val="24"/>
          <w:szCs w:val="24"/>
          <w:lang w:eastAsia="de-DE"/>
        </w:rPr>
      </w:pPr>
      <w:r w:rsidRPr="00F36DFC">
        <w:rPr>
          <w:sz w:val="24"/>
          <w:szCs w:val="24"/>
        </w:rPr>
        <w:t>Oral suspension</w:t>
      </w:r>
    </w:p>
    <w:p w14:paraId="2A0BF198" w14:textId="77777777" w:rsidR="00F859C7" w:rsidRPr="00F36DFC" w:rsidRDefault="00F859C7" w:rsidP="00D16F2D">
      <w:pPr>
        <w:ind w:left="851"/>
        <w:rPr>
          <w:sz w:val="24"/>
          <w:szCs w:val="24"/>
        </w:rPr>
      </w:pPr>
    </w:p>
    <w:p w14:paraId="27400CF1" w14:textId="77777777" w:rsidR="00F859C7" w:rsidRPr="00F36DFC" w:rsidRDefault="00F859C7" w:rsidP="00D16F2D">
      <w:pPr>
        <w:ind w:left="851"/>
        <w:rPr>
          <w:sz w:val="24"/>
          <w:szCs w:val="24"/>
        </w:rPr>
      </w:pPr>
      <w:r w:rsidRPr="00F36DFC">
        <w:rPr>
          <w:sz w:val="24"/>
          <w:szCs w:val="24"/>
        </w:rPr>
        <w:t>Hvid suspension med jordbærsmag.</w:t>
      </w:r>
    </w:p>
    <w:p w14:paraId="08CCC0BE" w14:textId="77777777" w:rsidR="009260DE" w:rsidRPr="00F36DFC" w:rsidRDefault="009260DE" w:rsidP="009260DE">
      <w:pPr>
        <w:tabs>
          <w:tab w:val="left" w:pos="851"/>
        </w:tabs>
        <w:ind w:left="851"/>
        <w:rPr>
          <w:sz w:val="24"/>
          <w:szCs w:val="24"/>
        </w:rPr>
      </w:pPr>
    </w:p>
    <w:p w14:paraId="320AF08C" w14:textId="77777777" w:rsidR="009260DE" w:rsidRPr="00F36DFC" w:rsidRDefault="009260DE" w:rsidP="009260DE">
      <w:pPr>
        <w:tabs>
          <w:tab w:val="left" w:pos="851"/>
        </w:tabs>
        <w:ind w:left="851"/>
        <w:rPr>
          <w:sz w:val="24"/>
          <w:szCs w:val="24"/>
        </w:rPr>
      </w:pPr>
    </w:p>
    <w:p w14:paraId="68BAF530" w14:textId="77777777" w:rsidR="009260DE" w:rsidRPr="00F36DFC" w:rsidRDefault="009260DE" w:rsidP="009260DE">
      <w:pPr>
        <w:tabs>
          <w:tab w:val="left" w:pos="851"/>
        </w:tabs>
        <w:ind w:left="851" w:hanging="851"/>
        <w:rPr>
          <w:b/>
          <w:sz w:val="24"/>
          <w:szCs w:val="24"/>
        </w:rPr>
      </w:pPr>
      <w:r w:rsidRPr="00F36DFC">
        <w:rPr>
          <w:b/>
          <w:sz w:val="24"/>
          <w:szCs w:val="24"/>
        </w:rPr>
        <w:t>4.</w:t>
      </w:r>
      <w:r w:rsidRPr="00F36DFC">
        <w:rPr>
          <w:b/>
          <w:sz w:val="24"/>
          <w:szCs w:val="24"/>
        </w:rPr>
        <w:tab/>
        <w:t>KLINISKE OPLYSNINGER</w:t>
      </w:r>
    </w:p>
    <w:p w14:paraId="675D1378" w14:textId="77777777" w:rsidR="009260DE" w:rsidRPr="00F36DFC" w:rsidRDefault="009260DE" w:rsidP="009260DE">
      <w:pPr>
        <w:tabs>
          <w:tab w:val="left" w:pos="851"/>
        </w:tabs>
        <w:ind w:left="851"/>
        <w:rPr>
          <w:b/>
          <w:sz w:val="24"/>
          <w:szCs w:val="24"/>
        </w:rPr>
      </w:pPr>
    </w:p>
    <w:p w14:paraId="78C0C50C" w14:textId="77777777" w:rsidR="009260DE" w:rsidRPr="00F36DFC" w:rsidRDefault="009260DE" w:rsidP="009260DE">
      <w:pPr>
        <w:tabs>
          <w:tab w:val="left" w:pos="851"/>
        </w:tabs>
        <w:ind w:left="851" w:hanging="851"/>
        <w:rPr>
          <w:b/>
          <w:sz w:val="24"/>
          <w:szCs w:val="24"/>
          <w:u w:val="single"/>
        </w:rPr>
      </w:pPr>
      <w:r w:rsidRPr="00F36DFC">
        <w:rPr>
          <w:b/>
          <w:sz w:val="24"/>
          <w:szCs w:val="24"/>
        </w:rPr>
        <w:t>4.1</w:t>
      </w:r>
      <w:r w:rsidRPr="00F36DFC">
        <w:rPr>
          <w:b/>
          <w:sz w:val="24"/>
          <w:szCs w:val="24"/>
        </w:rPr>
        <w:tab/>
        <w:t>Terapeutiske indikationer</w:t>
      </w:r>
    </w:p>
    <w:p w14:paraId="70C71107" w14:textId="5603E7FF" w:rsidR="00F859C7" w:rsidRPr="00F36DFC" w:rsidRDefault="00F859C7" w:rsidP="00D16F2D">
      <w:pPr>
        <w:ind w:left="851"/>
        <w:rPr>
          <w:sz w:val="24"/>
          <w:szCs w:val="24"/>
          <w:lang w:eastAsia="de-DE"/>
        </w:rPr>
      </w:pPr>
      <w:proofErr w:type="spellStart"/>
      <w:r w:rsidRPr="00F36DFC">
        <w:rPr>
          <w:sz w:val="24"/>
          <w:szCs w:val="24"/>
        </w:rPr>
        <w:t>Zonisamid</w:t>
      </w:r>
      <w:proofErr w:type="spellEnd"/>
      <w:r w:rsidRPr="00F36DFC">
        <w:rPr>
          <w:sz w:val="24"/>
          <w:szCs w:val="24"/>
        </w:rPr>
        <w:t xml:space="preserve"> </w:t>
      </w:r>
      <w:r w:rsidR="00C26C40">
        <w:rPr>
          <w:sz w:val="24"/>
          <w:szCs w:val="24"/>
        </w:rPr>
        <w:t>"</w:t>
      </w:r>
      <w:proofErr w:type="spellStart"/>
      <w:r w:rsidR="00C26C40">
        <w:rPr>
          <w:sz w:val="24"/>
          <w:szCs w:val="24"/>
        </w:rPr>
        <w:t>Desitin</w:t>
      </w:r>
      <w:proofErr w:type="spellEnd"/>
      <w:r w:rsidR="00C26C40">
        <w:rPr>
          <w:sz w:val="24"/>
          <w:szCs w:val="24"/>
        </w:rPr>
        <w:t>"</w:t>
      </w:r>
      <w:r w:rsidRPr="00F36DFC">
        <w:rPr>
          <w:sz w:val="24"/>
          <w:szCs w:val="24"/>
        </w:rPr>
        <w:t xml:space="preserve"> er indiceret som:</w:t>
      </w:r>
    </w:p>
    <w:p w14:paraId="1FE5310E" w14:textId="0A04210D" w:rsidR="00F859C7" w:rsidRPr="00CB69A3" w:rsidRDefault="00F859C7" w:rsidP="00F36DFC">
      <w:pPr>
        <w:pStyle w:val="Listeafsnit"/>
        <w:numPr>
          <w:ilvl w:val="0"/>
          <w:numId w:val="13"/>
        </w:numPr>
        <w:ind w:left="1276" w:hanging="425"/>
        <w:rPr>
          <w:sz w:val="24"/>
          <w:lang w:val="da-DK"/>
        </w:rPr>
      </w:pPr>
      <w:r w:rsidRPr="00CB69A3">
        <w:rPr>
          <w:sz w:val="24"/>
          <w:lang w:val="da-DK"/>
        </w:rPr>
        <w:t xml:space="preserve">monoterapi til behandling af partielle anfald med eller uden sekundær generalisering hos voksne med </w:t>
      </w:r>
      <w:proofErr w:type="spellStart"/>
      <w:r w:rsidRPr="00CB69A3">
        <w:rPr>
          <w:sz w:val="24"/>
          <w:lang w:val="da-DK"/>
        </w:rPr>
        <w:t>nydiagnosticeret</w:t>
      </w:r>
      <w:proofErr w:type="spellEnd"/>
      <w:r w:rsidRPr="00CB69A3">
        <w:rPr>
          <w:sz w:val="24"/>
          <w:lang w:val="da-DK"/>
        </w:rPr>
        <w:t xml:space="preserve"> epilepsi (se pkt</w:t>
      </w:r>
      <w:r w:rsidR="00C26C40" w:rsidRPr="00CB69A3">
        <w:rPr>
          <w:sz w:val="24"/>
          <w:lang w:val="da-DK"/>
        </w:rPr>
        <w:t>.</w:t>
      </w:r>
      <w:r w:rsidRPr="00CB69A3">
        <w:rPr>
          <w:sz w:val="24"/>
          <w:lang w:val="da-DK"/>
        </w:rPr>
        <w:t xml:space="preserve"> 5.1);</w:t>
      </w:r>
    </w:p>
    <w:p w14:paraId="3697B523" w14:textId="77777777" w:rsidR="00F859C7" w:rsidRPr="00CB69A3" w:rsidRDefault="00F859C7" w:rsidP="00F36DFC">
      <w:pPr>
        <w:pStyle w:val="Listeafsnit"/>
        <w:numPr>
          <w:ilvl w:val="0"/>
          <w:numId w:val="13"/>
        </w:numPr>
        <w:ind w:left="1276" w:hanging="425"/>
        <w:rPr>
          <w:sz w:val="24"/>
          <w:lang w:val="da-DK"/>
        </w:rPr>
      </w:pPr>
      <w:r w:rsidRPr="00CB69A3">
        <w:rPr>
          <w:sz w:val="24"/>
          <w:lang w:val="da-DK"/>
        </w:rPr>
        <w:t>supplerende terapi til behandling af partielle anfald med eller uden sekundær generalisering hos voksne, unge og børn på 6 år og derover.</w:t>
      </w:r>
    </w:p>
    <w:p w14:paraId="3BB90487" w14:textId="235CEC89" w:rsidR="00C26C40" w:rsidRDefault="00C26C40">
      <w:pPr>
        <w:rPr>
          <w:sz w:val="24"/>
          <w:szCs w:val="24"/>
        </w:rPr>
      </w:pPr>
      <w:r>
        <w:rPr>
          <w:sz w:val="24"/>
          <w:szCs w:val="24"/>
        </w:rPr>
        <w:br w:type="page"/>
      </w:r>
    </w:p>
    <w:p w14:paraId="3EEB1837" w14:textId="77777777" w:rsidR="009260DE" w:rsidRPr="00F36DFC" w:rsidRDefault="009260DE" w:rsidP="009260DE">
      <w:pPr>
        <w:tabs>
          <w:tab w:val="left" w:pos="851"/>
        </w:tabs>
        <w:ind w:left="851"/>
        <w:rPr>
          <w:sz w:val="24"/>
          <w:szCs w:val="24"/>
        </w:rPr>
      </w:pPr>
    </w:p>
    <w:p w14:paraId="43EF88F5" w14:textId="77777777" w:rsidR="009260DE" w:rsidRPr="00F36DFC" w:rsidRDefault="009260DE" w:rsidP="009260DE">
      <w:pPr>
        <w:tabs>
          <w:tab w:val="left" w:pos="851"/>
        </w:tabs>
        <w:ind w:left="851" w:hanging="851"/>
        <w:rPr>
          <w:b/>
          <w:sz w:val="24"/>
          <w:szCs w:val="24"/>
        </w:rPr>
      </w:pPr>
      <w:r w:rsidRPr="00F36DFC">
        <w:rPr>
          <w:b/>
          <w:sz w:val="24"/>
          <w:szCs w:val="24"/>
        </w:rPr>
        <w:t>4.2</w:t>
      </w:r>
      <w:r w:rsidRPr="00F36DFC">
        <w:rPr>
          <w:b/>
          <w:sz w:val="24"/>
          <w:szCs w:val="24"/>
        </w:rPr>
        <w:tab/>
        <w:t xml:space="preserve">Dosering og </w:t>
      </w:r>
      <w:r w:rsidR="002C1EC0" w:rsidRPr="00F36DFC">
        <w:rPr>
          <w:b/>
          <w:sz w:val="24"/>
          <w:szCs w:val="24"/>
        </w:rPr>
        <w:t>administration</w:t>
      </w:r>
    </w:p>
    <w:p w14:paraId="752857FC" w14:textId="77777777" w:rsidR="00F36DFC" w:rsidRDefault="00F36DFC" w:rsidP="00D16F2D">
      <w:pPr>
        <w:ind w:left="851"/>
        <w:rPr>
          <w:sz w:val="24"/>
          <w:szCs w:val="24"/>
        </w:rPr>
      </w:pPr>
    </w:p>
    <w:p w14:paraId="24DEEBF4" w14:textId="13491146" w:rsidR="00F859C7" w:rsidRPr="00F36DFC" w:rsidRDefault="00F859C7" w:rsidP="00D16F2D">
      <w:pPr>
        <w:ind w:left="851"/>
        <w:rPr>
          <w:sz w:val="24"/>
          <w:szCs w:val="24"/>
          <w:u w:val="single"/>
          <w:lang w:eastAsia="de-DE"/>
        </w:rPr>
      </w:pPr>
      <w:r w:rsidRPr="00F36DFC">
        <w:rPr>
          <w:sz w:val="24"/>
          <w:szCs w:val="24"/>
          <w:u w:val="single"/>
        </w:rPr>
        <w:t>Dosering</w:t>
      </w:r>
    </w:p>
    <w:p w14:paraId="170EA2BF" w14:textId="77777777" w:rsidR="00F859C7" w:rsidRPr="00F36DFC" w:rsidRDefault="00F859C7" w:rsidP="00D16F2D">
      <w:pPr>
        <w:ind w:left="851"/>
        <w:rPr>
          <w:sz w:val="24"/>
          <w:szCs w:val="24"/>
          <w:u w:val="single"/>
        </w:rPr>
      </w:pPr>
    </w:p>
    <w:p w14:paraId="27862838" w14:textId="77777777" w:rsidR="00F859C7" w:rsidRPr="00F36DFC" w:rsidRDefault="00F859C7" w:rsidP="00D16F2D">
      <w:pPr>
        <w:ind w:left="851"/>
        <w:rPr>
          <w:i/>
          <w:sz w:val="24"/>
          <w:szCs w:val="24"/>
          <w:u w:val="single"/>
        </w:rPr>
      </w:pPr>
      <w:r w:rsidRPr="00F36DFC">
        <w:rPr>
          <w:i/>
          <w:iCs/>
          <w:sz w:val="24"/>
          <w:szCs w:val="24"/>
          <w:u w:val="single"/>
        </w:rPr>
        <w:t>Voksne</w:t>
      </w:r>
    </w:p>
    <w:p w14:paraId="60C1B3F9" w14:textId="77777777" w:rsidR="00F859C7" w:rsidRPr="00F36DFC" w:rsidRDefault="00F859C7" w:rsidP="00D16F2D">
      <w:pPr>
        <w:ind w:left="851"/>
        <w:rPr>
          <w:i/>
          <w:sz w:val="24"/>
          <w:szCs w:val="24"/>
        </w:rPr>
      </w:pPr>
    </w:p>
    <w:p w14:paraId="02224A2D" w14:textId="77777777" w:rsidR="00F859C7" w:rsidRPr="00F36DFC" w:rsidRDefault="00F859C7" w:rsidP="00D16F2D">
      <w:pPr>
        <w:ind w:left="851"/>
        <w:rPr>
          <w:sz w:val="24"/>
          <w:szCs w:val="24"/>
        </w:rPr>
      </w:pPr>
      <w:r w:rsidRPr="00F36DFC">
        <w:rPr>
          <w:i/>
          <w:iCs/>
          <w:sz w:val="24"/>
          <w:szCs w:val="24"/>
        </w:rPr>
        <w:t>Dosistitrering og vedligeholdelsesdosis</w:t>
      </w:r>
    </w:p>
    <w:p w14:paraId="78845758" w14:textId="57450ADC" w:rsidR="00F859C7" w:rsidRPr="00F36DFC" w:rsidRDefault="00F859C7" w:rsidP="00D16F2D">
      <w:pPr>
        <w:ind w:left="851"/>
        <w:rPr>
          <w:sz w:val="24"/>
          <w:szCs w:val="24"/>
        </w:rPr>
      </w:pPr>
      <w:proofErr w:type="spellStart"/>
      <w:r w:rsidRPr="00F36DFC">
        <w:rPr>
          <w:sz w:val="24"/>
          <w:szCs w:val="24"/>
        </w:rPr>
        <w:t>Zonisamid</w:t>
      </w:r>
      <w:proofErr w:type="spellEnd"/>
      <w:r w:rsidRPr="00F36DFC">
        <w:rPr>
          <w:sz w:val="24"/>
          <w:szCs w:val="24"/>
        </w:rPr>
        <w:t xml:space="preserve"> </w:t>
      </w:r>
      <w:r w:rsidR="00C26C40">
        <w:rPr>
          <w:sz w:val="24"/>
          <w:szCs w:val="24"/>
        </w:rPr>
        <w:t>"</w:t>
      </w:r>
      <w:proofErr w:type="spellStart"/>
      <w:r w:rsidR="00C26C40">
        <w:rPr>
          <w:sz w:val="24"/>
          <w:szCs w:val="24"/>
        </w:rPr>
        <w:t>Desitin</w:t>
      </w:r>
      <w:proofErr w:type="spellEnd"/>
      <w:r w:rsidR="00C26C40">
        <w:rPr>
          <w:sz w:val="24"/>
          <w:szCs w:val="24"/>
        </w:rPr>
        <w:t>"</w:t>
      </w:r>
      <w:r w:rsidRPr="00F36DFC">
        <w:rPr>
          <w:sz w:val="24"/>
          <w:szCs w:val="24"/>
        </w:rPr>
        <w:t xml:space="preserve"> kan tages som monoterapi eller lægges til eksisterende behandling hos voksne. Dosis skal titreres på basis af klinisk virkning. Anbefalinger for dosistitrering og vedligeholdelsesdoser ses i tabel 1. Nogle patienter, især dem der ikke tager CYP3A4-induktorer, kan respondere på lavere doser.</w:t>
      </w:r>
    </w:p>
    <w:p w14:paraId="0817B140" w14:textId="77777777" w:rsidR="00F859C7" w:rsidRPr="00F36DFC" w:rsidRDefault="00F859C7" w:rsidP="00D16F2D">
      <w:pPr>
        <w:ind w:left="851"/>
        <w:rPr>
          <w:sz w:val="24"/>
          <w:szCs w:val="24"/>
        </w:rPr>
      </w:pPr>
      <w:r w:rsidRPr="00F36DFC">
        <w:rPr>
          <w:sz w:val="24"/>
          <w:szCs w:val="24"/>
        </w:rPr>
        <w:t xml:space="preserve"> </w:t>
      </w:r>
    </w:p>
    <w:p w14:paraId="0FF7AC69" w14:textId="77777777" w:rsidR="00F859C7" w:rsidRPr="00F36DFC" w:rsidRDefault="00F859C7" w:rsidP="00D16F2D">
      <w:pPr>
        <w:ind w:left="851"/>
        <w:rPr>
          <w:sz w:val="24"/>
          <w:szCs w:val="24"/>
        </w:rPr>
      </w:pPr>
      <w:proofErr w:type="spellStart"/>
      <w:r w:rsidRPr="00F36DFC">
        <w:rPr>
          <w:i/>
          <w:iCs/>
          <w:sz w:val="24"/>
          <w:szCs w:val="24"/>
        </w:rPr>
        <w:t>Seponering</w:t>
      </w:r>
      <w:proofErr w:type="spellEnd"/>
      <w:r w:rsidRPr="00F36DFC">
        <w:rPr>
          <w:i/>
          <w:iCs/>
          <w:sz w:val="24"/>
          <w:szCs w:val="24"/>
        </w:rPr>
        <w:t xml:space="preserve"> </w:t>
      </w:r>
    </w:p>
    <w:p w14:paraId="2B9DE88D" w14:textId="3B325419" w:rsidR="00F859C7" w:rsidRPr="00F36DFC" w:rsidRDefault="00F859C7" w:rsidP="00D16F2D">
      <w:pPr>
        <w:ind w:left="851"/>
        <w:rPr>
          <w:sz w:val="24"/>
          <w:szCs w:val="24"/>
        </w:rPr>
      </w:pPr>
      <w:r w:rsidRPr="00F36DFC">
        <w:rPr>
          <w:sz w:val="24"/>
          <w:szCs w:val="24"/>
        </w:rPr>
        <w:t xml:space="preserve">Når </w:t>
      </w:r>
      <w:proofErr w:type="spellStart"/>
      <w:r w:rsidRPr="00F36DFC">
        <w:rPr>
          <w:sz w:val="24"/>
          <w:szCs w:val="24"/>
        </w:rPr>
        <w:t>Zonisamid</w:t>
      </w:r>
      <w:proofErr w:type="spellEnd"/>
      <w:r w:rsidRPr="00F36DFC">
        <w:rPr>
          <w:sz w:val="24"/>
          <w:szCs w:val="24"/>
        </w:rPr>
        <w:t xml:space="preserve"> </w:t>
      </w:r>
      <w:r w:rsidR="00C26C40">
        <w:rPr>
          <w:sz w:val="24"/>
          <w:szCs w:val="24"/>
        </w:rPr>
        <w:t>"</w:t>
      </w:r>
      <w:proofErr w:type="spellStart"/>
      <w:r w:rsidR="00C26C40">
        <w:rPr>
          <w:sz w:val="24"/>
          <w:szCs w:val="24"/>
        </w:rPr>
        <w:t>Desitin</w:t>
      </w:r>
      <w:proofErr w:type="spellEnd"/>
      <w:r w:rsidR="00C26C40">
        <w:rPr>
          <w:sz w:val="24"/>
          <w:szCs w:val="24"/>
        </w:rPr>
        <w:t>"</w:t>
      </w:r>
      <w:r w:rsidRPr="00F36DFC">
        <w:rPr>
          <w:sz w:val="24"/>
          <w:szCs w:val="24"/>
        </w:rPr>
        <w:t xml:space="preserve"> seponeres, bør det ske gradvist (se pkt. 4.4). I kliniske studier med voksne patienter har dosisreduktioner på 100 mg med ugentlige intervaller været anvendt samtidig med dosisjustering af andre </w:t>
      </w:r>
      <w:proofErr w:type="spellStart"/>
      <w:r w:rsidRPr="00F36DFC">
        <w:rPr>
          <w:sz w:val="24"/>
          <w:szCs w:val="24"/>
        </w:rPr>
        <w:t>antiepileptika</w:t>
      </w:r>
      <w:proofErr w:type="spellEnd"/>
      <w:r w:rsidRPr="00F36DFC">
        <w:rPr>
          <w:sz w:val="24"/>
          <w:szCs w:val="24"/>
        </w:rPr>
        <w:t xml:space="preserve"> (hvor det er nødvendigt).</w:t>
      </w:r>
    </w:p>
    <w:p w14:paraId="63EF29BC" w14:textId="77777777" w:rsidR="00F859C7" w:rsidRPr="00F36DFC" w:rsidRDefault="00F859C7" w:rsidP="00D16F2D">
      <w:pPr>
        <w:ind w:left="851"/>
        <w:rPr>
          <w:sz w:val="24"/>
          <w:szCs w:val="24"/>
        </w:rPr>
      </w:pPr>
    </w:p>
    <w:p w14:paraId="6920FA32" w14:textId="086625A0" w:rsidR="00F859C7" w:rsidRPr="00F36DFC" w:rsidRDefault="00F859C7" w:rsidP="00F859C7">
      <w:pPr>
        <w:rPr>
          <w:b/>
          <w:sz w:val="24"/>
          <w:szCs w:val="24"/>
          <w:u w:val="single"/>
        </w:rPr>
      </w:pPr>
      <w:r w:rsidRPr="00F36DFC">
        <w:rPr>
          <w:b/>
          <w:bCs/>
          <w:sz w:val="24"/>
          <w:szCs w:val="24"/>
          <w:u w:val="single"/>
        </w:rPr>
        <w:t>Tabel 1</w:t>
      </w:r>
      <w:r w:rsidR="00F36DFC">
        <w:rPr>
          <w:b/>
          <w:bCs/>
          <w:sz w:val="24"/>
          <w:szCs w:val="24"/>
          <w:u w:val="single"/>
        </w:rPr>
        <w:t xml:space="preserve">. </w:t>
      </w:r>
      <w:r w:rsidRPr="00F36DFC">
        <w:rPr>
          <w:b/>
          <w:bCs/>
          <w:sz w:val="24"/>
          <w:szCs w:val="24"/>
          <w:u w:val="single"/>
        </w:rPr>
        <w:t>Voksne – anbefalinger for dosisøgning og vedligeholdelsesbehandling</w:t>
      </w:r>
    </w:p>
    <w:p w14:paraId="312B3565" w14:textId="77777777" w:rsidR="00F859C7" w:rsidRPr="00F36DFC" w:rsidRDefault="00F859C7" w:rsidP="00F859C7">
      <w:pPr>
        <w:rPr>
          <w:sz w:val="24"/>
          <w:szCs w:val="24"/>
        </w:rPr>
      </w:pPr>
    </w:p>
    <w:tbl>
      <w:tblPr>
        <w:tblStyle w:val="TableNormal"/>
        <w:tblW w:w="5000" w:type="pct"/>
        <w:tblInd w:w="0" w:type="dxa"/>
        <w:tblLook w:val="01E0" w:firstRow="1" w:lastRow="1" w:firstColumn="1" w:lastColumn="1" w:noHBand="0" w:noVBand="0"/>
      </w:tblPr>
      <w:tblGrid>
        <w:gridCol w:w="2245"/>
        <w:gridCol w:w="1538"/>
        <w:gridCol w:w="1692"/>
        <w:gridCol w:w="1722"/>
        <w:gridCol w:w="2425"/>
      </w:tblGrid>
      <w:tr w:rsidR="00F859C7" w:rsidRPr="00F36DFC" w14:paraId="6A97E099" w14:textId="77777777" w:rsidTr="00F36DFC">
        <w:trPr>
          <w:trHeight w:val="20"/>
        </w:trPr>
        <w:tc>
          <w:tcPr>
            <w:tcW w:w="1167" w:type="pct"/>
            <w:tcBorders>
              <w:top w:val="single" w:sz="6" w:space="0" w:color="000000"/>
              <w:left w:val="single" w:sz="6" w:space="0" w:color="000000"/>
              <w:bottom w:val="single" w:sz="6" w:space="0" w:color="000000"/>
              <w:right w:val="single" w:sz="6" w:space="0" w:color="000000"/>
            </w:tcBorders>
            <w:hideMark/>
          </w:tcPr>
          <w:p w14:paraId="61AC2660" w14:textId="77777777" w:rsidR="00F859C7" w:rsidRPr="00F36DFC" w:rsidRDefault="00F859C7">
            <w:pPr>
              <w:widowControl/>
              <w:ind w:left="57"/>
              <w:rPr>
                <w:rFonts w:ascii="Times New Roman" w:hAnsi="Times New Roman" w:cs="Times New Roman"/>
                <w:b/>
                <w:sz w:val="22"/>
                <w:lang w:val="en-GB"/>
              </w:rPr>
            </w:pPr>
            <w:r w:rsidRPr="00F36DFC">
              <w:rPr>
                <w:rFonts w:ascii="Times New Roman" w:hAnsi="Times New Roman" w:cs="Times New Roman"/>
                <w:b/>
                <w:bCs/>
                <w:sz w:val="22"/>
                <w:lang w:val="da-DK"/>
              </w:rPr>
              <w:t>Behandlingsprogram</w:t>
            </w:r>
          </w:p>
        </w:tc>
        <w:tc>
          <w:tcPr>
            <w:tcW w:w="2573" w:type="pct"/>
            <w:gridSpan w:val="3"/>
            <w:tcBorders>
              <w:top w:val="single" w:sz="6" w:space="0" w:color="000000"/>
              <w:left w:val="single" w:sz="6" w:space="0" w:color="000000"/>
              <w:bottom w:val="single" w:sz="6" w:space="0" w:color="000000"/>
              <w:right w:val="single" w:sz="6" w:space="0" w:color="000000"/>
            </w:tcBorders>
            <w:hideMark/>
          </w:tcPr>
          <w:p w14:paraId="2449240B" w14:textId="77777777" w:rsidR="00F859C7" w:rsidRPr="00F36DFC" w:rsidRDefault="00F859C7">
            <w:pPr>
              <w:widowControl/>
              <w:ind w:left="57"/>
              <w:rPr>
                <w:rFonts w:ascii="Times New Roman" w:hAnsi="Times New Roman" w:cs="Times New Roman"/>
                <w:b/>
                <w:sz w:val="22"/>
              </w:rPr>
            </w:pPr>
            <w:r w:rsidRPr="00F36DFC">
              <w:rPr>
                <w:rFonts w:ascii="Times New Roman" w:hAnsi="Times New Roman" w:cs="Times New Roman"/>
                <w:b/>
                <w:bCs/>
                <w:sz w:val="22"/>
                <w:lang w:val="da-DK"/>
              </w:rPr>
              <w:t>Titreringsfase</w:t>
            </w:r>
          </w:p>
        </w:tc>
        <w:tc>
          <w:tcPr>
            <w:tcW w:w="1260" w:type="pct"/>
            <w:tcBorders>
              <w:top w:val="single" w:sz="6" w:space="0" w:color="000000"/>
              <w:left w:val="single" w:sz="6" w:space="0" w:color="000000"/>
              <w:bottom w:val="single" w:sz="6" w:space="0" w:color="000000"/>
              <w:right w:val="single" w:sz="6" w:space="0" w:color="000000"/>
            </w:tcBorders>
            <w:hideMark/>
          </w:tcPr>
          <w:p w14:paraId="24F87471" w14:textId="77777777" w:rsidR="00F859C7" w:rsidRPr="00F36DFC" w:rsidRDefault="00F859C7">
            <w:pPr>
              <w:widowControl/>
              <w:ind w:left="57"/>
              <w:rPr>
                <w:rFonts w:ascii="Times New Roman" w:hAnsi="Times New Roman" w:cs="Times New Roman"/>
                <w:b/>
                <w:sz w:val="22"/>
              </w:rPr>
            </w:pPr>
            <w:r w:rsidRPr="00F36DFC">
              <w:rPr>
                <w:rFonts w:ascii="Times New Roman" w:hAnsi="Times New Roman" w:cs="Times New Roman"/>
                <w:b/>
                <w:bCs/>
                <w:sz w:val="22"/>
                <w:lang w:val="da-DK"/>
              </w:rPr>
              <w:t>Sædvanlig vedligeholdelsesdosis</w:t>
            </w:r>
          </w:p>
        </w:tc>
      </w:tr>
      <w:tr w:rsidR="00F859C7" w:rsidRPr="00F36DFC" w14:paraId="74CAA336" w14:textId="77777777" w:rsidTr="00F36DFC">
        <w:trPr>
          <w:trHeight w:val="20"/>
        </w:trPr>
        <w:tc>
          <w:tcPr>
            <w:tcW w:w="1167" w:type="pct"/>
            <w:vMerge w:val="restart"/>
            <w:tcBorders>
              <w:top w:val="single" w:sz="6" w:space="0" w:color="000000"/>
              <w:left w:val="single" w:sz="6" w:space="0" w:color="000000"/>
              <w:bottom w:val="single" w:sz="6" w:space="0" w:color="000000"/>
              <w:right w:val="single" w:sz="6" w:space="0" w:color="000000"/>
            </w:tcBorders>
            <w:hideMark/>
          </w:tcPr>
          <w:p w14:paraId="5F904DB5" w14:textId="77777777" w:rsidR="00F859C7" w:rsidRPr="00F36DFC" w:rsidRDefault="00F859C7">
            <w:pPr>
              <w:widowControl/>
              <w:ind w:left="57"/>
              <w:rPr>
                <w:rFonts w:ascii="Times New Roman" w:hAnsi="Times New Roman" w:cs="Times New Roman"/>
                <w:sz w:val="22"/>
              </w:rPr>
            </w:pPr>
            <w:r w:rsidRPr="00F36DFC">
              <w:rPr>
                <w:rFonts w:ascii="Times New Roman" w:hAnsi="Times New Roman" w:cs="Times New Roman"/>
                <w:b/>
                <w:bCs/>
                <w:sz w:val="22"/>
                <w:lang w:val="da-DK"/>
              </w:rPr>
              <w:t>Monoterapi</w:t>
            </w:r>
            <w:r w:rsidRPr="00F36DFC">
              <w:rPr>
                <w:rFonts w:ascii="Times New Roman" w:hAnsi="Times New Roman" w:cs="Times New Roman"/>
                <w:sz w:val="22"/>
                <w:lang w:val="da-DK"/>
              </w:rPr>
              <w:t xml:space="preserve"> – </w:t>
            </w:r>
            <w:proofErr w:type="spellStart"/>
            <w:r w:rsidRPr="00F36DFC">
              <w:rPr>
                <w:rFonts w:ascii="Times New Roman" w:hAnsi="Times New Roman" w:cs="Times New Roman"/>
                <w:sz w:val="22"/>
                <w:lang w:val="da-DK"/>
              </w:rPr>
              <w:t>Nydiagnosticerede</w:t>
            </w:r>
            <w:proofErr w:type="spellEnd"/>
            <w:r w:rsidRPr="00F36DFC">
              <w:rPr>
                <w:rFonts w:ascii="Times New Roman" w:hAnsi="Times New Roman" w:cs="Times New Roman"/>
                <w:sz w:val="22"/>
                <w:lang w:val="da-DK"/>
              </w:rPr>
              <w:t xml:space="preserve"> voksne patienter</w:t>
            </w:r>
          </w:p>
        </w:tc>
        <w:tc>
          <w:tcPr>
            <w:tcW w:w="799" w:type="pct"/>
            <w:tcBorders>
              <w:top w:val="single" w:sz="6" w:space="0" w:color="000000"/>
              <w:left w:val="single" w:sz="6" w:space="0" w:color="000000"/>
              <w:bottom w:val="single" w:sz="6" w:space="0" w:color="000000"/>
              <w:right w:val="single" w:sz="6" w:space="0" w:color="000000"/>
            </w:tcBorders>
            <w:hideMark/>
          </w:tcPr>
          <w:p w14:paraId="3E0209D2" w14:textId="77777777" w:rsidR="00F859C7" w:rsidRPr="00F36DFC" w:rsidRDefault="00F859C7">
            <w:pPr>
              <w:widowControl/>
              <w:ind w:left="57"/>
              <w:rPr>
                <w:rFonts w:ascii="Times New Roman" w:hAnsi="Times New Roman" w:cs="Times New Roman"/>
                <w:b/>
                <w:sz w:val="22"/>
              </w:rPr>
            </w:pPr>
            <w:r w:rsidRPr="00F36DFC">
              <w:rPr>
                <w:rFonts w:ascii="Times New Roman" w:hAnsi="Times New Roman" w:cs="Times New Roman"/>
                <w:b/>
                <w:bCs/>
                <w:sz w:val="22"/>
                <w:lang w:val="da-DK"/>
              </w:rPr>
              <w:t>Uge 1 + 2</w:t>
            </w:r>
          </w:p>
        </w:tc>
        <w:tc>
          <w:tcPr>
            <w:tcW w:w="879" w:type="pct"/>
            <w:tcBorders>
              <w:top w:val="single" w:sz="6" w:space="0" w:color="000000"/>
              <w:left w:val="single" w:sz="6" w:space="0" w:color="000000"/>
              <w:bottom w:val="single" w:sz="6" w:space="0" w:color="000000"/>
              <w:right w:val="single" w:sz="6" w:space="0" w:color="000000"/>
            </w:tcBorders>
            <w:hideMark/>
          </w:tcPr>
          <w:p w14:paraId="6F3F9ACC" w14:textId="77777777" w:rsidR="00F859C7" w:rsidRPr="00F36DFC" w:rsidRDefault="00F859C7">
            <w:pPr>
              <w:widowControl/>
              <w:ind w:left="57"/>
              <w:rPr>
                <w:rFonts w:ascii="Times New Roman" w:hAnsi="Times New Roman" w:cs="Times New Roman"/>
                <w:b/>
                <w:sz w:val="22"/>
              </w:rPr>
            </w:pPr>
            <w:r w:rsidRPr="00F36DFC">
              <w:rPr>
                <w:rFonts w:ascii="Times New Roman" w:hAnsi="Times New Roman" w:cs="Times New Roman"/>
                <w:b/>
                <w:bCs/>
                <w:sz w:val="22"/>
                <w:lang w:val="da-DK"/>
              </w:rPr>
              <w:t>Uge 3 + 4</w:t>
            </w:r>
          </w:p>
        </w:tc>
        <w:tc>
          <w:tcPr>
            <w:tcW w:w="895" w:type="pct"/>
            <w:tcBorders>
              <w:top w:val="single" w:sz="6" w:space="0" w:color="000000"/>
              <w:left w:val="single" w:sz="6" w:space="0" w:color="000000"/>
              <w:bottom w:val="single" w:sz="6" w:space="0" w:color="000000"/>
              <w:right w:val="single" w:sz="6" w:space="0" w:color="000000"/>
            </w:tcBorders>
            <w:hideMark/>
          </w:tcPr>
          <w:p w14:paraId="76227852" w14:textId="77777777" w:rsidR="00F859C7" w:rsidRPr="00F36DFC" w:rsidRDefault="00F859C7">
            <w:pPr>
              <w:widowControl/>
              <w:ind w:left="57"/>
              <w:rPr>
                <w:rFonts w:ascii="Times New Roman" w:hAnsi="Times New Roman" w:cs="Times New Roman"/>
                <w:b/>
                <w:sz w:val="22"/>
              </w:rPr>
            </w:pPr>
            <w:r w:rsidRPr="00F36DFC">
              <w:rPr>
                <w:rFonts w:ascii="Times New Roman" w:hAnsi="Times New Roman" w:cs="Times New Roman"/>
                <w:b/>
                <w:bCs/>
                <w:sz w:val="22"/>
                <w:lang w:val="da-DK"/>
              </w:rPr>
              <w:t>Uge 5 + 6</w:t>
            </w:r>
          </w:p>
        </w:tc>
        <w:tc>
          <w:tcPr>
            <w:tcW w:w="1260" w:type="pct"/>
            <w:vMerge w:val="restart"/>
            <w:tcBorders>
              <w:top w:val="single" w:sz="6" w:space="0" w:color="000000"/>
              <w:left w:val="single" w:sz="6" w:space="0" w:color="000000"/>
              <w:bottom w:val="single" w:sz="6" w:space="0" w:color="000000"/>
              <w:right w:val="single" w:sz="6" w:space="0" w:color="000000"/>
            </w:tcBorders>
          </w:tcPr>
          <w:p w14:paraId="236ED781" w14:textId="77777777" w:rsidR="00F859C7" w:rsidRPr="00F36DFC" w:rsidRDefault="00F859C7">
            <w:pPr>
              <w:ind w:left="57"/>
              <w:rPr>
                <w:rFonts w:ascii="Times New Roman" w:hAnsi="Times New Roman" w:cs="Times New Roman"/>
                <w:sz w:val="22"/>
                <w:lang w:val="da-DK"/>
              </w:rPr>
            </w:pPr>
          </w:p>
          <w:p w14:paraId="6E4E3120" w14:textId="77777777" w:rsidR="00F859C7" w:rsidRPr="00F36DFC" w:rsidRDefault="00F859C7">
            <w:pPr>
              <w:widowControl/>
              <w:ind w:left="73"/>
              <w:rPr>
                <w:rFonts w:ascii="Times New Roman" w:hAnsi="Times New Roman" w:cs="Times New Roman"/>
                <w:sz w:val="22"/>
                <w:lang w:val="da-DK"/>
              </w:rPr>
            </w:pPr>
            <w:r w:rsidRPr="00F36DFC">
              <w:rPr>
                <w:rFonts w:ascii="Times New Roman" w:hAnsi="Times New Roman" w:cs="Times New Roman"/>
                <w:sz w:val="22"/>
                <w:lang w:val="da-DK"/>
              </w:rPr>
              <w:t>300 mg (15 ml) én gang dagligt</w:t>
            </w:r>
          </w:p>
          <w:p w14:paraId="48BF7A7B" w14:textId="77777777" w:rsidR="00F859C7" w:rsidRPr="00F36DFC" w:rsidRDefault="00F859C7">
            <w:pPr>
              <w:widowControl/>
              <w:ind w:left="57"/>
              <w:rPr>
                <w:rFonts w:ascii="Times New Roman" w:hAnsi="Times New Roman" w:cs="Times New Roman"/>
                <w:sz w:val="22"/>
                <w:lang w:val="da-DK"/>
              </w:rPr>
            </w:pPr>
            <w:r w:rsidRPr="00F36DFC">
              <w:rPr>
                <w:rFonts w:ascii="Times New Roman" w:hAnsi="Times New Roman" w:cs="Times New Roman"/>
                <w:sz w:val="22"/>
                <w:lang w:val="da-DK"/>
              </w:rPr>
              <w:t>Hvis der er behov for en højere dosis: Dosis øges med 100 mg (5 ml) med 2 ugers intervaller op til maksimalt 500 mg (25 ml).</w:t>
            </w:r>
          </w:p>
        </w:tc>
      </w:tr>
      <w:tr w:rsidR="00F859C7" w:rsidRPr="00F36DFC" w14:paraId="6FFC93EA" w14:textId="77777777" w:rsidTr="00F36DFC">
        <w:trPr>
          <w:trHeight w:val="20"/>
        </w:trPr>
        <w:tc>
          <w:tcPr>
            <w:tcW w:w="1167" w:type="pct"/>
            <w:vMerge/>
            <w:tcBorders>
              <w:top w:val="single" w:sz="6" w:space="0" w:color="000000"/>
              <w:left w:val="single" w:sz="6" w:space="0" w:color="000000"/>
              <w:bottom w:val="single" w:sz="6" w:space="0" w:color="000000"/>
              <w:right w:val="single" w:sz="6" w:space="0" w:color="000000"/>
            </w:tcBorders>
            <w:vAlign w:val="center"/>
            <w:hideMark/>
          </w:tcPr>
          <w:p w14:paraId="1CE4495A" w14:textId="77777777" w:rsidR="00F859C7" w:rsidRPr="00F36DFC" w:rsidRDefault="00F859C7">
            <w:pPr>
              <w:rPr>
                <w:rFonts w:ascii="Times New Roman" w:eastAsia="Times New Roman" w:hAnsi="Times New Roman" w:cs="Times New Roman"/>
                <w:sz w:val="22"/>
                <w:lang w:val="da-DK" w:eastAsia="de-DE"/>
              </w:rPr>
            </w:pPr>
          </w:p>
        </w:tc>
        <w:tc>
          <w:tcPr>
            <w:tcW w:w="799" w:type="pct"/>
            <w:tcBorders>
              <w:top w:val="single" w:sz="6" w:space="0" w:color="000000"/>
              <w:left w:val="single" w:sz="6" w:space="0" w:color="000000"/>
              <w:bottom w:val="single" w:sz="6" w:space="0" w:color="000000"/>
              <w:right w:val="single" w:sz="6" w:space="0" w:color="000000"/>
            </w:tcBorders>
            <w:hideMark/>
          </w:tcPr>
          <w:p w14:paraId="7CDEC98C" w14:textId="77777777" w:rsidR="00F859C7" w:rsidRPr="00F36DFC" w:rsidRDefault="00F859C7">
            <w:pPr>
              <w:widowControl/>
              <w:ind w:left="57"/>
              <w:rPr>
                <w:rFonts w:ascii="Times New Roman" w:hAnsi="Times New Roman" w:cs="Times New Roman"/>
                <w:sz w:val="22"/>
                <w:lang w:val="da-DK"/>
              </w:rPr>
            </w:pPr>
            <w:r w:rsidRPr="00F36DFC">
              <w:rPr>
                <w:rFonts w:ascii="Times New Roman" w:hAnsi="Times New Roman" w:cs="Times New Roman"/>
                <w:sz w:val="22"/>
                <w:lang w:val="da-DK"/>
              </w:rPr>
              <w:t>100 mg (5 ml) én gang dagligt</w:t>
            </w:r>
          </w:p>
        </w:tc>
        <w:tc>
          <w:tcPr>
            <w:tcW w:w="879" w:type="pct"/>
            <w:tcBorders>
              <w:top w:val="single" w:sz="6" w:space="0" w:color="000000"/>
              <w:left w:val="single" w:sz="6" w:space="0" w:color="000000"/>
              <w:bottom w:val="single" w:sz="6" w:space="0" w:color="000000"/>
              <w:right w:val="single" w:sz="6" w:space="0" w:color="000000"/>
            </w:tcBorders>
            <w:hideMark/>
          </w:tcPr>
          <w:p w14:paraId="09E7077C" w14:textId="77777777" w:rsidR="00F859C7" w:rsidRPr="00F36DFC" w:rsidRDefault="00F859C7">
            <w:pPr>
              <w:widowControl/>
              <w:ind w:left="57"/>
              <w:rPr>
                <w:rFonts w:ascii="Times New Roman" w:hAnsi="Times New Roman" w:cs="Times New Roman"/>
                <w:sz w:val="22"/>
                <w:lang w:val="da-DK"/>
              </w:rPr>
            </w:pPr>
            <w:r w:rsidRPr="00F36DFC">
              <w:rPr>
                <w:rFonts w:ascii="Times New Roman" w:hAnsi="Times New Roman" w:cs="Times New Roman"/>
                <w:sz w:val="22"/>
                <w:lang w:val="da-DK"/>
              </w:rPr>
              <w:t>200 mg (10 ml) én gang dagligt</w:t>
            </w:r>
          </w:p>
        </w:tc>
        <w:tc>
          <w:tcPr>
            <w:tcW w:w="895" w:type="pct"/>
            <w:tcBorders>
              <w:top w:val="single" w:sz="6" w:space="0" w:color="000000"/>
              <w:left w:val="single" w:sz="6" w:space="0" w:color="000000"/>
              <w:bottom w:val="single" w:sz="6" w:space="0" w:color="000000"/>
              <w:right w:val="single" w:sz="6" w:space="0" w:color="000000"/>
            </w:tcBorders>
            <w:hideMark/>
          </w:tcPr>
          <w:p w14:paraId="7F16CAD4" w14:textId="77777777" w:rsidR="00F859C7" w:rsidRPr="00F36DFC" w:rsidRDefault="00F859C7">
            <w:pPr>
              <w:widowControl/>
              <w:ind w:left="57"/>
              <w:rPr>
                <w:rFonts w:ascii="Times New Roman" w:hAnsi="Times New Roman" w:cs="Times New Roman"/>
                <w:sz w:val="22"/>
                <w:lang w:val="da-DK"/>
              </w:rPr>
            </w:pPr>
            <w:r w:rsidRPr="00F36DFC">
              <w:rPr>
                <w:rFonts w:ascii="Times New Roman" w:hAnsi="Times New Roman" w:cs="Times New Roman"/>
                <w:sz w:val="22"/>
                <w:lang w:val="da-DK"/>
              </w:rPr>
              <w:t>300 mg (15 ml) én gang dagligt</w:t>
            </w:r>
          </w:p>
        </w:tc>
        <w:tc>
          <w:tcPr>
            <w:tcW w:w="1260" w:type="pct"/>
            <w:vMerge/>
            <w:tcBorders>
              <w:top w:val="single" w:sz="6" w:space="0" w:color="000000"/>
              <w:left w:val="single" w:sz="6" w:space="0" w:color="000000"/>
              <w:bottom w:val="single" w:sz="6" w:space="0" w:color="000000"/>
              <w:right w:val="single" w:sz="6" w:space="0" w:color="000000"/>
            </w:tcBorders>
            <w:vAlign w:val="center"/>
            <w:hideMark/>
          </w:tcPr>
          <w:p w14:paraId="28701C5B" w14:textId="77777777" w:rsidR="00F859C7" w:rsidRPr="00F36DFC" w:rsidRDefault="00F859C7">
            <w:pPr>
              <w:rPr>
                <w:rFonts w:ascii="Times New Roman" w:eastAsia="Times New Roman" w:hAnsi="Times New Roman" w:cs="Times New Roman"/>
                <w:sz w:val="22"/>
                <w:lang w:val="da-DK" w:eastAsia="de-DE"/>
              </w:rPr>
            </w:pPr>
          </w:p>
        </w:tc>
      </w:tr>
      <w:tr w:rsidR="00F859C7" w:rsidRPr="00F36DFC" w14:paraId="22B7550D" w14:textId="77777777" w:rsidTr="00F36DFC">
        <w:trPr>
          <w:trHeight w:val="20"/>
        </w:trPr>
        <w:tc>
          <w:tcPr>
            <w:tcW w:w="1167" w:type="pct"/>
            <w:vMerge w:val="restart"/>
            <w:tcBorders>
              <w:top w:val="single" w:sz="6" w:space="0" w:color="000000"/>
              <w:left w:val="single" w:sz="6" w:space="0" w:color="000000"/>
              <w:bottom w:val="single" w:sz="6" w:space="0" w:color="000000"/>
              <w:right w:val="single" w:sz="6" w:space="0" w:color="000000"/>
            </w:tcBorders>
            <w:hideMark/>
          </w:tcPr>
          <w:p w14:paraId="47C37570" w14:textId="77777777" w:rsidR="00F859C7" w:rsidRPr="00F36DFC" w:rsidRDefault="00F859C7">
            <w:pPr>
              <w:widowControl/>
              <w:ind w:left="57"/>
              <w:rPr>
                <w:rFonts w:ascii="Times New Roman" w:hAnsi="Times New Roman" w:cs="Times New Roman"/>
                <w:b/>
                <w:sz w:val="22"/>
                <w:lang w:val="da-DK"/>
              </w:rPr>
            </w:pPr>
            <w:r w:rsidRPr="00F36DFC">
              <w:rPr>
                <w:rFonts w:ascii="Times New Roman" w:hAnsi="Times New Roman" w:cs="Times New Roman"/>
                <w:b/>
                <w:bCs/>
                <w:sz w:val="22"/>
                <w:lang w:val="da-DK"/>
              </w:rPr>
              <w:t>Supplerende behandling</w:t>
            </w:r>
          </w:p>
          <w:p w14:paraId="307D263A" w14:textId="77777777" w:rsidR="00F859C7" w:rsidRPr="00F36DFC" w:rsidRDefault="00F859C7">
            <w:pPr>
              <w:widowControl/>
              <w:ind w:left="57"/>
              <w:rPr>
                <w:rFonts w:ascii="Times New Roman" w:hAnsi="Times New Roman" w:cs="Times New Roman"/>
                <w:sz w:val="22"/>
                <w:lang w:val="da-DK"/>
              </w:rPr>
            </w:pPr>
            <w:r w:rsidRPr="00F36DFC">
              <w:rPr>
                <w:rFonts w:ascii="Times New Roman" w:hAnsi="Times New Roman" w:cs="Times New Roman"/>
                <w:sz w:val="22"/>
                <w:lang w:val="da-DK"/>
              </w:rPr>
              <w:t>– med CYP3A4-induktorer</w:t>
            </w:r>
          </w:p>
          <w:p w14:paraId="4C303F0F" w14:textId="77777777" w:rsidR="00F859C7" w:rsidRPr="00F36DFC" w:rsidRDefault="00F859C7">
            <w:pPr>
              <w:widowControl/>
              <w:ind w:left="57"/>
              <w:rPr>
                <w:rFonts w:ascii="Times New Roman" w:hAnsi="Times New Roman" w:cs="Times New Roman"/>
                <w:sz w:val="22"/>
                <w:lang w:val="da-DK"/>
              </w:rPr>
            </w:pPr>
            <w:r w:rsidRPr="00F36DFC">
              <w:rPr>
                <w:rFonts w:ascii="Times New Roman" w:hAnsi="Times New Roman" w:cs="Times New Roman"/>
                <w:sz w:val="22"/>
                <w:lang w:val="da-DK"/>
              </w:rPr>
              <w:t>(se punkt 4.5)</w:t>
            </w:r>
          </w:p>
        </w:tc>
        <w:tc>
          <w:tcPr>
            <w:tcW w:w="799" w:type="pct"/>
            <w:tcBorders>
              <w:top w:val="single" w:sz="6" w:space="0" w:color="000000"/>
              <w:left w:val="single" w:sz="6" w:space="0" w:color="000000"/>
              <w:bottom w:val="single" w:sz="6" w:space="0" w:color="000000"/>
              <w:right w:val="single" w:sz="6" w:space="0" w:color="000000"/>
            </w:tcBorders>
            <w:hideMark/>
          </w:tcPr>
          <w:p w14:paraId="71F000EE" w14:textId="77777777" w:rsidR="00F859C7" w:rsidRPr="00F36DFC" w:rsidRDefault="00F859C7">
            <w:pPr>
              <w:widowControl/>
              <w:ind w:left="57"/>
              <w:rPr>
                <w:rFonts w:ascii="Times New Roman" w:hAnsi="Times New Roman" w:cs="Times New Roman"/>
                <w:b/>
                <w:sz w:val="22"/>
                <w:lang w:val="en-GB"/>
              </w:rPr>
            </w:pPr>
            <w:r w:rsidRPr="00F36DFC">
              <w:rPr>
                <w:rFonts w:ascii="Times New Roman" w:hAnsi="Times New Roman" w:cs="Times New Roman"/>
                <w:b/>
                <w:bCs/>
                <w:sz w:val="22"/>
                <w:lang w:val="da-DK"/>
              </w:rPr>
              <w:t>Uge 1</w:t>
            </w:r>
          </w:p>
        </w:tc>
        <w:tc>
          <w:tcPr>
            <w:tcW w:w="879" w:type="pct"/>
            <w:tcBorders>
              <w:top w:val="single" w:sz="6" w:space="0" w:color="000000"/>
              <w:left w:val="single" w:sz="6" w:space="0" w:color="000000"/>
              <w:bottom w:val="single" w:sz="6" w:space="0" w:color="000000"/>
              <w:right w:val="single" w:sz="6" w:space="0" w:color="000000"/>
            </w:tcBorders>
            <w:hideMark/>
          </w:tcPr>
          <w:p w14:paraId="1F60AC8A" w14:textId="77777777" w:rsidR="00F859C7" w:rsidRPr="00F36DFC" w:rsidRDefault="00F859C7">
            <w:pPr>
              <w:widowControl/>
              <w:ind w:left="57"/>
              <w:rPr>
                <w:rFonts w:ascii="Times New Roman" w:hAnsi="Times New Roman" w:cs="Times New Roman"/>
                <w:b/>
                <w:sz w:val="22"/>
              </w:rPr>
            </w:pPr>
            <w:r w:rsidRPr="00F36DFC">
              <w:rPr>
                <w:rFonts w:ascii="Times New Roman" w:hAnsi="Times New Roman" w:cs="Times New Roman"/>
                <w:b/>
                <w:bCs/>
                <w:sz w:val="22"/>
                <w:lang w:val="da-DK"/>
              </w:rPr>
              <w:t>Uge 2</w:t>
            </w:r>
          </w:p>
        </w:tc>
        <w:tc>
          <w:tcPr>
            <w:tcW w:w="895" w:type="pct"/>
            <w:tcBorders>
              <w:top w:val="single" w:sz="6" w:space="0" w:color="000000"/>
              <w:left w:val="single" w:sz="6" w:space="0" w:color="000000"/>
              <w:bottom w:val="single" w:sz="6" w:space="0" w:color="000000"/>
              <w:right w:val="single" w:sz="6" w:space="0" w:color="000000"/>
            </w:tcBorders>
            <w:hideMark/>
          </w:tcPr>
          <w:p w14:paraId="5AC7EA32" w14:textId="77777777" w:rsidR="00F859C7" w:rsidRPr="00F36DFC" w:rsidRDefault="00F859C7">
            <w:pPr>
              <w:widowControl/>
              <w:ind w:left="57"/>
              <w:rPr>
                <w:rFonts w:ascii="Times New Roman" w:hAnsi="Times New Roman" w:cs="Times New Roman"/>
                <w:b/>
                <w:sz w:val="22"/>
              </w:rPr>
            </w:pPr>
            <w:r w:rsidRPr="00F36DFC">
              <w:rPr>
                <w:rFonts w:ascii="Times New Roman" w:hAnsi="Times New Roman" w:cs="Times New Roman"/>
                <w:b/>
                <w:bCs/>
                <w:sz w:val="22"/>
                <w:lang w:val="da-DK"/>
              </w:rPr>
              <w:t>Uge 3 til 5</w:t>
            </w:r>
          </w:p>
        </w:tc>
        <w:tc>
          <w:tcPr>
            <w:tcW w:w="1260" w:type="pct"/>
            <w:vMerge w:val="restart"/>
            <w:tcBorders>
              <w:top w:val="single" w:sz="6" w:space="0" w:color="000000"/>
              <w:left w:val="single" w:sz="6" w:space="0" w:color="000000"/>
              <w:bottom w:val="single" w:sz="6" w:space="0" w:color="000000"/>
              <w:right w:val="single" w:sz="6" w:space="0" w:color="000000"/>
            </w:tcBorders>
          </w:tcPr>
          <w:p w14:paraId="4270659E" w14:textId="77777777" w:rsidR="00F859C7" w:rsidRPr="00F36DFC" w:rsidRDefault="00F859C7">
            <w:pPr>
              <w:ind w:left="57"/>
              <w:rPr>
                <w:rFonts w:ascii="Times New Roman" w:hAnsi="Times New Roman" w:cs="Times New Roman"/>
                <w:sz w:val="22"/>
                <w:lang w:val="da-DK"/>
              </w:rPr>
            </w:pPr>
          </w:p>
          <w:p w14:paraId="6CF735FD" w14:textId="77777777" w:rsidR="00F859C7" w:rsidRPr="00F36DFC" w:rsidRDefault="00F859C7">
            <w:pPr>
              <w:widowControl/>
              <w:ind w:left="57"/>
              <w:rPr>
                <w:rFonts w:ascii="Times New Roman" w:hAnsi="Times New Roman" w:cs="Times New Roman"/>
                <w:sz w:val="22"/>
                <w:lang w:val="da-DK"/>
              </w:rPr>
            </w:pPr>
            <w:r w:rsidRPr="00F36DFC">
              <w:rPr>
                <w:rFonts w:ascii="Times New Roman" w:hAnsi="Times New Roman" w:cs="Times New Roman"/>
                <w:sz w:val="22"/>
                <w:lang w:val="da-DK"/>
              </w:rPr>
              <w:t>300 til 500 mg dagligt (én gang dagligt eller</w:t>
            </w:r>
          </w:p>
          <w:p w14:paraId="62DF11B6" w14:textId="77777777" w:rsidR="00F859C7" w:rsidRPr="00F36DFC" w:rsidRDefault="00F859C7">
            <w:pPr>
              <w:widowControl/>
              <w:ind w:left="57"/>
              <w:rPr>
                <w:rFonts w:ascii="Times New Roman" w:hAnsi="Times New Roman" w:cs="Times New Roman"/>
                <w:sz w:val="22"/>
                <w:lang w:val="da-DK"/>
              </w:rPr>
            </w:pPr>
            <w:r w:rsidRPr="00F36DFC">
              <w:rPr>
                <w:rFonts w:ascii="Times New Roman" w:hAnsi="Times New Roman" w:cs="Times New Roman"/>
                <w:sz w:val="22"/>
                <w:lang w:val="da-DK"/>
              </w:rPr>
              <w:t>fordelt på 2 doser) = 15 – 25 ml/dag eller 2 x 7,5 – 2 x 12,5 ml/dag</w:t>
            </w:r>
          </w:p>
        </w:tc>
      </w:tr>
      <w:tr w:rsidR="00F859C7" w:rsidRPr="00F36DFC" w14:paraId="266663CE" w14:textId="77777777" w:rsidTr="00F36DFC">
        <w:trPr>
          <w:trHeight w:val="20"/>
        </w:trPr>
        <w:tc>
          <w:tcPr>
            <w:tcW w:w="1167" w:type="pct"/>
            <w:vMerge/>
            <w:tcBorders>
              <w:top w:val="single" w:sz="6" w:space="0" w:color="000000"/>
              <w:left w:val="single" w:sz="6" w:space="0" w:color="000000"/>
              <w:bottom w:val="single" w:sz="6" w:space="0" w:color="000000"/>
              <w:right w:val="single" w:sz="6" w:space="0" w:color="000000"/>
            </w:tcBorders>
            <w:vAlign w:val="center"/>
            <w:hideMark/>
          </w:tcPr>
          <w:p w14:paraId="6E4696B5" w14:textId="77777777" w:rsidR="00F859C7" w:rsidRPr="00F36DFC" w:rsidRDefault="00F859C7">
            <w:pPr>
              <w:rPr>
                <w:rFonts w:ascii="Times New Roman" w:eastAsia="Times New Roman" w:hAnsi="Times New Roman" w:cs="Times New Roman"/>
                <w:sz w:val="22"/>
                <w:lang w:val="da-DK" w:eastAsia="de-DE"/>
              </w:rPr>
            </w:pPr>
          </w:p>
        </w:tc>
        <w:tc>
          <w:tcPr>
            <w:tcW w:w="799" w:type="pct"/>
            <w:tcBorders>
              <w:top w:val="single" w:sz="6" w:space="0" w:color="000000"/>
              <w:left w:val="single" w:sz="6" w:space="0" w:color="000000"/>
              <w:bottom w:val="single" w:sz="6" w:space="0" w:color="000000"/>
              <w:right w:val="single" w:sz="6" w:space="0" w:color="000000"/>
            </w:tcBorders>
            <w:hideMark/>
          </w:tcPr>
          <w:p w14:paraId="2510866E" w14:textId="77777777" w:rsidR="00F859C7" w:rsidRPr="00F36DFC" w:rsidRDefault="00F859C7">
            <w:pPr>
              <w:widowControl/>
              <w:ind w:left="57"/>
              <w:rPr>
                <w:rFonts w:ascii="Times New Roman" w:hAnsi="Times New Roman" w:cs="Times New Roman"/>
                <w:sz w:val="22"/>
                <w:lang w:val="da-DK"/>
              </w:rPr>
            </w:pPr>
            <w:r w:rsidRPr="00F36DFC">
              <w:rPr>
                <w:rFonts w:ascii="Times New Roman" w:hAnsi="Times New Roman" w:cs="Times New Roman"/>
                <w:sz w:val="22"/>
                <w:lang w:val="da-DK"/>
              </w:rPr>
              <w:t>50 mg/dag</w:t>
            </w:r>
          </w:p>
          <w:p w14:paraId="0601FA5D" w14:textId="77777777" w:rsidR="00F859C7" w:rsidRPr="00F36DFC" w:rsidRDefault="00F859C7">
            <w:pPr>
              <w:widowControl/>
              <w:ind w:left="57"/>
              <w:rPr>
                <w:rFonts w:ascii="Times New Roman" w:hAnsi="Times New Roman" w:cs="Times New Roman"/>
                <w:sz w:val="22"/>
                <w:lang w:val="da-DK"/>
              </w:rPr>
            </w:pPr>
            <w:r w:rsidRPr="00F36DFC">
              <w:rPr>
                <w:rFonts w:ascii="Times New Roman" w:hAnsi="Times New Roman" w:cs="Times New Roman"/>
                <w:sz w:val="22"/>
                <w:lang w:val="da-DK"/>
              </w:rPr>
              <w:t>(fordelt på 2 doser) = 2 x 1,25 ml/dag</w:t>
            </w:r>
          </w:p>
        </w:tc>
        <w:tc>
          <w:tcPr>
            <w:tcW w:w="879" w:type="pct"/>
            <w:tcBorders>
              <w:top w:val="single" w:sz="6" w:space="0" w:color="000000"/>
              <w:left w:val="single" w:sz="6" w:space="0" w:color="000000"/>
              <w:bottom w:val="single" w:sz="6" w:space="0" w:color="000000"/>
              <w:right w:val="single" w:sz="6" w:space="0" w:color="000000"/>
            </w:tcBorders>
            <w:hideMark/>
          </w:tcPr>
          <w:p w14:paraId="14EE7171" w14:textId="77777777" w:rsidR="00F859C7" w:rsidRPr="00F36DFC" w:rsidRDefault="00F859C7">
            <w:pPr>
              <w:widowControl/>
              <w:ind w:left="57"/>
              <w:rPr>
                <w:rFonts w:ascii="Times New Roman" w:hAnsi="Times New Roman" w:cs="Times New Roman"/>
                <w:sz w:val="22"/>
                <w:lang w:val="da-DK"/>
              </w:rPr>
            </w:pPr>
            <w:r w:rsidRPr="00F36DFC">
              <w:rPr>
                <w:rFonts w:ascii="Times New Roman" w:hAnsi="Times New Roman" w:cs="Times New Roman"/>
                <w:sz w:val="22"/>
                <w:lang w:val="da-DK"/>
              </w:rPr>
              <w:t>100 mg/dag</w:t>
            </w:r>
          </w:p>
          <w:p w14:paraId="1A82C39C" w14:textId="77777777" w:rsidR="00F859C7" w:rsidRPr="00F36DFC" w:rsidRDefault="00F859C7">
            <w:pPr>
              <w:widowControl/>
              <w:ind w:left="57"/>
              <w:rPr>
                <w:rFonts w:ascii="Times New Roman" w:hAnsi="Times New Roman" w:cs="Times New Roman"/>
                <w:sz w:val="22"/>
                <w:lang w:val="da-DK"/>
              </w:rPr>
            </w:pPr>
            <w:r w:rsidRPr="00F36DFC">
              <w:rPr>
                <w:rFonts w:ascii="Times New Roman" w:hAnsi="Times New Roman" w:cs="Times New Roman"/>
                <w:sz w:val="22"/>
                <w:lang w:val="da-DK"/>
              </w:rPr>
              <w:t>(fordelt på 2 doser) = 2 x 2,5 ml/dag</w:t>
            </w:r>
          </w:p>
        </w:tc>
        <w:tc>
          <w:tcPr>
            <w:tcW w:w="895" w:type="pct"/>
            <w:tcBorders>
              <w:top w:val="single" w:sz="6" w:space="0" w:color="000000"/>
              <w:left w:val="single" w:sz="6" w:space="0" w:color="000000"/>
              <w:bottom w:val="single" w:sz="6" w:space="0" w:color="000000"/>
              <w:right w:val="single" w:sz="6" w:space="0" w:color="000000"/>
            </w:tcBorders>
            <w:hideMark/>
          </w:tcPr>
          <w:p w14:paraId="2596FD0F" w14:textId="77777777" w:rsidR="00F859C7" w:rsidRPr="00F36DFC" w:rsidRDefault="00F859C7">
            <w:pPr>
              <w:widowControl/>
              <w:ind w:left="57"/>
              <w:rPr>
                <w:rFonts w:ascii="Times New Roman" w:hAnsi="Times New Roman" w:cs="Times New Roman"/>
                <w:sz w:val="22"/>
                <w:lang w:val="da-DK"/>
              </w:rPr>
            </w:pPr>
            <w:r w:rsidRPr="00F36DFC">
              <w:rPr>
                <w:rFonts w:ascii="Times New Roman" w:hAnsi="Times New Roman" w:cs="Times New Roman"/>
                <w:sz w:val="22"/>
                <w:lang w:val="da-DK"/>
              </w:rPr>
              <w:t>Dosis øges med ugentlige intervaller</w:t>
            </w:r>
          </w:p>
          <w:p w14:paraId="2C76E392" w14:textId="77777777" w:rsidR="00F859C7" w:rsidRPr="00F36DFC" w:rsidRDefault="00F859C7">
            <w:pPr>
              <w:widowControl/>
              <w:ind w:left="57"/>
              <w:rPr>
                <w:rFonts w:ascii="Times New Roman" w:hAnsi="Times New Roman" w:cs="Times New Roman"/>
                <w:sz w:val="22"/>
                <w:lang w:val="da-DK"/>
              </w:rPr>
            </w:pPr>
            <w:r w:rsidRPr="00F36DFC">
              <w:rPr>
                <w:rFonts w:ascii="Times New Roman" w:hAnsi="Times New Roman" w:cs="Times New Roman"/>
                <w:sz w:val="22"/>
                <w:lang w:val="da-DK"/>
              </w:rPr>
              <w:t>i trin på 100 mg (5 ml)</w:t>
            </w:r>
          </w:p>
        </w:tc>
        <w:tc>
          <w:tcPr>
            <w:tcW w:w="1260" w:type="pct"/>
            <w:vMerge/>
            <w:tcBorders>
              <w:top w:val="single" w:sz="6" w:space="0" w:color="000000"/>
              <w:left w:val="single" w:sz="6" w:space="0" w:color="000000"/>
              <w:bottom w:val="single" w:sz="6" w:space="0" w:color="000000"/>
              <w:right w:val="single" w:sz="6" w:space="0" w:color="000000"/>
            </w:tcBorders>
            <w:vAlign w:val="center"/>
            <w:hideMark/>
          </w:tcPr>
          <w:p w14:paraId="68051793" w14:textId="77777777" w:rsidR="00F859C7" w:rsidRPr="00F36DFC" w:rsidRDefault="00F859C7">
            <w:pPr>
              <w:rPr>
                <w:rFonts w:ascii="Times New Roman" w:eastAsia="Times New Roman" w:hAnsi="Times New Roman" w:cs="Times New Roman"/>
                <w:sz w:val="22"/>
                <w:lang w:val="da-DK" w:eastAsia="de-DE"/>
              </w:rPr>
            </w:pPr>
          </w:p>
        </w:tc>
      </w:tr>
      <w:tr w:rsidR="00F859C7" w:rsidRPr="00F36DFC" w14:paraId="2C078627" w14:textId="77777777" w:rsidTr="00F36DFC">
        <w:trPr>
          <w:trHeight w:val="20"/>
        </w:trPr>
        <w:tc>
          <w:tcPr>
            <w:tcW w:w="1167" w:type="pct"/>
            <w:vMerge w:val="restart"/>
            <w:tcBorders>
              <w:top w:val="single" w:sz="6" w:space="0" w:color="000000"/>
              <w:left w:val="single" w:sz="6" w:space="0" w:color="000000"/>
              <w:bottom w:val="single" w:sz="6" w:space="0" w:color="000000"/>
              <w:right w:val="single" w:sz="6" w:space="0" w:color="000000"/>
            </w:tcBorders>
            <w:hideMark/>
          </w:tcPr>
          <w:p w14:paraId="410FA3E9" w14:textId="77777777" w:rsidR="00F859C7" w:rsidRPr="00F36DFC" w:rsidRDefault="00F859C7">
            <w:pPr>
              <w:widowControl/>
              <w:ind w:left="57"/>
              <w:rPr>
                <w:rFonts w:ascii="Times New Roman" w:hAnsi="Times New Roman" w:cs="Times New Roman"/>
                <w:sz w:val="22"/>
                <w:lang w:val="da-DK"/>
              </w:rPr>
            </w:pPr>
            <w:r w:rsidRPr="00F36DFC">
              <w:rPr>
                <w:rFonts w:ascii="Times New Roman" w:hAnsi="Times New Roman" w:cs="Times New Roman"/>
                <w:sz w:val="22"/>
                <w:lang w:val="da-DK"/>
              </w:rPr>
              <w:t>– uden CYP3A4-induktorer eller ved nedsat nyre- eller leverfunktion</w:t>
            </w:r>
          </w:p>
        </w:tc>
        <w:tc>
          <w:tcPr>
            <w:tcW w:w="799" w:type="pct"/>
            <w:tcBorders>
              <w:top w:val="single" w:sz="6" w:space="0" w:color="000000"/>
              <w:left w:val="single" w:sz="6" w:space="0" w:color="000000"/>
              <w:bottom w:val="single" w:sz="6" w:space="0" w:color="000000"/>
              <w:right w:val="single" w:sz="6" w:space="0" w:color="000000"/>
            </w:tcBorders>
            <w:hideMark/>
          </w:tcPr>
          <w:p w14:paraId="101005D4" w14:textId="77777777" w:rsidR="00F859C7" w:rsidRPr="00F36DFC" w:rsidRDefault="00F859C7">
            <w:pPr>
              <w:widowControl/>
              <w:ind w:left="57"/>
              <w:rPr>
                <w:rFonts w:ascii="Times New Roman" w:hAnsi="Times New Roman" w:cs="Times New Roman"/>
                <w:b/>
                <w:sz w:val="22"/>
                <w:lang w:val="en-GB"/>
              </w:rPr>
            </w:pPr>
            <w:r w:rsidRPr="00F36DFC">
              <w:rPr>
                <w:rFonts w:ascii="Times New Roman" w:hAnsi="Times New Roman" w:cs="Times New Roman"/>
                <w:b/>
                <w:bCs/>
                <w:sz w:val="22"/>
                <w:lang w:val="da-DK"/>
              </w:rPr>
              <w:t>Uge 1 + 2</w:t>
            </w:r>
          </w:p>
        </w:tc>
        <w:tc>
          <w:tcPr>
            <w:tcW w:w="879" w:type="pct"/>
            <w:tcBorders>
              <w:top w:val="single" w:sz="6" w:space="0" w:color="000000"/>
              <w:left w:val="single" w:sz="6" w:space="0" w:color="000000"/>
              <w:bottom w:val="single" w:sz="6" w:space="0" w:color="000000"/>
              <w:right w:val="single" w:sz="6" w:space="0" w:color="000000"/>
            </w:tcBorders>
            <w:hideMark/>
          </w:tcPr>
          <w:p w14:paraId="51BC43DF" w14:textId="77777777" w:rsidR="00F859C7" w:rsidRPr="00F36DFC" w:rsidRDefault="00F859C7">
            <w:pPr>
              <w:widowControl/>
              <w:ind w:left="57"/>
              <w:rPr>
                <w:rFonts w:ascii="Times New Roman" w:hAnsi="Times New Roman" w:cs="Times New Roman"/>
                <w:b/>
                <w:sz w:val="22"/>
              </w:rPr>
            </w:pPr>
            <w:r w:rsidRPr="00F36DFC">
              <w:rPr>
                <w:rFonts w:ascii="Times New Roman" w:hAnsi="Times New Roman" w:cs="Times New Roman"/>
                <w:b/>
                <w:bCs/>
                <w:sz w:val="22"/>
                <w:lang w:val="da-DK"/>
              </w:rPr>
              <w:t>Uge 3 + 4</w:t>
            </w:r>
          </w:p>
        </w:tc>
        <w:tc>
          <w:tcPr>
            <w:tcW w:w="895" w:type="pct"/>
            <w:tcBorders>
              <w:top w:val="single" w:sz="6" w:space="0" w:color="000000"/>
              <w:left w:val="single" w:sz="6" w:space="0" w:color="000000"/>
              <w:bottom w:val="single" w:sz="6" w:space="0" w:color="000000"/>
              <w:right w:val="single" w:sz="6" w:space="0" w:color="000000"/>
            </w:tcBorders>
            <w:hideMark/>
          </w:tcPr>
          <w:p w14:paraId="3E84A225" w14:textId="77777777" w:rsidR="00F859C7" w:rsidRPr="00F36DFC" w:rsidRDefault="00F859C7">
            <w:pPr>
              <w:widowControl/>
              <w:ind w:left="57"/>
              <w:rPr>
                <w:rFonts w:ascii="Times New Roman" w:hAnsi="Times New Roman" w:cs="Times New Roman"/>
                <w:b/>
                <w:sz w:val="22"/>
              </w:rPr>
            </w:pPr>
            <w:r w:rsidRPr="00F36DFC">
              <w:rPr>
                <w:rFonts w:ascii="Times New Roman" w:hAnsi="Times New Roman" w:cs="Times New Roman"/>
                <w:b/>
                <w:bCs/>
                <w:sz w:val="22"/>
                <w:lang w:val="da-DK"/>
              </w:rPr>
              <w:t>Uge 5 til 10</w:t>
            </w:r>
          </w:p>
        </w:tc>
        <w:tc>
          <w:tcPr>
            <w:tcW w:w="1260" w:type="pct"/>
            <w:vMerge w:val="restart"/>
            <w:tcBorders>
              <w:top w:val="single" w:sz="6" w:space="0" w:color="000000"/>
              <w:left w:val="single" w:sz="6" w:space="0" w:color="000000"/>
              <w:bottom w:val="single" w:sz="6" w:space="0" w:color="000000"/>
              <w:right w:val="single" w:sz="6" w:space="0" w:color="000000"/>
            </w:tcBorders>
          </w:tcPr>
          <w:p w14:paraId="014D4102" w14:textId="77777777" w:rsidR="00F859C7" w:rsidRPr="00F36DFC" w:rsidRDefault="00F859C7">
            <w:pPr>
              <w:ind w:left="57"/>
              <w:rPr>
                <w:rFonts w:ascii="Times New Roman" w:hAnsi="Times New Roman" w:cs="Times New Roman"/>
                <w:sz w:val="22"/>
                <w:lang w:val="da-DK"/>
              </w:rPr>
            </w:pPr>
          </w:p>
          <w:p w14:paraId="0BC39BDB" w14:textId="77777777" w:rsidR="00F859C7" w:rsidRPr="00F36DFC" w:rsidRDefault="00F859C7">
            <w:pPr>
              <w:widowControl/>
              <w:ind w:left="57"/>
              <w:rPr>
                <w:rFonts w:ascii="Times New Roman" w:hAnsi="Times New Roman" w:cs="Times New Roman"/>
                <w:sz w:val="22"/>
                <w:lang w:val="da-DK"/>
              </w:rPr>
            </w:pPr>
            <w:r w:rsidRPr="00F36DFC">
              <w:rPr>
                <w:rFonts w:ascii="Times New Roman" w:hAnsi="Times New Roman" w:cs="Times New Roman"/>
                <w:sz w:val="22"/>
                <w:lang w:val="da-DK"/>
              </w:rPr>
              <w:t>300 til 500 mg dagligt (én gang dagligt eller</w:t>
            </w:r>
          </w:p>
          <w:p w14:paraId="6A3EE7E4" w14:textId="77777777" w:rsidR="00F859C7" w:rsidRPr="00F36DFC" w:rsidRDefault="00F859C7">
            <w:pPr>
              <w:widowControl/>
              <w:ind w:left="57"/>
              <w:rPr>
                <w:rFonts w:ascii="Times New Roman" w:hAnsi="Times New Roman" w:cs="Times New Roman"/>
                <w:sz w:val="22"/>
                <w:lang w:val="da-DK"/>
              </w:rPr>
            </w:pPr>
            <w:r w:rsidRPr="00F36DFC">
              <w:rPr>
                <w:rFonts w:ascii="Times New Roman" w:hAnsi="Times New Roman" w:cs="Times New Roman"/>
                <w:sz w:val="22"/>
                <w:lang w:val="da-DK"/>
              </w:rPr>
              <w:t>fordelt på 2 doser) = 15 – 25 ml/dag eller 2 x 7,5 – 2 x 12,5 ml/dag.</w:t>
            </w:r>
          </w:p>
          <w:p w14:paraId="0A52F82D" w14:textId="77777777" w:rsidR="00F859C7" w:rsidRPr="00F36DFC" w:rsidRDefault="00F859C7">
            <w:pPr>
              <w:widowControl/>
              <w:ind w:left="57"/>
              <w:rPr>
                <w:rFonts w:ascii="Times New Roman" w:hAnsi="Times New Roman" w:cs="Times New Roman"/>
                <w:sz w:val="22"/>
                <w:lang w:val="da-DK"/>
              </w:rPr>
            </w:pPr>
            <w:r w:rsidRPr="00F36DFC">
              <w:rPr>
                <w:rFonts w:ascii="Times New Roman" w:hAnsi="Times New Roman" w:cs="Times New Roman"/>
                <w:sz w:val="22"/>
                <w:lang w:val="da-DK"/>
              </w:rPr>
              <w:t>Nogle patienter kan respondere på lavere doser.</w:t>
            </w:r>
          </w:p>
        </w:tc>
      </w:tr>
      <w:tr w:rsidR="00F859C7" w:rsidRPr="00F36DFC" w14:paraId="1D227426" w14:textId="77777777" w:rsidTr="00F36DFC">
        <w:trPr>
          <w:trHeight w:val="20"/>
        </w:trPr>
        <w:tc>
          <w:tcPr>
            <w:tcW w:w="1167" w:type="pct"/>
            <w:vMerge/>
            <w:tcBorders>
              <w:top w:val="single" w:sz="6" w:space="0" w:color="000000"/>
              <w:left w:val="single" w:sz="6" w:space="0" w:color="000000"/>
              <w:bottom w:val="single" w:sz="6" w:space="0" w:color="000000"/>
              <w:right w:val="single" w:sz="6" w:space="0" w:color="000000"/>
            </w:tcBorders>
            <w:vAlign w:val="center"/>
            <w:hideMark/>
          </w:tcPr>
          <w:p w14:paraId="37B25BA9" w14:textId="77777777" w:rsidR="00F859C7" w:rsidRPr="00F36DFC" w:rsidRDefault="00F859C7">
            <w:pPr>
              <w:rPr>
                <w:rFonts w:ascii="Times New Roman" w:eastAsia="Times New Roman" w:hAnsi="Times New Roman" w:cs="Times New Roman"/>
                <w:sz w:val="22"/>
                <w:lang w:val="da-DK" w:eastAsia="de-DE"/>
              </w:rPr>
            </w:pPr>
          </w:p>
        </w:tc>
        <w:tc>
          <w:tcPr>
            <w:tcW w:w="799" w:type="pct"/>
            <w:tcBorders>
              <w:top w:val="single" w:sz="6" w:space="0" w:color="000000"/>
              <w:left w:val="single" w:sz="6" w:space="0" w:color="000000"/>
              <w:bottom w:val="single" w:sz="6" w:space="0" w:color="000000"/>
              <w:right w:val="single" w:sz="6" w:space="0" w:color="000000"/>
            </w:tcBorders>
            <w:hideMark/>
          </w:tcPr>
          <w:p w14:paraId="507345E6" w14:textId="77777777" w:rsidR="00F859C7" w:rsidRPr="00F36DFC" w:rsidRDefault="00F859C7">
            <w:pPr>
              <w:widowControl/>
              <w:ind w:left="57"/>
              <w:rPr>
                <w:rFonts w:ascii="Times New Roman" w:hAnsi="Times New Roman" w:cs="Times New Roman"/>
                <w:sz w:val="22"/>
                <w:lang w:val="da-DK"/>
              </w:rPr>
            </w:pPr>
            <w:r w:rsidRPr="00F36DFC">
              <w:rPr>
                <w:rFonts w:ascii="Times New Roman" w:hAnsi="Times New Roman" w:cs="Times New Roman"/>
                <w:sz w:val="22"/>
                <w:lang w:val="da-DK"/>
              </w:rPr>
              <w:t>50 mg/dag</w:t>
            </w:r>
          </w:p>
          <w:p w14:paraId="714D6AC8" w14:textId="77777777" w:rsidR="00F859C7" w:rsidRPr="00F36DFC" w:rsidRDefault="00F859C7">
            <w:pPr>
              <w:widowControl/>
              <w:ind w:left="57"/>
              <w:rPr>
                <w:rFonts w:ascii="Times New Roman" w:hAnsi="Times New Roman" w:cs="Times New Roman"/>
                <w:sz w:val="22"/>
                <w:lang w:val="da-DK"/>
              </w:rPr>
            </w:pPr>
            <w:r w:rsidRPr="00F36DFC">
              <w:rPr>
                <w:rFonts w:ascii="Times New Roman" w:hAnsi="Times New Roman" w:cs="Times New Roman"/>
                <w:sz w:val="22"/>
                <w:lang w:val="da-DK"/>
              </w:rPr>
              <w:t>(fordelt på 2 doser) = 2 x 1,25 ml/dag</w:t>
            </w:r>
          </w:p>
        </w:tc>
        <w:tc>
          <w:tcPr>
            <w:tcW w:w="879" w:type="pct"/>
            <w:tcBorders>
              <w:top w:val="single" w:sz="6" w:space="0" w:color="000000"/>
              <w:left w:val="single" w:sz="6" w:space="0" w:color="000000"/>
              <w:bottom w:val="single" w:sz="6" w:space="0" w:color="000000"/>
              <w:right w:val="single" w:sz="6" w:space="0" w:color="000000"/>
            </w:tcBorders>
            <w:hideMark/>
          </w:tcPr>
          <w:p w14:paraId="42067FE1" w14:textId="77777777" w:rsidR="00F859C7" w:rsidRPr="00F36DFC" w:rsidRDefault="00F859C7">
            <w:pPr>
              <w:widowControl/>
              <w:ind w:left="57"/>
              <w:rPr>
                <w:rFonts w:ascii="Times New Roman" w:hAnsi="Times New Roman" w:cs="Times New Roman"/>
                <w:sz w:val="22"/>
                <w:lang w:val="da-DK"/>
              </w:rPr>
            </w:pPr>
            <w:r w:rsidRPr="00F36DFC">
              <w:rPr>
                <w:rFonts w:ascii="Times New Roman" w:hAnsi="Times New Roman" w:cs="Times New Roman"/>
                <w:sz w:val="22"/>
                <w:lang w:val="da-DK"/>
              </w:rPr>
              <w:t>100 mg/dag</w:t>
            </w:r>
          </w:p>
          <w:p w14:paraId="0E64B315" w14:textId="77777777" w:rsidR="00F859C7" w:rsidRPr="00F36DFC" w:rsidRDefault="00F859C7">
            <w:pPr>
              <w:widowControl/>
              <w:ind w:left="57"/>
              <w:rPr>
                <w:rFonts w:ascii="Times New Roman" w:hAnsi="Times New Roman" w:cs="Times New Roman"/>
                <w:sz w:val="22"/>
                <w:lang w:val="da-DK"/>
              </w:rPr>
            </w:pPr>
            <w:r w:rsidRPr="00F36DFC">
              <w:rPr>
                <w:rFonts w:ascii="Times New Roman" w:hAnsi="Times New Roman" w:cs="Times New Roman"/>
                <w:sz w:val="22"/>
                <w:lang w:val="da-DK"/>
              </w:rPr>
              <w:t>(fordelt på 2 doser) = 2 x 2,5 ml/dag</w:t>
            </w:r>
          </w:p>
        </w:tc>
        <w:tc>
          <w:tcPr>
            <w:tcW w:w="895" w:type="pct"/>
            <w:tcBorders>
              <w:top w:val="single" w:sz="6" w:space="0" w:color="000000"/>
              <w:left w:val="single" w:sz="6" w:space="0" w:color="000000"/>
              <w:bottom w:val="single" w:sz="6" w:space="0" w:color="000000"/>
              <w:right w:val="single" w:sz="6" w:space="0" w:color="000000"/>
            </w:tcBorders>
            <w:hideMark/>
          </w:tcPr>
          <w:p w14:paraId="4836E606" w14:textId="77777777" w:rsidR="00F859C7" w:rsidRPr="00F36DFC" w:rsidRDefault="00F859C7">
            <w:pPr>
              <w:widowControl/>
              <w:ind w:left="57"/>
              <w:rPr>
                <w:rFonts w:ascii="Times New Roman" w:hAnsi="Times New Roman" w:cs="Times New Roman"/>
                <w:sz w:val="22"/>
                <w:lang w:val="da-DK"/>
              </w:rPr>
            </w:pPr>
            <w:r w:rsidRPr="00F36DFC">
              <w:rPr>
                <w:rFonts w:ascii="Times New Roman" w:hAnsi="Times New Roman" w:cs="Times New Roman"/>
                <w:sz w:val="22"/>
                <w:lang w:val="da-DK"/>
              </w:rPr>
              <w:t>Dosis øges med 2 ugers intervaller</w:t>
            </w:r>
          </w:p>
          <w:p w14:paraId="7D235343" w14:textId="77777777" w:rsidR="00F859C7" w:rsidRPr="00F36DFC" w:rsidRDefault="00F859C7">
            <w:pPr>
              <w:widowControl/>
              <w:ind w:left="57"/>
              <w:rPr>
                <w:rFonts w:ascii="Times New Roman" w:hAnsi="Times New Roman" w:cs="Times New Roman"/>
                <w:sz w:val="22"/>
                <w:lang w:val="da-DK"/>
              </w:rPr>
            </w:pPr>
            <w:r w:rsidRPr="00F36DFC">
              <w:rPr>
                <w:rFonts w:ascii="Times New Roman" w:hAnsi="Times New Roman" w:cs="Times New Roman"/>
                <w:sz w:val="22"/>
                <w:lang w:val="da-DK"/>
              </w:rPr>
              <w:t>i trin på op til 100 mg (5 ml)</w:t>
            </w:r>
          </w:p>
        </w:tc>
        <w:tc>
          <w:tcPr>
            <w:tcW w:w="1260" w:type="pct"/>
            <w:vMerge/>
            <w:tcBorders>
              <w:top w:val="single" w:sz="6" w:space="0" w:color="000000"/>
              <w:left w:val="single" w:sz="6" w:space="0" w:color="000000"/>
              <w:bottom w:val="single" w:sz="6" w:space="0" w:color="000000"/>
              <w:right w:val="single" w:sz="6" w:space="0" w:color="000000"/>
            </w:tcBorders>
            <w:vAlign w:val="center"/>
            <w:hideMark/>
          </w:tcPr>
          <w:p w14:paraId="4F3E1E6F" w14:textId="77777777" w:rsidR="00F859C7" w:rsidRPr="00F36DFC" w:rsidRDefault="00F859C7">
            <w:pPr>
              <w:rPr>
                <w:rFonts w:ascii="Times New Roman" w:eastAsia="Times New Roman" w:hAnsi="Times New Roman" w:cs="Times New Roman"/>
                <w:sz w:val="22"/>
                <w:lang w:val="da-DK" w:eastAsia="de-DE"/>
              </w:rPr>
            </w:pPr>
          </w:p>
        </w:tc>
      </w:tr>
    </w:tbl>
    <w:p w14:paraId="09A5E79D" w14:textId="77777777" w:rsidR="00F859C7" w:rsidRPr="00F36DFC" w:rsidRDefault="00F859C7" w:rsidP="00F859C7">
      <w:pPr>
        <w:rPr>
          <w:sz w:val="24"/>
          <w:szCs w:val="24"/>
          <w:u w:val="single"/>
        </w:rPr>
      </w:pPr>
    </w:p>
    <w:p w14:paraId="3CB32716" w14:textId="3618925B" w:rsidR="00F859C7" w:rsidRPr="00F36DFC" w:rsidRDefault="00F859C7" w:rsidP="00D16F2D">
      <w:pPr>
        <w:ind w:left="851"/>
        <w:rPr>
          <w:sz w:val="24"/>
          <w:szCs w:val="24"/>
          <w:u w:val="single"/>
        </w:rPr>
      </w:pPr>
      <w:r w:rsidRPr="00F36DFC">
        <w:rPr>
          <w:sz w:val="24"/>
          <w:szCs w:val="24"/>
          <w:u w:val="single"/>
        </w:rPr>
        <w:t xml:space="preserve">Generelle dosisanbefalinger for </w:t>
      </w:r>
      <w:proofErr w:type="spellStart"/>
      <w:r w:rsidRPr="00F36DFC">
        <w:rPr>
          <w:sz w:val="24"/>
          <w:szCs w:val="24"/>
          <w:u w:val="single"/>
        </w:rPr>
        <w:t>Zonisamid</w:t>
      </w:r>
      <w:proofErr w:type="spellEnd"/>
      <w:r w:rsidRPr="00F36DFC">
        <w:rPr>
          <w:sz w:val="24"/>
          <w:szCs w:val="24"/>
          <w:u w:val="single"/>
        </w:rPr>
        <w:t xml:space="preserve"> </w:t>
      </w:r>
      <w:r w:rsidR="00C26C40">
        <w:rPr>
          <w:sz w:val="24"/>
          <w:szCs w:val="24"/>
          <w:u w:val="single"/>
        </w:rPr>
        <w:t>"</w:t>
      </w:r>
      <w:proofErr w:type="spellStart"/>
      <w:r w:rsidR="00C26C40">
        <w:rPr>
          <w:sz w:val="24"/>
          <w:szCs w:val="24"/>
          <w:u w:val="single"/>
        </w:rPr>
        <w:t>Desitin</w:t>
      </w:r>
      <w:proofErr w:type="spellEnd"/>
      <w:r w:rsidR="00C26C40">
        <w:rPr>
          <w:sz w:val="24"/>
          <w:szCs w:val="24"/>
          <w:u w:val="single"/>
        </w:rPr>
        <w:t>"</w:t>
      </w:r>
      <w:r w:rsidRPr="00F36DFC">
        <w:rPr>
          <w:sz w:val="24"/>
          <w:szCs w:val="24"/>
          <w:u w:val="single"/>
        </w:rPr>
        <w:t xml:space="preserve"> hos specielle patientpopulationer</w:t>
      </w:r>
    </w:p>
    <w:p w14:paraId="3FEF418C" w14:textId="77777777" w:rsidR="00F859C7" w:rsidRPr="00F36DFC" w:rsidRDefault="00F859C7" w:rsidP="00D16F2D">
      <w:pPr>
        <w:ind w:left="851"/>
        <w:rPr>
          <w:sz w:val="24"/>
          <w:szCs w:val="24"/>
        </w:rPr>
      </w:pPr>
    </w:p>
    <w:p w14:paraId="58B2676F" w14:textId="77777777" w:rsidR="00F859C7" w:rsidRPr="00F36DFC" w:rsidRDefault="00F859C7" w:rsidP="00D16F2D">
      <w:pPr>
        <w:ind w:left="851"/>
        <w:rPr>
          <w:i/>
          <w:sz w:val="24"/>
          <w:szCs w:val="24"/>
          <w:u w:val="single"/>
        </w:rPr>
      </w:pPr>
      <w:r w:rsidRPr="00F36DFC">
        <w:rPr>
          <w:i/>
          <w:iCs/>
          <w:sz w:val="24"/>
          <w:szCs w:val="24"/>
          <w:u w:val="single"/>
        </w:rPr>
        <w:t>Pædiatrisk population (på 6 år og derover)</w:t>
      </w:r>
    </w:p>
    <w:p w14:paraId="4F36E36B" w14:textId="77777777" w:rsidR="00F859C7" w:rsidRPr="00F36DFC" w:rsidRDefault="00F859C7" w:rsidP="00D16F2D">
      <w:pPr>
        <w:ind w:left="851"/>
        <w:rPr>
          <w:sz w:val="24"/>
          <w:szCs w:val="24"/>
        </w:rPr>
      </w:pPr>
    </w:p>
    <w:p w14:paraId="07BF4E66" w14:textId="77777777" w:rsidR="00F859C7" w:rsidRPr="00F36DFC" w:rsidRDefault="00F859C7" w:rsidP="00D16F2D">
      <w:pPr>
        <w:ind w:left="851"/>
        <w:rPr>
          <w:i/>
          <w:sz w:val="24"/>
          <w:szCs w:val="24"/>
        </w:rPr>
      </w:pPr>
      <w:r w:rsidRPr="00F36DFC">
        <w:rPr>
          <w:i/>
          <w:iCs/>
          <w:sz w:val="24"/>
          <w:szCs w:val="24"/>
        </w:rPr>
        <w:t>Dosistitrering og vedligeholdelsesdosis</w:t>
      </w:r>
    </w:p>
    <w:p w14:paraId="512F6051" w14:textId="6A3D1A67" w:rsidR="00F859C7" w:rsidRPr="00F36DFC" w:rsidRDefault="00F859C7" w:rsidP="00D16F2D">
      <w:pPr>
        <w:ind w:left="851"/>
        <w:rPr>
          <w:sz w:val="24"/>
          <w:szCs w:val="24"/>
        </w:rPr>
      </w:pPr>
      <w:proofErr w:type="spellStart"/>
      <w:r w:rsidRPr="00F36DFC">
        <w:rPr>
          <w:sz w:val="24"/>
          <w:szCs w:val="24"/>
        </w:rPr>
        <w:t>Zonisamid</w:t>
      </w:r>
      <w:proofErr w:type="spellEnd"/>
      <w:r w:rsidRPr="00F36DFC">
        <w:rPr>
          <w:sz w:val="24"/>
          <w:szCs w:val="24"/>
        </w:rPr>
        <w:t xml:space="preserve"> </w:t>
      </w:r>
      <w:r w:rsidR="00C26C40">
        <w:rPr>
          <w:sz w:val="24"/>
          <w:szCs w:val="24"/>
        </w:rPr>
        <w:t>"</w:t>
      </w:r>
      <w:proofErr w:type="spellStart"/>
      <w:r w:rsidR="00C26C40">
        <w:rPr>
          <w:sz w:val="24"/>
          <w:szCs w:val="24"/>
        </w:rPr>
        <w:t>Desitin</w:t>
      </w:r>
      <w:proofErr w:type="spellEnd"/>
      <w:r w:rsidR="00C26C40">
        <w:rPr>
          <w:sz w:val="24"/>
          <w:szCs w:val="24"/>
        </w:rPr>
        <w:t>"</w:t>
      </w:r>
      <w:r w:rsidRPr="00F36DFC">
        <w:rPr>
          <w:sz w:val="24"/>
          <w:szCs w:val="24"/>
        </w:rPr>
        <w:t xml:space="preserve"> skal lægges til eksisterende behandling hos pædiatriske patienter på 6 år og derover. Dosis skal titreres på basis af klinisk virkning. Anbefalinger for </w:t>
      </w:r>
      <w:r w:rsidRPr="00F36DFC">
        <w:rPr>
          <w:sz w:val="24"/>
          <w:szCs w:val="24"/>
        </w:rPr>
        <w:lastRenderedPageBreak/>
        <w:t>dosistitrering og vedligeholdelsesdoser ses i tabel 2. Nogle patienter, især dem der ikke tager CYP3A4-induktorer, kan respondere på lavere doser.</w:t>
      </w:r>
    </w:p>
    <w:p w14:paraId="218EE549" w14:textId="77777777" w:rsidR="00F859C7" w:rsidRPr="00F36DFC" w:rsidRDefault="00F859C7" w:rsidP="00D16F2D">
      <w:pPr>
        <w:ind w:left="851"/>
        <w:rPr>
          <w:sz w:val="24"/>
          <w:szCs w:val="24"/>
        </w:rPr>
      </w:pPr>
    </w:p>
    <w:p w14:paraId="01FEDD8B" w14:textId="77777777" w:rsidR="00F859C7" w:rsidRPr="00F36DFC" w:rsidRDefault="00F859C7" w:rsidP="00D16F2D">
      <w:pPr>
        <w:ind w:left="851"/>
        <w:rPr>
          <w:sz w:val="24"/>
          <w:szCs w:val="24"/>
        </w:rPr>
      </w:pPr>
      <w:r w:rsidRPr="00F36DFC">
        <w:rPr>
          <w:sz w:val="24"/>
          <w:szCs w:val="24"/>
        </w:rPr>
        <w:t>Læger skal gøre pædiatriske patienter og deres forældre/omsorgsgivere opmærksomme på boksen med patientadvarsler (i indlægssedlen) om forebyggelse af hedeslag (se pkt. 4.4: Pædiatrisk population).</w:t>
      </w:r>
    </w:p>
    <w:p w14:paraId="2985BD91" w14:textId="77777777" w:rsidR="00F859C7" w:rsidRPr="00F36DFC" w:rsidRDefault="00F859C7" w:rsidP="00F859C7">
      <w:pPr>
        <w:rPr>
          <w:sz w:val="24"/>
          <w:szCs w:val="24"/>
        </w:rPr>
      </w:pPr>
    </w:p>
    <w:p w14:paraId="0AC633A1" w14:textId="5D84445D" w:rsidR="00F859C7" w:rsidRPr="00F36DFC" w:rsidRDefault="00F859C7" w:rsidP="00F36DFC">
      <w:pPr>
        <w:rPr>
          <w:b/>
          <w:sz w:val="24"/>
          <w:szCs w:val="24"/>
          <w:u w:val="single"/>
        </w:rPr>
      </w:pPr>
      <w:r w:rsidRPr="00F36DFC">
        <w:rPr>
          <w:b/>
          <w:bCs/>
          <w:sz w:val="24"/>
          <w:szCs w:val="24"/>
          <w:u w:val="single"/>
        </w:rPr>
        <w:t>Tabel 2</w:t>
      </w:r>
      <w:r w:rsidR="00F36DFC">
        <w:rPr>
          <w:b/>
          <w:bCs/>
          <w:sz w:val="24"/>
          <w:szCs w:val="24"/>
          <w:u w:val="single"/>
        </w:rPr>
        <w:t xml:space="preserve">. </w:t>
      </w:r>
      <w:r w:rsidRPr="00F36DFC">
        <w:rPr>
          <w:b/>
          <w:bCs/>
          <w:sz w:val="24"/>
          <w:szCs w:val="24"/>
          <w:u w:val="single"/>
        </w:rPr>
        <w:t xml:space="preserve">Pædiatrisk population (6 år og derover) – anbefalet dosistitrering og </w:t>
      </w:r>
    </w:p>
    <w:p w14:paraId="70B76AB2" w14:textId="77777777" w:rsidR="00F859C7" w:rsidRPr="00F36DFC" w:rsidRDefault="00F859C7" w:rsidP="00F36DFC">
      <w:pPr>
        <w:rPr>
          <w:b/>
          <w:sz w:val="24"/>
          <w:szCs w:val="24"/>
          <w:u w:val="single"/>
          <w:lang w:val="en-GB"/>
        </w:rPr>
      </w:pPr>
      <w:r w:rsidRPr="00F36DFC">
        <w:rPr>
          <w:b/>
          <w:bCs/>
          <w:sz w:val="24"/>
          <w:szCs w:val="24"/>
          <w:u w:val="single"/>
        </w:rPr>
        <w:t>vedligeholdelsesbehandling</w:t>
      </w:r>
    </w:p>
    <w:p w14:paraId="47852C3E" w14:textId="77777777" w:rsidR="00F859C7" w:rsidRPr="00F36DFC" w:rsidRDefault="00F859C7" w:rsidP="00F859C7">
      <w:pPr>
        <w:rPr>
          <w:sz w:val="24"/>
          <w:szCs w:val="24"/>
        </w:rPr>
      </w:pPr>
    </w:p>
    <w:tbl>
      <w:tblPr>
        <w:tblStyle w:val="TableNormal"/>
        <w:tblW w:w="5000" w:type="pct"/>
        <w:tblInd w:w="0" w:type="dxa"/>
        <w:tblLook w:val="01E0" w:firstRow="1" w:lastRow="1" w:firstColumn="1" w:lastColumn="1" w:noHBand="0" w:noVBand="0"/>
      </w:tblPr>
      <w:tblGrid>
        <w:gridCol w:w="2246"/>
        <w:gridCol w:w="1438"/>
        <w:gridCol w:w="1878"/>
        <w:gridCol w:w="2155"/>
        <w:gridCol w:w="1905"/>
      </w:tblGrid>
      <w:tr w:rsidR="00F859C7" w:rsidRPr="00F36DFC" w14:paraId="4CAD7206" w14:textId="77777777" w:rsidTr="00F36DFC">
        <w:trPr>
          <w:trHeight w:val="20"/>
        </w:trPr>
        <w:tc>
          <w:tcPr>
            <w:tcW w:w="1167" w:type="pct"/>
            <w:tcBorders>
              <w:top w:val="single" w:sz="6" w:space="0" w:color="000000"/>
              <w:left w:val="single" w:sz="6" w:space="0" w:color="000000"/>
              <w:bottom w:val="single" w:sz="4" w:space="0" w:color="auto"/>
              <w:right w:val="single" w:sz="6" w:space="0" w:color="000000"/>
            </w:tcBorders>
            <w:hideMark/>
          </w:tcPr>
          <w:p w14:paraId="5AFF30D8" w14:textId="77777777" w:rsidR="00F859C7" w:rsidRPr="00F36DFC" w:rsidRDefault="00F859C7">
            <w:pPr>
              <w:widowControl/>
              <w:ind w:left="57"/>
              <w:rPr>
                <w:rFonts w:ascii="Times New Roman" w:hAnsi="Times New Roman" w:cs="Times New Roman"/>
                <w:b/>
                <w:sz w:val="22"/>
              </w:rPr>
            </w:pPr>
            <w:r w:rsidRPr="00F36DFC">
              <w:rPr>
                <w:rFonts w:ascii="Times New Roman" w:hAnsi="Times New Roman" w:cs="Times New Roman"/>
                <w:b/>
                <w:bCs/>
                <w:sz w:val="22"/>
                <w:lang w:val="da-DK"/>
              </w:rPr>
              <w:t>Behandlingsprogram</w:t>
            </w:r>
          </w:p>
        </w:tc>
        <w:tc>
          <w:tcPr>
            <w:tcW w:w="1723" w:type="pct"/>
            <w:gridSpan w:val="2"/>
            <w:tcBorders>
              <w:top w:val="single" w:sz="6" w:space="0" w:color="000000"/>
              <w:left w:val="single" w:sz="6" w:space="0" w:color="000000"/>
              <w:bottom w:val="single" w:sz="6" w:space="0" w:color="000000"/>
              <w:right w:val="single" w:sz="6" w:space="0" w:color="000000"/>
            </w:tcBorders>
            <w:hideMark/>
          </w:tcPr>
          <w:p w14:paraId="0B01C502" w14:textId="77777777" w:rsidR="00F859C7" w:rsidRPr="00F36DFC" w:rsidRDefault="00F859C7">
            <w:pPr>
              <w:widowControl/>
              <w:ind w:left="57"/>
              <w:rPr>
                <w:rFonts w:ascii="Times New Roman" w:hAnsi="Times New Roman" w:cs="Times New Roman"/>
                <w:b/>
                <w:sz w:val="22"/>
              </w:rPr>
            </w:pPr>
            <w:r w:rsidRPr="00F36DFC">
              <w:rPr>
                <w:rFonts w:ascii="Times New Roman" w:hAnsi="Times New Roman" w:cs="Times New Roman"/>
                <w:b/>
                <w:bCs/>
                <w:sz w:val="22"/>
                <w:lang w:val="da-DK"/>
              </w:rPr>
              <w:t>Titreringsfase</w:t>
            </w:r>
          </w:p>
        </w:tc>
        <w:tc>
          <w:tcPr>
            <w:tcW w:w="2110" w:type="pct"/>
            <w:gridSpan w:val="2"/>
            <w:tcBorders>
              <w:top w:val="single" w:sz="6" w:space="0" w:color="000000"/>
              <w:left w:val="single" w:sz="6" w:space="0" w:color="000000"/>
              <w:bottom w:val="single" w:sz="6" w:space="0" w:color="000000"/>
              <w:right w:val="single" w:sz="6" w:space="0" w:color="000000"/>
            </w:tcBorders>
            <w:hideMark/>
          </w:tcPr>
          <w:p w14:paraId="5DEF9ED6" w14:textId="77777777" w:rsidR="00F859C7" w:rsidRPr="00F36DFC" w:rsidRDefault="00F859C7">
            <w:pPr>
              <w:widowControl/>
              <w:ind w:left="57"/>
              <w:rPr>
                <w:rFonts w:ascii="Times New Roman" w:hAnsi="Times New Roman" w:cs="Times New Roman"/>
                <w:b/>
                <w:sz w:val="22"/>
              </w:rPr>
            </w:pPr>
            <w:r w:rsidRPr="00F36DFC">
              <w:rPr>
                <w:rFonts w:ascii="Times New Roman" w:hAnsi="Times New Roman" w:cs="Times New Roman"/>
                <w:b/>
                <w:bCs/>
                <w:sz w:val="22"/>
                <w:lang w:val="da-DK"/>
              </w:rPr>
              <w:t>Sædvanlig vedligeholdelsesdosis</w:t>
            </w:r>
          </w:p>
        </w:tc>
      </w:tr>
      <w:tr w:rsidR="00F859C7" w:rsidRPr="00F36DFC" w14:paraId="478B12AD" w14:textId="77777777" w:rsidTr="00F36DFC">
        <w:trPr>
          <w:trHeight w:val="20"/>
        </w:trPr>
        <w:tc>
          <w:tcPr>
            <w:tcW w:w="1167" w:type="pct"/>
            <w:tcBorders>
              <w:top w:val="single" w:sz="4" w:space="0" w:color="auto"/>
              <w:left w:val="single" w:sz="4" w:space="0" w:color="auto"/>
              <w:bottom w:val="nil"/>
              <w:right w:val="single" w:sz="4" w:space="0" w:color="auto"/>
            </w:tcBorders>
            <w:hideMark/>
          </w:tcPr>
          <w:p w14:paraId="34FC3ACE" w14:textId="77777777" w:rsidR="00F859C7" w:rsidRPr="00F36DFC" w:rsidRDefault="00F859C7">
            <w:pPr>
              <w:widowControl/>
              <w:ind w:left="57"/>
              <w:rPr>
                <w:rFonts w:ascii="Times New Roman" w:hAnsi="Times New Roman" w:cs="Times New Roman"/>
                <w:sz w:val="22"/>
              </w:rPr>
            </w:pPr>
            <w:r w:rsidRPr="00F36DFC">
              <w:rPr>
                <w:rFonts w:ascii="Times New Roman" w:hAnsi="Times New Roman" w:cs="Times New Roman"/>
                <w:b/>
                <w:bCs/>
                <w:sz w:val="22"/>
                <w:lang w:val="da-DK"/>
              </w:rPr>
              <w:t>Supplerende behandling</w:t>
            </w:r>
          </w:p>
        </w:tc>
        <w:tc>
          <w:tcPr>
            <w:tcW w:w="747" w:type="pct"/>
            <w:tcBorders>
              <w:top w:val="single" w:sz="6" w:space="0" w:color="000000"/>
              <w:left w:val="single" w:sz="4" w:space="0" w:color="auto"/>
              <w:bottom w:val="single" w:sz="6" w:space="0" w:color="000000"/>
              <w:right w:val="single" w:sz="6" w:space="0" w:color="000000"/>
            </w:tcBorders>
            <w:hideMark/>
          </w:tcPr>
          <w:p w14:paraId="4B68B685" w14:textId="77777777" w:rsidR="00F859C7" w:rsidRPr="00F36DFC" w:rsidRDefault="00F859C7">
            <w:pPr>
              <w:widowControl/>
              <w:ind w:left="57"/>
              <w:rPr>
                <w:rFonts w:ascii="Times New Roman" w:hAnsi="Times New Roman" w:cs="Times New Roman"/>
                <w:b/>
                <w:sz w:val="22"/>
              </w:rPr>
            </w:pPr>
            <w:r w:rsidRPr="00F36DFC">
              <w:rPr>
                <w:rFonts w:ascii="Times New Roman" w:hAnsi="Times New Roman" w:cs="Times New Roman"/>
                <w:b/>
                <w:bCs/>
                <w:sz w:val="22"/>
                <w:lang w:val="da-DK"/>
              </w:rPr>
              <w:t>Uge 1</w:t>
            </w:r>
          </w:p>
        </w:tc>
        <w:tc>
          <w:tcPr>
            <w:tcW w:w="975" w:type="pct"/>
            <w:tcBorders>
              <w:top w:val="single" w:sz="6" w:space="0" w:color="000000"/>
              <w:left w:val="single" w:sz="6" w:space="0" w:color="000000"/>
              <w:bottom w:val="single" w:sz="6" w:space="0" w:color="000000"/>
              <w:right w:val="single" w:sz="6" w:space="0" w:color="000000"/>
            </w:tcBorders>
            <w:hideMark/>
          </w:tcPr>
          <w:p w14:paraId="0B2EE350" w14:textId="77777777" w:rsidR="00F859C7" w:rsidRPr="00F36DFC" w:rsidRDefault="00F859C7">
            <w:pPr>
              <w:widowControl/>
              <w:ind w:left="57"/>
              <w:rPr>
                <w:rFonts w:ascii="Times New Roman" w:hAnsi="Times New Roman" w:cs="Times New Roman"/>
                <w:b/>
                <w:sz w:val="22"/>
              </w:rPr>
            </w:pPr>
            <w:r w:rsidRPr="00F36DFC">
              <w:rPr>
                <w:rFonts w:ascii="Times New Roman" w:hAnsi="Times New Roman" w:cs="Times New Roman"/>
                <w:b/>
                <w:bCs/>
                <w:sz w:val="22"/>
                <w:lang w:val="da-DK"/>
              </w:rPr>
              <w:t>Uge 2 til 8</w:t>
            </w:r>
          </w:p>
        </w:tc>
        <w:tc>
          <w:tcPr>
            <w:tcW w:w="1120" w:type="pct"/>
            <w:tcBorders>
              <w:top w:val="single" w:sz="6" w:space="0" w:color="000000"/>
              <w:left w:val="single" w:sz="6" w:space="0" w:color="000000"/>
              <w:bottom w:val="single" w:sz="6" w:space="0" w:color="000000"/>
              <w:right w:val="single" w:sz="6" w:space="0" w:color="000000"/>
            </w:tcBorders>
            <w:hideMark/>
          </w:tcPr>
          <w:p w14:paraId="20D3231F" w14:textId="77777777" w:rsidR="00F859C7" w:rsidRPr="00F36DFC" w:rsidRDefault="00F859C7">
            <w:pPr>
              <w:widowControl/>
              <w:ind w:left="57"/>
              <w:rPr>
                <w:rFonts w:ascii="Times New Roman" w:hAnsi="Times New Roman" w:cs="Times New Roman"/>
                <w:b/>
                <w:sz w:val="22"/>
              </w:rPr>
            </w:pPr>
            <w:r w:rsidRPr="00F36DFC">
              <w:rPr>
                <w:rFonts w:ascii="Times New Roman" w:hAnsi="Times New Roman" w:cs="Times New Roman"/>
                <w:b/>
                <w:bCs/>
                <w:sz w:val="22"/>
                <w:lang w:val="da-DK"/>
              </w:rPr>
              <w:t xml:space="preserve">Patienter, der vejer 20-55 </w:t>
            </w:r>
            <w:proofErr w:type="spellStart"/>
            <w:r w:rsidRPr="00F36DFC">
              <w:rPr>
                <w:rFonts w:ascii="Times New Roman" w:hAnsi="Times New Roman" w:cs="Times New Roman"/>
                <w:b/>
                <w:bCs/>
                <w:sz w:val="22"/>
                <w:lang w:val="da-DK"/>
              </w:rPr>
              <w:t>kg</w:t>
            </w:r>
            <w:r w:rsidRPr="00F36DFC">
              <w:rPr>
                <w:rFonts w:ascii="Times New Roman" w:hAnsi="Times New Roman" w:cs="Times New Roman"/>
                <w:b/>
                <w:bCs/>
                <w:sz w:val="22"/>
                <w:vertAlign w:val="superscript"/>
                <w:lang w:val="da-DK"/>
              </w:rPr>
              <w:t>a</w:t>
            </w:r>
            <w:proofErr w:type="spellEnd"/>
          </w:p>
        </w:tc>
        <w:tc>
          <w:tcPr>
            <w:tcW w:w="990" w:type="pct"/>
            <w:tcBorders>
              <w:top w:val="single" w:sz="6" w:space="0" w:color="000000"/>
              <w:left w:val="single" w:sz="6" w:space="0" w:color="000000"/>
              <w:bottom w:val="single" w:sz="6" w:space="0" w:color="000000"/>
              <w:right w:val="single" w:sz="6" w:space="0" w:color="000000"/>
            </w:tcBorders>
            <w:hideMark/>
          </w:tcPr>
          <w:p w14:paraId="5EF7126F" w14:textId="77777777" w:rsidR="00F859C7" w:rsidRPr="00F36DFC" w:rsidRDefault="00F859C7">
            <w:pPr>
              <w:widowControl/>
              <w:ind w:left="57"/>
              <w:rPr>
                <w:rFonts w:ascii="Times New Roman" w:hAnsi="Times New Roman" w:cs="Times New Roman"/>
                <w:b/>
                <w:sz w:val="22"/>
              </w:rPr>
            </w:pPr>
            <w:r w:rsidRPr="00F36DFC">
              <w:rPr>
                <w:rFonts w:ascii="Times New Roman" w:hAnsi="Times New Roman" w:cs="Times New Roman"/>
                <w:b/>
                <w:bCs/>
                <w:sz w:val="22"/>
                <w:lang w:val="da-DK"/>
              </w:rPr>
              <w:t>Patienter, der vejer &gt; 55 kg</w:t>
            </w:r>
          </w:p>
        </w:tc>
      </w:tr>
      <w:tr w:rsidR="00F859C7" w:rsidRPr="00F36DFC" w14:paraId="04B0F131" w14:textId="77777777" w:rsidTr="00F36DFC">
        <w:trPr>
          <w:trHeight w:val="20"/>
        </w:trPr>
        <w:tc>
          <w:tcPr>
            <w:tcW w:w="1167" w:type="pct"/>
            <w:tcBorders>
              <w:top w:val="nil"/>
              <w:left w:val="single" w:sz="4" w:space="0" w:color="auto"/>
              <w:bottom w:val="single" w:sz="6" w:space="0" w:color="000000"/>
              <w:right w:val="single" w:sz="4" w:space="0" w:color="auto"/>
            </w:tcBorders>
            <w:hideMark/>
          </w:tcPr>
          <w:p w14:paraId="3D585555" w14:textId="77777777" w:rsidR="00F859C7" w:rsidRPr="00F36DFC" w:rsidRDefault="00F859C7">
            <w:pPr>
              <w:widowControl/>
              <w:ind w:left="57"/>
              <w:rPr>
                <w:rFonts w:ascii="Times New Roman" w:hAnsi="Times New Roman" w:cs="Times New Roman"/>
                <w:sz w:val="22"/>
                <w:lang w:val="da-DK"/>
              </w:rPr>
            </w:pPr>
            <w:r w:rsidRPr="00F36DFC">
              <w:rPr>
                <w:rFonts w:ascii="Times New Roman" w:hAnsi="Times New Roman" w:cs="Times New Roman"/>
                <w:sz w:val="22"/>
                <w:lang w:val="da-DK"/>
              </w:rPr>
              <w:t>– med CYP3A4-</w:t>
            </w:r>
          </w:p>
          <w:p w14:paraId="00CE7998" w14:textId="77777777" w:rsidR="00F859C7" w:rsidRPr="00F36DFC" w:rsidRDefault="00F859C7">
            <w:pPr>
              <w:widowControl/>
              <w:ind w:left="57"/>
              <w:rPr>
                <w:rFonts w:ascii="Times New Roman" w:hAnsi="Times New Roman" w:cs="Times New Roman"/>
                <w:sz w:val="22"/>
                <w:lang w:val="da-DK"/>
              </w:rPr>
            </w:pPr>
            <w:r w:rsidRPr="00F36DFC">
              <w:rPr>
                <w:rFonts w:ascii="Times New Roman" w:hAnsi="Times New Roman" w:cs="Times New Roman"/>
                <w:sz w:val="22"/>
                <w:lang w:val="da-DK"/>
              </w:rPr>
              <w:t>induktorer (se pkt. 4.5)</w:t>
            </w:r>
          </w:p>
        </w:tc>
        <w:tc>
          <w:tcPr>
            <w:tcW w:w="747" w:type="pct"/>
            <w:tcBorders>
              <w:top w:val="single" w:sz="6" w:space="0" w:color="000000"/>
              <w:left w:val="single" w:sz="4" w:space="0" w:color="auto"/>
              <w:bottom w:val="single" w:sz="6" w:space="0" w:color="000000"/>
              <w:right w:val="single" w:sz="6" w:space="0" w:color="000000"/>
            </w:tcBorders>
            <w:hideMark/>
          </w:tcPr>
          <w:p w14:paraId="0C1B7C49" w14:textId="77777777" w:rsidR="00F859C7" w:rsidRPr="00F36DFC" w:rsidRDefault="00F859C7">
            <w:pPr>
              <w:widowControl/>
              <w:ind w:left="57"/>
              <w:rPr>
                <w:rFonts w:ascii="Times New Roman" w:hAnsi="Times New Roman" w:cs="Times New Roman"/>
                <w:b/>
                <w:sz w:val="22"/>
                <w:lang w:val="da-DK"/>
              </w:rPr>
            </w:pPr>
            <w:r w:rsidRPr="00F36DFC">
              <w:rPr>
                <w:rFonts w:ascii="Times New Roman" w:hAnsi="Times New Roman" w:cs="Times New Roman"/>
                <w:sz w:val="22"/>
                <w:lang w:val="da-DK"/>
              </w:rPr>
              <w:t>1 mg/kg/dag (én gang dagligt) = 0,05 ml/kg/dag</w:t>
            </w:r>
          </w:p>
        </w:tc>
        <w:tc>
          <w:tcPr>
            <w:tcW w:w="975" w:type="pct"/>
            <w:tcBorders>
              <w:top w:val="single" w:sz="6" w:space="0" w:color="000000"/>
              <w:left w:val="single" w:sz="6" w:space="0" w:color="000000"/>
              <w:bottom w:val="single" w:sz="6" w:space="0" w:color="000000"/>
              <w:right w:val="single" w:sz="6" w:space="0" w:color="000000"/>
            </w:tcBorders>
            <w:hideMark/>
          </w:tcPr>
          <w:p w14:paraId="157BBB9D" w14:textId="77777777" w:rsidR="00F859C7" w:rsidRPr="00F36DFC" w:rsidRDefault="00F859C7">
            <w:pPr>
              <w:widowControl/>
              <w:ind w:left="57"/>
              <w:rPr>
                <w:rFonts w:ascii="Times New Roman" w:hAnsi="Times New Roman" w:cs="Times New Roman"/>
                <w:b/>
                <w:sz w:val="22"/>
                <w:lang w:val="da-DK"/>
              </w:rPr>
            </w:pPr>
            <w:r w:rsidRPr="00F36DFC">
              <w:rPr>
                <w:rFonts w:ascii="Times New Roman" w:hAnsi="Times New Roman" w:cs="Times New Roman"/>
                <w:sz w:val="22"/>
                <w:lang w:val="da-DK"/>
              </w:rPr>
              <w:t xml:space="preserve">Øges med </w:t>
            </w:r>
            <w:r w:rsidRPr="00F36DFC">
              <w:rPr>
                <w:rFonts w:ascii="Times New Roman" w:hAnsi="Times New Roman" w:cs="Times New Roman"/>
                <w:b/>
                <w:bCs/>
                <w:sz w:val="22"/>
                <w:lang w:val="da-DK"/>
              </w:rPr>
              <w:t>ugentlige intervaller</w:t>
            </w:r>
            <w:r w:rsidRPr="00F36DFC">
              <w:rPr>
                <w:rFonts w:ascii="Times New Roman" w:hAnsi="Times New Roman" w:cs="Times New Roman"/>
                <w:sz w:val="22"/>
                <w:lang w:val="da-DK"/>
              </w:rPr>
              <w:t xml:space="preserve"> i trin af 1 mg/kg = 0,05 ml/kg</w:t>
            </w:r>
          </w:p>
        </w:tc>
        <w:tc>
          <w:tcPr>
            <w:tcW w:w="1120" w:type="pct"/>
            <w:tcBorders>
              <w:top w:val="single" w:sz="6" w:space="0" w:color="000000"/>
              <w:left w:val="single" w:sz="6" w:space="0" w:color="000000"/>
              <w:bottom w:val="nil"/>
              <w:right w:val="single" w:sz="6" w:space="0" w:color="000000"/>
            </w:tcBorders>
            <w:hideMark/>
          </w:tcPr>
          <w:p w14:paraId="46D932C4" w14:textId="77777777" w:rsidR="00F859C7" w:rsidRPr="00F36DFC" w:rsidRDefault="00F859C7">
            <w:pPr>
              <w:widowControl/>
              <w:ind w:left="57"/>
              <w:rPr>
                <w:rFonts w:ascii="Times New Roman" w:hAnsi="Times New Roman" w:cs="Times New Roman"/>
                <w:sz w:val="22"/>
                <w:lang w:val="da-DK"/>
              </w:rPr>
            </w:pPr>
            <w:r w:rsidRPr="00F36DFC">
              <w:rPr>
                <w:rFonts w:ascii="Times New Roman" w:hAnsi="Times New Roman" w:cs="Times New Roman"/>
                <w:sz w:val="22"/>
                <w:lang w:val="da-DK"/>
              </w:rPr>
              <w:t>6-8 mg/kg/dag (én gang dagligt) = 0,3 - 0,4 ml/kg/dag</w:t>
            </w:r>
          </w:p>
        </w:tc>
        <w:tc>
          <w:tcPr>
            <w:tcW w:w="990" w:type="pct"/>
            <w:tcBorders>
              <w:top w:val="single" w:sz="6" w:space="0" w:color="000000"/>
              <w:left w:val="single" w:sz="6" w:space="0" w:color="000000"/>
              <w:bottom w:val="nil"/>
              <w:right w:val="single" w:sz="6" w:space="0" w:color="000000"/>
            </w:tcBorders>
            <w:hideMark/>
          </w:tcPr>
          <w:p w14:paraId="157D584B" w14:textId="77777777" w:rsidR="00F859C7" w:rsidRPr="00F36DFC" w:rsidRDefault="00F859C7">
            <w:pPr>
              <w:widowControl/>
              <w:ind w:left="57"/>
              <w:rPr>
                <w:rFonts w:ascii="Times New Roman" w:hAnsi="Times New Roman" w:cs="Times New Roman"/>
                <w:sz w:val="22"/>
                <w:lang w:val="da-DK"/>
              </w:rPr>
            </w:pPr>
            <w:r w:rsidRPr="00F36DFC">
              <w:rPr>
                <w:rFonts w:ascii="Times New Roman" w:hAnsi="Times New Roman" w:cs="Times New Roman"/>
                <w:sz w:val="22"/>
                <w:lang w:val="da-DK"/>
              </w:rPr>
              <w:t>300-500 mg/dag (én gang dagligt) = 15 – 25 ml/dag</w:t>
            </w:r>
          </w:p>
        </w:tc>
      </w:tr>
      <w:tr w:rsidR="00F859C7" w:rsidRPr="00F36DFC" w14:paraId="0675E3C5" w14:textId="77777777" w:rsidTr="00F36DFC">
        <w:trPr>
          <w:trHeight w:val="20"/>
        </w:trPr>
        <w:tc>
          <w:tcPr>
            <w:tcW w:w="1167" w:type="pct"/>
            <w:tcBorders>
              <w:top w:val="single" w:sz="6" w:space="0" w:color="000000"/>
              <w:left w:val="single" w:sz="6" w:space="0" w:color="000000"/>
              <w:bottom w:val="nil"/>
              <w:right w:val="single" w:sz="6" w:space="0" w:color="000000"/>
            </w:tcBorders>
          </w:tcPr>
          <w:p w14:paraId="1321A445" w14:textId="77777777" w:rsidR="00F859C7" w:rsidRPr="00F36DFC" w:rsidRDefault="00F859C7">
            <w:pPr>
              <w:ind w:left="57"/>
              <w:rPr>
                <w:rFonts w:ascii="Times New Roman" w:hAnsi="Times New Roman" w:cs="Times New Roman"/>
                <w:sz w:val="22"/>
                <w:lang w:val="da-DK"/>
              </w:rPr>
            </w:pPr>
          </w:p>
        </w:tc>
        <w:tc>
          <w:tcPr>
            <w:tcW w:w="747" w:type="pct"/>
            <w:tcBorders>
              <w:top w:val="single" w:sz="6" w:space="0" w:color="000000"/>
              <w:left w:val="single" w:sz="6" w:space="0" w:color="000000"/>
              <w:bottom w:val="single" w:sz="6" w:space="0" w:color="000000"/>
              <w:right w:val="single" w:sz="6" w:space="0" w:color="000000"/>
            </w:tcBorders>
            <w:hideMark/>
          </w:tcPr>
          <w:p w14:paraId="0CA798C7" w14:textId="77777777" w:rsidR="00F859C7" w:rsidRPr="00F36DFC" w:rsidRDefault="00F859C7">
            <w:pPr>
              <w:widowControl/>
              <w:ind w:left="57"/>
              <w:rPr>
                <w:rFonts w:ascii="Times New Roman" w:hAnsi="Times New Roman" w:cs="Times New Roman"/>
                <w:b/>
                <w:sz w:val="22"/>
                <w:lang w:val="en-GB"/>
              </w:rPr>
            </w:pPr>
            <w:r w:rsidRPr="00F36DFC">
              <w:rPr>
                <w:rFonts w:ascii="Times New Roman" w:hAnsi="Times New Roman" w:cs="Times New Roman"/>
                <w:b/>
                <w:bCs/>
                <w:sz w:val="22"/>
                <w:lang w:val="da-DK"/>
              </w:rPr>
              <w:t>Uge 1 + 2</w:t>
            </w:r>
          </w:p>
        </w:tc>
        <w:tc>
          <w:tcPr>
            <w:tcW w:w="975" w:type="pct"/>
            <w:tcBorders>
              <w:top w:val="single" w:sz="6" w:space="0" w:color="000000"/>
              <w:left w:val="single" w:sz="6" w:space="0" w:color="000000"/>
              <w:bottom w:val="single" w:sz="6" w:space="0" w:color="000000"/>
              <w:right w:val="single" w:sz="6" w:space="0" w:color="000000"/>
            </w:tcBorders>
            <w:hideMark/>
          </w:tcPr>
          <w:p w14:paraId="149CB621" w14:textId="77777777" w:rsidR="00F859C7" w:rsidRPr="00F36DFC" w:rsidRDefault="00F859C7">
            <w:pPr>
              <w:ind w:left="57"/>
              <w:rPr>
                <w:rFonts w:ascii="Times New Roman" w:hAnsi="Times New Roman" w:cs="Times New Roman"/>
                <w:b/>
                <w:sz w:val="22"/>
              </w:rPr>
            </w:pPr>
            <w:r w:rsidRPr="00F36DFC">
              <w:rPr>
                <w:rFonts w:ascii="Times New Roman" w:hAnsi="Times New Roman" w:cs="Times New Roman"/>
                <w:b/>
                <w:bCs/>
                <w:sz w:val="22"/>
                <w:lang w:val="da-DK"/>
              </w:rPr>
              <w:t>Uge ≥ 3</w:t>
            </w:r>
          </w:p>
        </w:tc>
        <w:tc>
          <w:tcPr>
            <w:tcW w:w="1120" w:type="pct"/>
            <w:tcBorders>
              <w:top w:val="single" w:sz="6" w:space="0" w:color="000000"/>
              <w:left w:val="single" w:sz="6" w:space="0" w:color="000000"/>
              <w:bottom w:val="nil"/>
              <w:right w:val="single" w:sz="6" w:space="0" w:color="000000"/>
            </w:tcBorders>
          </w:tcPr>
          <w:p w14:paraId="5B03CD6E" w14:textId="77777777" w:rsidR="00F859C7" w:rsidRPr="00F36DFC" w:rsidRDefault="00F859C7">
            <w:pPr>
              <w:ind w:left="57"/>
              <w:rPr>
                <w:rFonts w:ascii="Times New Roman" w:hAnsi="Times New Roman" w:cs="Times New Roman"/>
                <w:sz w:val="22"/>
              </w:rPr>
            </w:pPr>
          </w:p>
        </w:tc>
        <w:tc>
          <w:tcPr>
            <w:tcW w:w="990" w:type="pct"/>
            <w:tcBorders>
              <w:top w:val="single" w:sz="6" w:space="0" w:color="000000"/>
              <w:left w:val="single" w:sz="6" w:space="0" w:color="000000"/>
              <w:bottom w:val="nil"/>
              <w:right w:val="single" w:sz="6" w:space="0" w:color="000000"/>
            </w:tcBorders>
          </w:tcPr>
          <w:p w14:paraId="3BECCCB4" w14:textId="77777777" w:rsidR="00F859C7" w:rsidRPr="00F36DFC" w:rsidRDefault="00F859C7">
            <w:pPr>
              <w:ind w:left="57"/>
              <w:rPr>
                <w:rFonts w:ascii="Times New Roman" w:hAnsi="Times New Roman" w:cs="Times New Roman"/>
                <w:sz w:val="22"/>
              </w:rPr>
            </w:pPr>
          </w:p>
        </w:tc>
      </w:tr>
      <w:tr w:rsidR="00F859C7" w:rsidRPr="00F36DFC" w14:paraId="5DF77D73" w14:textId="77777777" w:rsidTr="00F36DFC">
        <w:trPr>
          <w:trHeight w:val="20"/>
        </w:trPr>
        <w:tc>
          <w:tcPr>
            <w:tcW w:w="1167" w:type="pct"/>
            <w:tcBorders>
              <w:top w:val="nil"/>
              <w:left w:val="single" w:sz="6" w:space="0" w:color="000000"/>
              <w:bottom w:val="single" w:sz="4" w:space="0" w:color="auto"/>
              <w:right w:val="single" w:sz="6" w:space="0" w:color="000000"/>
            </w:tcBorders>
            <w:hideMark/>
          </w:tcPr>
          <w:p w14:paraId="73AFAFE4" w14:textId="77777777" w:rsidR="00F859C7" w:rsidRPr="00F36DFC" w:rsidRDefault="00F859C7">
            <w:pPr>
              <w:widowControl/>
              <w:ind w:left="57"/>
              <w:rPr>
                <w:rFonts w:ascii="Times New Roman" w:hAnsi="Times New Roman" w:cs="Times New Roman"/>
                <w:sz w:val="22"/>
              </w:rPr>
            </w:pPr>
            <w:r w:rsidRPr="00F36DFC">
              <w:rPr>
                <w:rFonts w:ascii="Times New Roman" w:hAnsi="Times New Roman" w:cs="Times New Roman"/>
                <w:sz w:val="22"/>
                <w:lang w:val="da-DK"/>
              </w:rPr>
              <w:t>– uden CYP3A4-induktorer</w:t>
            </w:r>
          </w:p>
        </w:tc>
        <w:tc>
          <w:tcPr>
            <w:tcW w:w="747" w:type="pct"/>
            <w:tcBorders>
              <w:top w:val="single" w:sz="6" w:space="0" w:color="000000"/>
              <w:left w:val="single" w:sz="6" w:space="0" w:color="000000"/>
              <w:bottom w:val="single" w:sz="6" w:space="0" w:color="000000"/>
              <w:right w:val="single" w:sz="6" w:space="0" w:color="000000"/>
            </w:tcBorders>
            <w:hideMark/>
          </w:tcPr>
          <w:p w14:paraId="35FBA7ED" w14:textId="77777777" w:rsidR="00F859C7" w:rsidRPr="00F36DFC" w:rsidRDefault="00F859C7">
            <w:pPr>
              <w:widowControl/>
              <w:ind w:left="57"/>
              <w:rPr>
                <w:rFonts w:ascii="Times New Roman" w:hAnsi="Times New Roman" w:cs="Times New Roman"/>
                <w:b/>
                <w:sz w:val="22"/>
                <w:lang w:val="da-DK"/>
              </w:rPr>
            </w:pPr>
            <w:r w:rsidRPr="00F36DFC">
              <w:rPr>
                <w:rFonts w:ascii="Times New Roman" w:hAnsi="Times New Roman" w:cs="Times New Roman"/>
                <w:sz w:val="22"/>
                <w:lang w:val="da-DK"/>
              </w:rPr>
              <w:t>1 mg/kg/dag (én gang dagligt) = 0,05 ml/kg/dag</w:t>
            </w:r>
          </w:p>
        </w:tc>
        <w:tc>
          <w:tcPr>
            <w:tcW w:w="975" w:type="pct"/>
            <w:tcBorders>
              <w:top w:val="single" w:sz="6" w:space="0" w:color="000000"/>
              <w:left w:val="single" w:sz="6" w:space="0" w:color="000000"/>
              <w:bottom w:val="single" w:sz="6" w:space="0" w:color="000000"/>
              <w:right w:val="single" w:sz="6" w:space="0" w:color="000000"/>
            </w:tcBorders>
            <w:hideMark/>
          </w:tcPr>
          <w:p w14:paraId="126610BB" w14:textId="77777777" w:rsidR="00F859C7" w:rsidRPr="00F36DFC" w:rsidRDefault="00F859C7">
            <w:pPr>
              <w:widowControl/>
              <w:ind w:left="57"/>
              <w:rPr>
                <w:rFonts w:ascii="Times New Roman" w:hAnsi="Times New Roman" w:cs="Times New Roman"/>
                <w:b/>
                <w:sz w:val="22"/>
                <w:lang w:val="da-DK"/>
              </w:rPr>
            </w:pPr>
            <w:r w:rsidRPr="00F36DFC">
              <w:rPr>
                <w:rFonts w:ascii="Times New Roman" w:hAnsi="Times New Roman" w:cs="Times New Roman"/>
                <w:sz w:val="22"/>
                <w:lang w:val="da-DK"/>
              </w:rPr>
              <w:t xml:space="preserve">Øges </w:t>
            </w:r>
            <w:r w:rsidRPr="00F36DFC">
              <w:rPr>
                <w:rFonts w:ascii="Times New Roman" w:hAnsi="Times New Roman" w:cs="Times New Roman"/>
                <w:b/>
                <w:bCs/>
                <w:sz w:val="22"/>
                <w:lang w:val="da-DK"/>
              </w:rPr>
              <w:t>med 2-ugers intervaller</w:t>
            </w:r>
            <w:r w:rsidRPr="00F36DFC">
              <w:rPr>
                <w:rFonts w:ascii="Times New Roman" w:hAnsi="Times New Roman" w:cs="Times New Roman"/>
                <w:sz w:val="22"/>
                <w:lang w:val="da-DK"/>
              </w:rPr>
              <w:t xml:space="preserve"> i trin af 1 mg/kg = 0,05 ml/kg</w:t>
            </w:r>
          </w:p>
        </w:tc>
        <w:tc>
          <w:tcPr>
            <w:tcW w:w="1120" w:type="pct"/>
            <w:tcBorders>
              <w:top w:val="nil"/>
              <w:left w:val="single" w:sz="6" w:space="0" w:color="000000"/>
              <w:bottom w:val="single" w:sz="4" w:space="0" w:color="auto"/>
              <w:right w:val="single" w:sz="6" w:space="0" w:color="000000"/>
            </w:tcBorders>
            <w:hideMark/>
          </w:tcPr>
          <w:p w14:paraId="709CA368" w14:textId="77777777" w:rsidR="00F859C7" w:rsidRPr="00F36DFC" w:rsidRDefault="00F859C7">
            <w:pPr>
              <w:widowControl/>
              <w:ind w:left="57"/>
              <w:rPr>
                <w:rFonts w:ascii="Times New Roman" w:hAnsi="Times New Roman" w:cs="Times New Roman"/>
                <w:sz w:val="22"/>
                <w:lang w:val="da-DK"/>
              </w:rPr>
            </w:pPr>
            <w:r w:rsidRPr="00F36DFC">
              <w:rPr>
                <w:rFonts w:ascii="Times New Roman" w:hAnsi="Times New Roman" w:cs="Times New Roman"/>
                <w:sz w:val="22"/>
                <w:lang w:val="da-DK"/>
              </w:rPr>
              <w:t>6-8 mg/kg/dag (én gang dagligt) = 0,3 - 0,4 ml/kg/dag</w:t>
            </w:r>
          </w:p>
        </w:tc>
        <w:tc>
          <w:tcPr>
            <w:tcW w:w="990" w:type="pct"/>
            <w:tcBorders>
              <w:top w:val="nil"/>
              <w:left w:val="single" w:sz="6" w:space="0" w:color="000000"/>
              <w:bottom w:val="single" w:sz="4" w:space="0" w:color="auto"/>
              <w:right w:val="single" w:sz="6" w:space="0" w:color="000000"/>
            </w:tcBorders>
            <w:hideMark/>
          </w:tcPr>
          <w:p w14:paraId="4435C5F1" w14:textId="77777777" w:rsidR="00F859C7" w:rsidRPr="00F36DFC" w:rsidRDefault="00F859C7">
            <w:pPr>
              <w:widowControl/>
              <w:ind w:left="57"/>
              <w:rPr>
                <w:rFonts w:ascii="Times New Roman" w:hAnsi="Times New Roman" w:cs="Times New Roman"/>
                <w:sz w:val="22"/>
                <w:lang w:val="da-DK"/>
              </w:rPr>
            </w:pPr>
            <w:r w:rsidRPr="00F36DFC">
              <w:rPr>
                <w:rFonts w:ascii="Times New Roman" w:hAnsi="Times New Roman" w:cs="Times New Roman"/>
                <w:sz w:val="22"/>
                <w:lang w:val="da-DK"/>
              </w:rPr>
              <w:t>300-500 mg/dag (én gang dagligt) = 15 – 25 ml/dag</w:t>
            </w:r>
          </w:p>
        </w:tc>
      </w:tr>
    </w:tbl>
    <w:p w14:paraId="7A9488E1" w14:textId="77777777" w:rsidR="00F859C7" w:rsidRPr="00F36DFC" w:rsidRDefault="00F859C7" w:rsidP="00F859C7">
      <w:pPr>
        <w:rPr>
          <w:b/>
          <w:sz w:val="24"/>
          <w:szCs w:val="24"/>
          <w:lang w:eastAsia="de-DE"/>
        </w:rPr>
      </w:pPr>
      <w:r w:rsidRPr="00F36DFC">
        <w:rPr>
          <w:b/>
          <w:bCs/>
          <w:sz w:val="24"/>
          <w:szCs w:val="24"/>
        </w:rPr>
        <w:t>Bemærk:</w:t>
      </w:r>
    </w:p>
    <w:p w14:paraId="2F54135B" w14:textId="77777777" w:rsidR="00F859C7" w:rsidRPr="00F36DFC" w:rsidRDefault="00F859C7" w:rsidP="00C26C40">
      <w:pPr>
        <w:ind w:left="284" w:hanging="284"/>
        <w:rPr>
          <w:sz w:val="24"/>
          <w:szCs w:val="24"/>
        </w:rPr>
      </w:pPr>
      <w:r w:rsidRPr="00F36DFC">
        <w:rPr>
          <w:sz w:val="24"/>
          <w:szCs w:val="24"/>
        </w:rPr>
        <w:t>a.</w:t>
      </w:r>
      <w:r w:rsidRPr="00F36DFC">
        <w:rPr>
          <w:sz w:val="24"/>
          <w:szCs w:val="24"/>
        </w:rPr>
        <w:tab/>
        <w:t>For at sikre opretholdelse af en terapeutisk dosis skal barnets vægt monitoreres og dosis justeres i henhold til ændringer i vægten op til en vægt på 55 kg. Dosis er 6-8 mg/kg/dag op til en dosis på maksimalt 500 mg/dag.</w:t>
      </w:r>
    </w:p>
    <w:p w14:paraId="47774806" w14:textId="77777777" w:rsidR="00F859C7" w:rsidRPr="00F36DFC" w:rsidRDefault="00F859C7" w:rsidP="00F859C7">
      <w:pPr>
        <w:rPr>
          <w:sz w:val="24"/>
          <w:szCs w:val="24"/>
        </w:rPr>
      </w:pPr>
    </w:p>
    <w:p w14:paraId="4612F056" w14:textId="4380F12E" w:rsidR="00F859C7" w:rsidRPr="00F36DFC" w:rsidRDefault="00F859C7" w:rsidP="00F859C7">
      <w:pPr>
        <w:rPr>
          <w:b/>
          <w:sz w:val="24"/>
          <w:szCs w:val="24"/>
        </w:rPr>
      </w:pPr>
      <w:r w:rsidRPr="00F36DFC">
        <w:rPr>
          <w:b/>
          <w:bCs/>
          <w:sz w:val="24"/>
          <w:szCs w:val="24"/>
        </w:rPr>
        <w:t>Tabel 3</w:t>
      </w:r>
      <w:r w:rsidR="00F36DFC">
        <w:rPr>
          <w:b/>
          <w:bCs/>
          <w:sz w:val="24"/>
          <w:szCs w:val="24"/>
        </w:rPr>
        <w:t>.</w:t>
      </w:r>
      <w:r w:rsidRPr="00F36DFC">
        <w:rPr>
          <w:b/>
          <w:bCs/>
          <w:sz w:val="24"/>
          <w:szCs w:val="24"/>
        </w:rPr>
        <w:t xml:space="preserve"> Dosisanbefalinger for børn på 6 år og derover med en legemsvægt på mellem 20 og 55 kg</w:t>
      </w:r>
    </w:p>
    <w:p w14:paraId="5F9AEB22" w14:textId="77777777" w:rsidR="00F859C7" w:rsidRPr="00F36DFC" w:rsidRDefault="00F859C7" w:rsidP="00F859C7">
      <w:pPr>
        <w:rPr>
          <w:sz w:val="24"/>
          <w:szCs w:val="24"/>
        </w:rPr>
      </w:pPr>
    </w:p>
    <w:tbl>
      <w:tblPr>
        <w:tblStyle w:val="Tabel-Gitter"/>
        <w:tblW w:w="5000" w:type="pct"/>
        <w:tblInd w:w="0" w:type="dxa"/>
        <w:tblLook w:val="04A0" w:firstRow="1" w:lastRow="0" w:firstColumn="1" w:lastColumn="0" w:noHBand="0" w:noVBand="1"/>
      </w:tblPr>
      <w:tblGrid>
        <w:gridCol w:w="1802"/>
        <w:gridCol w:w="3314"/>
        <w:gridCol w:w="4512"/>
      </w:tblGrid>
      <w:tr w:rsidR="00F859C7" w:rsidRPr="00F36DFC" w14:paraId="7BFD703F" w14:textId="77777777" w:rsidTr="00F36DFC">
        <w:tc>
          <w:tcPr>
            <w:tcW w:w="936" w:type="pct"/>
            <w:tcBorders>
              <w:top w:val="single" w:sz="4" w:space="0" w:color="auto"/>
              <w:left w:val="single" w:sz="4" w:space="0" w:color="auto"/>
              <w:bottom w:val="single" w:sz="4" w:space="0" w:color="auto"/>
              <w:right w:val="single" w:sz="4" w:space="0" w:color="auto"/>
            </w:tcBorders>
            <w:hideMark/>
          </w:tcPr>
          <w:p w14:paraId="553B53AA" w14:textId="77777777" w:rsidR="00F859C7" w:rsidRPr="00F36DFC" w:rsidRDefault="00F859C7">
            <w:pPr>
              <w:widowControl/>
              <w:rPr>
                <w:rFonts w:ascii="Times New Roman" w:hAnsi="Times New Roman" w:cs="Times New Roman"/>
                <w:b/>
                <w:sz w:val="22"/>
                <w:lang w:val="en-GB"/>
              </w:rPr>
            </w:pPr>
            <w:r w:rsidRPr="00F36DFC">
              <w:rPr>
                <w:rFonts w:ascii="Times New Roman" w:hAnsi="Times New Roman" w:cs="Times New Roman"/>
                <w:b/>
                <w:bCs/>
                <w:sz w:val="22"/>
                <w:lang w:val="da-DK"/>
              </w:rPr>
              <w:t>Legemsvægt</w:t>
            </w:r>
          </w:p>
        </w:tc>
        <w:tc>
          <w:tcPr>
            <w:tcW w:w="1721" w:type="pct"/>
            <w:tcBorders>
              <w:top w:val="single" w:sz="4" w:space="0" w:color="auto"/>
              <w:left w:val="single" w:sz="4" w:space="0" w:color="auto"/>
              <w:bottom w:val="single" w:sz="4" w:space="0" w:color="auto"/>
              <w:right w:val="single" w:sz="4" w:space="0" w:color="auto"/>
            </w:tcBorders>
            <w:hideMark/>
          </w:tcPr>
          <w:p w14:paraId="60057234" w14:textId="77777777" w:rsidR="00F859C7" w:rsidRPr="00F36DFC" w:rsidRDefault="00F859C7">
            <w:pPr>
              <w:widowControl/>
              <w:rPr>
                <w:rFonts w:ascii="Times New Roman" w:hAnsi="Times New Roman" w:cs="Times New Roman"/>
                <w:b/>
                <w:sz w:val="22"/>
              </w:rPr>
            </w:pPr>
            <w:r w:rsidRPr="00F36DFC">
              <w:rPr>
                <w:rFonts w:ascii="Times New Roman" w:hAnsi="Times New Roman" w:cs="Times New Roman"/>
                <w:b/>
                <w:bCs/>
                <w:sz w:val="22"/>
                <w:lang w:val="da-DK"/>
              </w:rPr>
              <w:t>Startdosis</w:t>
            </w:r>
          </w:p>
        </w:tc>
        <w:tc>
          <w:tcPr>
            <w:tcW w:w="2343" w:type="pct"/>
            <w:tcBorders>
              <w:top w:val="single" w:sz="4" w:space="0" w:color="auto"/>
              <w:left w:val="single" w:sz="4" w:space="0" w:color="auto"/>
              <w:bottom w:val="single" w:sz="4" w:space="0" w:color="auto"/>
              <w:right w:val="single" w:sz="4" w:space="0" w:color="auto"/>
            </w:tcBorders>
            <w:hideMark/>
          </w:tcPr>
          <w:p w14:paraId="4BFB1FBD" w14:textId="77777777" w:rsidR="00F859C7" w:rsidRPr="00F36DFC" w:rsidRDefault="00F859C7">
            <w:pPr>
              <w:widowControl/>
              <w:rPr>
                <w:rFonts w:ascii="Times New Roman" w:hAnsi="Times New Roman" w:cs="Times New Roman"/>
                <w:b/>
                <w:sz w:val="22"/>
              </w:rPr>
            </w:pPr>
            <w:r w:rsidRPr="00F36DFC">
              <w:rPr>
                <w:rFonts w:ascii="Times New Roman" w:hAnsi="Times New Roman" w:cs="Times New Roman"/>
                <w:b/>
                <w:bCs/>
                <w:sz w:val="22"/>
                <w:lang w:val="da-DK"/>
              </w:rPr>
              <w:t>Vedligeholdelsesdosis</w:t>
            </w:r>
          </w:p>
        </w:tc>
      </w:tr>
      <w:tr w:rsidR="00F859C7" w:rsidRPr="00F36DFC" w14:paraId="44613FE3" w14:textId="77777777" w:rsidTr="00F36DFC">
        <w:tc>
          <w:tcPr>
            <w:tcW w:w="936" w:type="pct"/>
            <w:tcBorders>
              <w:top w:val="single" w:sz="4" w:space="0" w:color="auto"/>
              <w:left w:val="single" w:sz="4" w:space="0" w:color="auto"/>
              <w:bottom w:val="single" w:sz="4" w:space="0" w:color="auto"/>
              <w:right w:val="single" w:sz="4" w:space="0" w:color="auto"/>
            </w:tcBorders>
            <w:hideMark/>
          </w:tcPr>
          <w:p w14:paraId="44C811E1" w14:textId="77777777" w:rsidR="00F859C7" w:rsidRPr="00F36DFC" w:rsidRDefault="00F859C7">
            <w:pPr>
              <w:widowControl/>
              <w:rPr>
                <w:rFonts w:ascii="Times New Roman" w:hAnsi="Times New Roman" w:cs="Times New Roman"/>
                <w:sz w:val="22"/>
              </w:rPr>
            </w:pPr>
            <w:r w:rsidRPr="00F36DFC">
              <w:rPr>
                <w:rFonts w:ascii="Times New Roman" w:hAnsi="Times New Roman" w:cs="Times New Roman"/>
                <w:sz w:val="22"/>
                <w:lang w:val="da-DK"/>
              </w:rPr>
              <w:t>20 kg</w:t>
            </w:r>
          </w:p>
        </w:tc>
        <w:tc>
          <w:tcPr>
            <w:tcW w:w="1721" w:type="pct"/>
            <w:tcBorders>
              <w:top w:val="single" w:sz="4" w:space="0" w:color="auto"/>
              <w:left w:val="single" w:sz="4" w:space="0" w:color="auto"/>
              <w:bottom w:val="single" w:sz="4" w:space="0" w:color="auto"/>
              <w:right w:val="single" w:sz="4" w:space="0" w:color="auto"/>
            </w:tcBorders>
            <w:hideMark/>
          </w:tcPr>
          <w:p w14:paraId="4A62BB48" w14:textId="77777777" w:rsidR="00F859C7" w:rsidRPr="00F36DFC" w:rsidRDefault="00F859C7">
            <w:pPr>
              <w:widowControl/>
              <w:rPr>
                <w:rFonts w:ascii="Times New Roman" w:hAnsi="Times New Roman" w:cs="Times New Roman"/>
                <w:sz w:val="22"/>
              </w:rPr>
            </w:pPr>
            <w:r w:rsidRPr="00F36DFC">
              <w:rPr>
                <w:rFonts w:ascii="Times New Roman" w:hAnsi="Times New Roman" w:cs="Times New Roman"/>
                <w:sz w:val="22"/>
                <w:lang w:val="da-DK"/>
              </w:rPr>
              <w:t>20 mg/dag = 1 ml/dag</w:t>
            </w:r>
          </w:p>
        </w:tc>
        <w:tc>
          <w:tcPr>
            <w:tcW w:w="2343" w:type="pct"/>
            <w:tcBorders>
              <w:top w:val="single" w:sz="4" w:space="0" w:color="auto"/>
              <w:left w:val="single" w:sz="4" w:space="0" w:color="auto"/>
              <w:bottom w:val="single" w:sz="4" w:space="0" w:color="auto"/>
              <w:right w:val="single" w:sz="4" w:space="0" w:color="auto"/>
            </w:tcBorders>
            <w:hideMark/>
          </w:tcPr>
          <w:p w14:paraId="48B78B21" w14:textId="77777777" w:rsidR="00F859C7" w:rsidRPr="00F36DFC" w:rsidRDefault="00F859C7">
            <w:pPr>
              <w:widowControl/>
              <w:rPr>
                <w:rFonts w:ascii="Times New Roman" w:hAnsi="Times New Roman" w:cs="Times New Roman"/>
                <w:sz w:val="22"/>
              </w:rPr>
            </w:pPr>
            <w:r w:rsidRPr="00F36DFC">
              <w:rPr>
                <w:rFonts w:ascii="Times New Roman" w:hAnsi="Times New Roman" w:cs="Times New Roman"/>
                <w:sz w:val="22"/>
                <w:lang w:val="da-DK"/>
              </w:rPr>
              <w:t>120 - 160 mg/dag = 6 - 8 ml/dag</w:t>
            </w:r>
          </w:p>
        </w:tc>
      </w:tr>
      <w:tr w:rsidR="00F859C7" w:rsidRPr="00F36DFC" w14:paraId="75A2DE0D" w14:textId="77777777" w:rsidTr="00F36DFC">
        <w:tc>
          <w:tcPr>
            <w:tcW w:w="936" w:type="pct"/>
            <w:tcBorders>
              <w:top w:val="single" w:sz="4" w:space="0" w:color="auto"/>
              <w:left w:val="single" w:sz="4" w:space="0" w:color="auto"/>
              <w:bottom w:val="single" w:sz="4" w:space="0" w:color="auto"/>
              <w:right w:val="single" w:sz="4" w:space="0" w:color="auto"/>
            </w:tcBorders>
            <w:hideMark/>
          </w:tcPr>
          <w:p w14:paraId="61DCCB91" w14:textId="77777777" w:rsidR="00F859C7" w:rsidRPr="00F36DFC" w:rsidRDefault="00F859C7">
            <w:pPr>
              <w:widowControl/>
              <w:rPr>
                <w:rFonts w:ascii="Times New Roman" w:hAnsi="Times New Roman" w:cs="Times New Roman"/>
                <w:sz w:val="22"/>
              </w:rPr>
            </w:pPr>
            <w:r w:rsidRPr="00F36DFC">
              <w:rPr>
                <w:rFonts w:ascii="Times New Roman" w:hAnsi="Times New Roman" w:cs="Times New Roman"/>
                <w:sz w:val="22"/>
                <w:lang w:val="da-DK"/>
              </w:rPr>
              <w:t>25 kg</w:t>
            </w:r>
          </w:p>
        </w:tc>
        <w:tc>
          <w:tcPr>
            <w:tcW w:w="1721" w:type="pct"/>
            <w:tcBorders>
              <w:top w:val="single" w:sz="4" w:space="0" w:color="auto"/>
              <w:left w:val="single" w:sz="4" w:space="0" w:color="auto"/>
              <w:bottom w:val="single" w:sz="4" w:space="0" w:color="auto"/>
              <w:right w:val="single" w:sz="4" w:space="0" w:color="auto"/>
            </w:tcBorders>
            <w:hideMark/>
          </w:tcPr>
          <w:p w14:paraId="6E7A6D4A" w14:textId="77777777" w:rsidR="00F859C7" w:rsidRPr="00F36DFC" w:rsidRDefault="00F859C7">
            <w:pPr>
              <w:widowControl/>
              <w:rPr>
                <w:rFonts w:ascii="Times New Roman" w:hAnsi="Times New Roman" w:cs="Times New Roman"/>
                <w:sz w:val="22"/>
              </w:rPr>
            </w:pPr>
            <w:r w:rsidRPr="00F36DFC">
              <w:rPr>
                <w:rFonts w:ascii="Times New Roman" w:hAnsi="Times New Roman" w:cs="Times New Roman"/>
                <w:sz w:val="22"/>
                <w:lang w:val="da-DK"/>
              </w:rPr>
              <w:t>25 mg/dag = 1,25 ml/dag</w:t>
            </w:r>
          </w:p>
        </w:tc>
        <w:tc>
          <w:tcPr>
            <w:tcW w:w="2343" w:type="pct"/>
            <w:tcBorders>
              <w:top w:val="single" w:sz="4" w:space="0" w:color="auto"/>
              <w:left w:val="single" w:sz="4" w:space="0" w:color="auto"/>
              <w:bottom w:val="single" w:sz="4" w:space="0" w:color="auto"/>
              <w:right w:val="single" w:sz="4" w:space="0" w:color="auto"/>
            </w:tcBorders>
            <w:hideMark/>
          </w:tcPr>
          <w:p w14:paraId="69BF9422" w14:textId="77777777" w:rsidR="00F859C7" w:rsidRPr="00F36DFC" w:rsidRDefault="00F859C7">
            <w:pPr>
              <w:widowControl/>
              <w:rPr>
                <w:rFonts w:ascii="Times New Roman" w:hAnsi="Times New Roman" w:cs="Times New Roman"/>
                <w:sz w:val="22"/>
              </w:rPr>
            </w:pPr>
            <w:r w:rsidRPr="00F36DFC">
              <w:rPr>
                <w:rFonts w:ascii="Times New Roman" w:hAnsi="Times New Roman" w:cs="Times New Roman"/>
                <w:sz w:val="22"/>
                <w:lang w:val="da-DK"/>
              </w:rPr>
              <w:t>150 - 200 mg/dag = 7,5 - 10 ml/dag</w:t>
            </w:r>
          </w:p>
        </w:tc>
      </w:tr>
      <w:tr w:rsidR="00F859C7" w:rsidRPr="00F36DFC" w14:paraId="3AE527CA" w14:textId="77777777" w:rsidTr="00F36DFC">
        <w:tc>
          <w:tcPr>
            <w:tcW w:w="936" w:type="pct"/>
            <w:tcBorders>
              <w:top w:val="single" w:sz="4" w:space="0" w:color="auto"/>
              <w:left w:val="single" w:sz="4" w:space="0" w:color="auto"/>
              <w:bottom w:val="single" w:sz="4" w:space="0" w:color="auto"/>
              <w:right w:val="single" w:sz="4" w:space="0" w:color="auto"/>
            </w:tcBorders>
            <w:hideMark/>
          </w:tcPr>
          <w:p w14:paraId="042D82AD" w14:textId="77777777" w:rsidR="00F859C7" w:rsidRPr="00F36DFC" w:rsidRDefault="00F859C7">
            <w:pPr>
              <w:widowControl/>
              <w:rPr>
                <w:rFonts w:ascii="Times New Roman" w:hAnsi="Times New Roman" w:cs="Times New Roman"/>
                <w:sz w:val="22"/>
              </w:rPr>
            </w:pPr>
            <w:r w:rsidRPr="00F36DFC">
              <w:rPr>
                <w:rFonts w:ascii="Times New Roman" w:hAnsi="Times New Roman" w:cs="Times New Roman"/>
                <w:sz w:val="22"/>
                <w:lang w:val="da-DK"/>
              </w:rPr>
              <w:t>30 kg</w:t>
            </w:r>
          </w:p>
        </w:tc>
        <w:tc>
          <w:tcPr>
            <w:tcW w:w="1721" w:type="pct"/>
            <w:tcBorders>
              <w:top w:val="single" w:sz="4" w:space="0" w:color="auto"/>
              <w:left w:val="single" w:sz="4" w:space="0" w:color="auto"/>
              <w:bottom w:val="single" w:sz="4" w:space="0" w:color="auto"/>
              <w:right w:val="single" w:sz="4" w:space="0" w:color="auto"/>
            </w:tcBorders>
            <w:hideMark/>
          </w:tcPr>
          <w:p w14:paraId="60FAD454" w14:textId="77777777" w:rsidR="00F859C7" w:rsidRPr="00F36DFC" w:rsidRDefault="00F859C7">
            <w:pPr>
              <w:widowControl/>
              <w:rPr>
                <w:rFonts w:ascii="Times New Roman" w:hAnsi="Times New Roman" w:cs="Times New Roman"/>
                <w:sz w:val="22"/>
              </w:rPr>
            </w:pPr>
            <w:r w:rsidRPr="00F36DFC">
              <w:rPr>
                <w:rFonts w:ascii="Times New Roman" w:hAnsi="Times New Roman" w:cs="Times New Roman"/>
                <w:sz w:val="22"/>
                <w:lang w:val="da-DK"/>
              </w:rPr>
              <w:t>30 mg/dag = 1,5 ml/dag</w:t>
            </w:r>
          </w:p>
        </w:tc>
        <w:tc>
          <w:tcPr>
            <w:tcW w:w="2343" w:type="pct"/>
            <w:tcBorders>
              <w:top w:val="single" w:sz="4" w:space="0" w:color="auto"/>
              <w:left w:val="single" w:sz="4" w:space="0" w:color="auto"/>
              <w:bottom w:val="single" w:sz="4" w:space="0" w:color="auto"/>
              <w:right w:val="single" w:sz="4" w:space="0" w:color="auto"/>
            </w:tcBorders>
            <w:hideMark/>
          </w:tcPr>
          <w:p w14:paraId="11B07E2C" w14:textId="77777777" w:rsidR="00F859C7" w:rsidRPr="00F36DFC" w:rsidRDefault="00F859C7">
            <w:pPr>
              <w:widowControl/>
              <w:rPr>
                <w:rFonts w:ascii="Times New Roman" w:hAnsi="Times New Roman" w:cs="Times New Roman"/>
                <w:sz w:val="22"/>
              </w:rPr>
            </w:pPr>
            <w:r w:rsidRPr="00F36DFC">
              <w:rPr>
                <w:rFonts w:ascii="Times New Roman" w:hAnsi="Times New Roman" w:cs="Times New Roman"/>
                <w:sz w:val="22"/>
                <w:lang w:val="da-DK"/>
              </w:rPr>
              <w:t>180 - 240 mg/dag = 9 - 12 ml/dag</w:t>
            </w:r>
          </w:p>
        </w:tc>
      </w:tr>
      <w:tr w:rsidR="00F859C7" w:rsidRPr="00F36DFC" w14:paraId="1058BDFF" w14:textId="77777777" w:rsidTr="00F36DFC">
        <w:tc>
          <w:tcPr>
            <w:tcW w:w="936" w:type="pct"/>
            <w:tcBorders>
              <w:top w:val="single" w:sz="4" w:space="0" w:color="auto"/>
              <w:left w:val="single" w:sz="4" w:space="0" w:color="auto"/>
              <w:bottom w:val="single" w:sz="4" w:space="0" w:color="auto"/>
              <w:right w:val="single" w:sz="4" w:space="0" w:color="auto"/>
            </w:tcBorders>
            <w:hideMark/>
          </w:tcPr>
          <w:p w14:paraId="04344701" w14:textId="77777777" w:rsidR="00F859C7" w:rsidRPr="00F36DFC" w:rsidRDefault="00F859C7">
            <w:pPr>
              <w:widowControl/>
              <w:rPr>
                <w:rFonts w:ascii="Times New Roman" w:hAnsi="Times New Roman" w:cs="Times New Roman"/>
                <w:sz w:val="22"/>
              </w:rPr>
            </w:pPr>
            <w:r w:rsidRPr="00F36DFC">
              <w:rPr>
                <w:rFonts w:ascii="Times New Roman" w:hAnsi="Times New Roman" w:cs="Times New Roman"/>
                <w:sz w:val="22"/>
                <w:lang w:val="da-DK"/>
              </w:rPr>
              <w:t>35 kg</w:t>
            </w:r>
          </w:p>
        </w:tc>
        <w:tc>
          <w:tcPr>
            <w:tcW w:w="1721" w:type="pct"/>
            <w:tcBorders>
              <w:top w:val="single" w:sz="4" w:space="0" w:color="auto"/>
              <w:left w:val="single" w:sz="4" w:space="0" w:color="auto"/>
              <w:bottom w:val="single" w:sz="4" w:space="0" w:color="auto"/>
              <w:right w:val="single" w:sz="4" w:space="0" w:color="auto"/>
            </w:tcBorders>
            <w:hideMark/>
          </w:tcPr>
          <w:p w14:paraId="6494A3F0" w14:textId="77777777" w:rsidR="00F859C7" w:rsidRPr="00F36DFC" w:rsidRDefault="00F859C7">
            <w:pPr>
              <w:widowControl/>
              <w:rPr>
                <w:rFonts w:ascii="Times New Roman" w:hAnsi="Times New Roman" w:cs="Times New Roman"/>
                <w:sz w:val="22"/>
              </w:rPr>
            </w:pPr>
            <w:r w:rsidRPr="00F36DFC">
              <w:rPr>
                <w:rFonts w:ascii="Times New Roman" w:hAnsi="Times New Roman" w:cs="Times New Roman"/>
                <w:sz w:val="22"/>
                <w:lang w:val="da-DK"/>
              </w:rPr>
              <w:t>35 mg/dag = 1,75 ml/dag</w:t>
            </w:r>
          </w:p>
        </w:tc>
        <w:tc>
          <w:tcPr>
            <w:tcW w:w="2343" w:type="pct"/>
            <w:tcBorders>
              <w:top w:val="single" w:sz="4" w:space="0" w:color="auto"/>
              <w:left w:val="single" w:sz="4" w:space="0" w:color="auto"/>
              <w:bottom w:val="single" w:sz="4" w:space="0" w:color="auto"/>
              <w:right w:val="single" w:sz="4" w:space="0" w:color="auto"/>
            </w:tcBorders>
            <w:hideMark/>
          </w:tcPr>
          <w:p w14:paraId="35621F55" w14:textId="77777777" w:rsidR="00F859C7" w:rsidRPr="00F36DFC" w:rsidRDefault="00F859C7">
            <w:pPr>
              <w:widowControl/>
              <w:rPr>
                <w:rFonts w:ascii="Times New Roman" w:hAnsi="Times New Roman" w:cs="Times New Roman"/>
                <w:sz w:val="22"/>
              </w:rPr>
            </w:pPr>
            <w:r w:rsidRPr="00F36DFC">
              <w:rPr>
                <w:rFonts w:ascii="Times New Roman" w:hAnsi="Times New Roman" w:cs="Times New Roman"/>
                <w:sz w:val="22"/>
                <w:lang w:val="da-DK"/>
              </w:rPr>
              <w:t>210 - 280 mg/dag = 10,5 - 14 ml/dag</w:t>
            </w:r>
          </w:p>
        </w:tc>
      </w:tr>
      <w:tr w:rsidR="00F859C7" w:rsidRPr="00F36DFC" w14:paraId="76FFCF89" w14:textId="77777777" w:rsidTr="00F36DFC">
        <w:tc>
          <w:tcPr>
            <w:tcW w:w="936" w:type="pct"/>
            <w:tcBorders>
              <w:top w:val="single" w:sz="4" w:space="0" w:color="auto"/>
              <w:left w:val="single" w:sz="4" w:space="0" w:color="auto"/>
              <w:bottom w:val="single" w:sz="4" w:space="0" w:color="auto"/>
              <w:right w:val="single" w:sz="4" w:space="0" w:color="auto"/>
            </w:tcBorders>
            <w:hideMark/>
          </w:tcPr>
          <w:p w14:paraId="377DA95E" w14:textId="77777777" w:rsidR="00F859C7" w:rsidRPr="00F36DFC" w:rsidRDefault="00F859C7">
            <w:pPr>
              <w:widowControl/>
              <w:rPr>
                <w:rFonts w:ascii="Times New Roman" w:hAnsi="Times New Roman" w:cs="Times New Roman"/>
                <w:sz w:val="22"/>
              </w:rPr>
            </w:pPr>
            <w:r w:rsidRPr="00F36DFC">
              <w:rPr>
                <w:rFonts w:ascii="Times New Roman" w:hAnsi="Times New Roman" w:cs="Times New Roman"/>
                <w:sz w:val="22"/>
                <w:lang w:val="da-DK"/>
              </w:rPr>
              <w:t>40 kg</w:t>
            </w:r>
          </w:p>
        </w:tc>
        <w:tc>
          <w:tcPr>
            <w:tcW w:w="1721" w:type="pct"/>
            <w:tcBorders>
              <w:top w:val="single" w:sz="4" w:space="0" w:color="auto"/>
              <w:left w:val="single" w:sz="4" w:space="0" w:color="auto"/>
              <w:bottom w:val="single" w:sz="4" w:space="0" w:color="auto"/>
              <w:right w:val="single" w:sz="4" w:space="0" w:color="auto"/>
            </w:tcBorders>
            <w:hideMark/>
          </w:tcPr>
          <w:p w14:paraId="6AD74ACC" w14:textId="77777777" w:rsidR="00F859C7" w:rsidRPr="00F36DFC" w:rsidRDefault="00F859C7">
            <w:pPr>
              <w:widowControl/>
              <w:rPr>
                <w:rFonts w:ascii="Times New Roman" w:hAnsi="Times New Roman" w:cs="Times New Roman"/>
                <w:sz w:val="22"/>
              </w:rPr>
            </w:pPr>
            <w:r w:rsidRPr="00F36DFC">
              <w:rPr>
                <w:rFonts w:ascii="Times New Roman" w:hAnsi="Times New Roman" w:cs="Times New Roman"/>
                <w:sz w:val="22"/>
                <w:lang w:val="da-DK"/>
              </w:rPr>
              <w:t>40 mg/dag = 2 ml/dag</w:t>
            </w:r>
          </w:p>
        </w:tc>
        <w:tc>
          <w:tcPr>
            <w:tcW w:w="2343" w:type="pct"/>
            <w:tcBorders>
              <w:top w:val="single" w:sz="4" w:space="0" w:color="auto"/>
              <w:left w:val="single" w:sz="4" w:space="0" w:color="auto"/>
              <w:bottom w:val="single" w:sz="4" w:space="0" w:color="auto"/>
              <w:right w:val="single" w:sz="4" w:space="0" w:color="auto"/>
            </w:tcBorders>
            <w:hideMark/>
          </w:tcPr>
          <w:p w14:paraId="605D512B" w14:textId="77777777" w:rsidR="00F859C7" w:rsidRPr="00F36DFC" w:rsidRDefault="00F859C7">
            <w:pPr>
              <w:widowControl/>
              <w:rPr>
                <w:rFonts w:ascii="Times New Roman" w:hAnsi="Times New Roman" w:cs="Times New Roman"/>
                <w:sz w:val="22"/>
              </w:rPr>
            </w:pPr>
            <w:r w:rsidRPr="00F36DFC">
              <w:rPr>
                <w:rFonts w:ascii="Times New Roman" w:hAnsi="Times New Roman" w:cs="Times New Roman"/>
                <w:sz w:val="22"/>
                <w:lang w:val="da-DK"/>
              </w:rPr>
              <w:t>240 - 320 mg/dag = 12 - 16 ml/dag</w:t>
            </w:r>
          </w:p>
        </w:tc>
      </w:tr>
      <w:tr w:rsidR="00F859C7" w:rsidRPr="00F36DFC" w14:paraId="5A215277" w14:textId="77777777" w:rsidTr="00F36DFC">
        <w:tc>
          <w:tcPr>
            <w:tcW w:w="936" w:type="pct"/>
            <w:tcBorders>
              <w:top w:val="single" w:sz="4" w:space="0" w:color="auto"/>
              <w:left w:val="single" w:sz="4" w:space="0" w:color="auto"/>
              <w:bottom w:val="single" w:sz="4" w:space="0" w:color="auto"/>
              <w:right w:val="single" w:sz="4" w:space="0" w:color="auto"/>
            </w:tcBorders>
            <w:hideMark/>
          </w:tcPr>
          <w:p w14:paraId="4EC9B0B5" w14:textId="77777777" w:rsidR="00F859C7" w:rsidRPr="00F36DFC" w:rsidRDefault="00F859C7">
            <w:pPr>
              <w:widowControl/>
              <w:rPr>
                <w:rFonts w:ascii="Times New Roman" w:hAnsi="Times New Roman" w:cs="Times New Roman"/>
                <w:sz w:val="22"/>
              </w:rPr>
            </w:pPr>
            <w:r w:rsidRPr="00F36DFC">
              <w:rPr>
                <w:rFonts w:ascii="Times New Roman" w:hAnsi="Times New Roman" w:cs="Times New Roman"/>
                <w:sz w:val="22"/>
                <w:lang w:val="da-DK"/>
              </w:rPr>
              <w:t>45 kg</w:t>
            </w:r>
          </w:p>
        </w:tc>
        <w:tc>
          <w:tcPr>
            <w:tcW w:w="1721" w:type="pct"/>
            <w:tcBorders>
              <w:top w:val="single" w:sz="4" w:space="0" w:color="auto"/>
              <w:left w:val="single" w:sz="4" w:space="0" w:color="auto"/>
              <w:bottom w:val="single" w:sz="4" w:space="0" w:color="auto"/>
              <w:right w:val="single" w:sz="4" w:space="0" w:color="auto"/>
            </w:tcBorders>
            <w:hideMark/>
          </w:tcPr>
          <w:p w14:paraId="2A8CE5FF" w14:textId="77777777" w:rsidR="00F859C7" w:rsidRPr="00F36DFC" w:rsidRDefault="00F859C7">
            <w:pPr>
              <w:widowControl/>
              <w:rPr>
                <w:rFonts w:ascii="Times New Roman" w:hAnsi="Times New Roman" w:cs="Times New Roman"/>
                <w:sz w:val="22"/>
              </w:rPr>
            </w:pPr>
            <w:r w:rsidRPr="00F36DFC">
              <w:rPr>
                <w:rFonts w:ascii="Times New Roman" w:hAnsi="Times New Roman" w:cs="Times New Roman"/>
                <w:sz w:val="22"/>
                <w:lang w:val="da-DK"/>
              </w:rPr>
              <w:t>45 mg/dag = 2,25 ml/dag</w:t>
            </w:r>
          </w:p>
        </w:tc>
        <w:tc>
          <w:tcPr>
            <w:tcW w:w="2343" w:type="pct"/>
            <w:tcBorders>
              <w:top w:val="single" w:sz="4" w:space="0" w:color="auto"/>
              <w:left w:val="single" w:sz="4" w:space="0" w:color="auto"/>
              <w:bottom w:val="single" w:sz="4" w:space="0" w:color="auto"/>
              <w:right w:val="single" w:sz="4" w:space="0" w:color="auto"/>
            </w:tcBorders>
            <w:hideMark/>
          </w:tcPr>
          <w:p w14:paraId="7A604418" w14:textId="77777777" w:rsidR="00F859C7" w:rsidRPr="00F36DFC" w:rsidRDefault="00F859C7">
            <w:pPr>
              <w:widowControl/>
              <w:rPr>
                <w:rFonts w:ascii="Times New Roman" w:hAnsi="Times New Roman" w:cs="Times New Roman"/>
                <w:sz w:val="22"/>
              </w:rPr>
            </w:pPr>
            <w:r w:rsidRPr="00F36DFC">
              <w:rPr>
                <w:rFonts w:ascii="Times New Roman" w:hAnsi="Times New Roman" w:cs="Times New Roman"/>
                <w:sz w:val="22"/>
                <w:lang w:val="da-DK"/>
              </w:rPr>
              <w:t>270 - 360 mg/dag = 13,5 - 18 ml/dag</w:t>
            </w:r>
          </w:p>
        </w:tc>
      </w:tr>
      <w:tr w:rsidR="00F859C7" w:rsidRPr="00F36DFC" w14:paraId="3CC1A0E1" w14:textId="77777777" w:rsidTr="00F36DFC">
        <w:tc>
          <w:tcPr>
            <w:tcW w:w="936" w:type="pct"/>
            <w:tcBorders>
              <w:top w:val="single" w:sz="4" w:space="0" w:color="auto"/>
              <w:left w:val="single" w:sz="4" w:space="0" w:color="auto"/>
              <w:bottom w:val="single" w:sz="4" w:space="0" w:color="auto"/>
              <w:right w:val="single" w:sz="4" w:space="0" w:color="auto"/>
            </w:tcBorders>
            <w:hideMark/>
          </w:tcPr>
          <w:p w14:paraId="4B6581E9" w14:textId="77777777" w:rsidR="00F859C7" w:rsidRPr="00F36DFC" w:rsidRDefault="00F859C7">
            <w:pPr>
              <w:widowControl/>
              <w:rPr>
                <w:rFonts w:ascii="Times New Roman" w:hAnsi="Times New Roman" w:cs="Times New Roman"/>
                <w:sz w:val="22"/>
              </w:rPr>
            </w:pPr>
            <w:r w:rsidRPr="00F36DFC">
              <w:rPr>
                <w:rFonts w:ascii="Times New Roman" w:hAnsi="Times New Roman" w:cs="Times New Roman"/>
                <w:sz w:val="22"/>
                <w:lang w:val="da-DK"/>
              </w:rPr>
              <w:t>50 kg</w:t>
            </w:r>
          </w:p>
        </w:tc>
        <w:tc>
          <w:tcPr>
            <w:tcW w:w="1721" w:type="pct"/>
            <w:tcBorders>
              <w:top w:val="single" w:sz="4" w:space="0" w:color="auto"/>
              <w:left w:val="single" w:sz="4" w:space="0" w:color="auto"/>
              <w:bottom w:val="single" w:sz="4" w:space="0" w:color="auto"/>
              <w:right w:val="single" w:sz="4" w:space="0" w:color="auto"/>
            </w:tcBorders>
            <w:hideMark/>
          </w:tcPr>
          <w:p w14:paraId="1035A9F4" w14:textId="77777777" w:rsidR="00F859C7" w:rsidRPr="00F36DFC" w:rsidRDefault="00F859C7">
            <w:pPr>
              <w:widowControl/>
              <w:rPr>
                <w:rFonts w:ascii="Times New Roman" w:hAnsi="Times New Roman" w:cs="Times New Roman"/>
                <w:sz w:val="22"/>
              </w:rPr>
            </w:pPr>
            <w:r w:rsidRPr="00F36DFC">
              <w:rPr>
                <w:rFonts w:ascii="Times New Roman" w:hAnsi="Times New Roman" w:cs="Times New Roman"/>
                <w:sz w:val="22"/>
                <w:lang w:val="da-DK"/>
              </w:rPr>
              <w:t>50 mg/dag = 2,5 ml/dag</w:t>
            </w:r>
          </w:p>
        </w:tc>
        <w:tc>
          <w:tcPr>
            <w:tcW w:w="2343" w:type="pct"/>
            <w:tcBorders>
              <w:top w:val="single" w:sz="4" w:space="0" w:color="auto"/>
              <w:left w:val="single" w:sz="4" w:space="0" w:color="auto"/>
              <w:bottom w:val="single" w:sz="4" w:space="0" w:color="auto"/>
              <w:right w:val="single" w:sz="4" w:space="0" w:color="auto"/>
            </w:tcBorders>
            <w:hideMark/>
          </w:tcPr>
          <w:p w14:paraId="75C5B51A" w14:textId="77777777" w:rsidR="00F859C7" w:rsidRPr="00F36DFC" w:rsidRDefault="00F859C7">
            <w:pPr>
              <w:widowControl/>
              <w:rPr>
                <w:rFonts w:ascii="Times New Roman" w:hAnsi="Times New Roman" w:cs="Times New Roman"/>
                <w:sz w:val="22"/>
              </w:rPr>
            </w:pPr>
            <w:r w:rsidRPr="00F36DFC">
              <w:rPr>
                <w:rFonts w:ascii="Times New Roman" w:hAnsi="Times New Roman" w:cs="Times New Roman"/>
                <w:sz w:val="22"/>
                <w:lang w:val="da-DK"/>
              </w:rPr>
              <w:t>300 - 400 mg/dag = 15 - 20 ml/dag</w:t>
            </w:r>
          </w:p>
        </w:tc>
      </w:tr>
      <w:tr w:rsidR="00F859C7" w:rsidRPr="00F36DFC" w14:paraId="6477BEF4" w14:textId="77777777" w:rsidTr="00F36DFC">
        <w:tc>
          <w:tcPr>
            <w:tcW w:w="936" w:type="pct"/>
            <w:tcBorders>
              <w:top w:val="single" w:sz="4" w:space="0" w:color="auto"/>
              <w:left w:val="single" w:sz="4" w:space="0" w:color="auto"/>
              <w:bottom w:val="single" w:sz="4" w:space="0" w:color="auto"/>
              <w:right w:val="single" w:sz="4" w:space="0" w:color="auto"/>
            </w:tcBorders>
            <w:hideMark/>
          </w:tcPr>
          <w:p w14:paraId="6B45AA15" w14:textId="77777777" w:rsidR="00F859C7" w:rsidRPr="00F36DFC" w:rsidRDefault="00F859C7">
            <w:pPr>
              <w:widowControl/>
              <w:rPr>
                <w:rFonts w:ascii="Times New Roman" w:hAnsi="Times New Roman" w:cs="Times New Roman"/>
                <w:sz w:val="22"/>
              </w:rPr>
            </w:pPr>
            <w:r w:rsidRPr="00F36DFC">
              <w:rPr>
                <w:rFonts w:ascii="Times New Roman" w:hAnsi="Times New Roman" w:cs="Times New Roman"/>
                <w:sz w:val="22"/>
                <w:lang w:val="da-DK"/>
              </w:rPr>
              <w:t>55 kg</w:t>
            </w:r>
          </w:p>
        </w:tc>
        <w:tc>
          <w:tcPr>
            <w:tcW w:w="1721" w:type="pct"/>
            <w:tcBorders>
              <w:top w:val="single" w:sz="4" w:space="0" w:color="auto"/>
              <w:left w:val="single" w:sz="4" w:space="0" w:color="auto"/>
              <w:bottom w:val="single" w:sz="4" w:space="0" w:color="auto"/>
              <w:right w:val="single" w:sz="4" w:space="0" w:color="auto"/>
            </w:tcBorders>
            <w:hideMark/>
          </w:tcPr>
          <w:p w14:paraId="6A9AD95E" w14:textId="77777777" w:rsidR="00F859C7" w:rsidRPr="00F36DFC" w:rsidRDefault="00F859C7">
            <w:pPr>
              <w:widowControl/>
              <w:rPr>
                <w:rFonts w:ascii="Times New Roman" w:hAnsi="Times New Roman" w:cs="Times New Roman"/>
                <w:sz w:val="22"/>
              </w:rPr>
            </w:pPr>
            <w:r w:rsidRPr="00F36DFC">
              <w:rPr>
                <w:rFonts w:ascii="Times New Roman" w:hAnsi="Times New Roman" w:cs="Times New Roman"/>
                <w:sz w:val="22"/>
                <w:lang w:val="da-DK"/>
              </w:rPr>
              <w:t>55 mg/dag = 2,75 ml/dag</w:t>
            </w:r>
          </w:p>
        </w:tc>
        <w:tc>
          <w:tcPr>
            <w:tcW w:w="2343" w:type="pct"/>
            <w:tcBorders>
              <w:top w:val="single" w:sz="4" w:space="0" w:color="auto"/>
              <w:left w:val="single" w:sz="4" w:space="0" w:color="auto"/>
              <w:bottom w:val="single" w:sz="4" w:space="0" w:color="auto"/>
              <w:right w:val="single" w:sz="4" w:space="0" w:color="auto"/>
            </w:tcBorders>
            <w:hideMark/>
          </w:tcPr>
          <w:p w14:paraId="5191E129" w14:textId="77777777" w:rsidR="00F859C7" w:rsidRPr="00F36DFC" w:rsidRDefault="00F859C7">
            <w:pPr>
              <w:widowControl/>
              <w:rPr>
                <w:rFonts w:ascii="Times New Roman" w:hAnsi="Times New Roman" w:cs="Times New Roman"/>
                <w:sz w:val="22"/>
              </w:rPr>
            </w:pPr>
            <w:r w:rsidRPr="00F36DFC">
              <w:rPr>
                <w:rFonts w:ascii="Times New Roman" w:hAnsi="Times New Roman" w:cs="Times New Roman"/>
                <w:sz w:val="22"/>
                <w:lang w:val="da-DK"/>
              </w:rPr>
              <w:t>330 - 440 mg/dag = 16,5 - 22 ml/dag</w:t>
            </w:r>
          </w:p>
        </w:tc>
      </w:tr>
    </w:tbl>
    <w:p w14:paraId="60E58768" w14:textId="77777777" w:rsidR="00F859C7" w:rsidRPr="00F36DFC" w:rsidRDefault="00F859C7" w:rsidP="00F859C7">
      <w:pPr>
        <w:rPr>
          <w:sz w:val="24"/>
          <w:szCs w:val="24"/>
          <w:lang w:val="en-GB" w:eastAsia="de-DE"/>
        </w:rPr>
      </w:pPr>
    </w:p>
    <w:p w14:paraId="70F43EFD" w14:textId="148F56F1" w:rsidR="00F859C7" w:rsidRPr="00F36DFC" w:rsidRDefault="00F859C7" w:rsidP="00D16F2D">
      <w:pPr>
        <w:ind w:left="851"/>
        <w:rPr>
          <w:sz w:val="24"/>
          <w:szCs w:val="24"/>
        </w:rPr>
      </w:pPr>
      <w:proofErr w:type="spellStart"/>
      <w:r w:rsidRPr="00F36DFC">
        <w:rPr>
          <w:sz w:val="24"/>
          <w:szCs w:val="24"/>
        </w:rPr>
        <w:t>Zonisamid</w:t>
      </w:r>
      <w:proofErr w:type="spellEnd"/>
      <w:r w:rsidRPr="00F36DFC">
        <w:rPr>
          <w:sz w:val="24"/>
          <w:szCs w:val="24"/>
        </w:rPr>
        <w:t xml:space="preserve"> </w:t>
      </w:r>
      <w:r w:rsidR="00C26C40">
        <w:rPr>
          <w:sz w:val="24"/>
          <w:szCs w:val="24"/>
        </w:rPr>
        <w:t>"</w:t>
      </w:r>
      <w:proofErr w:type="spellStart"/>
      <w:r w:rsidR="00C26C40">
        <w:rPr>
          <w:sz w:val="24"/>
          <w:szCs w:val="24"/>
        </w:rPr>
        <w:t>Desitin"</w:t>
      </w:r>
      <w:r w:rsidRPr="00F36DFC">
        <w:rPr>
          <w:sz w:val="24"/>
          <w:szCs w:val="24"/>
        </w:rPr>
        <w:t>s</w:t>
      </w:r>
      <w:proofErr w:type="spellEnd"/>
      <w:r w:rsidRPr="00F36DFC">
        <w:rPr>
          <w:sz w:val="24"/>
          <w:szCs w:val="24"/>
        </w:rPr>
        <w:t xml:space="preserve"> sikkerhed og virkning hos børn under 6 år eller under 20 kg er endnu ikke klarlagt.</w:t>
      </w:r>
    </w:p>
    <w:p w14:paraId="6521640C" w14:textId="77777777" w:rsidR="00F859C7" w:rsidRPr="00F36DFC" w:rsidRDefault="00F859C7" w:rsidP="00D16F2D">
      <w:pPr>
        <w:ind w:left="851"/>
        <w:rPr>
          <w:sz w:val="24"/>
          <w:szCs w:val="24"/>
        </w:rPr>
      </w:pPr>
    </w:p>
    <w:p w14:paraId="4D080F2E" w14:textId="77777777" w:rsidR="00F859C7" w:rsidRPr="00F36DFC" w:rsidRDefault="00F859C7" w:rsidP="00D16F2D">
      <w:pPr>
        <w:ind w:left="851"/>
        <w:rPr>
          <w:sz w:val="24"/>
          <w:szCs w:val="24"/>
        </w:rPr>
      </w:pPr>
      <w:r w:rsidRPr="00F36DFC">
        <w:rPr>
          <w:sz w:val="24"/>
          <w:szCs w:val="24"/>
        </w:rPr>
        <w:t>Der findes kun begrænsede data fra kliniske studier hos patienter med legemsvægt under 20 kg. Derfor skal børn på 6 år og derover med legemsvægt under 20 kg behandles med forsigtighed.</w:t>
      </w:r>
    </w:p>
    <w:p w14:paraId="493B23FD" w14:textId="77777777" w:rsidR="00F859C7" w:rsidRPr="00F36DFC" w:rsidRDefault="00F859C7" w:rsidP="00D16F2D">
      <w:pPr>
        <w:ind w:left="851"/>
        <w:rPr>
          <w:sz w:val="24"/>
          <w:szCs w:val="24"/>
        </w:rPr>
      </w:pPr>
    </w:p>
    <w:p w14:paraId="7CE0774D" w14:textId="77777777" w:rsidR="00F859C7" w:rsidRPr="00F36DFC" w:rsidRDefault="00F859C7" w:rsidP="00D16F2D">
      <w:pPr>
        <w:ind w:left="851"/>
        <w:rPr>
          <w:sz w:val="24"/>
          <w:szCs w:val="24"/>
        </w:rPr>
      </w:pPr>
      <w:proofErr w:type="spellStart"/>
      <w:r w:rsidRPr="00F36DFC">
        <w:rPr>
          <w:i/>
          <w:iCs/>
          <w:sz w:val="24"/>
          <w:szCs w:val="24"/>
        </w:rPr>
        <w:t>Seponering</w:t>
      </w:r>
      <w:proofErr w:type="spellEnd"/>
    </w:p>
    <w:p w14:paraId="4A4DAF5F" w14:textId="5F4DA961" w:rsidR="00F859C7" w:rsidRPr="00F36DFC" w:rsidRDefault="00F859C7" w:rsidP="00D16F2D">
      <w:pPr>
        <w:ind w:left="851"/>
        <w:rPr>
          <w:sz w:val="24"/>
          <w:szCs w:val="24"/>
        </w:rPr>
      </w:pPr>
      <w:r w:rsidRPr="00F36DFC">
        <w:rPr>
          <w:sz w:val="24"/>
          <w:szCs w:val="24"/>
        </w:rPr>
        <w:t xml:space="preserve">Når </w:t>
      </w:r>
      <w:proofErr w:type="spellStart"/>
      <w:r w:rsidRPr="00F36DFC">
        <w:rPr>
          <w:sz w:val="24"/>
          <w:szCs w:val="24"/>
        </w:rPr>
        <w:t>Zonisamid</w:t>
      </w:r>
      <w:proofErr w:type="spellEnd"/>
      <w:r w:rsidRPr="00F36DFC">
        <w:rPr>
          <w:sz w:val="24"/>
          <w:szCs w:val="24"/>
        </w:rPr>
        <w:t xml:space="preserve"> </w:t>
      </w:r>
      <w:r w:rsidR="00C26C40">
        <w:rPr>
          <w:sz w:val="24"/>
          <w:szCs w:val="24"/>
        </w:rPr>
        <w:t>"</w:t>
      </w:r>
      <w:proofErr w:type="spellStart"/>
      <w:r w:rsidR="00C26C40">
        <w:rPr>
          <w:sz w:val="24"/>
          <w:szCs w:val="24"/>
        </w:rPr>
        <w:t>Desitin</w:t>
      </w:r>
      <w:proofErr w:type="spellEnd"/>
      <w:r w:rsidR="00C26C40">
        <w:rPr>
          <w:sz w:val="24"/>
          <w:szCs w:val="24"/>
        </w:rPr>
        <w:t>"</w:t>
      </w:r>
      <w:r w:rsidRPr="00F36DFC">
        <w:rPr>
          <w:sz w:val="24"/>
          <w:szCs w:val="24"/>
        </w:rPr>
        <w:t xml:space="preserve"> seponeres, bør det ske gradvist (se pkt. 4.4). I kliniske studier med pædiatriske patienter blev nedtitrering gennemført ved dosisreduktion med ugentlige intervaller i trin på ca. 2 mg/kg (dvs. i overensstemmelse med tabel 4).</w:t>
      </w:r>
    </w:p>
    <w:p w14:paraId="214DA6A8" w14:textId="77777777" w:rsidR="00F859C7" w:rsidRPr="00F36DFC" w:rsidRDefault="00F859C7" w:rsidP="00D16F2D">
      <w:pPr>
        <w:ind w:left="851"/>
        <w:rPr>
          <w:sz w:val="24"/>
          <w:szCs w:val="24"/>
        </w:rPr>
      </w:pPr>
    </w:p>
    <w:p w14:paraId="3AFF3806" w14:textId="77777777" w:rsidR="00F859C7" w:rsidRPr="00F36DFC" w:rsidRDefault="00F859C7" w:rsidP="00F859C7">
      <w:pPr>
        <w:rPr>
          <w:b/>
          <w:sz w:val="24"/>
          <w:szCs w:val="24"/>
          <w:u w:val="single"/>
        </w:rPr>
      </w:pPr>
      <w:r w:rsidRPr="00F36DFC">
        <w:rPr>
          <w:b/>
          <w:bCs/>
          <w:sz w:val="24"/>
          <w:szCs w:val="24"/>
          <w:u w:val="single"/>
        </w:rPr>
        <w:t>Tabel 4</w:t>
      </w:r>
      <w:r w:rsidRPr="00F36DFC">
        <w:rPr>
          <w:b/>
          <w:bCs/>
          <w:sz w:val="24"/>
          <w:szCs w:val="24"/>
          <w:u w:val="single"/>
        </w:rPr>
        <w:tab/>
        <w:t>Pædiatrisk population (på 6 år og derover) – anbefalet nedtitreringsskema</w:t>
      </w:r>
    </w:p>
    <w:p w14:paraId="6C151279" w14:textId="77777777" w:rsidR="00F859C7" w:rsidRPr="00F36DFC" w:rsidRDefault="00F859C7" w:rsidP="00F859C7">
      <w:pPr>
        <w:rPr>
          <w:sz w:val="24"/>
          <w:szCs w:val="24"/>
        </w:rPr>
      </w:pPr>
    </w:p>
    <w:tbl>
      <w:tblPr>
        <w:tblStyle w:val="TableNormal"/>
        <w:tblW w:w="5000" w:type="pct"/>
        <w:tblInd w:w="0" w:type="dxa"/>
        <w:tblLook w:val="01E0" w:firstRow="1" w:lastRow="1" w:firstColumn="1" w:lastColumn="1" w:noHBand="0" w:noVBand="0"/>
      </w:tblPr>
      <w:tblGrid>
        <w:gridCol w:w="1570"/>
        <w:gridCol w:w="8052"/>
      </w:tblGrid>
      <w:tr w:rsidR="00F859C7" w:rsidRPr="00F36DFC" w14:paraId="016A6CC6" w14:textId="77777777" w:rsidTr="00F36DFC">
        <w:trPr>
          <w:trHeight w:val="20"/>
        </w:trPr>
        <w:tc>
          <w:tcPr>
            <w:tcW w:w="816" w:type="pct"/>
            <w:tcBorders>
              <w:top w:val="single" w:sz="6" w:space="0" w:color="000000"/>
              <w:left w:val="single" w:sz="6" w:space="0" w:color="000000"/>
              <w:bottom w:val="single" w:sz="6" w:space="0" w:color="000000"/>
              <w:right w:val="single" w:sz="6" w:space="0" w:color="000000"/>
            </w:tcBorders>
            <w:hideMark/>
          </w:tcPr>
          <w:p w14:paraId="7F72930E" w14:textId="77777777" w:rsidR="00F859C7" w:rsidRPr="00F36DFC" w:rsidRDefault="00F859C7">
            <w:pPr>
              <w:widowControl/>
              <w:ind w:left="57"/>
              <w:rPr>
                <w:rFonts w:ascii="Times New Roman" w:hAnsi="Times New Roman" w:cs="Times New Roman"/>
                <w:b/>
                <w:sz w:val="22"/>
                <w:lang w:val="en-GB"/>
              </w:rPr>
            </w:pPr>
            <w:r w:rsidRPr="00F36DFC">
              <w:rPr>
                <w:rFonts w:ascii="Times New Roman" w:hAnsi="Times New Roman" w:cs="Times New Roman"/>
                <w:b/>
                <w:bCs/>
                <w:sz w:val="22"/>
                <w:lang w:val="da-DK"/>
              </w:rPr>
              <w:t>Vægt</w:t>
            </w:r>
          </w:p>
        </w:tc>
        <w:tc>
          <w:tcPr>
            <w:tcW w:w="4184" w:type="pct"/>
            <w:tcBorders>
              <w:top w:val="single" w:sz="6" w:space="0" w:color="000000"/>
              <w:left w:val="single" w:sz="6" w:space="0" w:color="000000"/>
              <w:bottom w:val="single" w:sz="6" w:space="0" w:color="000000"/>
              <w:right w:val="single" w:sz="6" w:space="0" w:color="000000"/>
            </w:tcBorders>
            <w:hideMark/>
          </w:tcPr>
          <w:p w14:paraId="69807DE3" w14:textId="77777777" w:rsidR="00F859C7" w:rsidRPr="00F36DFC" w:rsidRDefault="00F859C7">
            <w:pPr>
              <w:widowControl/>
              <w:ind w:left="57"/>
              <w:rPr>
                <w:rFonts w:ascii="Times New Roman" w:hAnsi="Times New Roman" w:cs="Times New Roman"/>
                <w:b/>
                <w:sz w:val="22"/>
                <w:lang w:val="da-DK"/>
              </w:rPr>
            </w:pPr>
            <w:r w:rsidRPr="00F36DFC">
              <w:rPr>
                <w:rFonts w:ascii="Times New Roman" w:hAnsi="Times New Roman" w:cs="Times New Roman"/>
                <w:b/>
                <w:bCs/>
                <w:sz w:val="22"/>
                <w:lang w:val="da-DK"/>
              </w:rPr>
              <w:t>Nedsæt med ugentlige intervaller i trin af:</w:t>
            </w:r>
          </w:p>
        </w:tc>
      </w:tr>
      <w:tr w:rsidR="00F859C7" w:rsidRPr="00F36DFC" w14:paraId="434C411F" w14:textId="77777777" w:rsidTr="00F36DFC">
        <w:trPr>
          <w:trHeight w:val="20"/>
        </w:trPr>
        <w:tc>
          <w:tcPr>
            <w:tcW w:w="816" w:type="pct"/>
            <w:tcBorders>
              <w:top w:val="single" w:sz="6" w:space="0" w:color="000000"/>
              <w:left w:val="single" w:sz="6" w:space="0" w:color="000000"/>
              <w:bottom w:val="single" w:sz="6" w:space="0" w:color="000000"/>
              <w:right w:val="single" w:sz="6" w:space="0" w:color="000000"/>
            </w:tcBorders>
            <w:hideMark/>
          </w:tcPr>
          <w:p w14:paraId="6ADB8C58" w14:textId="77777777" w:rsidR="00F859C7" w:rsidRPr="00F36DFC" w:rsidRDefault="00F859C7">
            <w:pPr>
              <w:widowControl/>
              <w:ind w:left="57"/>
              <w:rPr>
                <w:rFonts w:ascii="Times New Roman" w:hAnsi="Times New Roman" w:cs="Times New Roman"/>
                <w:sz w:val="22"/>
                <w:lang w:val="en-GB"/>
              </w:rPr>
            </w:pPr>
            <w:r w:rsidRPr="00F36DFC">
              <w:rPr>
                <w:rFonts w:ascii="Times New Roman" w:hAnsi="Times New Roman" w:cs="Times New Roman"/>
                <w:sz w:val="22"/>
                <w:lang w:val="da-DK"/>
              </w:rPr>
              <w:t>20</w:t>
            </w:r>
            <w:r w:rsidRPr="00F36DFC">
              <w:rPr>
                <w:rFonts w:ascii="Times New Roman" w:hAnsi="Times New Roman" w:cs="Times New Roman"/>
                <w:sz w:val="22"/>
                <w:lang w:val="da-DK"/>
              </w:rPr>
              <w:noBreakHyphen/>
              <w:t>28 kg</w:t>
            </w:r>
          </w:p>
        </w:tc>
        <w:tc>
          <w:tcPr>
            <w:tcW w:w="4184" w:type="pct"/>
            <w:tcBorders>
              <w:top w:val="single" w:sz="6" w:space="0" w:color="000000"/>
              <w:left w:val="single" w:sz="6" w:space="0" w:color="000000"/>
              <w:bottom w:val="single" w:sz="6" w:space="0" w:color="000000"/>
              <w:right w:val="single" w:sz="6" w:space="0" w:color="000000"/>
            </w:tcBorders>
            <w:hideMark/>
          </w:tcPr>
          <w:p w14:paraId="03A3F074" w14:textId="77777777" w:rsidR="00F859C7" w:rsidRPr="00F36DFC" w:rsidRDefault="00F859C7">
            <w:pPr>
              <w:widowControl/>
              <w:ind w:left="57"/>
              <w:rPr>
                <w:rFonts w:ascii="Times New Roman" w:hAnsi="Times New Roman" w:cs="Times New Roman"/>
                <w:sz w:val="22"/>
                <w:lang w:val="da-DK"/>
              </w:rPr>
            </w:pPr>
            <w:r w:rsidRPr="00F36DFC">
              <w:rPr>
                <w:rFonts w:ascii="Times New Roman" w:hAnsi="Times New Roman" w:cs="Times New Roman"/>
                <w:sz w:val="22"/>
                <w:lang w:val="da-DK"/>
              </w:rPr>
              <w:t>25 til 50 mg/dag* = 1,25 – 2,5 ml/dag</w:t>
            </w:r>
          </w:p>
        </w:tc>
      </w:tr>
      <w:tr w:rsidR="00F859C7" w:rsidRPr="00F36DFC" w14:paraId="40653B85" w14:textId="77777777" w:rsidTr="00F36DFC">
        <w:trPr>
          <w:trHeight w:val="20"/>
        </w:trPr>
        <w:tc>
          <w:tcPr>
            <w:tcW w:w="816" w:type="pct"/>
            <w:tcBorders>
              <w:top w:val="single" w:sz="6" w:space="0" w:color="000000"/>
              <w:left w:val="single" w:sz="6" w:space="0" w:color="000000"/>
              <w:bottom w:val="single" w:sz="6" w:space="0" w:color="000000"/>
              <w:right w:val="single" w:sz="6" w:space="0" w:color="000000"/>
            </w:tcBorders>
            <w:hideMark/>
          </w:tcPr>
          <w:p w14:paraId="5F6B17D4" w14:textId="77777777" w:rsidR="00F859C7" w:rsidRPr="00F36DFC" w:rsidRDefault="00F859C7">
            <w:pPr>
              <w:widowControl/>
              <w:ind w:left="57"/>
              <w:rPr>
                <w:rFonts w:ascii="Times New Roman" w:hAnsi="Times New Roman" w:cs="Times New Roman"/>
                <w:sz w:val="22"/>
                <w:lang w:val="en-GB"/>
              </w:rPr>
            </w:pPr>
            <w:r w:rsidRPr="00F36DFC">
              <w:rPr>
                <w:rFonts w:ascii="Times New Roman" w:hAnsi="Times New Roman" w:cs="Times New Roman"/>
                <w:sz w:val="22"/>
                <w:lang w:val="da-DK"/>
              </w:rPr>
              <w:t>29</w:t>
            </w:r>
            <w:r w:rsidRPr="00F36DFC">
              <w:rPr>
                <w:rFonts w:ascii="Times New Roman" w:hAnsi="Times New Roman" w:cs="Times New Roman"/>
                <w:sz w:val="22"/>
                <w:lang w:val="da-DK"/>
              </w:rPr>
              <w:noBreakHyphen/>
              <w:t>41 kg</w:t>
            </w:r>
          </w:p>
        </w:tc>
        <w:tc>
          <w:tcPr>
            <w:tcW w:w="4184" w:type="pct"/>
            <w:tcBorders>
              <w:top w:val="single" w:sz="6" w:space="0" w:color="000000"/>
              <w:left w:val="single" w:sz="6" w:space="0" w:color="000000"/>
              <w:bottom w:val="single" w:sz="6" w:space="0" w:color="000000"/>
              <w:right w:val="single" w:sz="6" w:space="0" w:color="000000"/>
            </w:tcBorders>
            <w:hideMark/>
          </w:tcPr>
          <w:p w14:paraId="2A7E0A7E" w14:textId="77777777" w:rsidR="00F859C7" w:rsidRPr="00F36DFC" w:rsidRDefault="00F859C7">
            <w:pPr>
              <w:widowControl/>
              <w:ind w:left="57"/>
              <w:rPr>
                <w:rFonts w:ascii="Times New Roman" w:hAnsi="Times New Roman" w:cs="Times New Roman"/>
                <w:sz w:val="22"/>
                <w:lang w:val="da-DK"/>
              </w:rPr>
            </w:pPr>
            <w:r w:rsidRPr="00F36DFC">
              <w:rPr>
                <w:rFonts w:ascii="Times New Roman" w:hAnsi="Times New Roman" w:cs="Times New Roman"/>
                <w:sz w:val="22"/>
                <w:lang w:val="da-DK"/>
              </w:rPr>
              <w:t>50 til 75 mg/dag* = 2,5 – 3,75 ml/dag</w:t>
            </w:r>
          </w:p>
        </w:tc>
      </w:tr>
      <w:tr w:rsidR="00F859C7" w:rsidRPr="00F36DFC" w14:paraId="710F2B68" w14:textId="77777777" w:rsidTr="00F36DFC">
        <w:trPr>
          <w:trHeight w:val="20"/>
        </w:trPr>
        <w:tc>
          <w:tcPr>
            <w:tcW w:w="816" w:type="pct"/>
            <w:tcBorders>
              <w:top w:val="single" w:sz="6" w:space="0" w:color="000000"/>
              <w:left w:val="single" w:sz="6" w:space="0" w:color="000000"/>
              <w:bottom w:val="single" w:sz="6" w:space="0" w:color="000000"/>
              <w:right w:val="single" w:sz="6" w:space="0" w:color="000000"/>
            </w:tcBorders>
            <w:hideMark/>
          </w:tcPr>
          <w:p w14:paraId="06A93C8E" w14:textId="77777777" w:rsidR="00F859C7" w:rsidRPr="00F36DFC" w:rsidRDefault="00F859C7">
            <w:pPr>
              <w:widowControl/>
              <w:ind w:left="57"/>
              <w:rPr>
                <w:rFonts w:ascii="Times New Roman" w:hAnsi="Times New Roman" w:cs="Times New Roman"/>
                <w:sz w:val="22"/>
                <w:lang w:val="en-GB"/>
              </w:rPr>
            </w:pPr>
            <w:r w:rsidRPr="00F36DFC">
              <w:rPr>
                <w:rFonts w:ascii="Times New Roman" w:hAnsi="Times New Roman" w:cs="Times New Roman"/>
                <w:sz w:val="22"/>
                <w:lang w:val="da-DK"/>
              </w:rPr>
              <w:t>42</w:t>
            </w:r>
            <w:r w:rsidRPr="00F36DFC">
              <w:rPr>
                <w:rFonts w:ascii="Times New Roman" w:hAnsi="Times New Roman" w:cs="Times New Roman"/>
                <w:sz w:val="22"/>
                <w:lang w:val="da-DK"/>
              </w:rPr>
              <w:noBreakHyphen/>
              <w:t>55 kg</w:t>
            </w:r>
          </w:p>
        </w:tc>
        <w:tc>
          <w:tcPr>
            <w:tcW w:w="4184" w:type="pct"/>
            <w:tcBorders>
              <w:top w:val="single" w:sz="6" w:space="0" w:color="000000"/>
              <w:left w:val="single" w:sz="6" w:space="0" w:color="000000"/>
              <w:bottom w:val="single" w:sz="6" w:space="0" w:color="000000"/>
              <w:right w:val="single" w:sz="6" w:space="0" w:color="000000"/>
            </w:tcBorders>
            <w:hideMark/>
          </w:tcPr>
          <w:p w14:paraId="2584C1E5" w14:textId="77777777" w:rsidR="00F859C7" w:rsidRPr="00F36DFC" w:rsidRDefault="00F859C7">
            <w:pPr>
              <w:widowControl/>
              <w:ind w:left="57"/>
              <w:rPr>
                <w:rFonts w:ascii="Times New Roman" w:hAnsi="Times New Roman" w:cs="Times New Roman"/>
                <w:sz w:val="22"/>
              </w:rPr>
            </w:pPr>
            <w:r w:rsidRPr="00F36DFC">
              <w:rPr>
                <w:rFonts w:ascii="Times New Roman" w:hAnsi="Times New Roman" w:cs="Times New Roman"/>
                <w:sz w:val="22"/>
                <w:lang w:val="da-DK"/>
              </w:rPr>
              <w:t>100 mg/dag* = 5 ml/dag</w:t>
            </w:r>
          </w:p>
        </w:tc>
      </w:tr>
      <w:tr w:rsidR="00F859C7" w:rsidRPr="00F36DFC" w14:paraId="4E783660" w14:textId="77777777" w:rsidTr="00F36DFC">
        <w:trPr>
          <w:trHeight w:val="20"/>
        </w:trPr>
        <w:tc>
          <w:tcPr>
            <w:tcW w:w="816" w:type="pct"/>
            <w:tcBorders>
              <w:top w:val="single" w:sz="6" w:space="0" w:color="000000"/>
              <w:left w:val="single" w:sz="6" w:space="0" w:color="000000"/>
              <w:bottom w:val="single" w:sz="6" w:space="0" w:color="000000"/>
              <w:right w:val="single" w:sz="6" w:space="0" w:color="000000"/>
            </w:tcBorders>
            <w:hideMark/>
          </w:tcPr>
          <w:p w14:paraId="6E011DFA" w14:textId="77777777" w:rsidR="00F859C7" w:rsidRPr="00F36DFC" w:rsidRDefault="00F859C7">
            <w:pPr>
              <w:widowControl/>
              <w:ind w:left="57"/>
              <w:rPr>
                <w:rFonts w:ascii="Times New Roman" w:hAnsi="Times New Roman" w:cs="Times New Roman"/>
                <w:sz w:val="22"/>
              </w:rPr>
            </w:pPr>
            <w:r w:rsidRPr="00F36DFC">
              <w:rPr>
                <w:rFonts w:ascii="Times New Roman" w:hAnsi="Times New Roman" w:cs="Times New Roman"/>
                <w:sz w:val="22"/>
                <w:lang w:val="da-DK"/>
              </w:rPr>
              <w:t>&gt; 55 kg</w:t>
            </w:r>
          </w:p>
        </w:tc>
        <w:tc>
          <w:tcPr>
            <w:tcW w:w="4184" w:type="pct"/>
            <w:tcBorders>
              <w:top w:val="single" w:sz="6" w:space="0" w:color="000000"/>
              <w:left w:val="single" w:sz="6" w:space="0" w:color="000000"/>
              <w:bottom w:val="single" w:sz="6" w:space="0" w:color="000000"/>
              <w:right w:val="single" w:sz="6" w:space="0" w:color="000000"/>
            </w:tcBorders>
            <w:hideMark/>
          </w:tcPr>
          <w:p w14:paraId="3BE800EC" w14:textId="77777777" w:rsidR="00F859C7" w:rsidRPr="00F36DFC" w:rsidRDefault="00F859C7">
            <w:pPr>
              <w:widowControl/>
              <w:ind w:left="57"/>
              <w:rPr>
                <w:rFonts w:ascii="Times New Roman" w:hAnsi="Times New Roman" w:cs="Times New Roman"/>
                <w:sz w:val="22"/>
              </w:rPr>
            </w:pPr>
            <w:r w:rsidRPr="00F36DFC">
              <w:rPr>
                <w:rFonts w:ascii="Times New Roman" w:hAnsi="Times New Roman" w:cs="Times New Roman"/>
                <w:sz w:val="22"/>
                <w:lang w:val="da-DK"/>
              </w:rPr>
              <w:t>100 mg/dag* = 5 ml/dag</w:t>
            </w:r>
          </w:p>
        </w:tc>
      </w:tr>
    </w:tbl>
    <w:p w14:paraId="74CAD624" w14:textId="77777777" w:rsidR="00F859C7" w:rsidRPr="00F36DFC" w:rsidRDefault="00F859C7" w:rsidP="00F859C7">
      <w:pPr>
        <w:rPr>
          <w:b/>
          <w:sz w:val="24"/>
          <w:szCs w:val="24"/>
          <w:lang w:val="en-GB" w:eastAsia="de-DE"/>
        </w:rPr>
      </w:pPr>
      <w:r w:rsidRPr="00F36DFC">
        <w:rPr>
          <w:b/>
          <w:bCs/>
          <w:sz w:val="24"/>
          <w:szCs w:val="24"/>
        </w:rPr>
        <w:t>Bemærk:</w:t>
      </w:r>
    </w:p>
    <w:p w14:paraId="2486180B" w14:textId="77777777" w:rsidR="00F859C7" w:rsidRPr="00F36DFC" w:rsidRDefault="00F859C7" w:rsidP="00F36DFC">
      <w:pPr>
        <w:ind w:left="284" w:hanging="284"/>
        <w:rPr>
          <w:sz w:val="24"/>
          <w:szCs w:val="24"/>
        </w:rPr>
      </w:pPr>
      <w:r w:rsidRPr="00F36DFC">
        <w:rPr>
          <w:sz w:val="24"/>
          <w:szCs w:val="24"/>
        </w:rPr>
        <w:t>*</w:t>
      </w:r>
      <w:r w:rsidRPr="00F36DFC">
        <w:rPr>
          <w:sz w:val="24"/>
          <w:szCs w:val="24"/>
        </w:rPr>
        <w:tab/>
        <w:t>Alle doser er én gang dagligt.</w:t>
      </w:r>
    </w:p>
    <w:p w14:paraId="4755264D" w14:textId="77777777" w:rsidR="00F859C7" w:rsidRPr="00F36DFC" w:rsidRDefault="00F859C7" w:rsidP="00D16F2D">
      <w:pPr>
        <w:ind w:left="851"/>
        <w:rPr>
          <w:sz w:val="24"/>
          <w:szCs w:val="24"/>
        </w:rPr>
      </w:pPr>
    </w:p>
    <w:p w14:paraId="28AB3CAE" w14:textId="77777777" w:rsidR="00F859C7" w:rsidRPr="00F36DFC" w:rsidRDefault="00F859C7" w:rsidP="00D16F2D">
      <w:pPr>
        <w:ind w:left="851"/>
        <w:rPr>
          <w:i/>
          <w:sz w:val="24"/>
          <w:szCs w:val="24"/>
          <w:u w:val="single"/>
        </w:rPr>
      </w:pPr>
      <w:r w:rsidRPr="00F36DFC">
        <w:rPr>
          <w:i/>
          <w:iCs/>
          <w:sz w:val="24"/>
          <w:szCs w:val="24"/>
          <w:u w:val="single"/>
        </w:rPr>
        <w:t>Ældre</w:t>
      </w:r>
    </w:p>
    <w:p w14:paraId="4C43977B" w14:textId="77777777" w:rsidR="00F859C7" w:rsidRPr="00F36DFC" w:rsidRDefault="00F859C7" w:rsidP="00D16F2D">
      <w:pPr>
        <w:ind w:left="851"/>
        <w:rPr>
          <w:sz w:val="24"/>
          <w:szCs w:val="24"/>
        </w:rPr>
      </w:pPr>
    </w:p>
    <w:p w14:paraId="58173355" w14:textId="7DB881AA" w:rsidR="00F859C7" w:rsidRPr="00F36DFC" w:rsidRDefault="00F859C7" w:rsidP="00D16F2D">
      <w:pPr>
        <w:ind w:left="851"/>
        <w:rPr>
          <w:sz w:val="24"/>
          <w:szCs w:val="24"/>
        </w:rPr>
      </w:pPr>
      <w:r w:rsidRPr="00F36DFC">
        <w:rPr>
          <w:sz w:val="24"/>
          <w:szCs w:val="24"/>
        </w:rPr>
        <w:t xml:space="preserve">Der skal udvises forsigtighed i starten af behandlingen hos ældre patienter, da der foreligger begrænset information om brugen af </w:t>
      </w:r>
      <w:proofErr w:type="spellStart"/>
      <w:r w:rsidRPr="00F36DFC">
        <w:rPr>
          <w:sz w:val="24"/>
          <w:szCs w:val="24"/>
        </w:rPr>
        <w:t>Zonisamid</w:t>
      </w:r>
      <w:proofErr w:type="spellEnd"/>
      <w:r w:rsidRPr="00F36DFC">
        <w:rPr>
          <w:sz w:val="24"/>
          <w:szCs w:val="24"/>
        </w:rPr>
        <w:t xml:space="preserve"> </w:t>
      </w:r>
      <w:r w:rsidR="00C26C40">
        <w:rPr>
          <w:sz w:val="24"/>
          <w:szCs w:val="24"/>
        </w:rPr>
        <w:t>"</w:t>
      </w:r>
      <w:proofErr w:type="spellStart"/>
      <w:r w:rsidR="00C26C40">
        <w:rPr>
          <w:sz w:val="24"/>
          <w:szCs w:val="24"/>
        </w:rPr>
        <w:t>Desitin</w:t>
      </w:r>
      <w:proofErr w:type="spellEnd"/>
      <w:r w:rsidR="00C26C40">
        <w:rPr>
          <w:sz w:val="24"/>
          <w:szCs w:val="24"/>
        </w:rPr>
        <w:t>"</w:t>
      </w:r>
      <w:r w:rsidRPr="00F36DFC">
        <w:rPr>
          <w:sz w:val="24"/>
          <w:szCs w:val="24"/>
        </w:rPr>
        <w:t xml:space="preserve"> til disse patienter. De ordinerende læger bør også tage hensyn til </w:t>
      </w:r>
      <w:proofErr w:type="spellStart"/>
      <w:r w:rsidRPr="00F36DFC">
        <w:rPr>
          <w:sz w:val="24"/>
          <w:szCs w:val="24"/>
        </w:rPr>
        <w:t>Zonisamid</w:t>
      </w:r>
      <w:proofErr w:type="spellEnd"/>
      <w:r w:rsidRPr="00F36DFC">
        <w:rPr>
          <w:sz w:val="24"/>
          <w:szCs w:val="24"/>
        </w:rPr>
        <w:t xml:space="preserve"> </w:t>
      </w:r>
      <w:r w:rsidR="00C26C40">
        <w:rPr>
          <w:sz w:val="24"/>
          <w:szCs w:val="24"/>
        </w:rPr>
        <w:t>"</w:t>
      </w:r>
      <w:proofErr w:type="spellStart"/>
      <w:r w:rsidR="00C26C40">
        <w:rPr>
          <w:sz w:val="24"/>
          <w:szCs w:val="24"/>
        </w:rPr>
        <w:t>Desitin"</w:t>
      </w:r>
      <w:r w:rsidRPr="00F36DFC">
        <w:rPr>
          <w:sz w:val="24"/>
          <w:szCs w:val="24"/>
        </w:rPr>
        <w:t>s</w:t>
      </w:r>
      <w:proofErr w:type="spellEnd"/>
      <w:r w:rsidRPr="00F36DFC">
        <w:rPr>
          <w:sz w:val="24"/>
          <w:szCs w:val="24"/>
        </w:rPr>
        <w:t xml:space="preserve"> sikkerhedsprofil (se pkt. 4.8).</w:t>
      </w:r>
    </w:p>
    <w:p w14:paraId="0D192211" w14:textId="77777777" w:rsidR="00F859C7" w:rsidRPr="00F36DFC" w:rsidRDefault="00F859C7" w:rsidP="00D16F2D">
      <w:pPr>
        <w:ind w:left="851"/>
        <w:rPr>
          <w:sz w:val="24"/>
          <w:szCs w:val="24"/>
        </w:rPr>
      </w:pPr>
    </w:p>
    <w:p w14:paraId="183CA604" w14:textId="77777777" w:rsidR="00F859C7" w:rsidRPr="00F36DFC" w:rsidRDefault="00F859C7" w:rsidP="00D16F2D">
      <w:pPr>
        <w:ind w:left="851"/>
        <w:rPr>
          <w:i/>
          <w:sz w:val="24"/>
          <w:szCs w:val="24"/>
          <w:u w:val="single"/>
        </w:rPr>
      </w:pPr>
      <w:r w:rsidRPr="00F36DFC">
        <w:rPr>
          <w:i/>
          <w:iCs/>
          <w:sz w:val="24"/>
          <w:szCs w:val="24"/>
          <w:u w:val="single"/>
        </w:rPr>
        <w:t>Patienter med nedsat nyrefunktion</w:t>
      </w:r>
    </w:p>
    <w:p w14:paraId="69B9B800" w14:textId="77777777" w:rsidR="00F859C7" w:rsidRPr="00F36DFC" w:rsidRDefault="00F859C7" w:rsidP="00D16F2D">
      <w:pPr>
        <w:ind w:left="851"/>
        <w:rPr>
          <w:sz w:val="24"/>
          <w:szCs w:val="24"/>
        </w:rPr>
      </w:pPr>
    </w:p>
    <w:p w14:paraId="14D4BBF5" w14:textId="5B895E1C" w:rsidR="00F859C7" w:rsidRPr="00F36DFC" w:rsidRDefault="00F859C7" w:rsidP="00D16F2D">
      <w:pPr>
        <w:ind w:left="851"/>
        <w:rPr>
          <w:sz w:val="24"/>
          <w:szCs w:val="24"/>
        </w:rPr>
      </w:pPr>
      <w:r w:rsidRPr="00F36DFC">
        <w:rPr>
          <w:sz w:val="24"/>
          <w:szCs w:val="24"/>
        </w:rPr>
        <w:t xml:space="preserve">Der skal udvises forsigtighed ved behandling af patienter med nedsat nyrefunktion, da der er begrænsede oplysninger om brugen til sådanne patienter og en langsommere titrering af </w:t>
      </w:r>
      <w:proofErr w:type="spellStart"/>
      <w:r w:rsidRPr="00F36DFC">
        <w:rPr>
          <w:sz w:val="24"/>
          <w:szCs w:val="24"/>
        </w:rPr>
        <w:t>Zonisamid</w:t>
      </w:r>
      <w:proofErr w:type="spellEnd"/>
      <w:r w:rsidRPr="00F36DFC">
        <w:rPr>
          <w:sz w:val="24"/>
          <w:szCs w:val="24"/>
        </w:rPr>
        <w:t xml:space="preserve"> </w:t>
      </w:r>
      <w:r w:rsidR="00C26C40">
        <w:rPr>
          <w:sz w:val="24"/>
          <w:szCs w:val="24"/>
        </w:rPr>
        <w:t>"</w:t>
      </w:r>
      <w:proofErr w:type="spellStart"/>
      <w:r w:rsidR="00C26C40">
        <w:rPr>
          <w:sz w:val="24"/>
          <w:szCs w:val="24"/>
        </w:rPr>
        <w:t>Desitin</w:t>
      </w:r>
      <w:proofErr w:type="spellEnd"/>
      <w:r w:rsidR="00C26C40">
        <w:rPr>
          <w:sz w:val="24"/>
          <w:szCs w:val="24"/>
        </w:rPr>
        <w:t>"</w:t>
      </w:r>
      <w:r w:rsidRPr="00F36DFC">
        <w:rPr>
          <w:sz w:val="24"/>
          <w:szCs w:val="24"/>
        </w:rPr>
        <w:t xml:space="preserve"> kan være påkrævet. Da </w:t>
      </w:r>
      <w:proofErr w:type="spellStart"/>
      <w:r w:rsidRPr="00F36DFC">
        <w:rPr>
          <w:sz w:val="24"/>
          <w:szCs w:val="24"/>
        </w:rPr>
        <w:t>zonisamid</w:t>
      </w:r>
      <w:proofErr w:type="spellEnd"/>
      <w:r w:rsidRPr="00F36DFC">
        <w:rPr>
          <w:sz w:val="24"/>
          <w:szCs w:val="24"/>
        </w:rPr>
        <w:t xml:space="preserve"> og dets metabolitter udskilles </w:t>
      </w:r>
      <w:proofErr w:type="spellStart"/>
      <w:r w:rsidRPr="00F36DFC">
        <w:rPr>
          <w:sz w:val="24"/>
          <w:szCs w:val="24"/>
        </w:rPr>
        <w:t>renalt</w:t>
      </w:r>
      <w:proofErr w:type="spellEnd"/>
      <w:r w:rsidRPr="00F36DFC">
        <w:rPr>
          <w:sz w:val="24"/>
          <w:szCs w:val="24"/>
        </w:rPr>
        <w:t xml:space="preserve">, bør det seponeres hos patienter, som udvikler akut nyresvigt eller hvor der observeres en klinisk betydningsfuld vedvarende stigning i </w:t>
      </w:r>
      <w:proofErr w:type="spellStart"/>
      <w:r w:rsidRPr="00F36DFC">
        <w:rPr>
          <w:sz w:val="24"/>
          <w:szCs w:val="24"/>
        </w:rPr>
        <w:t>serumcreatinin</w:t>
      </w:r>
      <w:proofErr w:type="spellEnd"/>
      <w:r w:rsidRPr="00F36DFC">
        <w:rPr>
          <w:sz w:val="24"/>
          <w:szCs w:val="24"/>
        </w:rPr>
        <w:t>.</w:t>
      </w:r>
    </w:p>
    <w:p w14:paraId="403B6552" w14:textId="77777777" w:rsidR="00F859C7" w:rsidRPr="00F36DFC" w:rsidRDefault="00F859C7" w:rsidP="00D16F2D">
      <w:pPr>
        <w:ind w:left="851"/>
        <w:rPr>
          <w:sz w:val="24"/>
          <w:szCs w:val="24"/>
        </w:rPr>
      </w:pPr>
    </w:p>
    <w:p w14:paraId="41AAC0EC" w14:textId="486A9B03" w:rsidR="00F859C7" w:rsidRPr="00F36DFC" w:rsidRDefault="00F859C7" w:rsidP="00D16F2D">
      <w:pPr>
        <w:ind w:left="851"/>
        <w:rPr>
          <w:sz w:val="24"/>
          <w:szCs w:val="24"/>
        </w:rPr>
      </w:pPr>
      <w:r w:rsidRPr="00F36DFC">
        <w:rPr>
          <w:sz w:val="24"/>
          <w:szCs w:val="24"/>
        </w:rPr>
        <w:t xml:space="preserve">Hos patienter med nedsat nyrefunktion var den </w:t>
      </w:r>
      <w:proofErr w:type="spellStart"/>
      <w:r w:rsidRPr="00F36DFC">
        <w:rPr>
          <w:sz w:val="24"/>
          <w:szCs w:val="24"/>
        </w:rPr>
        <w:t>renale</w:t>
      </w:r>
      <w:proofErr w:type="spellEnd"/>
      <w:r w:rsidRPr="00F36DFC">
        <w:rPr>
          <w:sz w:val="24"/>
          <w:szCs w:val="24"/>
        </w:rPr>
        <w:t xml:space="preserve"> </w:t>
      </w:r>
      <w:proofErr w:type="spellStart"/>
      <w:r w:rsidRPr="00F36DFC">
        <w:rPr>
          <w:sz w:val="24"/>
          <w:szCs w:val="24"/>
        </w:rPr>
        <w:t>clearance</w:t>
      </w:r>
      <w:proofErr w:type="spellEnd"/>
      <w:r w:rsidRPr="00F36DFC">
        <w:rPr>
          <w:sz w:val="24"/>
          <w:szCs w:val="24"/>
        </w:rPr>
        <w:t xml:space="preserve"> af enkeltdoser af </w:t>
      </w:r>
      <w:proofErr w:type="spellStart"/>
      <w:r w:rsidRPr="00F36DFC">
        <w:rPr>
          <w:sz w:val="24"/>
          <w:szCs w:val="24"/>
        </w:rPr>
        <w:t>zonisamid</w:t>
      </w:r>
      <w:proofErr w:type="spellEnd"/>
      <w:r w:rsidRPr="00F36DFC">
        <w:rPr>
          <w:sz w:val="24"/>
          <w:szCs w:val="24"/>
        </w:rPr>
        <w:t xml:space="preserve"> positivt korreleret til </w:t>
      </w:r>
      <w:proofErr w:type="spellStart"/>
      <w:r w:rsidRPr="00F36DFC">
        <w:rPr>
          <w:sz w:val="24"/>
          <w:szCs w:val="24"/>
        </w:rPr>
        <w:t>creatininclearance</w:t>
      </w:r>
      <w:proofErr w:type="spellEnd"/>
      <w:r w:rsidRPr="00F36DFC">
        <w:rPr>
          <w:sz w:val="24"/>
          <w:szCs w:val="24"/>
        </w:rPr>
        <w:t xml:space="preserve">. Plasma-AUC for </w:t>
      </w:r>
      <w:proofErr w:type="spellStart"/>
      <w:r w:rsidRPr="00F36DFC">
        <w:rPr>
          <w:sz w:val="24"/>
          <w:szCs w:val="24"/>
        </w:rPr>
        <w:t>zonisamid</w:t>
      </w:r>
      <w:proofErr w:type="spellEnd"/>
      <w:r w:rsidRPr="00F36DFC">
        <w:rPr>
          <w:sz w:val="24"/>
          <w:szCs w:val="24"/>
        </w:rPr>
        <w:t xml:space="preserve"> blev øget med 35</w:t>
      </w:r>
      <w:r w:rsidR="00C26C40">
        <w:rPr>
          <w:sz w:val="24"/>
          <w:szCs w:val="24"/>
        </w:rPr>
        <w:t> </w:t>
      </w:r>
      <w:r w:rsidRPr="00F36DFC">
        <w:rPr>
          <w:sz w:val="24"/>
          <w:szCs w:val="24"/>
        </w:rPr>
        <w:t xml:space="preserve">% hos personer med </w:t>
      </w:r>
      <w:proofErr w:type="spellStart"/>
      <w:r w:rsidRPr="00F36DFC">
        <w:rPr>
          <w:sz w:val="24"/>
          <w:szCs w:val="24"/>
        </w:rPr>
        <w:t>creatininclearance</w:t>
      </w:r>
      <w:proofErr w:type="spellEnd"/>
      <w:r w:rsidRPr="00F36DFC">
        <w:rPr>
          <w:sz w:val="24"/>
          <w:szCs w:val="24"/>
        </w:rPr>
        <w:t xml:space="preserve"> &lt; 20 ml/min.</w:t>
      </w:r>
    </w:p>
    <w:p w14:paraId="4EB7F82C" w14:textId="77777777" w:rsidR="00F859C7" w:rsidRPr="00F36DFC" w:rsidRDefault="00F859C7" w:rsidP="00D16F2D">
      <w:pPr>
        <w:ind w:left="851"/>
        <w:rPr>
          <w:sz w:val="24"/>
          <w:szCs w:val="24"/>
        </w:rPr>
      </w:pPr>
    </w:p>
    <w:p w14:paraId="02B8930B" w14:textId="77777777" w:rsidR="00F859C7" w:rsidRPr="00F36DFC" w:rsidRDefault="00F859C7" w:rsidP="00D16F2D">
      <w:pPr>
        <w:ind w:left="851"/>
        <w:rPr>
          <w:i/>
          <w:sz w:val="24"/>
          <w:szCs w:val="24"/>
          <w:u w:val="single"/>
        </w:rPr>
      </w:pPr>
      <w:r w:rsidRPr="00F36DFC">
        <w:rPr>
          <w:i/>
          <w:iCs/>
          <w:sz w:val="24"/>
          <w:szCs w:val="24"/>
          <w:u w:val="single"/>
        </w:rPr>
        <w:t>Patienter med nedsat leverfunktion</w:t>
      </w:r>
    </w:p>
    <w:p w14:paraId="7DEDC56A" w14:textId="77777777" w:rsidR="00F859C7" w:rsidRPr="00F36DFC" w:rsidRDefault="00F859C7" w:rsidP="00D16F2D">
      <w:pPr>
        <w:ind w:left="851"/>
        <w:rPr>
          <w:sz w:val="24"/>
          <w:szCs w:val="24"/>
        </w:rPr>
      </w:pPr>
    </w:p>
    <w:p w14:paraId="25BB6B19" w14:textId="675ADFD0" w:rsidR="00F859C7" w:rsidRPr="00F36DFC" w:rsidRDefault="00F859C7" w:rsidP="00D16F2D">
      <w:pPr>
        <w:ind w:left="851"/>
        <w:rPr>
          <w:sz w:val="24"/>
          <w:szCs w:val="24"/>
        </w:rPr>
      </w:pPr>
      <w:r w:rsidRPr="00F36DFC">
        <w:rPr>
          <w:sz w:val="24"/>
          <w:szCs w:val="24"/>
        </w:rPr>
        <w:t xml:space="preserve">Anvendelse til patienter med nedsat leverfunktion er ikke undersøgt. Derfor anbefales brugen ikke til patienter med svært nedsat leverfunktion. Der skal udvises forsigtighed ved behandling af patienter med let til moderat nedsat leverfunktion og det kan være nødvendigt med en langsommere titrering af </w:t>
      </w:r>
      <w:proofErr w:type="spellStart"/>
      <w:r w:rsidRPr="00F36DFC">
        <w:rPr>
          <w:sz w:val="24"/>
          <w:szCs w:val="24"/>
        </w:rPr>
        <w:t>Zonisamid</w:t>
      </w:r>
      <w:proofErr w:type="spellEnd"/>
      <w:r w:rsidRPr="00F36DFC">
        <w:rPr>
          <w:sz w:val="24"/>
          <w:szCs w:val="24"/>
        </w:rPr>
        <w:t xml:space="preserve"> </w:t>
      </w:r>
      <w:r w:rsidR="00C26C40">
        <w:rPr>
          <w:sz w:val="24"/>
          <w:szCs w:val="24"/>
        </w:rPr>
        <w:t>"</w:t>
      </w:r>
      <w:proofErr w:type="spellStart"/>
      <w:r w:rsidR="00C26C40">
        <w:rPr>
          <w:sz w:val="24"/>
          <w:szCs w:val="24"/>
        </w:rPr>
        <w:t>Desitin</w:t>
      </w:r>
      <w:proofErr w:type="spellEnd"/>
      <w:r w:rsidR="00C26C40">
        <w:rPr>
          <w:sz w:val="24"/>
          <w:szCs w:val="24"/>
        </w:rPr>
        <w:t>"</w:t>
      </w:r>
      <w:r w:rsidRPr="00F36DFC">
        <w:rPr>
          <w:sz w:val="24"/>
          <w:szCs w:val="24"/>
        </w:rPr>
        <w:t>.</w:t>
      </w:r>
    </w:p>
    <w:p w14:paraId="220864BE" w14:textId="77777777" w:rsidR="00F859C7" w:rsidRPr="00F36DFC" w:rsidRDefault="00F859C7" w:rsidP="00D16F2D">
      <w:pPr>
        <w:ind w:left="851"/>
        <w:rPr>
          <w:sz w:val="24"/>
          <w:szCs w:val="24"/>
        </w:rPr>
      </w:pPr>
    </w:p>
    <w:p w14:paraId="370D8B84" w14:textId="77777777" w:rsidR="00F859C7" w:rsidRPr="00F36DFC" w:rsidRDefault="00F859C7" w:rsidP="00D16F2D">
      <w:pPr>
        <w:ind w:left="851"/>
        <w:rPr>
          <w:sz w:val="24"/>
          <w:szCs w:val="24"/>
          <w:u w:val="single"/>
        </w:rPr>
      </w:pPr>
      <w:r w:rsidRPr="00F36DFC">
        <w:rPr>
          <w:sz w:val="24"/>
          <w:szCs w:val="24"/>
          <w:u w:val="single"/>
        </w:rPr>
        <w:t>Administration</w:t>
      </w:r>
    </w:p>
    <w:p w14:paraId="1DAE0D2A" w14:textId="77777777" w:rsidR="00F859C7" w:rsidRPr="00F36DFC" w:rsidRDefault="00F859C7" w:rsidP="00D16F2D">
      <w:pPr>
        <w:ind w:left="851"/>
        <w:rPr>
          <w:sz w:val="24"/>
          <w:szCs w:val="24"/>
        </w:rPr>
      </w:pPr>
    </w:p>
    <w:p w14:paraId="393BBF4D" w14:textId="268B4744" w:rsidR="00F859C7" w:rsidRPr="00F36DFC" w:rsidRDefault="00F859C7" w:rsidP="00D16F2D">
      <w:pPr>
        <w:ind w:left="851"/>
        <w:rPr>
          <w:sz w:val="24"/>
          <w:szCs w:val="24"/>
        </w:rPr>
      </w:pPr>
      <w:proofErr w:type="spellStart"/>
      <w:r w:rsidRPr="00F36DFC">
        <w:rPr>
          <w:sz w:val="24"/>
          <w:szCs w:val="24"/>
        </w:rPr>
        <w:t>Zonisamid</w:t>
      </w:r>
      <w:proofErr w:type="spellEnd"/>
      <w:r w:rsidRPr="00F36DFC">
        <w:rPr>
          <w:sz w:val="24"/>
          <w:szCs w:val="24"/>
        </w:rPr>
        <w:t xml:space="preserve"> </w:t>
      </w:r>
      <w:r w:rsidR="00C26C40">
        <w:rPr>
          <w:sz w:val="24"/>
          <w:szCs w:val="24"/>
        </w:rPr>
        <w:t>"</w:t>
      </w:r>
      <w:proofErr w:type="spellStart"/>
      <w:r w:rsidR="00C26C40">
        <w:rPr>
          <w:sz w:val="24"/>
          <w:szCs w:val="24"/>
        </w:rPr>
        <w:t>Desitin</w:t>
      </w:r>
      <w:proofErr w:type="spellEnd"/>
      <w:r w:rsidR="00C26C40">
        <w:rPr>
          <w:sz w:val="24"/>
          <w:szCs w:val="24"/>
        </w:rPr>
        <w:t>"</w:t>
      </w:r>
      <w:r w:rsidRPr="00F36DFC">
        <w:rPr>
          <w:sz w:val="24"/>
          <w:szCs w:val="24"/>
        </w:rPr>
        <w:t xml:space="preserve"> er til oral anvendelse.</w:t>
      </w:r>
    </w:p>
    <w:p w14:paraId="4426CBE8" w14:textId="77777777" w:rsidR="00F859C7" w:rsidRPr="00F36DFC" w:rsidRDefault="00F859C7" w:rsidP="00D16F2D">
      <w:pPr>
        <w:ind w:left="851"/>
        <w:rPr>
          <w:sz w:val="24"/>
          <w:szCs w:val="24"/>
        </w:rPr>
      </w:pPr>
    </w:p>
    <w:p w14:paraId="1F696271" w14:textId="69CB54D1" w:rsidR="00F859C7" w:rsidRPr="00F36DFC" w:rsidRDefault="00F859C7" w:rsidP="00D16F2D">
      <w:pPr>
        <w:adjustRightInd w:val="0"/>
        <w:ind w:left="851"/>
        <w:rPr>
          <w:sz w:val="24"/>
          <w:szCs w:val="24"/>
        </w:rPr>
      </w:pPr>
      <w:r w:rsidRPr="00F36DFC">
        <w:rPr>
          <w:sz w:val="24"/>
          <w:szCs w:val="24"/>
        </w:rPr>
        <w:t xml:space="preserve">Før indgivelse af </w:t>
      </w:r>
      <w:proofErr w:type="spellStart"/>
      <w:r w:rsidRPr="00F36DFC">
        <w:rPr>
          <w:sz w:val="24"/>
          <w:szCs w:val="24"/>
        </w:rPr>
        <w:t>Zonisamid</w:t>
      </w:r>
      <w:proofErr w:type="spellEnd"/>
      <w:r w:rsidRPr="00F36DFC">
        <w:rPr>
          <w:sz w:val="24"/>
          <w:szCs w:val="24"/>
        </w:rPr>
        <w:t xml:space="preserve"> </w:t>
      </w:r>
      <w:r w:rsidR="00C26C40">
        <w:rPr>
          <w:sz w:val="24"/>
          <w:szCs w:val="24"/>
        </w:rPr>
        <w:t>"</w:t>
      </w:r>
      <w:proofErr w:type="spellStart"/>
      <w:r w:rsidR="00C26C40">
        <w:rPr>
          <w:sz w:val="24"/>
          <w:szCs w:val="24"/>
        </w:rPr>
        <w:t>Desitin</w:t>
      </w:r>
      <w:proofErr w:type="spellEnd"/>
      <w:r w:rsidR="00C26C40">
        <w:rPr>
          <w:sz w:val="24"/>
          <w:szCs w:val="24"/>
        </w:rPr>
        <w:t>"</w:t>
      </w:r>
      <w:r w:rsidRPr="00F36DFC">
        <w:rPr>
          <w:sz w:val="24"/>
          <w:szCs w:val="24"/>
        </w:rPr>
        <w:t xml:space="preserve"> skal flasken rystes grundigt (mindst 30 sekunder), og dosis skal klargøres umiddelbart derefter (for at undgå sedimentation). Den orale suspension kan synkes direkte fra doseringssprøjten eller fortyndes i et glas vand eller appelsinjuice. Kulsyreholdige drikkevarer, f.eks. danskvand, bør ikke indtages samtidig. </w:t>
      </w:r>
    </w:p>
    <w:p w14:paraId="28F256C1" w14:textId="677967BD" w:rsidR="00F859C7" w:rsidRPr="00F36DFC" w:rsidRDefault="00F859C7" w:rsidP="00D16F2D">
      <w:pPr>
        <w:ind w:left="851"/>
        <w:rPr>
          <w:sz w:val="24"/>
          <w:szCs w:val="24"/>
        </w:rPr>
      </w:pPr>
      <w:r w:rsidRPr="00F36DFC">
        <w:rPr>
          <w:sz w:val="24"/>
          <w:szCs w:val="24"/>
        </w:rPr>
        <w:t xml:space="preserve">En gradueret 10 ml doseringssprøjte med en tilhørende adapter og brugsanvisning leveres i æsken sammen med </w:t>
      </w:r>
      <w:proofErr w:type="spellStart"/>
      <w:r w:rsidRPr="00F36DFC">
        <w:rPr>
          <w:sz w:val="24"/>
          <w:szCs w:val="24"/>
        </w:rPr>
        <w:t>Zonisamid</w:t>
      </w:r>
      <w:proofErr w:type="spellEnd"/>
      <w:r w:rsidRPr="00F36DFC">
        <w:rPr>
          <w:sz w:val="24"/>
          <w:szCs w:val="24"/>
        </w:rPr>
        <w:t xml:space="preserve"> </w:t>
      </w:r>
      <w:r w:rsidR="00C26C40">
        <w:rPr>
          <w:sz w:val="24"/>
          <w:szCs w:val="24"/>
        </w:rPr>
        <w:t>"</w:t>
      </w:r>
      <w:proofErr w:type="spellStart"/>
      <w:r w:rsidR="00C26C40">
        <w:rPr>
          <w:sz w:val="24"/>
          <w:szCs w:val="24"/>
        </w:rPr>
        <w:t>Desitin</w:t>
      </w:r>
      <w:proofErr w:type="spellEnd"/>
      <w:r w:rsidR="00C26C40">
        <w:rPr>
          <w:sz w:val="24"/>
          <w:szCs w:val="24"/>
        </w:rPr>
        <w:t>"</w:t>
      </w:r>
      <w:r w:rsidRPr="00F36DFC">
        <w:rPr>
          <w:sz w:val="24"/>
          <w:szCs w:val="24"/>
        </w:rPr>
        <w:t>.</w:t>
      </w:r>
    </w:p>
    <w:p w14:paraId="73F6EB73" w14:textId="77777777" w:rsidR="00F859C7" w:rsidRPr="00F36DFC" w:rsidRDefault="00F859C7" w:rsidP="00D16F2D">
      <w:pPr>
        <w:ind w:left="851"/>
        <w:rPr>
          <w:sz w:val="24"/>
          <w:szCs w:val="24"/>
        </w:rPr>
      </w:pPr>
    </w:p>
    <w:p w14:paraId="62B3839A" w14:textId="4E3078B7" w:rsidR="00F859C7" w:rsidRPr="00F36DFC" w:rsidRDefault="00F859C7" w:rsidP="00D16F2D">
      <w:pPr>
        <w:ind w:left="851"/>
        <w:rPr>
          <w:sz w:val="24"/>
          <w:szCs w:val="24"/>
        </w:rPr>
      </w:pPr>
      <w:proofErr w:type="spellStart"/>
      <w:r w:rsidRPr="00F36DFC">
        <w:rPr>
          <w:sz w:val="24"/>
          <w:szCs w:val="24"/>
        </w:rPr>
        <w:t>Zonisamid</w:t>
      </w:r>
      <w:proofErr w:type="spellEnd"/>
      <w:r w:rsidRPr="00F36DFC">
        <w:rPr>
          <w:sz w:val="24"/>
          <w:szCs w:val="24"/>
        </w:rPr>
        <w:t xml:space="preserve"> </w:t>
      </w:r>
      <w:r w:rsidR="00C26C40">
        <w:rPr>
          <w:sz w:val="24"/>
          <w:szCs w:val="24"/>
        </w:rPr>
        <w:t>"</w:t>
      </w:r>
      <w:proofErr w:type="spellStart"/>
      <w:r w:rsidR="00C26C40">
        <w:rPr>
          <w:sz w:val="24"/>
          <w:szCs w:val="24"/>
        </w:rPr>
        <w:t>Desitin</w:t>
      </w:r>
      <w:proofErr w:type="spellEnd"/>
      <w:r w:rsidR="00C26C40">
        <w:rPr>
          <w:sz w:val="24"/>
          <w:szCs w:val="24"/>
        </w:rPr>
        <w:t>"</w:t>
      </w:r>
      <w:r w:rsidRPr="00F36DFC">
        <w:rPr>
          <w:sz w:val="24"/>
          <w:szCs w:val="24"/>
        </w:rPr>
        <w:t xml:space="preserve"> kan også indgives via en ernæringssonde, som skal skylles tre gange umiddelbart efter indgivelse med mindst 5 ml vand til hver gennemskylning. Hvis denne indgivelsesmåde anvendes, bør suspension klargøres som beskrevet ovenfor til oral brug umiddelbart før indgivelse.</w:t>
      </w:r>
    </w:p>
    <w:p w14:paraId="1BCC8948" w14:textId="77777777" w:rsidR="00F859C7" w:rsidRPr="00F36DFC" w:rsidRDefault="00F859C7" w:rsidP="00D16F2D">
      <w:pPr>
        <w:ind w:left="851"/>
        <w:rPr>
          <w:sz w:val="24"/>
          <w:szCs w:val="24"/>
        </w:rPr>
      </w:pPr>
    </w:p>
    <w:p w14:paraId="10BB5CEF" w14:textId="77777777" w:rsidR="00F859C7" w:rsidRPr="00F36DFC" w:rsidRDefault="00F859C7" w:rsidP="00D16F2D">
      <w:pPr>
        <w:ind w:left="851"/>
        <w:rPr>
          <w:i/>
          <w:sz w:val="24"/>
          <w:szCs w:val="24"/>
          <w:u w:val="single"/>
        </w:rPr>
      </w:pPr>
      <w:r w:rsidRPr="00F36DFC">
        <w:rPr>
          <w:i/>
          <w:iCs/>
          <w:sz w:val="24"/>
          <w:szCs w:val="24"/>
          <w:u w:val="single"/>
        </w:rPr>
        <w:t>Virkning af fødeindtagelse</w:t>
      </w:r>
    </w:p>
    <w:p w14:paraId="7EE90520" w14:textId="77777777" w:rsidR="00F859C7" w:rsidRPr="00F36DFC" w:rsidRDefault="00F859C7" w:rsidP="00D16F2D">
      <w:pPr>
        <w:ind w:left="851"/>
        <w:rPr>
          <w:sz w:val="24"/>
          <w:szCs w:val="24"/>
        </w:rPr>
      </w:pPr>
    </w:p>
    <w:p w14:paraId="4C76A7B1" w14:textId="1F4A2DBB" w:rsidR="00F859C7" w:rsidRPr="00F36DFC" w:rsidRDefault="00F859C7" w:rsidP="00D16F2D">
      <w:pPr>
        <w:ind w:left="851"/>
        <w:rPr>
          <w:sz w:val="24"/>
          <w:szCs w:val="24"/>
        </w:rPr>
      </w:pPr>
      <w:proofErr w:type="spellStart"/>
      <w:r w:rsidRPr="00F36DFC">
        <w:rPr>
          <w:sz w:val="24"/>
          <w:szCs w:val="24"/>
        </w:rPr>
        <w:t>Zonisamid</w:t>
      </w:r>
      <w:proofErr w:type="spellEnd"/>
      <w:r w:rsidRPr="00F36DFC">
        <w:rPr>
          <w:sz w:val="24"/>
          <w:szCs w:val="24"/>
        </w:rPr>
        <w:t xml:space="preserve"> </w:t>
      </w:r>
      <w:r w:rsidR="00C26C40">
        <w:rPr>
          <w:sz w:val="24"/>
          <w:szCs w:val="24"/>
        </w:rPr>
        <w:t>"</w:t>
      </w:r>
      <w:proofErr w:type="spellStart"/>
      <w:r w:rsidR="00C26C40">
        <w:rPr>
          <w:sz w:val="24"/>
          <w:szCs w:val="24"/>
        </w:rPr>
        <w:t>Desitin</w:t>
      </w:r>
      <w:proofErr w:type="spellEnd"/>
      <w:r w:rsidR="00C26C40">
        <w:rPr>
          <w:sz w:val="24"/>
          <w:szCs w:val="24"/>
        </w:rPr>
        <w:t>"</w:t>
      </w:r>
      <w:r w:rsidRPr="00F36DFC">
        <w:rPr>
          <w:sz w:val="24"/>
          <w:szCs w:val="24"/>
        </w:rPr>
        <w:t xml:space="preserve"> kan indtages sammen med eller uden mad (se pkt. 5.2). </w:t>
      </w:r>
      <w:proofErr w:type="spellStart"/>
      <w:r w:rsidRPr="00F36DFC">
        <w:rPr>
          <w:sz w:val="24"/>
          <w:szCs w:val="24"/>
        </w:rPr>
        <w:t>Zonisamid</w:t>
      </w:r>
      <w:proofErr w:type="spellEnd"/>
      <w:r w:rsidRPr="00F36DFC">
        <w:rPr>
          <w:sz w:val="24"/>
          <w:szCs w:val="24"/>
        </w:rPr>
        <w:t xml:space="preserve"> </w:t>
      </w:r>
      <w:r w:rsidR="00C26C40">
        <w:rPr>
          <w:sz w:val="24"/>
          <w:szCs w:val="24"/>
        </w:rPr>
        <w:t>"</w:t>
      </w:r>
      <w:proofErr w:type="spellStart"/>
      <w:r w:rsidR="00C26C40">
        <w:rPr>
          <w:sz w:val="24"/>
          <w:szCs w:val="24"/>
        </w:rPr>
        <w:t>Desitin</w:t>
      </w:r>
      <w:proofErr w:type="spellEnd"/>
      <w:r w:rsidR="00C26C40">
        <w:rPr>
          <w:sz w:val="24"/>
          <w:szCs w:val="24"/>
        </w:rPr>
        <w:t>"</w:t>
      </w:r>
      <w:r w:rsidRPr="00F36DFC">
        <w:rPr>
          <w:sz w:val="24"/>
          <w:szCs w:val="24"/>
        </w:rPr>
        <w:t xml:space="preserve"> kan blandes med yoghurt, så man ikke kan smage det.</w:t>
      </w:r>
    </w:p>
    <w:p w14:paraId="7DDA4A35" w14:textId="77777777" w:rsidR="009260DE" w:rsidRPr="00F36DFC" w:rsidRDefault="009260DE" w:rsidP="009260DE">
      <w:pPr>
        <w:tabs>
          <w:tab w:val="left" w:pos="851"/>
        </w:tabs>
        <w:ind w:left="851"/>
        <w:rPr>
          <w:sz w:val="24"/>
          <w:szCs w:val="24"/>
        </w:rPr>
      </w:pPr>
    </w:p>
    <w:p w14:paraId="3A5DC838" w14:textId="77777777" w:rsidR="009260DE" w:rsidRPr="00F36DFC" w:rsidRDefault="009260DE" w:rsidP="009260DE">
      <w:pPr>
        <w:tabs>
          <w:tab w:val="left" w:pos="851"/>
        </w:tabs>
        <w:ind w:left="851" w:hanging="851"/>
        <w:rPr>
          <w:b/>
          <w:sz w:val="24"/>
          <w:szCs w:val="24"/>
        </w:rPr>
      </w:pPr>
      <w:r w:rsidRPr="00F36DFC">
        <w:rPr>
          <w:b/>
          <w:sz w:val="24"/>
          <w:szCs w:val="24"/>
        </w:rPr>
        <w:t>4.3</w:t>
      </w:r>
      <w:r w:rsidRPr="00F36DFC">
        <w:rPr>
          <w:b/>
          <w:sz w:val="24"/>
          <w:szCs w:val="24"/>
        </w:rPr>
        <w:tab/>
        <w:t>Kontraindikationer</w:t>
      </w:r>
    </w:p>
    <w:p w14:paraId="165B5E25" w14:textId="77777777" w:rsidR="00F859C7" w:rsidRPr="00F36DFC" w:rsidRDefault="00F859C7" w:rsidP="00D16F2D">
      <w:pPr>
        <w:ind w:left="851"/>
        <w:rPr>
          <w:sz w:val="24"/>
          <w:szCs w:val="24"/>
          <w:lang w:eastAsia="de-DE"/>
        </w:rPr>
      </w:pPr>
      <w:r w:rsidRPr="00F36DFC">
        <w:rPr>
          <w:sz w:val="24"/>
          <w:szCs w:val="24"/>
        </w:rPr>
        <w:t>Overfølsomhed over for det aktive stof eller over for et eller flere af hjælpestofferne anført i pkt. 6.1 eller over for sulfonamider.</w:t>
      </w:r>
    </w:p>
    <w:p w14:paraId="5EA8C902" w14:textId="77777777" w:rsidR="009260DE" w:rsidRPr="00F36DFC" w:rsidRDefault="009260DE" w:rsidP="009260DE">
      <w:pPr>
        <w:tabs>
          <w:tab w:val="left" w:pos="851"/>
        </w:tabs>
        <w:ind w:left="851"/>
        <w:rPr>
          <w:sz w:val="24"/>
          <w:szCs w:val="24"/>
        </w:rPr>
      </w:pPr>
    </w:p>
    <w:p w14:paraId="0C34305D" w14:textId="77777777" w:rsidR="009260DE" w:rsidRPr="00F36DFC" w:rsidRDefault="009260DE" w:rsidP="009260DE">
      <w:pPr>
        <w:tabs>
          <w:tab w:val="left" w:pos="851"/>
        </w:tabs>
        <w:ind w:left="851" w:hanging="851"/>
        <w:rPr>
          <w:b/>
          <w:sz w:val="24"/>
          <w:szCs w:val="24"/>
        </w:rPr>
      </w:pPr>
      <w:r w:rsidRPr="00F36DFC">
        <w:rPr>
          <w:b/>
          <w:sz w:val="24"/>
          <w:szCs w:val="24"/>
        </w:rPr>
        <w:t>4.4</w:t>
      </w:r>
      <w:r w:rsidRPr="00F36DFC">
        <w:rPr>
          <w:b/>
          <w:sz w:val="24"/>
          <w:szCs w:val="24"/>
        </w:rPr>
        <w:tab/>
        <w:t>Særlige advarsler og forsigtighedsregler vedrørende brugen</w:t>
      </w:r>
    </w:p>
    <w:p w14:paraId="2A3C0E7D" w14:textId="77777777" w:rsidR="00F859C7" w:rsidRPr="00F36DFC" w:rsidRDefault="00F859C7" w:rsidP="00F859C7">
      <w:pPr>
        <w:rPr>
          <w:sz w:val="24"/>
          <w:szCs w:val="24"/>
          <w:lang w:eastAsia="de-DE"/>
        </w:rPr>
      </w:pPr>
    </w:p>
    <w:p w14:paraId="5D049D76" w14:textId="77777777" w:rsidR="00F859C7" w:rsidRPr="00F36DFC" w:rsidRDefault="00F859C7" w:rsidP="00D16F2D">
      <w:pPr>
        <w:ind w:left="851"/>
        <w:rPr>
          <w:sz w:val="24"/>
          <w:szCs w:val="24"/>
          <w:u w:val="single"/>
        </w:rPr>
      </w:pPr>
      <w:r w:rsidRPr="00F36DFC">
        <w:rPr>
          <w:sz w:val="24"/>
          <w:szCs w:val="24"/>
          <w:u w:val="single"/>
        </w:rPr>
        <w:t>Uforklarligt udslæt</w:t>
      </w:r>
    </w:p>
    <w:p w14:paraId="15199FB9" w14:textId="77777777" w:rsidR="00F859C7" w:rsidRPr="00F36DFC" w:rsidRDefault="00F859C7" w:rsidP="00D16F2D">
      <w:pPr>
        <w:ind w:left="851"/>
        <w:rPr>
          <w:sz w:val="24"/>
          <w:szCs w:val="24"/>
        </w:rPr>
      </w:pPr>
    </w:p>
    <w:p w14:paraId="1311263F" w14:textId="3CC98ED1" w:rsidR="00F859C7" w:rsidRPr="00F36DFC" w:rsidRDefault="00F859C7" w:rsidP="00D16F2D">
      <w:pPr>
        <w:pBdr>
          <w:top w:val="single" w:sz="4" w:space="1" w:color="auto"/>
          <w:left w:val="single" w:sz="4" w:space="4" w:color="auto"/>
          <w:bottom w:val="single" w:sz="4" w:space="1" w:color="auto"/>
          <w:right w:val="single" w:sz="4" w:space="4" w:color="auto"/>
        </w:pBdr>
        <w:ind w:left="851"/>
        <w:rPr>
          <w:b/>
          <w:sz w:val="24"/>
          <w:szCs w:val="24"/>
        </w:rPr>
      </w:pPr>
      <w:r w:rsidRPr="00F36DFC">
        <w:rPr>
          <w:b/>
          <w:bCs/>
          <w:sz w:val="24"/>
          <w:szCs w:val="24"/>
        </w:rPr>
        <w:t xml:space="preserve">Der forekommer alvorlige udslæt i forbindelse med </w:t>
      </w:r>
      <w:proofErr w:type="spellStart"/>
      <w:r w:rsidRPr="00F36DFC">
        <w:rPr>
          <w:b/>
          <w:bCs/>
          <w:sz w:val="24"/>
          <w:szCs w:val="24"/>
        </w:rPr>
        <w:t>Zonisamid</w:t>
      </w:r>
      <w:proofErr w:type="spellEnd"/>
      <w:r w:rsidRPr="00F36DFC">
        <w:rPr>
          <w:b/>
          <w:bCs/>
          <w:sz w:val="24"/>
          <w:szCs w:val="24"/>
        </w:rPr>
        <w:t xml:space="preserve"> </w:t>
      </w:r>
      <w:r w:rsidR="00C26C40">
        <w:rPr>
          <w:b/>
          <w:bCs/>
          <w:sz w:val="24"/>
          <w:szCs w:val="24"/>
        </w:rPr>
        <w:t>"</w:t>
      </w:r>
      <w:proofErr w:type="spellStart"/>
      <w:r w:rsidR="00C26C40">
        <w:rPr>
          <w:b/>
          <w:bCs/>
          <w:sz w:val="24"/>
          <w:szCs w:val="24"/>
        </w:rPr>
        <w:t>Desitin</w:t>
      </w:r>
      <w:proofErr w:type="spellEnd"/>
      <w:r w:rsidR="00C26C40">
        <w:rPr>
          <w:b/>
          <w:bCs/>
          <w:sz w:val="24"/>
          <w:szCs w:val="24"/>
        </w:rPr>
        <w:t xml:space="preserve">" </w:t>
      </w:r>
      <w:r w:rsidRPr="00F36DFC">
        <w:rPr>
          <w:b/>
          <w:bCs/>
          <w:sz w:val="24"/>
          <w:szCs w:val="24"/>
        </w:rPr>
        <w:t>behandling, herunder tilfælde af Stevens-Johnsons syndrom.</w:t>
      </w:r>
    </w:p>
    <w:p w14:paraId="13F4EE8B" w14:textId="77777777" w:rsidR="00F859C7" w:rsidRPr="00F36DFC" w:rsidRDefault="00F859C7" w:rsidP="00D16F2D">
      <w:pPr>
        <w:ind w:left="851"/>
        <w:rPr>
          <w:sz w:val="24"/>
          <w:szCs w:val="24"/>
        </w:rPr>
      </w:pPr>
    </w:p>
    <w:p w14:paraId="3670120E" w14:textId="5CBCBBF9" w:rsidR="00F859C7" w:rsidRPr="00F36DFC" w:rsidRDefault="00F859C7" w:rsidP="00D16F2D">
      <w:pPr>
        <w:ind w:left="851"/>
        <w:rPr>
          <w:sz w:val="24"/>
          <w:szCs w:val="24"/>
        </w:rPr>
      </w:pPr>
      <w:proofErr w:type="spellStart"/>
      <w:r w:rsidRPr="00F36DFC">
        <w:rPr>
          <w:sz w:val="24"/>
          <w:szCs w:val="24"/>
        </w:rPr>
        <w:t>Seponering</w:t>
      </w:r>
      <w:proofErr w:type="spellEnd"/>
      <w:r w:rsidRPr="00F36DFC">
        <w:rPr>
          <w:sz w:val="24"/>
          <w:szCs w:val="24"/>
        </w:rPr>
        <w:t xml:space="preserve"> af </w:t>
      </w:r>
      <w:proofErr w:type="spellStart"/>
      <w:r w:rsidRPr="00F36DFC">
        <w:rPr>
          <w:sz w:val="24"/>
          <w:szCs w:val="24"/>
        </w:rPr>
        <w:t>Zonisamid</w:t>
      </w:r>
      <w:proofErr w:type="spellEnd"/>
      <w:r w:rsidRPr="00F36DFC">
        <w:rPr>
          <w:sz w:val="24"/>
          <w:szCs w:val="24"/>
        </w:rPr>
        <w:t xml:space="preserve"> </w:t>
      </w:r>
      <w:r w:rsidR="00C26C40">
        <w:rPr>
          <w:sz w:val="24"/>
          <w:szCs w:val="24"/>
        </w:rPr>
        <w:t>"</w:t>
      </w:r>
      <w:proofErr w:type="spellStart"/>
      <w:r w:rsidR="00C26C40">
        <w:rPr>
          <w:sz w:val="24"/>
          <w:szCs w:val="24"/>
        </w:rPr>
        <w:t>Desitin</w:t>
      </w:r>
      <w:proofErr w:type="spellEnd"/>
      <w:r w:rsidR="00C26C40">
        <w:rPr>
          <w:sz w:val="24"/>
          <w:szCs w:val="24"/>
        </w:rPr>
        <w:t>"</w:t>
      </w:r>
      <w:r w:rsidRPr="00F36DFC">
        <w:rPr>
          <w:sz w:val="24"/>
          <w:szCs w:val="24"/>
        </w:rPr>
        <w:t xml:space="preserve"> bør overvejes hos patienter, som udvikler et i øvrigt uforklarligt udslæt. Alle patienter, som udvikler et udslæt, mens de tager </w:t>
      </w:r>
      <w:proofErr w:type="spellStart"/>
      <w:r w:rsidRPr="00F36DFC">
        <w:rPr>
          <w:sz w:val="24"/>
          <w:szCs w:val="24"/>
        </w:rPr>
        <w:t>Zonisamid</w:t>
      </w:r>
      <w:proofErr w:type="spellEnd"/>
      <w:r w:rsidRPr="00F36DFC">
        <w:rPr>
          <w:sz w:val="24"/>
          <w:szCs w:val="24"/>
        </w:rPr>
        <w:t xml:space="preserve"> </w:t>
      </w:r>
      <w:r w:rsidR="00C26C40">
        <w:rPr>
          <w:sz w:val="24"/>
          <w:szCs w:val="24"/>
        </w:rPr>
        <w:t>"</w:t>
      </w:r>
      <w:proofErr w:type="spellStart"/>
      <w:r w:rsidR="00C26C40">
        <w:rPr>
          <w:sz w:val="24"/>
          <w:szCs w:val="24"/>
        </w:rPr>
        <w:t>Desitin</w:t>
      </w:r>
      <w:proofErr w:type="spellEnd"/>
      <w:r w:rsidR="00C26C40">
        <w:rPr>
          <w:sz w:val="24"/>
          <w:szCs w:val="24"/>
        </w:rPr>
        <w:t>"</w:t>
      </w:r>
      <w:r w:rsidRPr="00F36DFC">
        <w:rPr>
          <w:sz w:val="24"/>
          <w:szCs w:val="24"/>
        </w:rPr>
        <w:t xml:space="preserve">, skal kontrolleres tæt med ekstra grad af forsigtighed over for de patienter, der får ledsagende </w:t>
      </w:r>
      <w:proofErr w:type="spellStart"/>
      <w:r w:rsidRPr="00F36DFC">
        <w:rPr>
          <w:sz w:val="24"/>
          <w:szCs w:val="24"/>
        </w:rPr>
        <w:t>antiepileptika</w:t>
      </w:r>
      <w:proofErr w:type="spellEnd"/>
      <w:r w:rsidRPr="00F36DFC">
        <w:rPr>
          <w:sz w:val="24"/>
          <w:szCs w:val="24"/>
        </w:rPr>
        <w:t>, som uafhængigt kan fremkalde hududslæt.</w:t>
      </w:r>
    </w:p>
    <w:p w14:paraId="04716879" w14:textId="77777777" w:rsidR="00F859C7" w:rsidRPr="00F36DFC" w:rsidRDefault="00F859C7" w:rsidP="00D16F2D">
      <w:pPr>
        <w:ind w:left="851"/>
        <w:rPr>
          <w:sz w:val="24"/>
          <w:szCs w:val="24"/>
        </w:rPr>
      </w:pPr>
    </w:p>
    <w:p w14:paraId="0DC1A514" w14:textId="77777777" w:rsidR="00F859C7" w:rsidRPr="00F36DFC" w:rsidRDefault="00F859C7" w:rsidP="00D16F2D">
      <w:pPr>
        <w:ind w:left="851"/>
        <w:rPr>
          <w:sz w:val="24"/>
          <w:szCs w:val="24"/>
          <w:u w:val="single"/>
        </w:rPr>
      </w:pPr>
      <w:r w:rsidRPr="00F36DFC">
        <w:rPr>
          <w:sz w:val="24"/>
          <w:szCs w:val="24"/>
          <w:u w:val="single"/>
        </w:rPr>
        <w:t xml:space="preserve">Krampeanfald ved </w:t>
      </w:r>
      <w:proofErr w:type="spellStart"/>
      <w:r w:rsidRPr="00F36DFC">
        <w:rPr>
          <w:sz w:val="24"/>
          <w:szCs w:val="24"/>
          <w:u w:val="single"/>
        </w:rPr>
        <w:t>seponering</w:t>
      </w:r>
      <w:proofErr w:type="spellEnd"/>
    </w:p>
    <w:p w14:paraId="58E6AFCE" w14:textId="1921B1EA" w:rsidR="00F859C7" w:rsidRPr="00F36DFC" w:rsidRDefault="00F859C7" w:rsidP="00D16F2D">
      <w:pPr>
        <w:ind w:left="851"/>
        <w:rPr>
          <w:sz w:val="24"/>
          <w:szCs w:val="24"/>
        </w:rPr>
      </w:pPr>
      <w:r w:rsidRPr="00F36DFC">
        <w:rPr>
          <w:sz w:val="24"/>
          <w:szCs w:val="24"/>
        </w:rPr>
        <w:t xml:space="preserve">I overensstemmelse med gængs klinisk praksis skal </w:t>
      </w:r>
      <w:proofErr w:type="spellStart"/>
      <w:r w:rsidRPr="00F36DFC">
        <w:rPr>
          <w:sz w:val="24"/>
          <w:szCs w:val="24"/>
        </w:rPr>
        <w:t>seponering</w:t>
      </w:r>
      <w:proofErr w:type="spellEnd"/>
      <w:r w:rsidRPr="00F36DFC">
        <w:rPr>
          <w:sz w:val="24"/>
          <w:szCs w:val="24"/>
        </w:rPr>
        <w:t xml:space="preserve"> af </w:t>
      </w:r>
      <w:proofErr w:type="spellStart"/>
      <w:r w:rsidRPr="00F36DFC">
        <w:rPr>
          <w:sz w:val="24"/>
          <w:szCs w:val="24"/>
        </w:rPr>
        <w:t>Zonisamid</w:t>
      </w:r>
      <w:proofErr w:type="spellEnd"/>
      <w:r w:rsidRPr="00F36DFC">
        <w:rPr>
          <w:sz w:val="24"/>
          <w:szCs w:val="24"/>
        </w:rPr>
        <w:t xml:space="preserve"> </w:t>
      </w:r>
      <w:r w:rsidR="00C26C40">
        <w:rPr>
          <w:sz w:val="24"/>
          <w:szCs w:val="24"/>
        </w:rPr>
        <w:t>"</w:t>
      </w:r>
      <w:proofErr w:type="spellStart"/>
      <w:r w:rsidR="00C26C40">
        <w:rPr>
          <w:sz w:val="24"/>
          <w:szCs w:val="24"/>
        </w:rPr>
        <w:t>Desitin</w:t>
      </w:r>
      <w:proofErr w:type="spellEnd"/>
      <w:r w:rsidR="00C26C40">
        <w:rPr>
          <w:sz w:val="24"/>
          <w:szCs w:val="24"/>
        </w:rPr>
        <w:t>"</w:t>
      </w:r>
      <w:r w:rsidRPr="00F36DFC">
        <w:rPr>
          <w:sz w:val="24"/>
          <w:szCs w:val="24"/>
        </w:rPr>
        <w:t xml:space="preserve"> hos patienter med epilepsi ske ved gradvis dosisreduktion for at reducere risikoen for anfald i forbindelse med </w:t>
      </w:r>
      <w:proofErr w:type="spellStart"/>
      <w:r w:rsidRPr="00F36DFC">
        <w:rPr>
          <w:sz w:val="24"/>
          <w:szCs w:val="24"/>
        </w:rPr>
        <w:t>seponering</w:t>
      </w:r>
      <w:proofErr w:type="spellEnd"/>
      <w:r w:rsidRPr="00F36DFC">
        <w:rPr>
          <w:sz w:val="24"/>
          <w:szCs w:val="24"/>
        </w:rPr>
        <w:t>.</w:t>
      </w:r>
    </w:p>
    <w:p w14:paraId="24F34CE0" w14:textId="4B51C4E2" w:rsidR="00F859C7" w:rsidRPr="00F36DFC" w:rsidRDefault="00F859C7" w:rsidP="00D16F2D">
      <w:pPr>
        <w:ind w:left="851"/>
        <w:rPr>
          <w:sz w:val="24"/>
          <w:szCs w:val="24"/>
        </w:rPr>
      </w:pPr>
      <w:r w:rsidRPr="00F36DFC">
        <w:rPr>
          <w:sz w:val="24"/>
          <w:szCs w:val="24"/>
        </w:rPr>
        <w:t xml:space="preserve">Der er utilstrækkelige data vedrørende </w:t>
      </w:r>
      <w:proofErr w:type="spellStart"/>
      <w:r w:rsidRPr="00F36DFC">
        <w:rPr>
          <w:sz w:val="24"/>
          <w:szCs w:val="24"/>
        </w:rPr>
        <w:t>seponering</w:t>
      </w:r>
      <w:proofErr w:type="spellEnd"/>
      <w:r w:rsidRPr="00F36DFC">
        <w:rPr>
          <w:sz w:val="24"/>
          <w:szCs w:val="24"/>
        </w:rPr>
        <w:t xml:space="preserve"> af ledsagende </w:t>
      </w:r>
      <w:proofErr w:type="spellStart"/>
      <w:r w:rsidRPr="00F36DFC">
        <w:rPr>
          <w:sz w:val="24"/>
          <w:szCs w:val="24"/>
        </w:rPr>
        <w:t>antiepileptika</w:t>
      </w:r>
      <w:proofErr w:type="spellEnd"/>
      <w:r w:rsidRPr="00F36DFC">
        <w:rPr>
          <w:sz w:val="24"/>
          <w:szCs w:val="24"/>
        </w:rPr>
        <w:t xml:space="preserve">, efter der er opnået kontrol over anfaldene med </w:t>
      </w:r>
      <w:proofErr w:type="spellStart"/>
      <w:r w:rsidRPr="00F36DFC">
        <w:rPr>
          <w:sz w:val="24"/>
          <w:szCs w:val="24"/>
        </w:rPr>
        <w:t>Zonisamid</w:t>
      </w:r>
      <w:proofErr w:type="spellEnd"/>
      <w:r w:rsidRPr="00F36DFC">
        <w:rPr>
          <w:sz w:val="24"/>
          <w:szCs w:val="24"/>
        </w:rPr>
        <w:t xml:space="preserve"> </w:t>
      </w:r>
      <w:r w:rsidR="00C26C40">
        <w:rPr>
          <w:sz w:val="24"/>
          <w:szCs w:val="24"/>
        </w:rPr>
        <w:t>"</w:t>
      </w:r>
      <w:proofErr w:type="spellStart"/>
      <w:r w:rsidR="00C26C40">
        <w:rPr>
          <w:sz w:val="24"/>
          <w:szCs w:val="24"/>
        </w:rPr>
        <w:t>Desitin</w:t>
      </w:r>
      <w:proofErr w:type="spellEnd"/>
      <w:r w:rsidR="00C26C40">
        <w:rPr>
          <w:sz w:val="24"/>
          <w:szCs w:val="24"/>
        </w:rPr>
        <w:t>"</w:t>
      </w:r>
      <w:r w:rsidRPr="00F36DFC">
        <w:rPr>
          <w:sz w:val="24"/>
          <w:szCs w:val="24"/>
        </w:rPr>
        <w:t xml:space="preserve"> i suppleringssituationen, for at nå frem til monoterapi med </w:t>
      </w:r>
      <w:proofErr w:type="spellStart"/>
      <w:r w:rsidRPr="00F36DFC">
        <w:rPr>
          <w:sz w:val="24"/>
          <w:szCs w:val="24"/>
        </w:rPr>
        <w:t>Zonisamid</w:t>
      </w:r>
      <w:proofErr w:type="spellEnd"/>
      <w:r w:rsidRPr="00F36DFC">
        <w:rPr>
          <w:sz w:val="24"/>
          <w:szCs w:val="24"/>
        </w:rPr>
        <w:t xml:space="preserve"> </w:t>
      </w:r>
      <w:r w:rsidR="00C26C40">
        <w:rPr>
          <w:sz w:val="24"/>
          <w:szCs w:val="24"/>
        </w:rPr>
        <w:t>"</w:t>
      </w:r>
      <w:proofErr w:type="spellStart"/>
      <w:r w:rsidR="00C26C40">
        <w:rPr>
          <w:sz w:val="24"/>
          <w:szCs w:val="24"/>
        </w:rPr>
        <w:t>Desitin</w:t>
      </w:r>
      <w:proofErr w:type="spellEnd"/>
      <w:r w:rsidR="00C26C40">
        <w:rPr>
          <w:sz w:val="24"/>
          <w:szCs w:val="24"/>
        </w:rPr>
        <w:t>"</w:t>
      </w:r>
      <w:r w:rsidRPr="00F36DFC">
        <w:rPr>
          <w:sz w:val="24"/>
          <w:szCs w:val="24"/>
        </w:rPr>
        <w:t xml:space="preserve">. </w:t>
      </w:r>
      <w:proofErr w:type="spellStart"/>
      <w:r w:rsidRPr="00F36DFC">
        <w:rPr>
          <w:sz w:val="24"/>
          <w:szCs w:val="24"/>
        </w:rPr>
        <w:t>Seponering</w:t>
      </w:r>
      <w:proofErr w:type="spellEnd"/>
      <w:r w:rsidRPr="00F36DFC">
        <w:rPr>
          <w:sz w:val="24"/>
          <w:szCs w:val="24"/>
        </w:rPr>
        <w:t xml:space="preserve"> af ledsagende </w:t>
      </w:r>
      <w:proofErr w:type="spellStart"/>
      <w:r w:rsidRPr="00F36DFC">
        <w:rPr>
          <w:sz w:val="24"/>
          <w:szCs w:val="24"/>
        </w:rPr>
        <w:t>antiepileptika</w:t>
      </w:r>
      <w:proofErr w:type="spellEnd"/>
      <w:r w:rsidRPr="00F36DFC">
        <w:rPr>
          <w:sz w:val="24"/>
          <w:szCs w:val="24"/>
        </w:rPr>
        <w:t xml:space="preserve"> skal derfor ske med forsigtighed.</w:t>
      </w:r>
    </w:p>
    <w:p w14:paraId="24D8FB74" w14:textId="77777777" w:rsidR="00F859C7" w:rsidRPr="00F36DFC" w:rsidRDefault="00F859C7" w:rsidP="00D16F2D">
      <w:pPr>
        <w:ind w:left="851"/>
        <w:rPr>
          <w:sz w:val="24"/>
          <w:szCs w:val="24"/>
        </w:rPr>
      </w:pPr>
    </w:p>
    <w:p w14:paraId="33334EF5" w14:textId="77777777" w:rsidR="00F859C7" w:rsidRPr="00F36DFC" w:rsidRDefault="00F859C7" w:rsidP="00D16F2D">
      <w:pPr>
        <w:ind w:left="851"/>
        <w:rPr>
          <w:sz w:val="24"/>
          <w:szCs w:val="24"/>
          <w:u w:val="single"/>
        </w:rPr>
      </w:pPr>
      <w:r w:rsidRPr="00F36DFC">
        <w:rPr>
          <w:sz w:val="24"/>
          <w:szCs w:val="24"/>
          <w:u w:val="single"/>
        </w:rPr>
        <w:t>Sulfonamidreaktioner</w:t>
      </w:r>
    </w:p>
    <w:p w14:paraId="5268E139" w14:textId="28F7DA2E" w:rsidR="00F859C7" w:rsidRPr="00F36DFC" w:rsidRDefault="00F859C7" w:rsidP="00D16F2D">
      <w:pPr>
        <w:ind w:left="851"/>
        <w:rPr>
          <w:sz w:val="24"/>
          <w:szCs w:val="24"/>
        </w:rPr>
      </w:pPr>
      <w:proofErr w:type="spellStart"/>
      <w:r w:rsidRPr="00F36DFC">
        <w:rPr>
          <w:sz w:val="24"/>
          <w:szCs w:val="24"/>
        </w:rPr>
        <w:t>Zonisamid</w:t>
      </w:r>
      <w:proofErr w:type="spellEnd"/>
      <w:r w:rsidRPr="00F36DFC">
        <w:rPr>
          <w:sz w:val="24"/>
          <w:szCs w:val="24"/>
        </w:rPr>
        <w:t xml:space="preserve"> </w:t>
      </w:r>
      <w:r w:rsidR="00C26C40">
        <w:rPr>
          <w:sz w:val="24"/>
          <w:szCs w:val="24"/>
        </w:rPr>
        <w:t>"</w:t>
      </w:r>
      <w:proofErr w:type="spellStart"/>
      <w:r w:rsidR="00C26C40">
        <w:rPr>
          <w:sz w:val="24"/>
          <w:szCs w:val="24"/>
        </w:rPr>
        <w:t>Desitin</w:t>
      </w:r>
      <w:proofErr w:type="spellEnd"/>
      <w:r w:rsidR="00C26C40">
        <w:rPr>
          <w:sz w:val="24"/>
          <w:szCs w:val="24"/>
        </w:rPr>
        <w:t>"</w:t>
      </w:r>
      <w:r w:rsidRPr="00F36DFC">
        <w:rPr>
          <w:sz w:val="24"/>
          <w:szCs w:val="24"/>
        </w:rPr>
        <w:t xml:space="preserve"> er et </w:t>
      </w:r>
      <w:proofErr w:type="spellStart"/>
      <w:r w:rsidRPr="00F36DFC">
        <w:rPr>
          <w:sz w:val="24"/>
          <w:szCs w:val="24"/>
        </w:rPr>
        <w:t>benzisoxazolderivat</w:t>
      </w:r>
      <w:proofErr w:type="spellEnd"/>
      <w:r w:rsidRPr="00F36DFC">
        <w:rPr>
          <w:sz w:val="24"/>
          <w:szCs w:val="24"/>
        </w:rPr>
        <w:t xml:space="preserve">, som indeholder en sulfonamidgruppe. Alvorlige immunbaserede bivirkninger, som har forbindelse med lægemidler indeholdende en sulfonamidgruppe, omfatter udslæt, allergisk reaktion og alvorlige hæmatologiske sygdomme, inklusive </w:t>
      </w:r>
      <w:proofErr w:type="spellStart"/>
      <w:r w:rsidRPr="00F36DFC">
        <w:rPr>
          <w:sz w:val="24"/>
          <w:szCs w:val="24"/>
        </w:rPr>
        <w:t>aplastisk</w:t>
      </w:r>
      <w:proofErr w:type="spellEnd"/>
      <w:r w:rsidRPr="00F36DFC">
        <w:rPr>
          <w:sz w:val="24"/>
          <w:szCs w:val="24"/>
        </w:rPr>
        <w:t xml:space="preserve"> anæmi, der i meget sjældne tilfælde kan være fatalt.</w:t>
      </w:r>
    </w:p>
    <w:p w14:paraId="1C9527D8" w14:textId="77777777" w:rsidR="00F859C7" w:rsidRPr="00F36DFC" w:rsidRDefault="00F859C7" w:rsidP="00D16F2D">
      <w:pPr>
        <w:ind w:left="851"/>
        <w:rPr>
          <w:sz w:val="24"/>
          <w:szCs w:val="24"/>
        </w:rPr>
      </w:pPr>
    </w:p>
    <w:p w14:paraId="21263EAC" w14:textId="77777777" w:rsidR="00F859C7" w:rsidRPr="00F36DFC" w:rsidRDefault="00F859C7" w:rsidP="00D16F2D">
      <w:pPr>
        <w:ind w:left="851"/>
        <w:rPr>
          <w:sz w:val="24"/>
          <w:szCs w:val="24"/>
        </w:rPr>
      </w:pPr>
      <w:r w:rsidRPr="00F36DFC">
        <w:rPr>
          <w:sz w:val="24"/>
          <w:szCs w:val="24"/>
        </w:rPr>
        <w:t xml:space="preserve">Der er rapporteret tilfælde med </w:t>
      </w:r>
      <w:proofErr w:type="spellStart"/>
      <w:r w:rsidRPr="00F36DFC">
        <w:rPr>
          <w:sz w:val="24"/>
          <w:szCs w:val="24"/>
        </w:rPr>
        <w:t>agranulocytose</w:t>
      </w:r>
      <w:proofErr w:type="spellEnd"/>
      <w:r w:rsidRPr="00F36DFC">
        <w:rPr>
          <w:sz w:val="24"/>
          <w:szCs w:val="24"/>
        </w:rPr>
        <w:t xml:space="preserve">, </w:t>
      </w:r>
      <w:proofErr w:type="spellStart"/>
      <w:r w:rsidRPr="00F36DFC">
        <w:rPr>
          <w:sz w:val="24"/>
          <w:szCs w:val="24"/>
        </w:rPr>
        <w:t>trombocytopeni</w:t>
      </w:r>
      <w:proofErr w:type="spellEnd"/>
      <w:r w:rsidRPr="00F36DFC">
        <w:rPr>
          <w:sz w:val="24"/>
          <w:szCs w:val="24"/>
        </w:rPr>
        <w:t xml:space="preserve">, </w:t>
      </w:r>
      <w:proofErr w:type="spellStart"/>
      <w:r w:rsidRPr="00F36DFC">
        <w:rPr>
          <w:sz w:val="24"/>
          <w:szCs w:val="24"/>
        </w:rPr>
        <w:t>leukopeni</w:t>
      </w:r>
      <w:proofErr w:type="spellEnd"/>
      <w:r w:rsidRPr="00F36DFC">
        <w:rPr>
          <w:sz w:val="24"/>
          <w:szCs w:val="24"/>
        </w:rPr>
        <w:t xml:space="preserve">, </w:t>
      </w:r>
      <w:proofErr w:type="spellStart"/>
      <w:r w:rsidRPr="00F36DFC">
        <w:rPr>
          <w:sz w:val="24"/>
          <w:szCs w:val="24"/>
        </w:rPr>
        <w:t>aplastisk</w:t>
      </w:r>
      <w:proofErr w:type="spellEnd"/>
      <w:r w:rsidRPr="00F36DFC">
        <w:rPr>
          <w:sz w:val="24"/>
          <w:szCs w:val="24"/>
        </w:rPr>
        <w:t xml:space="preserve"> anæmi, </w:t>
      </w:r>
      <w:proofErr w:type="spellStart"/>
      <w:r w:rsidRPr="00F36DFC">
        <w:rPr>
          <w:sz w:val="24"/>
          <w:szCs w:val="24"/>
        </w:rPr>
        <w:t>pancytopeni</w:t>
      </w:r>
      <w:proofErr w:type="spellEnd"/>
      <w:r w:rsidRPr="00F36DFC">
        <w:rPr>
          <w:sz w:val="24"/>
          <w:szCs w:val="24"/>
        </w:rPr>
        <w:t xml:space="preserve"> og leukocytose. Der findes ikke tilstrækkelig information til at vurdere sammenhængen, hvis der er nogen, mellem dosis og behandlingsvarigheden og disse hændelser.</w:t>
      </w:r>
    </w:p>
    <w:p w14:paraId="533EFE9C" w14:textId="77777777" w:rsidR="00F859C7" w:rsidRPr="00F36DFC" w:rsidRDefault="00F859C7" w:rsidP="00D16F2D">
      <w:pPr>
        <w:ind w:left="851"/>
        <w:rPr>
          <w:sz w:val="24"/>
          <w:szCs w:val="24"/>
        </w:rPr>
      </w:pPr>
    </w:p>
    <w:p w14:paraId="32BA945E" w14:textId="77777777" w:rsidR="00F859C7" w:rsidRPr="00F36DFC" w:rsidRDefault="00F859C7" w:rsidP="00D16F2D">
      <w:pPr>
        <w:adjustRightInd w:val="0"/>
        <w:ind w:left="851"/>
        <w:rPr>
          <w:sz w:val="24"/>
          <w:szCs w:val="24"/>
          <w:u w:val="single"/>
        </w:rPr>
      </w:pPr>
      <w:r w:rsidRPr="00F36DFC">
        <w:rPr>
          <w:sz w:val="24"/>
          <w:szCs w:val="24"/>
          <w:u w:val="single"/>
        </w:rPr>
        <w:t xml:space="preserve">Akut </w:t>
      </w:r>
      <w:proofErr w:type="spellStart"/>
      <w:r w:rsidRPr="00F36DFC">
        <w:rPr>
          <w:sz w:val="24"/>
          <w:szCs w:val="24"/>
          <w:u w:val="single"/>
        </w:rPr>
        <w:t>myopi</w:t>
      </w:r>
      <w:proofErr w:type="spellEnd"/>
      <w:r w:rsidRPr="00F36DFC">
        <w:rPr>
          <w:sz w:val="24"/>
          <w:szCs w:val="24"/>
          <w:u w:val="single"/>
        </w:rPr>
        <w:t xml:space="preserve"> og sekundært lukket-vinkel </w:t>
      </w:r>
      <w:proofErr w:type="spellStart"/>
      <w:r w:rsidRPr="00F36DFC">
        <w:rPr>
          <w:sz w:val="24"/>
          <w:szCs w:val="24"/>
          <w:u w:val="single"/>
        </w:rPr>
        <w:t>glaukom</w:t>
      </w:r>
      <w:proofErr w:type="spellEnd"/>
    </w:p>
    <w:p w14:paraId="3ADAB0FE" w14:textId="77777777" w:rsidR="00F859C7" w:rsidRPr="00F36DFC" w:rsidRDefault="00F859C7" w:rsidP="00D16F2D">
      <w:pPr>
        <w:adjustRightInd w:val="0"/>
        <w:ind w:left="851"/>
        <w:rPr>
          <w:sz w:val="24"/>
          <w:szCs w:val="24"/>
        </w:rPr>
      </w:pPr>
      <w:r w:rsidRPr="00F36DFC">
        <w:rPr>
          <w:sz w:val="24"/>
          <w:szCs w:val="24"/>
        </w:rPr>
        <w:t xml:space="preserve">Et syndrom bestående af akut </w:t>
      </w:r>
      <w:proofErr w:type="spellStart"/>
      <w:r w:rsidRPr="00F36DFC">
        <w:rPr>
          <w:sz w:val="24"/>
          <w:szCs w:val="24"/>
        </w:rPr>
        <w:t>myopi</w:t>
      </w:r>
      <w:proofErr w:type="spellEnd"/>
      <w:r w:rsidRPr="00F36DFC">
        <w:rPr>
          <w:sz w:val="24"/>
          <w:szCs w:val="24"/>
        </w:rPr>
        <w:t xml:space="preserve"> forbundet med sekundært lukket-vinkel </w:t>
      </w:r>
      <w:proofErr w:type="spellStart"/>
      <w:r w:rsidRPr="00F36DFC">
        <w:rPr>
          <w:sz w:val="24"/>
          <w:szCs w:val="24"/>
        </w:rPr>
        <w:t>glaukom</w:t>
      </w:r>
      <w:proofErr w:type="spellEnd"/>
      <w:r w:rsidRPr="00F36DFC">
        <w:rPr>
          <w:sz w:val="24"/>
          <w:szCs w:val="24"/>
        </w:rPr>
        <w:t xml:space="preserve"> er blevet rapporteret hos voksne og pædiatriske patienter, der får </w:t>
      </w:r>
      <w:proofErr w:type="spellStart"/>
      <w:r w:rsidRPr="00F36DFC">
        <w:rPr>
          <w:sz w:val="24"/>
          <w:szCs w:val="24"/>
        </w:rPr>
        <w:t>zonisamid</w:t>
      </w:r>
      <w:proofErr w:type="spellEnd"/>
      <w:r w:rsidRPr="00F36DFC">
        <w:rPr>
          <w:sz w:val="24"/>
          <w:szCs w:val="24"/>
        </w:rPr>
        <w:t xml:space="preserve">. Symptomerne omfatter akut opstået nedsat synsskarphed og/eller </w:t>
      </w:r>
      <w:proofErr w:type="spellStart"/>
      <w:r w:rsidRPr="00F36DFC">
        <w:rPr>
          <w:sz w:val="24"/>
          <w:szCs w:val="24"/>
        </w:rPr>
        <w:t>okulære</w:t>
      </w:r>
      <w:proofErr w:type="spellEnd"/>
      <w:r w:rsidRPr="00F36DFC">
        <w:rPr>
          <w:sz w:val="24"/>
          <w:szCs w:val="24"/>
        </w:rPr>
        <w:t xml:space="preserve"> smerter. Oftalmologiske fund kan omfatte </w:t>
      </w:r>
      <w:proofErr w:type="spellStart"/>
      <w:r w:rsidRPr="00F36DFC">
        <w:rPr>
          <w:sz w:val="24"/>
          <w:szCs w:val="24"/>
        </w:rPr>
        <w:t>myopi</w:t>
      </w:r>
      <w:proofErr w:type="spellEnd"/>
      <w:r w:rsidRPr="00F36DFC">
        <w:rPr>
          <w:sz w:val="24"/>
          <w:szCs w:val="24"/>
        </w:rPr>
        <w:t xml:space="preserve">, forsnævring af øjets forkammer og </w:t>
      </w:r>
      <w:proofErr w:type="spellStart"/>
      <w:r w:rsidRPr="00F36DFC">
        <w:rPr>
          <w:sz w:val="24"/>
          <w:szCs w:val="24"/>
        </w:rPr>
        <w:t>okulær</w:t>
      </w:r>
      <w:proofErr w:type="spellEnd"/>
      <w:r w:rsidRPr="00F36DFC">
        <w:rPr>
          <w:sz w:val="24"/>
          <w:szCs w:val="24"/>
        </w:rPr>
        <w:t xml:space="preserve"> </w:t>
      </w:r>
      <w:proofErr w:type="spellStart"/>
      <w:r w:rsidRPr="00F36DFC">
        <w:rPr>
          <w:sz w:val="24"/>
          <w:szCs w:val="24"/>
        </w:rPr>
        <w:t>hyperæmi</w:t>
      </w:r>
      <w:proofErr w:type="spellEnd"/>
      <w:r w:rsidRPr="00F36DFC">
        <w:rPr>
          <w:sz w:val="24"/>
          <w:szCs w:val="24"/>
        </w:rPr>
        <w:t xml:space="preserve"> (rødme) og øget </w:t>
      </w:r>
      <w:proofErr w:type="spellStart"/>
      <w:r w:rsidRPr="00F36DFC">
        <w:rPr>
          <w:sz w:val="24"/>
          <w:szCs w:val="24"/>
        </w:rPr>
        <w:t>intraokulært</w:t>
      </w:r>
      <w:proofErr w:type="spellEnd"/>
      <w:r w:rsidRPr="00F36DFC">
        <w:rPr>
          <w:sz w:val="24"/>
          <w:szCs w:val="24"/>
        </w:rPr>
        <w:t xml:space="preserve"> tryk. Dette syndrom kan være forbundet med </w:t>
      </w:r>
      <w:proofErr w:type="spellStart"/>
      <w:r w:rsidRPr="00F36DFC">
        <w:rPr>
          <w:sz w:val="24"/>
          <w:szCs w:val="24"/>
        </w:rPr>
        <w:t>supraciliær</w:t>
      </w:r>
      <w:proofErr w:type="spellEnd"/>
      <w:r w:rsidRPr="00F36DFC">
        <w:rPr>
          <w:sz w:val="24"/>
          <w:szCs w:val="24"/>
        </w:rPr>
        <w:t xml:space="preserve"> </w:t>
      </w:r>
      <w:proofErr w:type="spellStart"/>
      <w:r w:rsidRPr="00F36DFC">
        <w:rPr>
          <w:sz w:val="24"/>
          <w:szCs w:val="24"/>
        </w:rPr>
        <w:t>effusion</w:t>
      </w:r>
      <w:proofErr w:type="spellEnd"/>
      <w:r w:rsidRPr="00F36DFC">
        <w:rPr>
          <w:sz w:val="24"/>
          <w:szCs w:val="24"/>
        </w:rPr>
        <w:t xml:space="preserve">, der fører til </w:t>
      </w:r>
      <w:proofErr w:type="spellStart"/>
      <w:r w:rsidRPr="00F36DFC">
        <w:rPr>
          <w:sz w:val="24"/>
          <w:szCs w:val="24"/>
        </w:rPr>
        <w:t>anterior</w:t>
      </w:r>
      <w:proofErr w:type="spellEnd"/>
      <w:r w:rsidRPr="00F36DFC">
        <w:rPr>
          <w:sz w:val="24"/>
          <w:szCs w:val="24"/>
        </w:rPr>
        <w:t xml:space="preserve"> forskydning af linsen og iris, med sekundært lukket-vinkel </w:t>
      </w:r>
      <w:proofErr w:type="spellStart"/>
      <w:r w:rsidRPr="00F36DFC">
        <w:rPr>
          <w:sz w:val="24"/>
          <w:szCs w:val="24"/>
        </w:rPr>
        <w:t>glaukom</w:t>
      </w:r>
      <w:proofErr w:type="spellEnd"/>
      <w:r w:rsidRPr="00F36DFC">
        <w:rPr>
          <w:sz w:val="24"/>
          <w:szCs w:val="24"/>
        </w:rPr>
        <w:t xml:space="preserve">. Symptomerne kan opstå inden for timer til uger efter behandlingsstart. Behandlingen omfatter </w:t>
      </w:r>
      <w:proofErr w:type="spellStart"/>
      <w:r w:rsidRPr="00F36DFC">
        <w:rPr>
          <w:sz w:val="24"/>
          <w:szCs w:val="24"/>
        </w:rPr>
        <w:t>seponering</w:t>
      </w:r>
      <w:proofErr w:type="spellEnd"/>
      <w:r w:rsidRPr="00F36DFC">
        <w:rPr>
          <w:sz w:val="24"/>
          <w:szCs w:val="24"/>
        </w:rPr>
        <w:t xml:space="preserve"> af </w:t>
      </w:r>
      <w:proofErr w:type="spellStart"/>
      <w:r w:rsidRPr="00F36DFC">
        <w:rPr>
          <w:sz w:val="24"/>
          <w:szCs w:val="24"/>
        </w:rPr>
        <w:t>zonisamid</w:t>
      </w:r>
      <w:proofErr w:type="spellEnd"/>
      <w:r w:rsidRPr="00F36DFC">
        <w:rPr>
          <w:sz w:val="24"/>
          <w:szCs w:val="24"/>
        </w:rPr>
        <w:t xml:space="preserve">, så hurtigt som muligt efter den behandlende læges bedømmelse, og passende foranstaltninger for at nedsætte det </w:t>
      </w:r>
      <w:proofErr w:type="spellStart"/>
      <w:r w:rsidRPr="00F36DFC">
        <w:rPr>
          <w:sz w:val="24"/>
          <w:szCs w:val="24"/>
        </w:rPr>
        <w:t>intraokulære</w:t>
      </w:r>
      <w:proofErr w:type="spellEnd"/>
      <w:r w:rsidRPr="00F36DFC">
        <w:rPr>
          <w:sz w:val="24"/>
          <w:szCs w:val="24"/>
        </w:rPr>
        <w:t xml:space="preserve"> tryk. Øget </w:t>
      </w:r>
      <w:proofErr w:type="spellStart"/>
      <w:r w:rsidRPr="00F36DFC">
        <w:rPr>
          <w:sz w:val="24"/>
          <w:szCs w:val="24"/>
        </w:rPr>
        <w:t>intraokulært</w:t>
      </w:r>
      <w:proofErr w:type="spellEnd"/>
      <w:r w:rsidRPr="00F36DFC">
        <w:rPr>
          <w:sz w:val="24"/>
          <w:szCs w:val="24"/>
        </w:rPr>
        <w:t xml:space="preserve"> tryk uanset ætiologi kan, hvis ubehandlet, medføre alvorlige </w:t>
      </w:r>
      <w:proofErr w:type="spellStart"/>
      <w:r w:rsidRPr="00F36DFC">
        <w:rPr>
          <w:sz w:val="24"/>
          <w:szCs w:val="24"/>
        </w:rPr>
        <w:t>sequelae</w:t>
      </w:r>
      <w:proofErr w:type="spellEnd"/>
      <w:r w:rsidRPr="00F36DFC">
        <w:rPr>
          <w:sz w:val="24"/>
          <w:szCs w:val="24"/>
        </w:rPr>
        <w:t xml:space="preserve">, herunder permanent synstab. Der bør udvises forsigtighed, når patienter med tidligere øjensygdomme behandles med </w:t>
      </w:r>
      <w:proofErr w:type="spellStart"/>
      <w:r w:rsidRPr="00F36DFC">
        <w:rPr>
          <w:sz w:val="24"/>
          <w:szCs w:val="24"/>
        </w:rPr>
        <w:t>zonisamid</w:t>
      </w:r>
      <w:proofErr w:type="spellEnd"/>
      <w:r w:rsidRPr="00F36DFC">
        <w:rPr>
          <w:sz w:val="24"/>
          <w:szCs w:val="24"/>
        </w:rPr>
        <w:t>.</w:t>
      </w:r>
    </w:p>
    <w:p w14:paraId="72C4C7C1" w14:textId="77777777" w:rsidR="00F859C7" w:rsidRPr="00F36DFC" w:rsidRDefault="00F859C7" w:rsidP="00D16F2D">
      <w:pPr>
        <w:ind w:left="851"/>
        <w:rPr>
          <w:sz w:val="24"/>
          <w:szCs w:val="24"/>
        </w:rPr>
      </w:pPr>
    </w:p>
    <w:p w14:paraId="02301BE5" w14:textId="77777777" w:rsidR="00F859C7" w:rsidRPr="00F36DFC" w:rsidRDefault="00F859C7" w:rsidP="00D16F2D">
      <w:pPr>
        <w:ind w:left="851"/>
        <w:rPr>
          <w:sz w:val="24"/>
          <w:szCs w:val="24"/>
          <w:u w:val="single"/>
        </w:rPr>
      </w:pPr>
      <w:r w:rsidRPr="00F36DFC">
        <w:rPr>
          <w:sz w:val="24"/>
          <w:szCs w:val="24"/>
          <w:u w:val="single"/>
        </w:rPr>
        <w:t>Selvmordstanker og -adfærd</w:t>
      </w:r>
    </w:p>
    <w:p w14:paraId="0AAADF82" w14:textId="283FAEBD" w:rsidR="00F859C7" w:rsidRPr="00F36DFC" w:rsidRDefault="00F859C7" w:rsidP="00D16F2D">
      <w:pPr>
        <w:ind w:left="851"/>
        <w:rPr>
          <w:sz w:val="24"/>
          <w:szCs w:val="24"/>
        </w:rPr>
      </w:pPr>
      <w:r w:rsidRPr="00F36DFC">
        <w:rPr>
          <w:sz w:val="24"/>
          <w:szCs w:val="24"/>
        </w:rPr>
        <w:t xml:space="preserve">Der er blevet rapporteret om selvmordstanker og -adfærd hos patienter, der er blevet behandlet med </w:t>
      </w:r>
      <w:proofErr w:type="spellStart"/>
      <w:r w:rsidRPr="00F36DFC">
        <w:rPr>
          <w:sz w:val="24"/>
          <w:szCs w:val="24"/>
        </w:rPr>
        <w:t>antiepileptika</w:t>
      </w:r>
      <w:proofErr w:type="spellEnd"/>
      <w:r w:rsidRPr="00F36DFC">
        <w:rPr>
          <w:sz w:val="24"/>
          <w:szCs w:val="24"/>
        </w:rPr>
        <w:t xml:space="preserve"> for forskellige indikationer. En </w:t>
      </w:r>
      <w:proofErr w:type="spellStart"/>
      <w:r w:rsidRPr="00F36DFC">
        <w:rPr>
          <w:sz w:val="24"/>
          <w:szCs w:val="24"/>
        </w:rPr>
        <w:t>meta</w:t>
      </w:r>
      <w:proofErr w:type="spellEnd"/>
      <w:r w:rsidRPr="00F36DFC">
        <w:rPr>
          <w:sz w:val="24"/>
          <w:szCs w:val="24"/>
        </w:rPr>
        <w:t xml:space="preserve">-analyse af randomiserede placebo-kontrollerede studier af </w:t>
      </w:r>
      <w:proofErr w:type="spellStart"/>
      <w:r w:rsidRPr="00F36DFC">
        <w:rPr>
          <w:sz w:val="24"/>
          <w:szCs w:val="24"/>
        </w:rPr>
        <w:t>antiepileptika</w:t>
      </w:r>
      <w:proofErr w:type="spellEnd"/>
      <w:r w:rsidRPr="00F36DFC">
        <w:rPr>
          <w:sz w:val="24"/>
          <w:szCs w:val="24"/>
        </w:rPr>
        <w:t xml:space="preserve"> har også vist en let øget risiko for selvmordstanker og -adfærd. Mekanismen for denne risiko er ikke kendt, og de tilgængelige data udelukker ikke muligheden for en øget risiko ved </w:t>
      </w:r>
      <w:proofErr w:type="spellStart"/>
      <w:r w:rsidRPr="00F36DFC">
        <w:rPr>
          <w:sz w:val="24"/>
          <w:szCs w:val="24"/>
        </w:rPr>
        <w:t>Zonisamid</w:t>
      </w:r>
      <w:proofErr w:type="spellEnd"/>
      <w:r w:rsidRPr="00F36DFC">
        <w:rPr>
          <w:sz w:val="24"/>
          <w:szCs w:val="24"/>
        </w:rPr>
        <w:t xml:space="preserve"> </w:t>
      </w:r>
      <w:r w:rsidR="00C26C40">
        <w:rPr>
          <w:sz w:val="24"/>
          <w:szCs w:val="24"/>
        </w:rPr>
        <w:t>"</w:t>
      </w:r>
      <w:proofErr w:type="spellStart"/>
      <w:r w:rsidR="00C26C40">
        <w:rPr>
          <w:sz w:val="24"/>
          <w:szCs w:val="24"/>
        </w:rPr>
        <w:t>Desitin</w:t>
      </w:r>
      <w:proofErr w:type="spellEnd"/>
      <w:r w:rsidR="00C26C40">
        <w:rPr>
          <w:sz w:val="24"/>
          <w:szCs w:val="24"/>
        </w:rPr>
        <w:t>"</w:t>
      </w:r>
      <w:r w:rsidRPr="00F36DFC">
        <w:rPr>
          <w:sz w:val="24"/>
          <w:szCs w:val="24"/>
        </w:rPr>
        <w:t>.</w:t>
      </w:r>
    </w:p>
    <w:p w14:paraId="584D445C" w14:textId="77777777" w:rsidR="00F859C7" w:rsidRPr="00F36DFC" w:rsidRDefault="00F859C7" w:rsidP="00D16F2D">
      <w:pPr>
        <w:ind w:left="851"/>
        <w:rPr>
          <w:sz w:val="24"/>
          <w:szCs w:val="24"/>
        </w:rPr>
      </w:pPr>
    </w:p>
    <w:p w14:paraId="27446EDB" w14:textId="77777777" w:rsidR="00F859C7" w:rsidRPr="00F36DFC" w:rsidRDefault="00F859C7" w:rsidP="00D16F2D">
      <w:pPr>
        <w:ind w:left="851"/>
        <w:rPr>
          <w:sz w:val="24"/>
          <w:szCs w:val="24"/>
        </w:rPr>
      </w:pPr>
      <w:r w:rsidRPr="00F36DFC">
        <w:rPr>
          <w:sz w:val="24"/>
          <w:szCs w:val="24"/>
        </w:rPr>
        <w:t>Patienterne bør derfor kontrolleres for tegn på selvmordstanker og -adfærd, og passende behandling bør overvejes. Patienterne (og patienternes omsorgsgivere) skal tilrådes at søge lægelig rådgivning, hvis der skulle opstå tegn på selvmordstanker og -adfærd.</w:t>
      </w:r>
    </w:p>
    <w:p w14:paraId="075D9244" w14:textId="77777777" w:rsidR="00F859C7" w:rsidRPr="00F36DFC" w:rsidRDefault="00F859C7" w:rsidP="00D16F2D">
      <w:pPr>
        <w:ind w:left="851"/>
        <w:rPr>
          <w:sz w:val="24"/>
          <w:szCs w:val="24"/>
        </w:rPr>
      </w:pPr>
    </w:p>
    <w:p w14:paraId="2BC0F1DA" w14:textId="77777777" w:rsidR="00F859C7" w:rsidRPr="00F36DFC" w:rsidRDefault="00F859C7" w:rsidP="00D16F2D">
      <w:pPr>
        <w:ind w:left="851"/>
        <w:rPr>
          <w:sz w:val="24"/>
          <w:szCs w:val="24"/>
          <w:u w:val="single"/>
        </w:rPr>
      </w:pPr>
      <w:r w:rsidRPr="00F36DFC">
        <w:rPr>
          <w:sz w:val="24"/>
          <w:szCs w:val="24"/>
          <w:u w:val="single"/>
        </w:rPr>
        <w:t>Nyresten</w:t>
      </w:r>
    </w:p>
    <w:p w14:paraId="240B060C" w14:textId="01A5E19F" w:rsidR="00F859C7" w:rsidRPr="00F36DFC" w:rsidRDefault="00F859C7" w:rsidP="00D16F2D">
      <w:pPr>
        <w:ind w:left="851"/>
        <w:rPr>
          <w:sz w:val="24"/>
          <w:szCs w:val="24"/>
        </w:rPr>
      </w:pPr>
      <w:r w:rsidRPr="00F36DFC">
        <w:rPr>
          <w:sz w:val="24"/>
          <w:szCs w:val="24"/>
        </w:rPr>
        <w:t xml:space="preserve">Nogle patienter, især dem som er disponeret for </w:t>
      </w:r>
      <w:proofErr w:type="spellStart"/>
      <w:r w:rsidRPr="00F36DFC">
        <w:rPr>
          <w:sz w:val="24"/>
          <w:szCs w:val="24"/>
        </w:rPr>
        <w:t>nephrolithiasis</w:t>
      </w:r>
      <w:proofErr w:type="spellEnd"/>
      <w:r w:rsidRPr="00F36DFC">
        <w:rPr>
          <w:sz w:val="24"/>
          <w:szCs w:val="24"/>
        </w:rPr>
        <w:t xml:space="preserve">, kan have en øget risiko for nyrestensdannelse og dermed forbundne tegn og symptomer såsom nyrekolik og nyre- eller flankesmerter. </w:t>
      </w:r>
      <w:proofErr w:type="spellStart"/>
      <w:r w:rsidRPr="00F36DFC">
        <w:rPr>
          <w:sz w:val="24"/>
          <w:szCs w:val="24"/>
        </w:rPr>
        <w:t>Nephrolithiasis</w:t>
      </w:r>
      <w:proofErr w:type="spellEnd"/>
      <w:r w:rsidRPr="00F36DFC">
        <w:rPr>
          <w:sz w:val="24"/>
          <w:szCs w:val="24"/>
        </w:rPr>
        <w:t xml:space="preserve"> kan medføre kroniske nyreskader. Risikofaktorer for </w:t>
      </w:r>
      <w:proofErr w:type="spellStart"/>
      <w:r w:rsidRPr="00F36DFC">
        <w:rPr>
          <w:sz w:val="24"/>
          <w:szCs w:val="24"/>
        </w:rPr>
        <w:t>nephrolithiasis</w:t>
      </w:r>
      <w:proofErr w:type="spellEnd"/>
      <w:r w:rsidRPr="00F36DFC">
        <w:rPr>
          <w:sz w:val="24"/>
          <w:szCs w:val="24"/>
        </w:rPr>
        <w:t xml:space="preserve"> er bl.a. tidligere stendannelse, familieanamnese med </w:t>
      </w:r>
      <w:proofErr w:type="spellStart"/>
      <w:r w:rsidRPr="00F36DFC">
        <w:rPr>
          <w:sz w:val="24"/>
          <w:szCs w:val="24"/>
        </w:rPr>
        <w:t>nephrolithiasis</w:t>
      </w:r>
      <w:proofErr w:type="spellEnd"/>
      <w:r w:rsidRPr="00F36DFC">
        <w:rPr>
          <w:sz w:val="24"/>
          <w:szCs w:val="24"/>
        </w:rPr>
        <w:t xml:space="preserve"> og </w:t>
      </w:r>
      <w:proofErr w:type="spellStart"/>
      <w:r w:rsidRPr="00F36DFC">
        <w:rPr>
          <w:sz w:val="24"/>
          <w:szCs w:val="24"/>
        </w:rPr>
        <w:t>hyperkalcuri</w:t>
      </w:r>
      <w:proofErr w:type="spellEnd"/>
      <w:r w:rsidRPr="00F36DFC">
        <w:rPr>
          <w:sz w:val="24"/>
          <w:szCs w:val="24"/>
        </w:rPr>
        <w:t xml:space="preserve">. Ingen af disse risikofaktorer kan med sikkerhed forudsige stendannelse under behandling med </w:t>
      </w:r>
      <w:proofErr w:type="spellStart"/>
      <w:r w:rsidRPr="00F36DFC">
        <w:rPr>
          <w:sz w:val="24"/>
          <w:szCs w:val="24"/>
        </w:rPr>
        <w:t>Zonisamid</w:t>
      </w:r>
      <w:proofErr w:type="spellEnd"/>
      <w:r w:rsidRPr="00F36DFC">
        <w:rPr>
          <w:sz w:val="24"/>
          <w:szCs w:val="24"/>
        </w:rPr>
        <w:t xml:space="preserve"> </w:t>
      </w:r>
      <w:r w:rsidR="00C26C40">
        <w:rPr>
          <w:sz w:val="24"/>
          <w:szCs w:val="24"/>
        </w:rPr>
        <w:t>"</w:t>
      </w:r>
      <w:proofErr w:type="spellStart"/>
      <w:r w:rsidR="00C26C40">
        <w:rPr>
          <w:sz w:val="24"/>
          <w:szCs w:val="24"/>
        </w:rPr>
        <w:t>Desitin</w:t>
      </w:r>
      <w:proofErr w:type="spellEnd"/>
      <w:r w:rsidR="00C26C40">
        <w:rPr>
          <w:sz w:val="24"/>
          <w:szCs w:val="24"/>
        </w:rPr>
        <w:t>"</w:t>
      </w:r>
      <w:r w:rsidRPr="00F36DFC">
        <w:rPr>
          <w:sz w:val="24"/>
          <w:szCs w:val="24"/>
        </w:rPr>
        <w:t xml:space="preserve">. Derudover kan patienter, der tager andre lægemidler associeret med </w:t>
      </w:r>
      <w:proofErr w:type="spellStart"/>
      <w:r w:rsidRPr="00F36DFC">
        <w:rPr>
          <w:sz w:val="24"/>
          <w:szCs w:val="24"/>
        </w:rPr>
        <w:t>nephrolithiasis</w:t>
      </w:r>
      <w:proofErr w:type="spellEnd"/>
      <w:r w:rsidRPr="00F36DFC">
        <w:rPr>
          <w:sz w:val="24"/>
          <w:szCs w:val="24"/>
        </w:rPr>
        <w:t>, have en øget risiko. Øget væskeindtagelse og urinproduktion kan medvirke til at reducere risikoen for stendannelse, især hos patienter med prædisponerende risikofaktorer.</w:t>
      </w:r>
    </w:p>
    <w:p w14:paraId="55F3C9A2" w14:textId="77777777" w:rsidR="00F859C7" w:rsidRPr="00F36DFC" w:rsidRDefault="00F859C7" w:rsidP="00D16F2D">
      <w:pPr>
        <w:ind w:left="851"/>
        <w:rPr>
          <w:sz w:val="24"/>
          <w:szCs w:val="24"/>
        </w:rPr>
      </w:pPr>
    </w:p>
    <w:p w14:paraId="048B2C70" w14:textId="77777777" w:rsidR="00F859C7" w:rsidRPr="00F36DFC" w:rsidRDefault="00F859C7" w:rsidP="00D16F2D">
      <w:pPr>
        <w:ind w:left="851"/>
        <w:rPr>
          <w:sz w:val="24"/>
          <w:szCs w:val="24"/>
          <w:u w:val="single"/>
        </w:rPr>
      </w:pPr>
      <w:r w:rsidRPr="00F36DFC">
        <w:rPr>
          <w:sz w:val="24"/>
          <w:szCs w:val="24"/>
          <w:u w:val="single"/>
        </w:rPr>
        <w:t xml:space="preserve">Metabolisk </w:t>
      </w:r>
      <w:proofErr w:type="spellStart"/>
      <w:r w:rsidRPr="00F36DFC">
        <w:rPr>
          <w:sz w:val="24"/>
          <w:szCs w:val="24"/>
          <w:u w:val="single"/>
        </w:rPr>
        <w:t>acidose</w:t>
      </w:r>
      <w:proofErr w:type="spellEnd"/>
    </w:p>
    <w:p w14:paraId="6A347D55" w14:textId="326F16C2" w:rsidR="00F859C7" w:rsidRPr="00F36DFC" w:rsidRDefault="00F859C7" w:rsidP="00D16F2D">
      <w:pPr>
        <w:ind w:left="851"/>
        <w:rPr>
          <w:sz w:val="24"/>
          <w:szCs w:val="24"/>
        </w:rPr>
      </w:pPr>
      <w:proofErr w:type="spellStart"/>
      <w:r w:rsidRPr="00F36DFC">
        <w:rPr>
          <w:sz w:val="24"/>
          <w:szCs w:val="24"/>
        </w:rPr>
        <w:t>Zonisamid</w:t>
      </w:r>
      <w:proofErr w:type="spellEnd"/>
      <w:r w:rsidRPr="00F36DFC">
        <w:rPr>
          <w:sz w:val="24"/>
          <w:szCs w:val="24"/>
        </w:rPr>
        <w:t xml:space="preserve"> </w:t>
      </w:r>
      <w:r w:rsidR="00C26C40">
        <w:rPr>
          <w:sz w:val="24"/>
          <w:szCs w:val="24"/>
        </w:rPr>
        <w:t>"</w:t>
      </w:r>
      <w:proofErr w:type="spellStart"/>
      <w:r w:rsidR="00C26C40">
        <w:rPr>
          <w:sz w:val="24"/>
          <w:szCs w:val="24"/>
        </w:rPr>
        <w:t>Desitin</w:t>
      </w:r>
      <w:proofErr w:type="spellEnd"/>
      <w:r w:rsidR="00C26C40">
        <w:rPr>
          <w:sz w:val="24"/>
          <w:szCs w:val="24"/>
        </w:rPr>
        <w:t>"</w:t>
      </w:r>
      <w:r w:rsidR="00CB69A3">
        <w:rPr>
          <w:sz w:val="24"/>
          <w:szCs w:val="24"/>
        </w:rPr>
        <w:t xml:space="preserve"> </w:t>
      </w:r>
      <w:r w:rsidRPr="00F36DFC">
        <w:rPr>
          <w:sz w:val="24"/>
          <w:szCs w:val="24"/>
        </w:rPr>
        <w:t xml:space="preserve">behandling er forbundet med </w:t>
      </w:r>
      <w:proofErr w:type="spellStart"/>
      <w:r w:rsidRPr="00F36DFC">
        <w:rPr>
          <w:sz w:val="24"/>
          <w:szCs w:val="24"/>
        </w:rPr>
        <w:t>hyperkloræmisk</w:t>
      </w:r>
      <w:proofErr w:type="spellEnd"/>
      <w:r w:rsidRPr="00F36DFC">
        <w:rPr>
          <w:sz w:val="24"/>
          <w:szCs w:val="24"/>
        </w:rPr>
        <w:t>, non-</w:t>
      </w:r>
      <w:proofErr w:type="spellStart"/>
      <w:r w:rsidRPr="00F36DFC">
        <w:rPr>
          <w:sz w:val="24"/>
          <w:szCs w:val="24"/>
        </w:rPr>
        <w:t>aniongap</w:t>
      </w:r>
      <w:proofErr w:type="spellEnd"/>
      <w:r w:rsidRPr="00F36DFC">
        <w:rPr>
          <w:sz w:val="24"/>
          <w:szCs w:val="24"/>
        </w:rPr>
        <w:t xml:space="preserve">, metabolisk </w:t>
      </w:r>
      <w:proofErr w:type="spellStart"/>
      <w:r w:rsidRPr="00F36DFC">
        <w:rPr>
          <w:sz w:val="24"/>
          <w:szCs w:val="24"/>
        </w:rPr>
        <w:t>acidose</w:t>
      </w:r>
      <w:proofErr w:type="spellEnd"/>
      <w:r w:rsidRPr="00F36DFC">
        <w:rPr>
          <w:sz w:val="24"/>
          <w:szCs w:val="24"/>
        </w:rPr>
        <w:t xml:space="preserve"> (dvs. nedsat </w:t>
      </w:r>
      <w:proofErr w:type="spellStart"/>
      <w:r w:rsidRPr="00F36DFC">
        <w:rPr>
          <w:sz w:val="24"/>
          <w:szCs w:val="24"/>
        </w:rPr>
        <w:t>hydrogencarbonat</w:t>
      </w:r>
      <w:proofErr w:type="spellEnd"/>
      <w:r w:rsidRPr="00F36DFC">
        <w:rPr>
          <w:sz w:val="24"/>
          <w:szCs w:val="24"/>
        </w:rPr>
        <w:t xml:space="preserve"> i serum under det normale referenceinterval i fravær af kronisk respiratorisk </w:t>
      </w:r>
      <w:proofErr w:type="spellStart"/>
      <w:r w:rsidRPr="00F36DFC">
        <w:rPr>
          <w:sz w:val="24"/>
          <w:szCs w:val="24"/>
        </w:rPr>
        <w:t>alkalose</w:t>
      </w:r>
      <w:proofErr w:type="spellEnd"/>
      <w:r w:rsidRPr="00F36DFC">
        <w:rPr>
          <w:sz w:val="24"/>
          <w:szCs w:val="24"/>
        </w:rPr>
        <w:t xml:space="preserve">). Denne metaboliske </w:t>
      </w:r>
      <w:proofErr w:type="spellStart"/>
      <w:r w:rsidRPr="00F36DFC">
        <w:rPr>
          <w:sz w:val="24"/>
          <w:szCs w:val="24"/>
        </w:rPr>
        <w:t>acidose</w:t>
      </w:r>
      <w:proofErr w:type="spellEnd"/>
      <w:r w:rsidRPr="00F36DFC">
        <w:rPr>
          <w:sz w:val="24"/>
          <w:szCs w:val="24"/>
        </w:rPr>
        <w:t xml:space="preserve"> er forårsaget af et </w:t>
      </w:r>
      <w:proofErr w:type="spellStart"/>
      <w:r w:rsidRPr="00F36DFC">
        <w:rPr>
          <w:sz w:val="24"/>
          <w:szCs w:val="24"/>
        </w:rPr>
        <w:t>renalt</w:t>
      </w:r>
      <w:proofErr w:type="spellEnd"/>
      <w:r w:rsidRPr="00F36DFC">
        <w:rPr>
          <w:sz w:val="24"/>
          <w:szCs w:val="24"/>
        </w:rPr>
        <w:t xml:space="preserve"> </w:t>
      </w:r>
      <w:proofErr w:type="spellStart"/>
      <w:r w:rsidRPr="00F36DFC">
        <w:rPr>
          <w:sz w:val="24"/>
          <w:szCs w:val="24"/>
        </w:rPr>
        <w:t>hydrogencarbonattab</w:t>
      </w:r>
      <w:proofErr w:type="spellEnd"/>
      <w:r w:rsidRPr="00F36DFC">
        <w:rPr>
          <w:sz w:val="24"/>
          <w:szCs w:val="24"/>
        </w:rPr>
        <w:t xml:space="preserve"> på grund af den hæmmende virkning af </w:t>
      </w:r>
      <w:proofErr w:type="spellStart"/>
      <w:r w:rsidRPr="00F36DFC">
        <w:rPr>
          <w:sz w:val="24"/>
          <w:szCs w:val="24"/>
        </w:rPr>
        <w:t>zonisamid</w:t>
      </w:r>
      <w:proofErr w:type="spellEnd"/>
      <w:r w:rsidRPr="00F36DFC">
        <w:rPr>
          <w:sz w:val="24"/>
          <w:szCs w:val="24"/>
        </w:rPr>
        <w:t xml:space="preserve"> på </w:t>
      </w:r>
      <w:proofErr w:type="spellStart"/>
      <w:r w:rsidRPr="00F36DFC">
        <w:rPr>
          <w:sz w:val="24"/>
          <w:szCs w:val="24"/>
        </w:rPr>
        <w:t>kulsyreanhydrasen</w:t>
      </w:r>
      <w:proofErr w:type="spellEnd"/>
      <w:r w:rsidRPr="00F36DFC">
        <w:rPr>
          <w:sz w:val="24"/>
          <w:szCs w:val="24"/>
        </w:rPr>
        <w:t xml:space="preserve">. En sådan elektrolyt-ubalance er blevet observeret i forbindelse med anvendelse af </w:t>
      </w:r>
      <w:proofErr w:type="spellStart"/>
      <w:r w:rsidRPr="00F36DFC">
        <w:rPr>
          <w:sz w:val="24"/>
          <w:szCs w:val="24"/>
        </w:rPr>
        <w:t>zonisamid</w:t>
      </w:r>
      <w:proofErr w:type="spellEnd"/>
      <w:r w:rsidRPr="00F36DFC">
        <w:rPr>
          <w:sz w:val="24"/>
          <w:szCs w:val="24"/>
        </w:rPr>
        <w:t xml:space="preserve"> i placebo-kontrollerede kliniske studier og i perioden efter markedsføringen. Almindeligvis forekommer </w:t>
      </w:r>
      <w:proofErr w:type="spellStart"/>
      <w:r w:rsidRPr="00F36DFC">
        <w:rPr>
          <w:sz w:val="24"/>
          <w:szCs w:val="24"/>
        </w:rPr>
        <w:t>zonisamid</w:t>
      </w:r>
      <w:proofErr w:type="spellEnd"/>
      <w:r w:rsidRPr="00F36DFC">
        <w:rPr>
          <w:sz w:val="24"/>
          <w:szCs w:val="24"/>
        </w:rPr>
        <w:t xml:space="preserve">-induceret metabolisk </w:t>
      </w:r>
      <w:proofErr w:type="spellStart"/>
      <w:r w:rsidRPr="00F36DFC">
        <w:rPr>
          <w:sz w:val="24"/>
          <w:szCs w:val="24"/>
        </w:rPr>
        <w:t>acidose</w:t>
      </w:r>
      <w:proofErr w:type="spellEnd"/>
      <w:r w:rsidRPr="00F36DFC">
        <w:rPr>
          <w:sz w:val="24"/>
          <w:szCs w:val="24"/>
        </w:rPr>
        <w:t xml:space="preserve"> tidligt i behandlingen, selv om der kan forekomme tilfælde på et hvilket som helst tidspunkt under behandlingen. Faldet i </w:t>
      </w:r>
      <w:proofErr w:type="spellStart"/>
      <w:r w:rsidRPr="00F36DFC">
        <w:rPr>
          <w:sz w:val="24"/>
          <w:szCs w:val="24"/>
        </w:rPr>
        <w:t>hydrogencarbonat</w:t>
      </w:r>
      <w:proofErr w:type="spellEnd"/>
      <w:r w:rsidRPr="00F36DFC">
        <w:rPr>
          <w:sz w:val="24"/>
          <w:szCs w:val="24"/>
        </w:rPr>
        <w:t xml:space="preserve"> er sædvanligvis lille til moderat (gennemsnitligt ca. 3,5 </w:t>
      </w:r>
      <w:proofErr w:type="spellStart"/>
      <w:r w:rsidRPr="00F36DFC">
        <w:rPr>
          <w:sz w:val="24"/>
          <w:szCs w:val="24"/>
        </w:rPr>
        <w:t>mEq</w:t>
      </w:r>
      <w:proofErr w:type="spellEnd"/>
      <w:r w:rsidRPr="00F36DFC">
        <w:rPr>
          <w:sz w:val="24"/>
          <w:szCs w:val="24"/>
        </w:rPr>
        <w:t xml:space="preserve">/l ved døgndoser på 300 mg hos voksne). Patienterne vil sjældent komme ud for større fald. Tilstande eller behandlinger, der prædisponerer til </w:t>
      </w:r>
      <w:proofErr w:type="spellStart"/>
      <w:r w:rsidRPr="00F36DFC">
        <w:rPr>
          <w:sz w:val="24"/>
          <w:szCs w:val="24"/>
        </w:rPr>
        <w:t>acidose</w:t>
      </w:r>
      <w:proofErr w:type="spellEnd"/>
      <w:r w:rsidRPr="00F36DFC">
        <w:rPr>
          <w:sz w:val="24"/>
          <w:szCs w:val="24"/>
        </w:rPr>
        <w:t xml:space="preserve"> (såsom nyresygdom, alvorlige luftvejssygdomme, status </w:t>
      </w:r>
      <w:proofErr w:type="spellStart"/>
      <w:r w:rsidRPr="00F36DFC">
        <w:rPr>
          <w:sz w:val="24"/>
          <w:szCs w:val="24"/>
        </w:rPr>
        <w:t>epilepticus</w:t>
      </w:r>
      <w:proofErr w:type="spellEnd"/>
      <w:r w:rsidRPr="00F36DFC">
        <w:rPr>
          <w:sz w:val="24"/>
          <w:szCs w:val="24"/>
        </w:rPr>
        <w:t xml:space="preserve">, </w:t>
      </w:r>
      <w:proofErr w:type="spellStart"/>
      <w:r w:rsidRPr="00F36DFC">
        <w:rPr>
          <w:sz w:val="24"/>
          <w:szCs w:val="24"/>
        </w:rPr>
        <w:t>diaré</w:t>
      </w:r>
      <w:proofErr w:type="spellEnd"/>
      <w:r w:rsidRPr="00F36DFC">
        <w:rPr>
          <w:sz w:val="24"/>
          <w:szCs w:val="24"/>
        </w:rPr>
        <w:t xml:space="preserve">, kirurgi, </w:t>
      </w:r>
      <w:proofErr w:type="spellStart"/>
      <w:r w:rsidRPr="00F36DFC">
        <w:rPr>
          <w:sz w:val="24"/>
          <w:szCs w:val="24"/>
        </w:rPr>
        <w:t>ketogen</w:t>
      </w:r>
      <w:proofErr w:type="spellEnd"/>
      <w:r w:rsidRPr="00F36DFC">
        <w:rPr>
          <w:sz w:val="24"/>
          <w:szCs w:val="24"/>
        </w:rPr>
        <w:t xml:space="preserve"> diæt eller lægemidler), kan forøge den </w:t>
      </w:r>
      <w:proofErr w:type="spellStart"/>
      <w:r w:rsidRPr="00F36DFC">
        <w:rPr>
          <w:sz w:val="24"/>
          <w:szCs w:val="24"/>
        </w:rPr>
        <w:t>hydrogencarbonatsænkende</w:t>
      </w:r>
      <w:proofErr w:type="spellEnd"/>
      <w:r w:rsidRPr="00F36DFC">
        <w:rPr>
          <w:sz w:val="24"/>
          <w:szCs w:val="24"/>
        </w:rPr>
        <w:t xml:space="preserve"> virkning af </w:t>
      </w:r>
      <w:proofErr w:type="spellStart"/>
      <w:r w:rsidRPr="00F36DFC">
        <w:rPr>
          <w:sz w:val="24"/>
          <w:szCs w:val="24"/>
        </w:rPr>
        <w:t>zonisamid</w:t>
      </w:r>
      <w:proofErr w:type="spellEnd"/>
      <w:r w:rsidRPr="00F36DFC">
        <w:rPr>
          <w:sz w:val="24"/>
          <w:szCs w:val="24"/>
        </w:rPr>
        <w:t>.</w:t>
      </w:r>
    </w:p>
    <w:p w14:paraId="7AB90C01" w14:textId="77777777" w:rsidR="00F859C7" w:rsidRPr="00F36DFC" w:rsidRDefault="00F859C7" w:rsidP="00D16F2D">
      <w:pPr>
        <w:ind w:left="851"/>
        <w:rPr>
          <w:sz w:val="24"/>
          <w:szCs w:val="24"/>
        </w:rPr>
      </w:pPr>
    </w:p>
    <w:p w14:paraId="280E724F" w14:textId="4FA23B41" w:rsidR="00F859C7" w:rsidRPr="00F36DFC" w:rsidRDefault="00F859C7" w:rsidP="00D16F2D">
      <w:pPr>
        <w:ind w:left="851"/>
        <w:rPr>
          <w:sz w:val="24"/>
          <w:szCs w:val="24"/>
        </w:rPr>
      </w:pPr>
      <w:r w:rsidRPr="00F36DFC">
        <w:rPr>
          <w:sz w:val="24"/>
          <w:szCs w:val="24"/>
        </w:rPr>
        <w:t xml:space="preserve">Risikoen for </w:t>
      </w:r>
      <w:proofErr w:type="spellStart"/>
      <w:r w:rsidRPr="00F36DFC">
        <w:rPr>
          <w:sz w:val="24"/>
          <w:szCs w:val="24"/>
        </w:rPr>
        <w:t>zonisamid</w:t>
      </w:r>
      <w:proofErr w:type="spellEnd"/>
      <w:r w:rsidRPr="00F36DFC">
        <w:rPr>
          <w:sz w:val="24"/>
          <w:szCs w:val="24"/>
        </w:rPr>
        <w:t xml:space="preserve">-induceret metabolisk </w:t>
      </w:r>
      <w:proofErr w:type="spellStart"/>
      <w:r w:rsidRPr="00F36DFC">
        <w:rPr>
          <w:sz w:val="24"/>
          <w:szCs w:val="24"/>
        </w:rPr>
        <w:t>acidose</w:t>
      </w:r>
      <w:proofErr w:type="spellEnd"/>
      <w:r w:rsidRPr="00F36DFC">
        <w:rPr>
          <w:sz w:val="24"/>
          <w:szCs w:val="24"/>
        </w:rPr>
        <w:t xml:space="preserve"> synes at være hyppigere og mere alvorlig hos yngre patienter. Der skal foretages passende vurdering og monitorering af serum-</w:t>
      </w:r>
      <w:proofErr w:type="spellStart"/>
      <w:r w:rsidRPr="00F36DFC">
        <w:rPr>
          <w:sz w:val="24"/>
          <w:szCs w:val="24"/>
        </w:rPr>
        <w:t>hydrogencarbonat</w:t>
      </w:r>
      <w:proofErr w:type="spellEnd"/>
      <w:r w:rsidRPr="00F36DFC">
        <w:rPr>
          <w:sz w:val="24"/>
          <w:szCs w:val="24"/>
        </w:rPr>
        <w:t xml:space="preserve"> hos patienter, der tager </w:t>
      </w:r>
      <w:proofErr w:type="spellStart"/>
      <w:r w:rsidRPr="00F36DFC">
        <w:rPr>
          <w:sz w:val="24"/>
          <w:szCs w:val="24"/>
        </w:rPr>
        <w:t>zonisamid</w:t>
      </w:r>
      <w:proofErr w:type="spellEnd"/>
      <w:r w:rsidRPr="00F36DFC">
        <w:rPr>
          <w:sz w:val="24"/>
          <w:szCs w:val="24"/>
        </w:rPr>
        <w:t xml:space="preserve">, og som har underliggende sygdomme, der vil kunne øge risikoen for </w:t>
      </w:r>
      <w:proofErr w:type="spellStart"/>
      <w:r w:rsidRPr="00F36DFC">
        <w:rPr>
          <w:sz w:val="24"/>
          <w:szCs w:val="24"/>
        </w:rPr>
        <w:t>acidose</w:t>
      </w:r>
      <w:proofErr w:type="spellEnd"/>
      <w:r w:rsidRPr="00F36DFC">
        <w:rPr>
          <w:sz w:val="24"/>
          <w:szCs w:val="24"/>
        </w:rPr>
        <w:t xml:space="preserve">, hos patienter, der har øget risiko for skadelige følger af metabolisk </w:t>
      </w:r>
      <w:proofErr w:type="spellStart"/>
      <w:r w:rsidRPr="00F36DFC">
        <w:rPr>
          <w:sz w:val="24"/>
          <w:szCs w:val="24"/>
        </w:rPr>
        <w:t>acidose</w:t>
      </w:r>
      <w:proofErr w:type="spellEnd"/>
      <w:r w:rsidRPr="00F36DFC">
        <w:rPr>
          <w:sz w:val="24"/>
          <w:szCs w:val="24"/>
        </w:rPr>
        <w:t xml:space="preserve">, og hos patienter med symptomer, der minder om metabolisk </w:t>
      </w:r>
      <w:proofErr w:type="spellStart"/>
      <w:r w:rsidRPr="00F36DFC">
        <w:rPr>
          <w:sz w:val="24"/>
          <w:szCs w:val="24"/>
        </w:rPr>
        <w:t>acidose</w:t>
      </w:r>
      <w:proofErr w:type="spellEnd"/>
      <w:r w:rsidRPr="00F36DFC">
        <w:rPr>
          <w:sz w:val="24"/>
          <w:szCs w:val="24"/>
        </w:rPr>
        <w:t xml:space="preserve">. Hvis der udvikles vedvarende metabolisk </w:t>
      </w:r>
      <w:proofErr w:type="spellStart"/>
      <w:r w:rsidRPr="00F36DFC">
        <w:rPr>
          <w:sz w:val="24"/>
          <w:szCs w:val="24"/>
        </w:rPr>
        <w:t>acidose</w:t>
      </w:r>
      <w:proofErr w:type="spellEnd"/>
      <w:r w:rsidRPr="00F36DFC">
        <w:rPr>
          <w:sz w:val="24"/>
          <w:szCs w:val="24"/>
        </w:rPr>
        <w:t xml:space="preserve">, kan det overvejes at reducere dosis eller seponere </w:t>
      </w:r>
      <w:proofErr w:type="spellStart"/>
      <w:r w:rsidRPr="00F36DFC">
        <w:rPr>
          <w:sz w:val="24"/>
          <w:szCs w:val="24"/>
        </w:rPr>
        <w:t>Zonisamid</w:t>
      </w:r>
      <w:proofErr w:type="spellEnd"/>
      <w:r w:rsidRPr="00F36DFC">
        <w:rPr>
          <w:sz w:val="24"/>
          <w:szCs w:val="24"/>
        </w:rPr>
        <w:t xml:space="preserve"> </w:t>
      </w:r>
      <w:r w:rsidR="00C26C40">
        <w:rPr>
          <w:sz w:val="24"/>
          <w:szCs w:val="24"/>
        </w:rPr>
        <w:t>"</w:t>
      </w:r>
      <w:proofErr w:type="spellStart"/>
      <w:r w:rsidR="00C26C40">
        <w:rPr>
          <w:sz w:val="24"/>
          <w:szCs w:val="24"/>
        </w:rPr>
        <w:t>Desitin</w:t>
      </w:r>
      <w:proofErr w:type="spellEnd"/>
      <w:r w:rsidR="00C26C40">
        <w:rPr>
          <w:sz w:val="24"/>
          <w:szCs w:val="24"/>
        </w:rPr>
        <w:t>"</w:t>
      </w:r>
      <w:r w:rsidRPr="00F36DFC">
        <w:rPr>
          <w:sz w:val="24"/>
          <w:szCs w:val="24"/>
        </w:rPr>
        <w:t xml:space="preserve"> (ved gradvis dosisreduktion), da der kan udvikles </w:t>
      </w:r>
      <w:proofErr w:type="spellStart"/>
      <w:r w:rsidRPr="00F36DFC">
        <w:rPr>
          <w:sz w:val="24"/>
          <w:szCs w:val="24"/>
        </w:rPr>
        <w:t>osteopeni</w:t>
      </w:r>
      <w:proofErr w:type="spellEnd"/>
      <w:r w:rsidRPr="00F36DFC">
        <w:rPr>
          <w:sz w:val="24"/>
          <w:szCs w:val="24"/>
        </w:rPr>
        <w:t>.</w:t>
      </w:r>
    </w:p>
    <w:p w14:paraId="4D440290" w14:textId="204A23AF" w:rsidR="00F859C7" w:rsidRPr="00F36DFC" w:rsidRDefault="00F859C7" w:rsidP="00D16F2D">
      <w:pPr>
        <w:ind w:left="851"/>
        <w:rPr>
          <w:sz w:val="24"/>
          <w:szCs w:val="24"/>
        </w:rPr>
      </w:pPr>
      <w:r w:rsidRPr="00F36DFC">
        <w:rPr>
          <w:sz w:val="24"/>
          <w:szCs w:val="24"/>
        </w:rPr>
        <w:t xml:space="preserve">Hvis det på trods af persisterende </w:t>
      </w:r>
      <w:proofErr w:type="spellStart"/>
      <w:r w:rsidRPr="00F36DFC">
        <w:rPr>
          <w:sz w:val="24"/>
          <w:szCs w:val="24"/>
        </w:rPr>
        <w:t>acidose</w:t>
      </w:r>
      <w:proofErr w:type="spellEnd"/>
      <w:r w:rsidRPr="00F36DFC">
        <w:rPr>
          <w:sz w:val="24"/>
          <w:szCs w:val="24"/>
        </w:rPr>
        <w:t xml:space="preserve"> besluttes at fortsætte behandlingen med </w:t>
      </w:r>
      <w:proofErr w:type="spellStart"/>
      <w:r w:rsidRPr="00F36DFC">
        <w:rPr>
          <w:sz w:val="24"/>
          <w:szCs w:val="24"/>
        </w:rPr>
        <w:t>Zonisamid</w:t>
      </w:r>
      <w:proofErr w:type="spellEnd"/>
      <w:r w:rsidRPr="00F36DFC">
        <w:rPr>
          <w:sz w:val="24"/>
          <w:szCs w:val="24"/>
        </w:rPr>
        <w:t xml:space="preserve"> </w:t>
      </w:r>
      <w:r w:rsidR="00C26C40">
        <w:rPr>
          <w:sz w:val="24"/>
          <w:szCs w:val="24"/>
        </w:rPr>
        <w:t>"</w:t>
      </w:r>
      <w:proofErr w:type="spellStart"/>
      <w:r w:rsidR="00C26C40">
        <w:rPr>
          <w:sz w:val="24"/>
          <w:szCs w:val="24"/>
        </w:rPr>
        <w:t>Desitin</w:t>
      </w:r>
      <w:proofErr w:type="spellEnd"/>
      <w:r w:rsidR="00C26C40">
        <w:rPr>
          <w:sz w:val="24"/>
          <w:szCs w:val="24"/>
        </w:rPr>
        <w:t>"</w:t>
      </w:r>
      <w:r w:rsidRPr="00F36DFC">
        <w:rPr>
          <w:sz w:val="24"/>
          <w:szCs w:val="24"/>
        </w:rPr>
        <w:t>, skal alkaliserende behandling overvejes.</w:t>
      </w:r>
    </w:p>
    <w:p w14:paraId="45231B30" w14:textId="77777777" w:rsidR="00F859C7" w:rsidRPr="00F36DFC" w:rsidRDefault="00F859C7" w:rsidP="00D16F2D">
      <w:pPr>
        <w:ind w:left="851"/>
        <w:rPr>
          <w:sz w:val="24"/>
          <w:szCs w:val="24"/>
        </w:rPr>
      </w:pPr>
    </w:p>
    <w:p w14:paraId="6ED6E836" w14:textId="77777777" w:rsidR="00F859C7" w:rsidRPr="00F36DFC" w:rsidRDefault="00F859C7" w:rsidP="00D16F2D">
      <w:pPr>
        <w:ind w:left="851"/>
        <w:rPr>
          <w:sz w:val="24"/>
          <w:szCs w:val="24"/>
        </w:rPr>
      </w:pPr>
      <w:r w:rsidRPr="00F36DFC">
        <w:rPr>
          <w:sz w:val="24"/>
          <w:szCs w:val="24"/>
        </w:rPr>
        <w:t xml:space="preserve">Metabolisk </w:t>
      </w:r>
      <w:proofErr w:type="spellStart"/>
      <w:r w:rsidRPr="00F36DFC">
        <w:rPr>
          <w:sz w:val="24"/>
          <w:szCs w:val="24"/>
        </w:rPr>
        <w:t>acidose</w:t>
      </w:r>
      <w:proofErr w:type="spellEnd"/>
      <w:r w:rsidRPr="00F36DFC">
        <w:rPr>
          <w:sz w:val="24"/>
          <w:szCs w:val="24"/>
        </w:rPr>
        <w:t xml:space="preserve"> kan føre til </w:t>
      </w:r>
      <w:proofErr w:type="spellStart"/>
      <w:r w:rsidRPr="00F36DFC">
        <w:rPr>
          <w:sz w:val="24"/>
          <w:szCs w:val="24"/>
        </w:rPr>
        <w:t>hyperammoniæmi</w:t>
      </w:r>
      <w:proofErr w:type="spellEnd"/>
      <w:r w:rsidRPr="00F36DFC">
        <w:rPr>
          <w:sz w:val="24"/>
          <w:szCs w:val="24"/>
        </w:rPr>
        <w:t xml:space="preserve">, som er rapporteret med eller uden encefalopati under </w:t>
      </w:r>
      <w:proofErr w:type="spellStart"/>
      <w:r w:rsidRPr="00F36DFC">
        <w:rPr>
          <w:sz w:val="24"/>
          <w:szCs w:val="24"/>
        </w:rPr>
        <w:t>zonisamid</w:t>
      </w:r>
      <w:proofErr w:type="spellEnd"/>
      <w:r w:rsidRPr="00F36DFC">
        <w:rPr>
          <w:sz w:val="24"/>
          <w:szCs w:val="24"/>
        </w:rPr>
        <w:t xml:space="preserve">-behandling. Risikoen for </w:t>
      </w:r>
      <w:proofErr w:type="spellStart"/>
      <w:r w:rsidRPr="00F36DFC">
        <w:rPr>
          <w:sz w:val="24"/>
          <w:szCs w:val="24"/>
        </w:rPr>
        <w:t>hyperammoniæmi</w:t>
      </w:r>
      <w:proofErr w:type="spellEnd"/>
      <w:r w:rsidRPr="00F36DFC">
        <w:rPr>
          <w:sz w:val="24"/>
          <w:szCs w:val="24"/>
        </w:rPr>
        <w:t xml:space="preserve"> kan være øget hos patienter, der samtidig tager andre lægemidler, som kan forårsage </w:t>
      </w:r>
      <w:proofErr w:type="spellStart"/>
      <w:r w:rsidRPr="00F36DFC">
        <w:rPr>
          <w:sz w:val="24"/>
          <w:szCs w:val="24"/>
        </w:rPr>
        <w:t>hyperammoniæmi</w:t>
      </w:r>
      <w:proofErr w:type="spellEnd"/>
      <w:r w:rsidRPr="00F36DFC">
        <w:rPr>
          <w:sz w:val="24"/>
          <w:szCs w:val="24"/>
        </w:rPr>
        <w:t xml:space="preserve"> (f.eks. </w:t>
      </w:r>
      <w:proofErr w:type="spellStart"/>
      <w:r w:rsidRPr="00F36DFC">
        <w:rPr>
          <w:sz w:val="24"/>
          <w:szCs w:val="24"/>
        </w:rPr>
        <w:t>valproat</w:t>
      </w:r>
      <w:proofErr w:type="spellEnd"/>
      <w:r w:rsidRPr="00F36DFC">
        <w:rPr>
          <w:sz w:val="24"/>
          <w:szCs w:val="24"/>
        </w:rPr>
        <w:t xml:space="preserve">), eller der har en underliggende urinstofcykluslidelse eller reduceret </w:t>
      </w:r>
      <w:proofErr w:type="spellStart"/>
      <w:r w:rsidRPr="00F36DFC">
        <w:rPr>
          <w:sz w:val="24"/>
          <w:szCs w:val="24"/>
        </w:rPr>
        <w:t>hepatisk</w:t>
      </w:r>
      <w:proofErr w:type="spellEnd"/>
      <w:r w:rsidRPr="00F36DFC">
        <w:rPr>
          <w:sz w:val="24"/>
          <w:szCs w:val="24"/>
        </w:rPr>
        <w:t xml:space="preserve"> </w:t>
      </w:r>
      <w:proofErr w:type="spellStart"/>
      <w:r w:rsidRPr="00F36DFC">
        <w:rPr>
          <w:sz w:val="24"/>
          <w:szCs w:val="24"/>
        </w:rPr>
        <w:t>mitokondriel</w:t>
      </w:r>
      <w:proofErr w:type="spellEnd"/>
      <w:r w:rsidRPr="00F36DFC">
        <w:rPr>
          <w:sz w:val="24"/>
          <w:szCs w:val="24"/>
        </w:rPr>
        <w:t xml:space="preserve"> aktivitet. Hos patienter, der udvikler uforklarlig letargi eller ændringer i mentaltilstanden under behandling med </w:t>
      </w:r>
      <w:proofErr w:type="spellStart"/>
      <w:r w:rsidRPr="00F36DFC">
        <w:rPr>
          <w:sz w:val="24"/>
          <w:szCs w:val="24"/>
        </w:rPr>
        <w:t>zonisamid</w:t>
      </w:r>
      <w:proofErr w:type="spellEnd"/>
      <w:r w:rsidRPr="00F36DFC">
        <w:rPr>
          <w:sz w:val="24"/>
          <w:szCs w:val="24"/>
        </w:rPr>
        <w:t xml:space="preserve">, anbefales det at tage højde for </w:t>
      </w:r>
      <w:proofErr w:type="spellStart"/>
      <w:r w:rsidRPr="00F36DFC">
        <w:rPr>
          <w:sz w:val="24"/>
          <w:szCs w:val="24"/>
        </w:rPr>
        <w:t>hyperammoniæmisk</w:t>
      </w:r>
      <w:proofErr w:type="spellEnd"/>
      <w:r w:rsidRPr="00F36DFC">
        <w:rPr>
          <w:sz w:val="24"/>
          <w:szCs w:val="24"/>
        </w:rPr>
        <w:t xml:space="preserve"> encefalopati og måle ammoniakniveauer.</w:t>
      </w:r>
    </w:p>
    <w:p w14:paraId="45974F69" w14:textId="77777777" w:rsidR="00F859C7" w:rsidRPr="00F36DFC" w:rsidRDefault="00F859C7" w:rsidP="00D16F2D">
      <w:pPr>
        <w:ind w:left="851"/>
        <w:rPr>
          <w:sz w:val="24"/>
          <w:szCs w:val="24"/>
        </w:rPr>
      </w:pPr>
    </w:p>
    <w:p w14:paraId="58CE4948" w14:textId="7230FB1C" w:rsidR="00F859C7" w:rsidRPr="00F36DFC" w:rsidRDefault="00F859C7" w:rsidP="00D16F2D">
      <w:pPr>
        <w:ind w:left="851"/>
        <w:rPr>
          <w:sz w:val="24"/>
          <w:szCs w:val="24"/>
        </w:rPr>
      </w:pPr>
      <w:proofErr w:type="spellStart"/>
      <w:r w:rsidRPr="00F36DFC">
        <w:rPr>
          <w:sz w:val="24"/>
          <w:szCs w:val="24"/>
        </w:rPr>
        <w:t>Zonisamid</w:t>
      </w:r>
      <w:proofErr w:type="spellEnd"/>
      <w:r w:rsidRPr="00F36DFC">
        <w:rPr>
          <w:sz w:val="24"/>
          <w:szCs w:val="24"/>
        </w:rPr>
        <w:t xml:space="preserve"> </w:t>
      </w:r>
      <w:r w:rsidR="00C26C40">
        <w:rPr>
          <w:sz w:val="24"/>
          <w:szCs w:val="24"/>
        </w:rPr>
        <w:t>"</w:t>
      </w:r>
      <w:proofErr w:type="spellStart"/>
      <w:r w:rsidR="00C26C40">
        <w:rPr>
          <w:sz w:val="24"/>
          <w:szCs w:val="24"/>
        </w:rPr>
        <w:t>Desitin</w:t>
      </w:r>
      <w:proofErr w:type="spellEnd"/>
      <w:r w:rsidR="00C26C40">
        <w:rPr>
          <w:sz w:val="24"/>
          <w:szCs w:val="24"/>
        </w:rPr>
        <w:t>"</w:t>
      </w:r>
      <w:r w:rsidRPr="00F36DFC">
        <w:rPr>
          <w:sz w:val="24"/>
          <w:szCs w:val="24"/>
        </w:rPr>
        <w:t xml:space="preserve"> skal anvendes med forsigtighed hos voksne patienter, der samtidigt behandles med </w:t>
      </w:r>
      <w:proofErr w:type="spellStart"/>
      <w:r w:rsidRPr="00F36DFC">
        <w:rPr>
          <w:sz w:val="24"/>
          <w:szCs w:val="24"/>
        </w:rPr>
        <w:t>kulsyreanhydrasehæmmere</w:t>
      </w:r>
      <w:proofErr w:type="spellEnd"/>
      <w:r w:rsidRPr="00F36DFC">
        <w:rPr>
          <w:sz w:val="24"/>
          <w:szCs w:val="24"/>
        </w:rPr>
        <w:t xml:space="preserve"> som f.eks. </w:t>
      </w:r>
      <w:proofErr w:type="spellStart"/>
      <w:r w:rsidRPr="00F36DFC">
        <w:rPr>
          <w:sz w:val="24"/>
          <w:szCs w:val="24"/>
        </w:rPr>
        <w:t>topiramat</w:t>
      </w:r>
      <w:proofErr w:type="spellEnd"/>
      <w:r w:rsidRPr="00F36DFC">
        <w:rPr>
          <w:sz w:val="24"/>
          <w:szCs w:val="24"/>
        </w:rPr>
        <w:t xml:space="preserve"> eller </w:t>
      </w:r>
      <w:proofErr w:type="spellStart"/>
      <w:r w:rsidRPr="00F36DFC">
        <w:rPr>
          <w:sz w:val="24"/>
          <w:szCs w:val="24"/>
        </w:rPr>
        <w:t>acetazolamid</w:t>
      </w:r>
      <w:proofErr w:type="spellEnd"/>
      <w:r w:rsidRPr="00F36DFC">
        <w:rPr>
          <w:sz w:val="24"/>
          <w:szCs w:val="24"/>
        </w:rPr>
        <w:t xml:space="preserve">, da der foreligger utilstrækkelige data til at udelukke en </w:t>
      </w:r>
      <w:proofErr w:type="spellStart"/>
      <w:r w:rsidRPr="00F36DFC">
        <w:rPr>
          <w:sz w:val="24"/>
          <w:szCs w:val="24"/>
        </w:rPr>
        <w:t>farmakodynamisk</w:t>
      </w:r>
      <w:proofErr w:type="spellEnd"/>
      <w:r w:rsidRPr="00F36DFC">
        <w:rPr>
          <w:sz w:val="24"/>
          <w:szCs w:val="24"/>
        </w:rPr>
        <w:t xml:space="preserve"> interaktion (se også pkt. 4.4 Pædiatrisk population og pkt. 4.5).</w:t>
      </w:r>
    </w:p>
    <w:p w14:paraId="7CDE3CB3" w14:textId="77777777" w:rsidR="00F859C7" w:rsidRPr="00F36DFC" w:rsidRDefault="00F859C7" w:rsidP="00D16F2D">
      <w:pPr>
        <w:ind w:left="851"/>
        <w:rPr>
          <w:sz w:val="24"/>
          <w:szCs w:val="24"/>
        </w:rPr>
      </w:pPr>
    </w:p>
    <w:p w14:paraId="74CB8E4B" w14:textId="77777777" w:rsidR="00F859C7" w:rsidRPr="00F36DFC" w:rsidRDefault="00F859C7" w:rsidP="00D16F2D">
      <w:pPr>
        <w:ind w:left="851"/>
        <w:rPr>
          <w:sz w:val="24"/>
          <w:szCs w:val="24"/>
          <w:u w:val="single"/>
        </w:rPr>
      </w:pPr>
      <w:r w:rsidRPr="00F36DFC">
        <w:rPr>
          <w:sz w:val="24"/>
          <w:szCs w:val="24"/>
          <w:u w:val="single"/>
        </w:rPr>
        <w:t>Hedeslag</w:t>
      </w:r>
    </w:p>
    <w:p w14:paraId="401EC969" w14:textId="10320399" w:rsidR="00F859C7" w:rsidRPr="00F36DFC" w:rsidRDefault="00F859C7" w:rsidP="00D16F2D">
      <w:pPr>
        <w:ind w:left="851"/>
        <w:rPr>
          <w:sz w:val="24"/>
          <w:szCs w:val="24"/>
        </w:rPr>
      </w:pPr>
      <w:r w:rsidRPr="00F36DFC">
        <w:rPr>
          <w:sz w:val="24"/>
          <w:szCs w:val="24"/>
        </w:rPr>
        <w:t xml:space="preserve">Tilfælde med nedsat svedproduktion og forhøjet legemstemperatur er blevet rapporteret hovedsagelig hos pædiatriske patienter (se den fuldstændige advarsel i pkt. 4.4 Pædiatrisk population). Der skal udvises forsigtighed hos voksne, når </w:t>
      </w:r>
      <w:proofErr w:type="spellStart"/>
      <w:r w:rsidRPr="00F36DFC">
        <w:rPr>
          <w:sz w:val="24"/>
          <w:szCs w:val="24"/>
        </w:rPr>
        <w:t>Zonisamid</w:t>
      </w:r>
      <w:proofErr w:type="spellEnd"/>
      <w:r w:rsidRPr="00F36DFC">
        <w:rPr>
          <w:sz w:val="24"/>
          <w:szCs w:val="24"/>
        </w:rPr>
        <w:t xml:space="preserve"> </w:t>
      </w:r>
      <w:r w:rsidR="00C26C40">
        <w:rPr>
          <w:sz w:val="24"/>
          <w:szCs w:val="24"/>
        </w:rPr>
        <w:t>"</w:t>
      </w:r>
      <w:proofErr w:type="spellStart"/>
      <w:r w:rsidR="00C26C40">
        <w:rPr>
          <w:sz w:val="24"/>
          <w:szCs w:val="24"/>
        </w:rPr>
        <w:t>Desitin</w:t>
      </w:r>
      <w:proofErr w:type="spellEnd"/>
      <w:r w:rsidR="00C26C40">
        <w:rPr>
          <w:sz w:val="24"/>
          <w:szCs w:val="24"/>
        </w:rPr>
        <w:t>"</w:t>
      </w:r>
      <w:r w:rsidRPr="00F36DFC">
        <w:rPr>
          <w:sz w:val="24"/>
          <w:szCs w:val="24"/>
        </w:rPr>
        <w:t xml:space="preserve"> ordineres sammen med andre lægemidler, som gør patienterne modtagelige for varmerelaterede sygdomme. Det omfatter </w:t>
      </w:r>
      <w:proofErr w:type="spellStart"/>
      <w:r w:rsidRPr="00F36DFC">
        <w:rPr>
          <w:sz w:val="24"/>
          <w:szCs w:val="24"/>
        </w:rPr>
        <w:t>kulsyreanhydrasehæmmere</w:t>
      </w:r>
      <w:proofErr w:type="spellEnd"/>
      <w:r w:rsidRPr="00F36DFC">
        <w:rPr>
          <w:sz w:val="24"/>
          <w:szCs w:val="24"/>
        </w:rPr>
        <w:t xml:space="preserve"> og lægemidler med </w:t>
      </w:r>
      <w:proofErr w:type="spellStart"/>
      <w:r w:rsidRPr="00F36DFC">
        <w:rPr>
          <w:sz w:val="24"/>
          <w:szCs w:val="24"/>
        </w:rPr>
        <w:t>antikolinerg</w:t>
      </w:r>
      <w:proofErr w:type="spellEnd"/>
      <w:r w:rsidRPr="00F36DFC">
        <w:rPr>
          <w:sz w:val="24"/>
          <w:szCs w:val="24"/>
        </w:rPr>
        <w:t xml:space="preserve"> virkning (se også pkt. 4.4 Pædiatrisk population).</w:t>
      </w:r>
    </w:p>
    <w:p w14:paraId="782185DA" w14:textId="77777777" w:rsidR="00F859C7" w:rsidRPr="00F36DFC" w:rsidRDefault="00F859C7" w:rsidP="00D16F2D">
      <w:pPr>
        <w:ind w:left="851"/>
        <w:rPr>
          <w:sz w:val="24"/>
          <w:szCs w:val="24"/>
        </w:rPr>
      </w:pPr>
    </w:p>
    <w:p w14:paraId="3918EBB0" w14:textId="77777777" w:rsidR="00F859C7" w:rsidRPr="00F36DFC" w:rsidRDefault="00F859C7" w:rsidP="00D16F2D">
      <w:pPr>
        <w:ind w:left="851"/>
        <w:rPr>
          <w:sz w:val="24"/>
          <w:szCs w:val="24"/>
          <w:u w:val="single"/>
        </w:rPr>
      </w:pPr>
      <w:proofErr w:type="spellStart"/>
      <w:r w:rsidRPr="00F36DFC">
        <w:rPr>
          <w:sz w:val="24"/>
          <w:szCs w:val="24"/>
          <w:u w:val="single"/>
        </w:rPr>
        <w:t>Pancreatitis</w:t>
      </w:r>
      <w:proofErr w:type="spellEnd"/>
    </w:p>
    <w:p w14:paraId="0C16A392" w14:textId="11A77617" w:rsidR="00F859C7" w:rsidRPr="00F36DFC" w:rsidRDefault="00F859C7" w:rsidP="00D16F2D">
      <w:pPr>
        <w:ind w:left="851"/>
        <w:rPr>
          <w:sz w:val="24"/>
          <w:szCs w:val="24"/>
        </w:rPr>
      </w:pPr>
      <w:r w:rsidRPr="00F36DFC">
        <w:rPr>
          <w:sz w:val="24"/>
          <w:szCs w:val="24"/>
        </w:rPr>
        <w:t xml:space="preserve">Hos patienter, der tager </w:t>
      </w:r>
      <w:proofErr w:type="spellStart"/>
      <w:r w:rsidRPr="00F36DFC">
        <w:rPr>
          <w:sz w:val="24"/>
          <w:szCs w:val="24"/>
        </w:rPr>
        <w:t>Zonisamid</w:t>
      </w:r>
      <w:proofErr w:type="spellEnd"/>
      <w:r w:rsidRPr="00F36DFC">
        <w:rPr>
          <w:sz w:val="24"/>
          <w:szCs w:val="24"/>
        </w:rPr>
        <w:t xml:space="preserve"> </w:t>
      </w:r>
      <w:r w:rsidR="00C26C40">
        <w:rPr>
          <w:sz w:val="24"/>
          <w:szCs w:val="24"/>
        </w:rPr>
        <w:t>"</w:t>
      </w:r>
      <w:proofErr w:type="spellStart"/>
      <w:r w:rsidR="00C26C40">
        <w:rPr>
          <w:sz w:val="24"/>
          <w:szCs w:val="24"/>
        </w:rPr>
        <w:t>Desitin</w:t>
      </w:r>
      <w:proofErr w:type="spellEnd"/>
      <w:r w:rsidR="00C26C40">
        <w:rPr>
          <w:sz w:val="24"/>
          <w:szCs w:val="24"/>
        </w:rPr>
        <w:t>"</w:t>
      </w:r>
      <w:r w:rsidRPr="00F36DFC">
        <w:rPr>
          <w:sz w:val="24"/>
          <w:szCs w:val="24"/>
        </w:rPr>
        <w:t xml:space="preserve"> og som udvikler kliniske tegn og symptomer på </w:t>
      </w:r>
      <w:proofErr w:type="spellStart"/>
      <w:r w:rsidRPr="00F36DFC">
        <w:rPr>
          <w:sz w:val="24"/>
          <w:szCs w:val="24"/>
        </w:rPr>
        <w:t>pancreatitis</w:t>
      </w:r>
      <w:proofErr w:type="spellEnd"/>
      <w:r w:rsidRPr="00F36DFC">
        <w:rPr>
          <w:sz w:val="24"/>
          <w:szCs w:val="24"/>
        </w:rPr>
        <w:t xml:space="preserve">, anbefales det at kontrollere niveauerne af </w:t>
      </w:r>
      <w:proofErr w:type="spellStart"/>
      <w:r w:rsidRPr="00F36DFC">
        <w:rPr>
          <w:sz w:val="24"/>
          <w:szCs w:val="24"/>
        </w:rPr>
        <w:t>pancreaslipase</w:t>
      </w:r>
      <w:proofErr w:type="spellEnd"/>
      <w:r w:rsidRPr="00F36DFC">
        <w:rPr>
          <w:sz w:val="24"/>
          <w:szCs w:val="24"/>
        </w:rPr>
        <w:t xml:space="preserve"> og amylase. Hvis det er klart, at det drejer sig om </w:t>
      </w:r>
      <w:proofErr w:type="spellStart"/>
      <w:r w:rsidRPr="00F36DFC">
        <w:rPr>
          <w:sz w:val="24"/>
          <w:szCs w:val="24"/>
        </w:rPr>
        <w:t>pancreatitis</w:t>
      </w:r>
      <w:proofErr w:type="spellEnd"/>
      <w:r w:rsidRPr="00F36DFC">
        <w:rPr>
          <w:sz w:val="24"/>
          <w:szCs w:val="24"/>
        </w:rPr>
        <w:t xml:space="preserve"> uden anden nærliggende årsag, anbefales det at overveje at seponere </w:t>
      </w:r>
      <w:proofErr w:type="spellStart"/>
      <w:r w:rsidRPr="00F36DFC">
        <w:rPr>
          <w:sz w:val="24"/>
          <w:szCs w:val="24"/>
        </w:rPr>
        <w:t>Zonisamid</w:t>
      </w:r>
      <w:proofErr w:type="spellEnd"/>
      <w:r w:rsidRPr="00F36DFC">
        <w:rPr>
          <w:sz w:val="24"/>
          <w:szCs w:val="24"/>
        </w:rPr>
        <w:t xml:space="preserve"> </w:t>
      </w:r>
      <w:r w:rsidR="00C26C40">
        <w:rPr>
          <w:sz w:val="24"/>
          <w:szCs w:val="24"/>
        </w:rPr>
        <w:t>"</w:t>
      </w:r>
      <w:proofErr w:type="spellStart"/>
      <w:r w:rsidR="00C26C40">
        <w:rPr>
          <w:sz w:val="24"/>
          <w:szCs w:val="24"/>
        </w:rPr>
        <w:t>Desitin</w:t>
      </w:r>
      <w:proofErr w:type="spellEnd"/>
      <w:r w:rsidR="00C26C40">
        <w:rPr>
          <w:sz w:val="24"/>
          <w:szCs w:val="24"/>
        </w:rPr>
        <w:t>"</w:t>
      </w:r>
      <w:r w:rsidRPr="00F36DFC">
        <w:rPr>
          <w:sz w:val="24"/>
          <w:szCs w:val="24"/>
        </w:rPr>
        <w:t xml:space="preserve"> og påbegynde passende behandling.</w:t>
      </w:r>
    </w:p>
    <w:p w14:paraId="5B8DC957" w14:textId="77777777" w:rsidR="00F859C7" w:rsidRPr="00F36DFC" w:rsidRDefault="00F859C7" w:rsidP="00D16F2D">
      <w:pPr>
        <w:ind w:left="851"/>
        <w:rPr>
          <w:sz w:val="24"/>
          <w:szCs w:val="24"/>
        </w:rPr>
      </w:pPr>
    </w:p>
    <w:p w14:paraId="6971FC60" w14:textId="77777777" w:rsidR="00F859C7" w:rsidRPr="00F36DFC" w:rsidRDefault="00F859C7" w:rsidP="00D16F2D">
      <w:pPr>
        <w:ind w:left="851"/>
        <w:rPr>
          <w:sz w:val="24"/>
          <w:szCs w:val="24"/>
          <w:u w:val="single"/>
        </w:rPr>
      </w:pPr>
      <w:proofErr w:type="spellStart"/>
      <w:r w:rsidRPr="00F36DFC">
        <w:rPr>
          <w:sz w:val="24"/>
          <w:szCs w:val="24"/>
          <w:u w:val="single"/>
        </w:rPr>
        <w:t>Rabdomyolyse</w:t>
      </w:r>
      <w:proofErr w:type="spellEnd"/>
    </w:p>
    <w:p w14:paraId="54EBCCAF" w14:textId="149EC492" w:rsidR="00F859C7" w:rsidRPr="00F36DFC" w:rsidRDefault="00F859C7" w:rsidP="00D16F2D">
      <w:pPr>
        <w:ind w:left="851"/>
        <w:rPr>
          <w:sz w:val="24"/>
          <w:szCs w:val="24"/>
        </w:rPr>
      </w:pPr>
      <w:r w:rsidRPr="00F36DFC">
        <w:rPr>
          <w:sz w:val="24"/>
          <w:szCs w:val="24"/>
        </w:rPr>
        <w:t xml:space="preserve">Hos patienter, der tager </w:t>
      </w:r>
      <w:proofErr w:type="spellStart"/>
      <w:r w:rsidRPr="00F36DFC">
        <w:rPr>
          <w:sz w:val="24"/>
          <w:szCs w:val="24"/>
        </w:rPr>
        <w:t>Zonisamid</w:t>
      </w:r>
      <w:proofErr w:type="spellEnd"/>
      <w:r w:rsidRPr="00F36DFC">
        <w:rPr>
          <w:sz w:val="24"/>
          <w:szCs w:val="24"/>
        </w:rPr>
        <w:t xml:space="preserve"> </w:t>
      </w:r>
      <w:r w:rsidR="00C26C40">
        <w:rPr>
          <w:sz w:val="24"/>
          <w:szCs w:val="24"/>
        </w:rPr>
        <w:t>"</w:t>
      </w:r>
      <w:proofErr w:type="spellStart"/>
      <w:r w:rsidR="00C26C40">
        <w:rPr>
          <w:sz w:val="24"/>
          <w:szCs w:val="24"/>
        </w:rPr>
        <w:t>Desitin</w:t>
      </w:r>
      <w:proofErr w:type="spellEnd"/>
      <w:r w:rsidR="00C26C40">
        <w:rPr>
          <w:sz w:val="24"/>
          <w:szCs w:val="24"/>
        </w:rPr>
        <w:t>"</w:t>
      </w:r>
      <w:r w:rsidRPr="00F36DFC">
        <w:rPr>
          <w:sz w:val="24"/>
          <w:szCs w:val="24"/>
        </w:rPr>
        <w:t xml:space="preserve">, hvor der udvikles alvorlige muskelsmerter/eller svaghed enten med eller uden feber, anbefales det, at kontrollere markører for muskelskade herunder niveauerne af </w:t>
      </w:r>
      <w:proofErr w:type="spellStart"/>
      <w:r w:rsidRPr="00F36DFC">
        <w:rPr>
          <w:sz w:val="24"/>
          <w:szCs w:val="24"/>
        </w:rPr>
        <w:t>creatinfosfokinase</w:t>
      </w:r>
      <w:proofErr w:type="spellEnd"/>
      <w:r w:rsidRPr="00F36DFC">
        <w:rPr>
          <w:sz w:val="24"/>
          <w:szCs w:val="24"/>
        </w:rPr>
        <w:t xml:space="preserve"> og </w:t>
      </w:r>
      <w:proofErr w:type="spellStart"/>
      <w:r w:rsidRPr="00F36DFC">
        <w:rPr>
          <w:sz w:val="24"/>
          <w:szCs w:val="24"/>
        </w:rPr>
        <w:t>aldolase</w:t>
      </w:r>
      <w:proofErr w:type="spellEnd"/>
      <w:r w:rsidRPr="00F36DFC">
        <w:rPr>
          <w:sz w:val="24"/>
          <w:szCs w:val="24"/>
        </w:rPr>
        <w:t xml:space="preserve"> i serum. Hvis de er forhøjet uden anden åbenlys årsag som f.eks. traume eller grand mal-anfald, anbefales det at overveje at seponere </w:t>
      </w:r>
      <w:proofErr w:type="spellStart"/>
      <w:r w:rsidRPr="00F36DFC">
        <w:rPr>
          <w:sz w:val="24"/>
          <w:szCs w:val="24"/>
        </w:rPr>
        <w:t>Zonisamid</w:t>
      </w:r>
      <w:proofErr w:type="spellEnd"/>
      <w:r w:rsidRPr="00F36DFC">
        <w:rPr>
          <w:sz w:val="24"/>
          <w:szCs w:val="24"/>
        </w:rPr>
        <w:t xml:space="preserve"> </w:t>
      </w:r>
      <w:r w:rsidR="00C26C40">
        <w:rPr>
          <w:sz w:val="24"/>
          <w:szCs w:val="24"/>
        </w:rPr>
        <w:t>"</w:t>
      </w:r>
      <w:proofErr w:type="spellStart"/>
      <w:r w:rsidR="00C26C40">
        <w:rPr>
          <w:sz w:val="24"/>
          <w:szCs w:val="24"/>
        </w:rPr>
        <w:t>Desitin</w:t>
      </w:r>
      <w:proofErr w:type="spellEnd"/>
      <w:r w:rsidR="00C26C40">
        <w:rPr>
          <w:sz w:val="24"/>
          <w:szCs w:val="24"/>
        </w:rPr>
        <w:t>"</w:t>
      </w:r>
      <w:r w:rsidRPr="00F36DFC">
        <w:rPr>
          <w:sz w:val="24"/>
          <w:szCs w:val="24"/>
        </w:rPr>
        <w:t xml:space="preserve"> og påbegynde passende behandling.</w:t>
      </w:r>
    </w:p>
    <w:p w14:paraId="75183F4C" w14:textId="77777777" w:rsidR="00F859C7" w:rsidRPr="00F36DFC" w:rsidRDefault="00F859C7" w:rsidP="00D16F2D">
      <w:pPr>
        <w:ind w:left="851"/>
        <w:rPr>
          <w:sz w:val="24"/>
          <w:szCs w:val="24"/>
        </w:rPr>
      </w:pPr>
    </w:p>
    <w:p w14:paraId="3E412BC3" w14:textId="77777777" w:rsidR="00F859C7" w:rsidRPr="00F36DFC" w:rsidRDefault="00F859C7" w:rsidP="00D16F2D">
      <w:pPr>
        <w:ind w:left="851"/>
        <w:rPr>
          <w:sz w:val="24"/>
          <w:szCs w:val="24"/>
          <w:u w:val="single"/>
        </w:rPr>
      </w:pPr>
      <w:r w:rsidRPr="00F36DFC">
        <w:rPr>
          <w:sz w:val="24"/>
          <w:szCs w:val="24"/>
          <w:u w:val="single"/>
        </w:rPr>
        <w:t>Kvinder i den fertile alder</w:t>
      </w:r>
    </w:p>
    <w:p w14:paraId="6538BA12" w14:textId="082D51C7" w:rsidR="00F859C7" w:rsidRPr="00F36DFC" w:rsidRDefault="00F859C7" w:rsidP="00D16F2D">
      <w:pPr>
        <w:adjustRightInd w:val="0"/>
        <w:ind w:left="851"/>
        <w:rPr>
          <w:sz w:val="24"/>
          <w:szCs w:val="24"/>
        </w:rPr>
      </w:pPr>
      <w:r w:rsidRPr="00F36DFC">
        <w:rPr>
          <w:sz w:val="24"/>
          <w:szCs w:val="24"/>
        </w:rPr>
        <w:t xml:space="preserve">Kvinder i den fertile alder skal anvende sikker </w:t>
      </w:r>
      <w:proofErr w:type="spellStart"/>
      <w:r w:rsidRPr="00F36DFC">
        <w:rPr>
          <w:sz w:val="24"/>
          <w:szCs w:val="24"/>
        </w:rPr>
        <w:t>kontraception</w:t>
      </w:r>
      <w:proofErr w:type="spellEnd"/>
      <w:r w:rsidRPr="00F36DFC">
        <w:rPr>
          <w:sz w:val="24"/>
          <w:szCs w:val="24"/>
        </w:rPr>
        <w:t xml:space="preserve"> under behandling med </w:t>
      </w:r>
      <w:proofErr w:type="spellStart"/>
      <w:r w:rsidRPr="00F36DFC">
        <w:rPr>
          <w:sz w:val="24"/>
          <w:szCs w:val="24"/>
        </w:rPr>
        <w:t>Zonisamid</w:t>
      </w:r>
      <w:proofErr w:type="spellEnd"/>
      <w:r w:rsidRPr="00F36DFC">
        <w:rPr>
          <w:sz w:val="24"/>
          <w:szCs w:val="24"/>
        </w:rPr>
        <w:t xml:space="preserve"> </w:t>
      </w:r>
      <w:r w:rsidR="00C26C40">
        <w:rPr>
          <w:sz w:val="24"/>
          <w:szCs w:val="24"/>
        </w:rPr>
        <w:t>"</w:t>
      </w:r>
      <w:proofErr w:type="spellStart"/>
      <w:r w:rsidR="00C26C40">
        <w:rPr>
          <w:sz w:val="24"/>
          <w:szCs w:val="24"/>
        </w:rPr>
        <w:t>Desitin</w:t>
      </w:r>
      <w:proofErr w:type="spellEnd"/>
      <w:r w:rsidR="00C26C40">
        <w:rPr>
          <w:sz w:val="24"/>
          <w:szCs w:val="24"/>
        </w:rPr>
        <w:t>"</w:t>
      </w:r>
      <w:r w:rsidRPr="00F36DFC">
        <w:rPr>
          <w:sz w:val="24"/>
          <w:szCs w:val="24"/>
        </w:rPr>
        <w:t xml:space="preserve"> og i en måned efter </w:t>
      </w:r>
      <w:proofErr w:type="spellStart"/>
      <w:r w:rsidRPr="00F36DFC">
        <w:rPr>
          <w:sz w:val="24"/>
          <w:szCs w:val="24"/>
        </w:rPr>
        <w:t>seponering</w:t>
      </w:r>
      <w:proofErr w:type="spellEnd"/>
      <w:r w:rsidRPr="00F36DFC">
        <w:rPr>
          <w:sz w:val="24"/>
          <w:szCs w:val="24"/>
        </w:rPr>
        <w:t xml:space="preserve"> (se pkt. 4.6). </w:t>
      </w:r>
      <w:proofErr w:type="spellStart"/>
      <w:r w:rsidRPr="00F36DFC">
        <w:rPr>
          <w:sz w:val="24"/>
          <w:szCs w:val="24"/>
        </w:rPr>
        <w:t>Zonisamid</w:t>
      </w:r>
      <w:proofErr w:type="spellEnd"/>
      <w:r w:rsidRPr="00F36DFC">
        <w:rPr>
          <w:sz w:val="24"/>
          <w:szCs w:val="24"/>
        </w:rPr>
        <w:t xml:space="preserve"> </w:t>
      </w:r>
      <w:r w:rsidR="00C26C40">
        <w:rPr>
          <w:sz w:val="24"/>
          <w:szCs w:val="24"/>
        </w:rPr>
        <w:t>"</w:t>
      </w:r>
      <w:proofErr w:type="spellStart"/>
      <w:r w:rsidR="00C26C40">
        <w:rPr>
          <w:sz w:val="24"/>
          <w:szCs w:val="24"/>
        </w:rPr>
        <w:t>Desitin</w:t>
      </w:r>
      <w:proofErr w:type="spellEnd"/>
      <w:r w:rsidR="00C26C40">
        <w:rPr>
          <w:sz w:val="24"/>
          <w:szCs w:val="24"/>
        </w:rPr>
        <w:t>"</w:t>
      </w:r>
      <w:r w:rsidRPr="00F36DFC">
        <w:rPr>
          <w:sz w:val="24"/>
          <w:szCs w:val="24"/>
        </w:rPr>
        <w:t xml:space="preserve"> må ikke bruges hos kvinder i den fertile alder, som ikke anvender sikker </w:t>
      </w:r>
      <w:proofErr w:type="spellStart"/>
      <w:r w:rsidRPr="00F36DFC">
        <w:rPr>
          <w:sz w:val="24"/>
          <w:szCs w:val="24"/>
        </w:rPr>
        <w:t>kontraception</w:t>
      </w:r>
      <w:proofErr w:type="spellEnd"/>
      <w:r w:rsidRPr="00F36DFC">
        <w:rPr>
          <w:sz w:val="24"/>
          <w:szCs w:val="24"/>
        </w:rPr>
        <w:t xml:space="preserve">, medmindre det er klart nødvendigt, og kun hvis den potentielle fordel anses for at opveje risikoen for fosteret. Kvinder i den fertile alder, der behandles med </w:t>
      </w:r>
      <w:proofErr w:type="spellStart"/>
      <w:r w:rsidRPr="00F36DFC">
        <w:rPr>
          <w:sz w:val="24"/>
          <w:szCs w:val="24"/>
        </w:rPr>
        <w:t>zonisamid</w:t>
      </w:r>
      <w:proofErr w:type="spellEnd"/>
      <w:r w:rsidRPr="00F36DFC">
        <w:rPr>
          <w:sz w:val="24"/>
          <w:szCs w:val="24"/>
        </w:rPr>
        <w:t xml:space="preserve">, skal have medicinsk specialistrådgivning. Kvinden skal være fuldt informeret om og forstå </w:t>
      </w:r>
      <w:proofErr w:type="spellStart"/>
      <w:r w:rsidRPr="00F36DFC">
        <w:rPr>
          <w:sz w:val="24"/>
          <w:szCs w:val="24"/>
        </w:rPr>
        <w:t>Zonisamid</w:t>
      </w:r>
      <w:proofErr w:type="spellEnd"/>
      <w:r w:rsidRPr="00F36DFC">
        <w:rPr>
          <w:sz w:val="24"/>
          <w:szCs w:val="24"/>
        </w:rPr>
        <w:t xml:space="preserve"> </w:t>
      </w:r>
      <w:r w:rsidR="00C26C40">
        <w:rPr>
          <w:sz w:val="24"/>
          <w:szCs w:val="24"/>
        </w:rPr>
        <w:t>"</w:t>
      </w:r>
      <w:proofErr w:type="spellStart"/>
      <w:r w:rsidR="00C26C40">
        <w:rPr>
          <w:sz w:val="24"/>
          <w:szCs w:val="24"/>
        </w:rPr>
        <w:t>Desitin"</w:t>
      </w:r>
      <w:r w:rsidRPr="00F36DFC">
        <w:rPr>
          <w:sz w:val="24"/>
          <w:szCs w:val="24"/>
        </w:rPr>
        <w:t>s</w:t>
      </w:r>
      <w:proofErr w:type="spellEnd"/>
      <w:r w:rsidRPr="00F36DFC">
        <w:rPr>
          <w:sz w:val="24"/>
          <w:szCs w:val="24"/>
        </w:rPr>
        <w:t xml:space="preserve"> mulige bivirkninger på fosteret, og disse risici bør drøftes med patienten i forhold til fordelene inden behandlingsstart. En graviditetstest bør overvejes før start på behandling med </w:t>
      </w:r>
      <w:proofErr w:type="spellStart"/>
      <w:r w:rsidRPr="00F36DFC">
        <w:rPr>
          <w:sz w:val="24"/>
          <w:szCs w:val="24"/>
        </w:rPr>
        <w:t>Zonisamid</w:t>
      </w:r>
      <w:proofErr w:type="spellEnd"/>
      <w:r w:rsidRPr="00F36DFC">
        <w:rPr>
          <w:sz w:val="24"/>
          <w:szCs w:val="24"/>
        </w:rPr>
        <w:t xml:space="preserve"> </w:t>
      </w:r>
      <w:r w:rsidR="00C26C40">
        <w:rPr>
          <w:sz w:val="24"/>
          <w:szCs w:val="24"/>
        </w:rPr>
        <w:t>"</w:t>
      </w:r>
      <w:proofErr w:type="spellStart"/>
      <w:r w:rsidR="00C26C40">
        <w:rPr>
          <w:sz w:val="24"/>
          <w:szCs w:val="24"/>
        </w:rPr>
        <w:t>Desitin</w:t>
      </w:r>
      <w:proofErr w:type="spellEnd"/>
      <w:r w:rsidR="00C26C40">
        <w:rPr>
          <w:sz w:val="24"/>
          <w:szCs w:val="24"/>
        </w:rPr>
        <w:t>"</w:t>
      </w:r>
      <w:r w:rsidRPr="00F36DFC">
        <w:rPr>
          <w:sz w:val="24"/>
          <w:szCs w:val="24"/>
        </w:rPr>
        <w:t xml:space="preserve"> hos en kvinde i den fertile alder.</w:t>
      </w:r>
    </w:p>
    <w:p w14:paraId="4C472366" w14:textId="46706400" w:rsidR="00F859C7" w:rsidRPr="00F36DFC" w:rsidRDefault="00F859C7" w:rsidP="00D16F2D">
      <w:pPr>
        <w:adjustRightInd w:val="0"/>
        <w:ind w:left="851"/>
        <w:rPr>
          <w:sz w:val="24"/>
          <w:szCs w:val="24"/>
        </w:rPr>
      </w:pPr>
      <w:r w:rsidRPr="00F36DFC">
        <w:rPr>
          <w:sz w:val="24"/>
          <w:szCs w:val="24"/>
        </w:rPr>
        <w:t xml:space="preserve">Kvinder, der planlægger at blive gravide, skal konsultere deres specialister med henblik på genvurdering af behandlingen med </w:t>
      </w:r>
      <w:proofErr w:type="spellStart"/>
      <w:r w:rsidRPr="00F36DFC">
        <w:rPr>
          <w:sz w:val="24"/>
          <w:szCs w:val="24"/>
        </w:rPr>
        <w:t>Zonisamid</w:t>
      </w:r>
      <w:proofErr w:type="spellEnd"/>
      <w:r w:rsidRPr="00F36DFC">
        <w:rPr>
          <w:sz w:val="24"/>
          <w:szCs w:val="24"/>
        </w:rPr>
        <w:t xml:space="preserve"> </w:t>
      </w:r>
      <w:r w:rsidR="00C26C40">
        <w:rPr>
          <w:sz w:val="24"/>
          <w:szCs w:val="24"/>
        </w:rPr>
        <w:t>"</w:t>
      </w:r>
      <w:proofErr w:type="spellStart"/>
      <w:r w:rsidR="00C26C40">
        <w:rPr>
          <w:sz w:val="24"/>
          <w:szCs w:val="24"/>
        </w:rPr>
        <w:t>Desitin</w:t>
      </w:r>
      <w:proofErr w:type="spellEnd"/>
      <w:r w:rsidR="00C26C40">
        <w:rPr>
          <w:sz w:val="24"/>
          <w:szCs w:val="24"/>
        </w:rPr>
        <w:t>"</w:t>
      </w:r>
      <w:r w:rsidRPr="00F36DFC">
        <w:rPr>
          <w:sz w:val="24"/>
          <w:szCs w:val="24"/>
        </w:rPr>
        <w:t xml:space="preserve"> og for at overveje andre behandlingsmuligheder før undfangelse og før afbrydelse af </w:t>
      </w:r>
      <w:proofErr w:type="spellStart"/>
      <w:r w:rsidRPr="00F36DFC">
        <w:rPr>
          <w:sz w:val="24"/>
          <w:szCs w:val="24"/>
        </w:rPr>
        <w:t>kontraception</w:t>
      </w:r>
      <w:proofErr w:type="spellEnd"/>
      <w:r w:rsidRPr="00F36DFC">
        <w:rPr>
          <w:sz w:val="24"/>
          <w:szCs w:val="24"/>
        </w:rPr>
        <w:t xml:space="preserve">. Kvinder i den fertile alder skal rådes til straks at kontakte sin læge, hvis hun bliver gravid, eller tror hun kan være gravid, mens hun tager </w:t>
      </w:r>
      <w:proofErr w:type="spellStart"/>
      <w:r w:rsidRPr="00F36DFC">
        <w:rPr>
          <w:sz w:val="24"/>
          <w:szCs w:val="24"/>
        </w:rPr>
        <w:t>Zonisamid</w:t>
      </w:r>
      <w:proofErr w:type="spellEnd"/>
      <w:r w:rsidRPr="00F36DFC">
        <w:rPr>
          <w:sz w:val="24"/>
          <w:szCs w:val="24"/>
        </w:rPr>
        <w:t xml:space="preserve"> </w:t>
      </w:r>
      <w:r w:rsidR="00C26C40">
        <w:rPr>
          <w:sz w:val="24"/>
          <w:szCs w:val="24"/>
        </w:rPr>
        <w:t>"</w:t>
      </w:r>
      <w:proofErr w:type="spellStart"/>
      <w:r w:rsidR="00C26C40">
        <w:rPr>
          <w:sz w:val="24"/>
          <w:szCs w:val="24"/>
        </w:rPr>
        <w:t>Desitin</w:t>
      </w:r>
      <w:proofErr w:type="spellEnd"/>
      <w:r w:rsidR="00C26C40">
        <w:rPr>
          <w:sz w:val="24"/>
          <w:szCs w:val="24"/>
        </w:rPr>
        <w:t>"</w:t>
      </w:r>
      <w:r w:rsidRPr="00F36DFC">
        <w:rPr>
          <w:sz w:val="24"/>
          <w:szCs w:val="24"/>
        </w:rPr>
        <w:t xml:space="preserve">. Læger, der behandler patienter med </w:t>
      </w:r>
      <w:proofErr w:type="spellStart"/>
      <w:r w:rsidRPr="00F36DFC">
        <w:rPr>
          <w:sz w:val="24"/>
          <w:szCs w:val="24"/>
        </w:rPr>
        <w:t>Zonisamid</w:t>
      </w:r>
      <w:proofErr w:type="spellEnd"/>
      <w:r w:rsidRPr="00F36DFC">
        <w:rPr>
          <w:sz w:val="24"/>
          <w:szCs w:val="24"/>
        </w:rPr>
        <w:t xml:space="preserve"> </w:t>
      </w:r>
      <w:r w:rsidR="00C26C40">
        <w:rPr>
          <w:sz w:val="24"/>
          <w:szCs w:val="24"/>
        </w:rPr>
        <w:t>"</w:t>
      </w:r>
      <w:proofErr w:type="spellStart"/>
      <w:r w:rsidR="00C26C40">
        <w:rPr>
          <w:sz w:val="24"/>
          <w:szCs w:val="24"/>
        </w:rPr>
        <w:t>Desitin</w:t>
      </w:r>
      <w:proofErr w:type="spellEnd"/>
      <w:r w:rsidR="00C26C40">
        <w:rPr>
          <w:sz w:val="24"/>
          <w:szCs w:val="24"/>
        </w:rPr>
        <w:t>"</w:t>
      </w:r>
      <w:r w:rsidRPr="00F36DFC">
        <w:rPr>
          <w:sz w:val="24"/>
          <w:szCs w:val="24"/>
        </w:rPr>
        <w:t xml:space="preserve">, skal sikre, at patienterne er grundigt informeret om behovet for brug af passende, sikker </w:t>
      </w:r>
      <w:proofErr w:type="spellStart"/>
      <w:r w:rsidRPr="00F36DFC">
        <w:rPr>
          <w:sz w:val="24"/>
          <w:szCs w:val="24"/>
        </w:rPr>
        <w:t>kontraception</w:t>
      </w:r>
      <w:proofErr w:type="spellEnd"/>
      <w:r w:rsidRPr="00F36DFC">
        <w:rPr>
          <w:sz w:val="24"/>
          <w:szCs w:val="24"/>
        </w:rPr>
        <w:t xml:space="preserve"> og bør anvende klinisk skøn ved vurderingen af, hvorvidt orale </w:t>
      </w:r>
      <w:proofErr w:type="spellStart"/>
      <w:r w:rsidRPr="00F36DFC">
        <w:rPr>
          <w:sz w:val="24"/>
          <w:szCs w:val="24"/>
        </w:rPr>
        <w:t>kontraceptiva</w:t>
      </w:r>
      <w:proofErr w:type="spellEnd"/>
      <w:r w:rsidRPr="00F36DFC">
        <w:rPr>
          <w:sz w:val="24"/>
          <w:szCs w:val="24"/>
        </w:rPr>
        <w:t xml:space="preserve"> eller doseringen af bestanddelene i orale </w:t>
      </w:r>
      <w:proofErr w:type="spellStart"/>
      <w:r w:rsidRPr="00F36DFC">
        <w:rPr>
          <w:sz w:val="24"/>
          <w:szCs w:val="24"/>
        </w:rPr>
        <w:t>kontraceptiva</w:t>
      </w:r>
      <w:proofErr w:type="spellEnd"/>
      <w:r w:rsidRPr="00F36DFC">
        <w:rPr>
          <w:sz w:val="24"/>
          <w:szCs w:val="24"/>
        </w:rPr>
        <w:t xml:space="preserve"> er passende, baseret på den enkelte patients kliniske situation.</w:t>
      </w:r>
    </w:p>
    <w:p w14:paraId="6025D83E" w14:textId="77777777" w:rsidR="00F859C7" w:rsidRPr="00F36DFC" w:rsidRDefault="00F859C7" w:rsidP="00D16F2D">
      <w:pPr>
        <w:ind w:left="851"/>
        <w:rPr>
          <w:sz w:val="24"/>
          <w:szCs w:val="24"/>
        </w:rPr>
      </w:pPr>
    </w:p>
    <w:p w14:paraId="26E5BAB6" w14:textId="77777777" w:rsidR="00F859C7" w:rsidRPr="00F36DFC" w:rsidRDefault="00F859C7" w:rsidP="00D16F2D">
      <w:pPr>
        <w:ind w:left="851"/>
        <w:rPr>
          <w:sz w:val="24"/>
          <w:szCs w:val="24"/>
          <w:u w:val="single"/>
        </w:rPr>
      </w:pPr>
      <w:r w:rsidRPr="00F36DFC">
        <w:rPr>
          <w:sz w:val="24"/>
          <w:szCs w:val="24"/>
          <w:u w:val="single"/>
        </w:rPr>
        <w:t>Legemsvægt</w:t>
      </w:r>
    </w:p>
    <w:p w14:paraId="56389914" w14:textId="244C7FA4" w:rsidR="00F859C7" w:rsidRPr="00F36DFC" w:rsidRDefault="00F859C7" w:rsidP="00D16F2D">
      <w:pPr>
        <w:ind w:left="851"/>
        <w:rPr>
          <w:sz w:val="24"/>
          <w:szCs w:val="24"/>
        </w:rPr>
      </w:pPr>
      <w:proofErr w:type="spellStart"/>
      <w:r w:rsidRPr="00F36DFC">
        <w:rPr>
          <w:sz w:val="24"/>
          <w:szCs w:val="24"/>
        </w:rPr>
        <w:t>Zonisamid</w:t>
      </w:r>
      <w:proofErr w:type="spellEnd"/>
      <w:r w:rsidRPr="00F36DFC">
        <w:rPr>
          <w:sz w:val="24"/>
          <w:szCs w:val="24"/>
        </w:rPr>
        <w:t xml:space="preserve"> </w:t>
      </w:r>
      <w:r w:rsidR="00C26C40">
        <w:rPr>
          <w:sz w:val="24"/>
          <w:szCs w:val="24"/>
        </w:rPr>
        <w:t>"</w:t>
      </w:r>
      <w:proofErr w:type="spellStart"/>
      <w:r w:rsidR="00C26C40">
        <w:rPr>
          <w:sz w:val="24"/>
          <w:szCs w:val="24"/>
        </w:rPr>
        <w:t>Desitin</w:t>
      </w:r>
      <w:proofErr w:type="spellEnd"/>
      <w:r w:rsidR="00C26C40">
        <w:rPr>
          <w:sz w:val="24"/>
          <w:szCs w:val="24"/>
        </w:rPr>
        <w:t>"</w:t>
      </w:r>
      <w:r w:rsidRPr="00F36DFC">
        <w:rPr>
          <w:sz w:val="24"/>
          <w:szCs w:val="24"/>
        </w:rPr>
        <w:t xml:space="preserve"> kan forårsage vægttab. Kosttilskud eller øget fødeindtagelse kan overvejes, hvis patienten taber i vægt eller er undervægtig under behandling med dette lægemiddel. Hvis der opstår et betydeligt uønsket vægttab, bør </w:t>
      </w:r>
      <w:proofErr w:type="spellStart"/>
      <w:r w:rsidRPr="00F36DFC">
        <w:rPr>
          <w:sz w:val="24"/>
          <w:szCs w:val="24"/>
        </w:rPr>
        <w:t>seponering</w:t>
      </w:r>
      <w:proofErr w:type="spellEnd"/>
      <w:r w:rsidRPr="00F36DFC">
        <w:rPr>
          <w:sz w:val="24"/>
          <w:szCs w:val="24"/>
        </w:rPr>
        <w:t xml:space="preserve"> af </w:t>
      </w:r>
      <w:proofErr w:type="spellStart"/>
      <w:r w:rsidRPr="00F36DFC">
        <w:rPr>
          <w:sz w:val="24"/>
          <w:szCs w:val="24"/>
        </w:rPr>
        <w:t>Zonisamid</w:t>
      </w:r>
      <w:proofErr w:type="spellEnd"/>
      <w:r w:rsidRPr="00F36DFC">
        <w:rPr>
          <w:sz w:val="24"/>
          <w:szCs w:val="24"/>
        </w:rPr>
        <w:t xml:space="preserve"> </w:t>
      </w:r>
      <w:r w:rsidR="00C26C40">
        <w:rPr>
          <w:sz w:val="24"/>
          <w:szCs w:val="24"/>
        </w:rPr>
        <w:t>"</w:t>
      </w:r>
      <w:proofErr w:type="spellStart"/>
      <w:r w:rsidR="00C26C40">
        <w:rPr>
          <w:sz w:val="24"/>
          <w:szCs w:val="24"/>
        </w:rPr>
        <w:t>Desitin</w:t>
      </w:r>
      <w:proofErr w:type="spellEnd"/>
      <w:r w:rsidR="00C26C40">
        <w:rPr>
          <w:sz w:val="24"/>
          <w:szCs w:val="24"/>
        </w:rPr>
        <w:t>"</w:t>
      </w:r>
      <w:r w:rsidRPr="00F36DFC">
        <w:rPr>
          <w:sz w:val="24"/>
          <w:szCs w:val="24"/>
        </w:rPr>
        <w:t xml:space="preserve"> overvejes. Vægttab kan være mere alvorligt hos børn (se pkt. 4.4. Pædiatrisk population).</w:t>
      </w:r>
    </w:p>
    <w:p w14:paraId="5455809C" w14:textId="77777777" w:rsidR="00F859C7" w:rsidRPr="00F36DFC" w:rsidRDefault="00F859C7" w:rsidP="00D16F2D">
      <w:pPr>
        <w:ind w:left="851"/>
        <w:rPr>
          <w:sz w:val="24"/>
          <w:szCs w:val="24"/>
        </w:rPr>
      </w:pPr>
    </w:p>
    <w:p w14:paraId="6F33D389" w14:textId="77777777" w:rsidR="00F859C7" w:rsidRPr="00F36DFC" w:rsidRDefault="00F859C7" w:rsidP="00D16F2D">
      <w:pPr>
        <w:ind w:left="851"/>
        <w:rPr>
          <w:sz w:val="24"/>
          <w:szCs w:val="24"/>
          <w:u w:val="single"/>
        </w:rPr>
      </w:pPr>
      <w:r w:rsidRPr="00F36DFC">
        <w:rPr>
          <w:sz w:val="24"/>
          <w:szCs w:val="24"/>
          <w:u w:val="single"/>
        </w:rPr>
        <w:t>Pædiatrisk population</w:t>
      </w:r>
    </w:p>
    <w:p w14:paraId="32471A11" w14:textId="77777777" w:rsidR="00F859C7" w:rsidRPr="00F36DFC" w:rsidRDefault="00F859C7" w:rsidP="00D16F2D">
      <w:pPr>
        <w:ind w:left="851"/>
        <w:rPr>
          <w:sz w:val="24"/>
          <w:szCs w:val="24"/>
        </w:rPr>
      </w:pPr>
      <w:r w:rsidRPr="00F36DFC">
        <w:rPr>
          <w:sz w:val="24"/>
          <w:szCs w:val="24"/>
        </w:rPr>
        <w:t>De advarsler og forsigtighedsregler, der er nævnt herover, gælder også for unge og pædiatriske patienter. De advarsler og forsigtighedsregler, der er nævnt herunder, er mest relevante for pædiatriske og unge patienter.</w:t>
      </w:r>
    </w:p>
    <w:p w14:paraId="6CBFDC35" w14:textId="77777777" w:rsidR="00F859C7" w:rsidRPr="00F36DFC" w:rsidRDefault="00F859C7" w:rsidP="00D16F2D">
      <w:pPr>
        <w:ind w:left="851"/>
        <w:rPr>
          <w:sz w:val="24"/>
          <w:szCs w:val="24"/>
        </w:rPr>
      </w:pPr>
    </w:p>
    <w:p w14:paraId="176FDBE3" w14:textId="77777777" w:rsidR="00F859C7" w:rsidRPr="00F36DFC" w:rsidRDefault="00F859C7" w:rsidP="00D16F2D">
      <w:pPr>
        <w:ind w:left="851"/>
        <w:rPr>
          <w:i/>
          <w:sz w:val="24"/>
          <w:szCs w:val="24"/>
        </w:rPr>
      </w:pPr>
      <w:r w:rsidRPr="00F36DFC">
        <w:rPr>
          <w:i/>
          <w:iCs/>
          <w:sz w:val="24"/>
          <w:szCs w:val="24"/>
        </w:rPr>
        <w:t>Hedeslag og dehydrering</w:t>
      </w:r>
    </w:p>
    <w:p w14:paraId="3953460B" w14:textId="77777777" w:rsidR="00F859C7" w:rsidRPr="00F36DFC" w:rsidRDefault="00F859C7" w:rsidP="00F859C7">
      <w:pPr>
        <w:rPr>
          <w:sz w:val="24"/>
          <w:szCs w:val="24"/>
        </w:rPr>
      </w:pPr>
    </w:p>
    <w:p w14:paraId="4AB2DEC6" w14:textId="77777777" w:rsidR="00F859C7" w:rsidRPr="00F36DFC" w:rsidRDefault="00F859C7" w:rsidP="00F859C7">
      <w:pPr>
        <w:pBdr>
          <w:top w:val="single" w:sz="4" w:space="4" w:color="auto"/>
          <w:left w:val="single" w:sz="4" w:space="4" w:color="auto"/>
          <w:bottom w:val="single" w:sz="4" w:space="4" w:color="auto"/>
          <w:right w:val="single" w:sz="4" w:space="4" w:color="auto"/>
        </w:pBdr>
        <w:rPr>
          <w:sz w:val="24"/>
          <w:szCs w:val="24"/>
          <w:u w:val="single"/>
        </w:rPr>
      </w:pPr>
      <w:r w:rsidRPr="00F36DFC">
        <w:rPr>
          <w:sz w:val="24"/>
          <w:szCs w:val="24"/>
          <w:u w:val="single"/>
        </w:rPr>
        <w:t>Forebyggelse af hedeslag og dehydrering hos børn</w:t>
      </w:r>
    </w:p>
    <w:p w14:paraId="4B193668" w14:textId="77777777" w:rsidR="00F859C7" w:rsidRPr="00F36DFC" w:rsidRDefault="00F859C7" w:rsidP="00F859C7">
      <w:pPr>
        <w:pBdr>
          <w:top w:val="single" w:sz="4" w:space="4" w:color="auto"/>
          <w:left w:val="single" w:sz="4" w:space="4" w:color="auto"/>
          <w:bottom w:val="single" w:sz="4" w:space="4" w:color="auto"/>
          <w:right w:val="single" w:sz="4" w:space="4" w:color="auto"/>
        </w:pBdr>
        <w:rPr>
          <w:sz w:val="24"/>
          <w:szCs w:val="24"/>
        </w:rPr>
      </w:pPr>
    </w:p>
    <w:p w14:paraId="214923E0" w14:textId="3C831AE9" w:rsidR="00F859C7" w:rsidRPr="00F36DFC" w:rsidRDefault="00F859C7" w:rsidP="00F859C7">
      <w:pPr>
        <w:pBdr>
          <w:top w:val="single" w:sz="4" w:space="4" w:color="auto"/>
          <w:left w:val="single" w:sz="4" w:space="4" w:color="auto"/>
          <w:bottom w:val="single" w:sz="4" w:space="4" w:color="auto"/>
          <w:right w:val="single" w:sz="4" w:space="4" w:color="auto"/>
        </w:pBdr>
        <w:rPr>
          <w:sz w:val="24"/>
          <w:szCs w:val="24"/>
        </w:rPr>
      </w:pPr>
      <w:proofErr w:type="spellStart"/>
      <w:r w:rsidRPr="00F36DFC">
        <w:rPr>
          <w:sz w:val="24"/>
          <w:szCs w:val="24"/>
        </w:rPr>
        <w:t>Zonisamid</w:t>
      </w:r>
      <w:proofErr w:type="spellEnd"/>
      <w:r w:rsidRPr="00F36DFC">
        <w:rPr>
          <w:sz w:val="24"/>
          <w:szCs w:val="24"/>
        </w:rPr>
        <w:t xml:space="preserve"> </w:t>
      </w:r>
      <w:r w:rsidR="00C26C40">
        <w:rPr>
          <w:sz w:val="24"/>
          <w:szCs w:val="24"/>
        </w:rPr>
        <w:t>"</w:t>
      </w:r>
      <w:proofErr w:type="spellStart"/>
      <w:r w:rsidR="00C26C40">
        <w:rPr>
          <w:sz w:val="24"/>
          <w:szCs w:val="24"/>
        </w:rPr>
        <w:t>Desitin</w:t>
      </w:r>
      <w:proofErr w:type="spellEnd"/>
      <w:r w:rsidR="00C26C40">
        <w:rPr>
          <w:sz w:val="24"/>
          <w:szCs w:val="24"/>
        </w:rPr>
        <w:t>"</w:t>
      </w:r>
      <w:r w:rsidRPr="00F36DFC">
        <w:rPr>
          <w:sz w:val="24"/>
          <w:szCs w:val="24"/>
        </w:rPr>
        <w:t xml:space="preserve"> kan få børn til at svede mindre og blive overophedet. Hvis barnet ikke behandles, kan det medføre hjerneskade og død. Børn er specielt udsatte, navnlig i varmt vejr.</w:t>
      </w:r>
    </w:p>
    <w:p w14:paraId="0DF21807" w14:textId="77777777" w:rsidR="00F859C7" w:rsidRPr="00F36DFC" w:rsidRDefault="00F859C7" w:rsidP="00F859C7">
      <w:pPr>
        <w:pBdr>
          <w:top w:val="single" w:sz="4" w:space="4" w:color="auto"/>
          <w:left w:val="single" w:sz="4" w:space="4" w:color="auto"/>
          <w:bottom w:val="single" w:sz="4" w:space="4" w:color="auto"/>
          <w:right w:val="single" w:sz="4" w:space="4" w:color="auto"/>
        </w:pBdr>
        <w:rPr>
          <w:sz w:val="24"/>
          <w:szCs w:val="24"/>
        </w:rPr>
      </w:pPr>
    </w:p>
    <w:p w14:paraId="1B907B3E" w14:textId="46A479DB" w:rsidR="00F859C7" w:rsidRPr="00F36DFC" w:rsidRDefault="00F859C7" w:rsidP="00F859C7">
      <w:pPr>
        <w:pBdr>
          <w:top w:val="single" w:sz="4" w:space="4" w:color="auto"/>
          <w:left w:val="single" w:sz="4" w:space="4" w:color="auto"/>
          <w:bottom w:val="single" w:sz="4" w:space="4" w:color="auto"/>
          <w:right w:val="single" w:sz="4" w:space="4" w:color="auto"/>
        </w:pBdr>
        <w:rPr>
          <w:sz w:val="24"/>
          <w:szCs w:val="24"/>
        </w:rPr>
      </w:pPr>
      <w:r w:rsidRPr="00F36DFC">
        <w:rPr>
          <w:sz w:val="24"/>
          <w:szCs w:val="24"/>
        </w:rPr>
        <w:t xml:space="preserve">Når barnet tager </w:t>
      </w:r>
      <w:proofErr w:type="spellStart"/>
      <w:r w:rsidRPr="00F36DFC">
        <w:rPr>
          <w:sz w:val="24"/>
          <w:szCs w:val="24"/>
        </w:rPr>
        <w:t>Zonisamid</w:t>
      </w:r>
      <w:proofErr w:type="spellEnd"/>
      <w:r w:rsidRPr="00F36DFC">
        <w:rPr>
          <w:sz w:val="24"/>
          <w:szCs w:val="24"/>
        </w:rPr>
        <w:t xml:space="preserve"> </w:t>
      </w:r>
      <w:r w:rsidR="00C26C40">
        <w:rPr>
          <w:sz w:val="24"/>
          <w:szCs w:val="24"/>
        </w:rPr>
        <w:t>"</w:t>
      </w:r>
      <w:proofErr w:type="spellStart"/>
      <w:r w:rsidR="00C26C40">
        <w:rPr>
          <w:sz w:val="24"/>
          <w:szCs w:val="24"/>
        </w:rPr>
        <w:t>Desitin</w:t>
      </w:r>
      <w:proofErr w:type="spellEnd"/>
      <w:r w:rsidR="00C26C40">
        <w:rPr>
          <w:sz w:val="24"/>
          <w:szCs w:val="24"/>
        </w:rPr>
        <w:t>"</w:t>
      </w:r>
      <w:r w:rsidRPr="00F36DFC">
        <w:rPr>
          <w:sz w:val="24"/>
          <w:szCs w:val="24"/>
        </w:rPr>
        <w:t>:</w:t>
      </w:r>
    </w:p>
    <w:p w14:paraId="10D4C3EE" w14:textId="77777777" w:rsidR="00F859C7" w:rsidRPr="00F36DFC" w:rsidRDefault="00F859C7" w:rsidP="00F859C7">
      <w:pPr>
        <w:pStyle w:val="Opstilling-punkttegn"/>
        <w:numPr>
          <w:ilvl w:val="0"/>
          <w:numId w:val="8"/>
        </w:numPr>
        <w:pBdr>
          <w:top w:val="single" w:sz="4" w:space="4" w:color="auto"/>
          <w:left w:val="single" w:sz="4" w:space="4" w:color="auto"/>
          <w:bottom w:val="single" w:sz="4" w:space="4" w:color="auto"/>
          <w:right w:val="single" w:sz="4" w:space="4" w:color="auto"/>
        </w:pBdr>
        <w:ind w:left="567" w:hanging="567"/>
        <w:rPr>
          <w:rFonts w:cs="Times New Roman"/>
          <w:sz w:val="24"/>
          <w:lang w:val="da-DK"/>
        </w:rPr>
      </w:pPr>
      <w:r w:rsidRPr="00F36DFC">
        <w:rPr>
          <w:rFonts w:cs="Times New Roman"/>
          <w:sz w:val="24"/>
          <w:lang w:val="da-DK"/>
        </w:rPr>
        <w:t>Barnet må ikke få det for varmt, navnlig i varmt vejr</w:t>
      </w:r>
    </w:p>
    <w:p w14:paraId="4D6D4319" w14:textId="77777777" w:rsidR="00F859C7" w:rsidRPr="00F36DFC" w:rsidRDefault="00F859C7" w:rsidP="00F859C7">
      <w:pPr>
        <w:pStyle w:val="Opstilling-punkttegn"/>
        <w:numPr>
          <w:ilvl w:val="0"/>
          <w:numId w:val="8"/>
        </w:numPr>
        <w:pBdr>
          <w:top w:val="single" w:sz="4" w:space="4" w:color="auto"/>
          <w:left w:val="single" w:sz="4" w:space="4" w:color="auto"/>
          <w:bottom w:val="single" w:sz="4" w:space="4" w:color="auto"/>
          <w:right w:val="single" w:sz="4" w:space="4" w:color="auto"/>
        </w:pBdr>
        <w:ind w:left="567" w:hanging="567"/>
        <w:rPr>
          <w:rFonts w:cs="Times New Roman"/>
          <w:sz w:val="24"/>
          <w:lang w:val="da-DK"/>
        </w:rPr>
      </w:pPr>
      <w:r w:rsidRPr="00F36DFC">
        <w:rPr>
          <w:rFonts w:cs="Times New Roman"/>
          <w:sz w:val="24"/>
          <w:lang w:val="da-DK"/>
        </w:rPr>
        <w:t>Barnet skal undgå voldsom fysisk udfoldelse, navnlig i varmt vejr</w:t>
      </w:r>
    </w:p>
    <w:p w14:paraId="73B3F46A" w14:textId="77777777" w:rsidR="00F859C7" w:rsidRPr="00F36DFC" w:rsidRDefault="00F859C7" w:rsidP="00F859C7">
      <w:pPr>
        <w:pStyle w:val="Opstilling-punkttegn"/>
        <w:numPr>
          <w:ilvl w:val="0"/>
          <w:numId w:val="8"/>
        </w:numPr>
        <w:pBdr>
          <w:top w:val="single" w:sz="4" w:space="4" w:color="auto"/>
          <w:left w:val="single" w:sz="4" w:space="4" w:color="auto"/>
          <w:bottom w:val="single" w:sz="4" w:space="4" w:color="auto"/>
          <w:right w:val="single" w:sz="4" w:space="4" w:color="auto"/>
        </w:pBdr>
        <w:ind w:left="567" w:hanging="567"/>
        <w:rPr>
          <w:rFonts w:cs="Times New Roman"/>
          <w:sz w:val="24"/>
          <w:lang w:val="da-DK"/>
        </w:rPr>
      </w:pPr>
      <w:r w:rsidRPr="00F36DFC">
        <w:rPr>
          <w:rFonts w:cs="Times New Roman"/>
          <w:sz w:val="24"/>
          <w:lang w:val="da-DK"/>
        </w:rPr>
        <w:t>Barnet skal drikke rigeligt med koldt vand</w:t>
      </w:r>
    </w:p>
    <w:p w14:paraId="59B47AA5" w14:textId="77777777" w:rsidR="00F859C7" w:rsidRPr="00F36DFC" w:rsidRDefault="00F859C7" w:rsidP="00F859C7">
      <w:pPr>
        <w:pStyle w:val="Opstilling-punkttegn"/>
        <w:numPr>
          <w:ilvl w:val="0"/>
          <w:numId w:val="8"/>
        </w:numPr>
        <w:pBdr>
          <w:top w:val="single" w:sz="4" w:space="4" w:color="auto"/>
          <w:left w:val="single" w:sz="4" w:space="4" w:color="auto"/>
          <w:bottom w:val="single" w:sz="4" w:space="4" w:color="auto"/>
          <w:right w:val="single" w:sz="4" w:space="4" w:color="auto"/>
        </w:pBdr>
        <w:ind w:left="567" w:hanging="567"/>
        <w:rPr>
          <w:rFonts w:cs="Times New Roman"/>
          <w:sz w:val="24"/>
          <w:lang w:val="da-DK"/>
        </w:rPr>
      </w:pPr>
      <w:r w:rsidRPr="00F36DFC">
        <w:rPr>
          <w:rFonts w:cs="Times New Roman"/>
          <w:sz w:val="24"/>
          <w:lang w:val="da-DK"/>
        </w:rPr>
        <w:t xml:space="preserve">Barnet må ikke tage nogen af følgende lægemidler: </w:t>
      </w:r>
      <w:proofErr w:type="spellStart"/>
      <w:r w:rsidRPr="00F36DFC">
        <w:rPr>
          <w:rFonts w:cs="Times New Roman"/>
          <w:sz w:val="24"/>
          <w:lang w:val="da-DK"/>
        </w:rPr>
        <w:t>kulsyreanhydrasehæmmere</w:t>
      </w:r>
      <w:proofErr w:type="spellEnd"/>
      <w:r w:rsidRPr="00F36DFC">
        <w:rPr>
          <w:rFonts w:cs="Times New Roman"/>
          <w:sz w:val="24"/>
          <w:lang w:val="da-DK"/>
        </w:rPr>
        <w:t xml:space="preserve"> (såsom </w:t>
      </w:r>
      <w:proofErr w:type="spellStart"/>
      <w:r w:rsidRPr="00F36DFC">
        <w:rPr>
          <w:rFonts w:cs="Times New Roman"/>
          <w:sz w:val="24"/>
          <w:lang w:val="da-DK"/>
        </w:rPr>
        <w:t>topiramat</w:t>
      </w:r>
      <w:proofErr w:type="spellEnd"/>
      <w:r w:rsidRPr="00F36DFC">
        <w:rPr>
          <w:rFonts w:cs="Times New Roman"/>
          <w:sz w:val="24"/>
          <w:lang w:val="da-DK"/>
        </w:rPr>
        <w:t xml:space="preserve"> og </w:t>
      </w:r>
      <w:proofErr w:type="spellStart"/>
      <w:r w:rsidRPr="00F36DFC">
        <w:rPr>
          <w:rFonts w:cs="Times New Roman"/>
          <w:sz w:val="24"/>
          <w:lang w:val="da-DK"/>
        </w:rPr>
        <w:t>acetazolamid</w:t>
      </w:r>
      <w:proofErr w:type="spellEnd"/>
      <w:r w:rsidRPr="00F36DFC">
        <w:rPr>
          <w:rFonts w:cs="Times New Roman"/>
          <w:sz w:val="24"/>
          <w:lang w:val="da-DK"/>
        </w:rPr>
        <w:t xml:space="preserve">) og </w:t>
      </w:r>
      <w:proofErr w:type="spellStart"/>
      <w:r w:rsidRPr="00F36DFC">
        <w:rPr>
          <w:rFonts w:cs="Times New Roman"/>
          <w:sz w:val="24"/>
          <w:lang w:val="da-DK"/>
        </w:rPr>
        <w:t>antikolinergika</w:t>
      </w:r>
      <w:proofErr w:type="spellEnd"/>
      <w:r w:rsidRPr="00F36DFC">
        <w:rPr>
          <w:rFonts w:cs="Times New Roman"/>
          <w:sz w:val="24"/>
          <w:lang w:val="da-DK"/>
        </w:rPr>
        <w:t xml:space="preserve"> (såsom </w:t>
      </w:r>
      <w:proofErr w:type="spellStart"/>
      <w:r w:rsidRPr="00F36DFC">
        <w:rPr>
          <w:rFonts w:cs="Times New Roman"/>
          <w:sz w:val="24"/>
          <w:lang w:val="da-DK"/>
        </w:rPr>
        <w:t>clomipramin</w:t>
      </w:r>
      <w:proofErr w:type="spellEnd"/>
      <w:r w:rsidRPr="00F36DFC">
        <w:rPr>
          <w:rFonts w:cs="Times New Roman"/>
          <w:sz w:val="24"/>
          <w:lang w:val="da-DK"/>
        </w:rPr>
        <w:t xml:space="preserve">, </w:t>
      </w:r>
      <w:proofErr w:type="spellStart"/>
      <w:r w:rsidRPr="00F36DFC">
        <w:rPr>
          <w:rFonts w:cs="Times New Roman"/>
          <w:sz w:val="24"/>
          <w:lang w:val="da-DK"/>
        </w:rPr>
        <w:t>hydroxyzin</w:t>
      </w:r>
      <w:proofErr w:type="spellEnd"/>
      <w:r w:rsidRPr="00F36DFC">
        <w:rPr>
          <w:rFonts w:cs="Times New Roman"/>
          <w:sz w:val="24"/>
          <w:lang w:val="da-DK"/>
        </w:rPr>
        <w:t xml:space="preserve">, </w:t>
      </w:r>
      <w:proofErr w:type="spellStart"/>
      <w:r w:rsidRPr="00F36DFC">
        <w:rPr>
          <w:rFonts w:cs="Times New Roman"/>
          <w:sz w:val="24"/>
          <w:lang w:val="da-DK"/>
        </w:rPr>
        <w:t>diphenhydramin</w:t>
      </w:r>
      <w:proofErr w:type="spellEnd"/>
      <w:r w:rsidRPr="00F36DFC">
        <w:rPr>
          <w:rFonts w:cs="Times New Roman"/>
          <w:sz w:val="24"/>
          <w:lang w:val="da-DK"/>
        </w:rPr>
        <w:t xml:space="preserve">, </w:t>
      </w:r>
      <w:proofErr w:type="spellStart"/>
      <w:r w:rsidRPr="00F36DFC">
        <w:rPr>
          <w:rFonts w:cs="Times New Roman"/>
          <w:sz w:val="24"/>
          <w:lang w:val="da-DK"/>
        </w:rPr>
        <w:t>haloperidol</w:t>
      </w:r>
      <w:proofErr w:type="spellEnd"/>
      <w:r w:rsidRPr="00F36DFC">
        <w:rPr>
          <w:rFonts w:cs="Times New Roman"/>
          <w:sz w:val="24"/>
          <w:lang w:val="da-DK"/>
        </w:rPr>
        <w:t xml:space="preserve">, </w:t>
      </w:r>
      <w:proofErr w:type="spellStart"/>
      <w:r w:rsidRPr="00F36DFC">
        <w:rPr>
          <w:rFonts w:cs="Times New Roman"/>
          <w:sz w:val="24"/>
          <w:lang w:val="da-DK"/>
        </w:rPr>
        <w:t>imipramin</w:t>
      </w:r>
      <w:proofErr w:type="spellEnd"/>
      <w:r w:rsidRPr="00F36DFC">
        <w:rPr>
          <w:rFonts w:cs="Times New Roman"/>
          <w:sz w:val="24"/>
          <w:lang w:val="da-DK"/>
        </w:rPr>
        <w:t xml:space="preserve"> og </w:t>
      </w:r>
      <w:proofErr w:type="spellStart"/>
      <w:r w:rsidRPr="00F36DFC">
        <w:rPr>
          <w:rFonts w:cs="Times New Roman"/>
          <w:sz w:val="24"/>
          <w:lang w:val="da-DK"/>
        </w:rPr>
        <w:t>oxybutynin</w:t>
      </w:r>
      <w:proofErr w:type="spellEnd"/>
      <w:r w:rsidRPr="00F36DFC">
        <w:rPr>
          <w:rFonts w:cs="Times New Roman"/>
          <w:sz w:val="24"/>
          <w:lang w:val="da-DK"/>
        </w:rPr>
        <w:t>).</w:t>
      </w:r>
    </w:p>
    <w:p w14:paraId="7BD1FAC2" w14:textId="77777777" w:rsidR="00F859C7" w:rsidRPr="00F36DFC" w:rsidRDefault="00F859C7" w:rsidP="00F859C7">
      <w:pPr>
        <w:pBdr>
          <w:top w:val="single" w:sz="4" w:space="4" w:color="auto"/>
          <w:left w:val="single" w:sz="4" w:space="4" w:color="auto"/>
          <w:bottom w:val="single" w:sz="4" w:space="4" w:color="auto"/>
          <w:right w:val="single" w:sz="4" w:space="4" w:color="auto"/>
        </w:pBdr>
        <w:rPr>
          <w:sz w:val="24"/>
          <w:szCs w:val="24"/>
        </w:rPr>
      </w:pPr>
    </w:p>
    <w:p w14:paraId="418DD71E" w14:textId="77777777" w:rsidR="00F859C7" w:rsidRPr="00F36DFC" w:rsidRDefault="00F859C7" w:rsidP="00F859C7">
      <w:pPr>
        <w:pBdr>
          <w:top w:val="single" w:sz="4" w:space="4" w:color="auto"/>
          <w:left w:val="single" w:sz="4" w:space="4" w:color="auto"/>
          <w:bottom w:val="single" w:sz="4" w:space="4" w:color="auto"/>
          <w:right w:val="single" w:sz="4" w:space="4" w:color="auto"/>
        </w:pBdr>
        <w:rPr>
          <w:b/>
          <w:sz w:val="24"/>
          <w:szCs w:val="24"/>
        </w:rPr>
      </w:pPr>
      <w:r w:rsidRPr="00F36DFC">
        <w:rPr>
          <w:b/>
          <w:bCs/>
          <w:sz w:val="24"/>
          <w:szCs w:val="24"/>
        </w:rPr>
        <w:t>HVIS EN AF FØLGENDE SITUATIONER OPSTÅR, SKAL BARNET OMGÅENDE HAVE LÆGEHJÆLP:</w:t>
      </w:r>
    </w:p>
    <w:p w14:paraId="79827070" w14:textId="77777777" w:rsidR="00F859C7" w:rsidRPr="00F36DFC" w:rsidRDefault="00F859C7" w:rsidP="00F859C7">
      <w:pPr>
        <w:pBdr>
          <w:top w:val="single" w:sz="4" w:space="4" w:color="auto"/>
          <w:left w:val="single" w:sz="4" w:space="4" w:color="auto"/>
          <w:bottom w:val="single" w:sz="4" w:space="4" w:color="auto"/>
          <w:right w:val="single" w:sz="4" w:space="4" w:color="auto"/>
        </w:pBdr>
        <w:rPr>
          <w:sz w:val="24"/>
          <w:szCs w:val="24"/>
        </w:rPr>
      </w:pPr>
      <w:r w:rsidRPr="00F36DFC">
        <w:rPr>
          <w:sz w:val="24"/>
          <w:szCs w:val="24"/>
        </w:rPr>
        <w:t>Huden føles meget varm, og barnet sveder ikke eller sveder kun lidt, hvis barnet bliver forvirret, hvis barnet har muskelkramper, eller hvis barnet får hurtig puls eller hurtigt åndedræt.</w:t>
      </w:r>
    </w:p>
    <w:p w14:paraId="1C207106" w14:textId="77777777" w:rsidR="00F859C7" w:rsidRPr="00F36DFC" w:rsidRDefault="00F859C7" w:rsidP="00F859C7">
      <w:pPr>
        <w:pBdr>
          <w:top w:val="single" w:sz="4" w:space="4" w:color="auto"/>
          <w:left w:val="single" w:sz="4" w:space="4" w:color="auto"/>
          <w:bottom w:val="single" w:sz="4" w:space="4" w:color="auto"/>
          <w:right w:val="single" w:sz="4" w:space="4" w:color="auto"/>
        </w:pBdr>
        <w:rPr>
          <w:sz w:val="24"/>
          <w:szCs w:val="24"/>
        </w:rPr>
      </w:pPr>
    </w:p>
    <w:p w14:paraId="239CC23B" w14:textId="77777777" w:rsidR="00F859C7" w:rsidRPr="00F36DFC" w:rsidRDefault="00F859C7" w:rsidP="00F859C7">
      <w:pPr>
        <w:pStyle w:val="Opstilling-punkttegn"/>
        <w:numPr>
          <w:ilvl w:val="0"/>
          <w:numId w:val="9"/>
        </w:numPr>
        <w:pBdr>
          <w:top w:val="single" w:sz="4" w:space="4" w:color="auto"/>
          <w:left w:val="single" w:sz="4" w:space="4" w:color="auto"/>
          <w:bottom w:val="single" w:sz="4" w:space="4" w:color="auto"/>
          <w:right w:val="single" w:sz="4" w:space="4" w:color="auto"/>
        </w:pBdr>
        <w:ind w:left="567" w:hanging="567"/>
        <w:rPr>
          <w:rFonts w:cs="Times New Roman"/>
          <w:sz w:val="24"/>
          <w:lang w:val="da-DK"/>
        </w:rPr>
      </w:pPr>
      <w:r w:rsidRPr="00F36DFC">
        <w:rPr>
          <w:rFonts w:cs="Times New Roman"/>
          <w:sz w:val="24"/>
          <w:lang w:val="da-DK"/>
        </w:rPr>
        <w:t>Barnet skal flyttes til et køligt sted i skyggen</w:t>
      </w:r>
    </w:p>
    <w:p w14:paraId="4FD41D1C" w14:textId="77777777" w:rsidR="00F859C7" w:rsidRPr="00F36DFC" w:rsidRDefault="00F859C7" w:rsidP="00F859C7">
      <w:pPr>
        <w:pStyle w:val="Opstilling-punkttegn"/>
        <w:numPr>
          <w:ilvl w:val="0"/>
          <w:numId w:val="9"/>
        </w:numPr>
        <w:pBdr>
          <w:top w:val="single" w:sz="4" w:space="4" w:color="auto"/>
          <w:left w:val="single" w:sz="4" w:space="4" w:color="auto"/>
          <w:bottom w:val="single" w:sz="4" w:space="4" w:color="auto"/>
          <w:right w:val="single" w:sz="4" w:space="4" w:color="auto"/>
        </w:pBdr>
        <w:ind w:left="567" w:hanging="567"/>
        <w:rPr>
          <w:rFonts w:cs="Times New Roman"/>
          <w:sz w:val="24"/>
          <w:lang w:val="da-DK"/>
        </w:rPr>
      </w:pPr>
      <w:r w:rsidRPr="00F36DFC">
        <w:rPr>
          <w:rFonts w:cs="Times New Roman"/>
          <w:sz w:val="24"/>
          <w:lang w:val="da-DK"/>
        </w:rPr>
        <w:t>Barnets hud skal holdes kølig med vand</w:t>
      </w:r>
    </w:p>
    <w:p w14:paraId="176DA68C" w14:textId="77777777" w:rsidR="00F859C7" w:rsidRPr="00F36DFC" w:rsidRDefault="00F859C7" w:rsidP="00F859C7">
      <w:pPr>
        <w:pStyle w:val="Opstilling-punkttegn"/>
        <w:numPr>
          <w:ilvl w:val="0"/>
          <w:numId w:val="9"/>
        </w:numPr>
        <w:pBdr>
          <w:top w:val="single" w:sz="4" w:space="4" w:color="auto"/>
          <w:left w:val="single" w:sz="4" w:space="4" w:color="auto"/>
          <w:bottom w:val="single" w:sz="4" w:space="4" w:color="auto"/>
          <w:right w:val="single" w:sz="4" w:space="4" w:color="auto"/>
        </w:pBdr>
        <w:ind w:left="567" w:hanging="567"/>
        <w:rPr>
          <w:rFonts w:cs="Times New Roman"/>
          <w:sz w:val="24"/>
          <w:lang w:val="da-DK"/>
        </w:rPr>
      </w:pPr>
      <w:r w:rsidRPr="00F36DFC">
        <w:rPr>
          <w:rFonts w:cs="Times New Roman"/>
          <w:sz w:val="24"/>
          <w:lang w:val="da-DK"/>
        </w:rPr>
        <w:t>Giv barnet koldt vand at drikke</w:t>
      </w:r>
    </w:p>
    <w:p w14:paraId="649B077F" w14:textId="77777777" w:rsidR="00F859C7" w:rsidRPr="00F36DFC" w:rsidRDefault="00F859C7" w:rsidP="00F859C7">
      <w:pPr>
        <w:rPr>
          <w:sz w:val="24"/>
          <w:szCs w:val="24"/>
        </w:rPr>
      </w:pPr>
    </w:p>
    <w:p w14:paraId="2A7B8DA5" w14:textId="6D597D0D" w:rsidR="00F859C7" w:rsidRPr="00F36DFC" w:rsidRDefault="00F859C7" w:rsidP="00D16F2D">
      <w:pPr>
        <w:ind w:left="851"/>
        <w:rPr>
          <w:sz w:val="24"/>
          <w:szCs w:val="24"/>
        </w:rPr>
      </w:pPr>
      <w:r w:rsidRPr="00F36DFC">
        <w:rPr>
          <w:sz w:val="24"/>
          <w:szCs w:val="24"/>
        </w:rPr>
        <w:t xml:space="preserve">Tilfælde med nedsat svedproduktion og forhøjet legemstemperatur er blevet rapporteret hovedsagelig hos pædiatriske patienter. Hedeslag, der krævede hospitalsbehandling, blev diagnosticeret i visse tilfælde. Der er rapporteret hedeslag, der krævede hospitalsbehandling og medførte døden. De fleste tilfælde forekom i perioder med varmt vejr. Læger skal drøfte, hvor alvorligt hedeslag kan være, i hvilke situationer det kan forekomme, samt hvilke handlinger der skal træffes i tilfælde af tegn eller symptomer, med patienterne og deres omsorgsgivere. Patienter eller deres omsorgsgivere skal gøres opmærksomme på at opretholde væskebalancen og undgå meget høje temperaturer og anstrengende fysisk udfoldelse, afhængigt af patientens tilstand. Ordinerende læger skal gøre pædiatriske patienter og deres forælder/omsorgsgivere opmærksomme på rådene i indlægssedlen om forebyggelse af hedeslag og overophedning hos børn. Ved tegn og symptomer på dehydrering, nedsat svedtendens eller forhøjet legemstemperatur skal det overvejes at seponere </w:t>
      </w:r>
      <w:proofErr w:type="spellStart"/>
      <w:r w:rsidRPr="00F36DFC">
        <w:rPr>
          <w:sz w:val="24"/>
          <w:szCs w:val="24"/>
        </w:rPr>
        <w:t>Zonisamid</w:t>
      </w:r>
      <w:proofErr w:type="spellEnd"/>
      <w:r w:rsidRPr="00F36DFC">
        <w:rPr>
          <w:sz w:val="24"/>
          <w:szCs w:val="24"/>
        </w:rPr>
        <w:t xml:space="preserve"> </w:t>
      </w:r>
      <w:r w:rsidR="00C26C40">
        <w:rPr>
          <w:sz w:val="24"/>
          <w:szCs w:val="24"/>
        </w:rPr>
        <w:t>"</w:t>
      </w:r>
      <w:proofErr w:type="spellStart"/>
      <w:r w:rsidR="00C26C40">
        <w:rPr>
          <w:sz w:val="24"/>
          <w:szCs w:val="24"/>
        </w:rPr>
        <w:t>Desitin</w:t>
      </w:r>
      <w:proofErr w:type="spellEnd"/>
      <w:r w:rsidR="00C26C40">
        <w:rPr>
          <w:sz w:val="24"/>
          <w:szCs w:val="24"/>
        </w:rPr>
        <w:t>"</w:t>
      </w:r>
      <w:r w:rsidRPr="00F36DFC">
        <w:rPr>
          <w:sz w:val="24"/>
          <w:szCs w:val="24"/>
        </w:rPr>
        <w:t>.</w:t>
      </w:r>
    </w:p>
    <w:p w14:paraId="60F5CC1B" w14:textId="77777777" w:rsidR="00F859C7" w:rsidRPr="00F36DFC" w:rsidRDefault="00F859C7" w:rsidP="00D16F2D">
      <w:pPr>
        <w:ind w:left="851"/>
        <w:rPr>
          <w:sz w:val="24"/>
          <w:szCs w:val="24"/>
        </w:rPr>
      </w:pPr>
    </w:p>
    <w:p w14:paraId="50A4077E" w14:textId="56A36A04" w:rsidR="00F859C7" w:rsidRPr="00F36DFC" w:rsidRDefault="00F859C7" w:rsidP="00D16F2D">
      <w:pPr>
        <w:ind w:left="851"/>
        <w:rPr>
          <w:sz w:val="24"/>
          <w:szCs w:val="24"/>
        </w:rPr>
      </w:pPr>
      <w:proofErr w:type="spellStart"/>
      <w:r w:rsidRPr="00F36DFC">
        <w:rPr>
          <w:sz w:val="24"/>
          <w:szCs w:val="24"/>
        </w:rPr>
        <w:t>Zonisamid</w:t>
      </w:r>
      <w:proofErr w:type="spellEnd"/>
      <w:r w:rsidRPr="00F36DFC">
        <w:rPr>
          <w:sz w:val="24"/>
          <w:szCs w:val="24"/>
        </w:rPr>
        <w:t xml:space="preserve"> </w:t>
      </w:r>
      <w:r w:rsidR="00C26C40">
        <w:rPr>
          <w:sz w:val="24"/>
          <w:szCs w:val="24"/>
        </w:rPr>
        <w:t>"</w:t>
      </w:r>
      <w:proofErr w:type="spellStart"/>
      <w:r w:rsidR="00C26C40">
        <w:rPr>
          <w:sz w:val="24"/>
          <w:szCs w:val="24"/>
        </w:rPr>
        <w:t>Desitin</w:t>
      </w:r>
      <w:proofErr w:type="spellEnd"/>
      <w:r w:rsidR="00C26C40">
        <w:rPr>
          <w:sz w:val="24"/>
          <w:szCs w:val="24"/>
        </w:rPr>
        <w:t>"</w:t>
      </w:r>
      <w:r w:rsidRPr="00F36DFC">
        <w:rPr>
          <w:sz w:val="24"/>
          <w:szCs w:val="24"/>
        </w:rPr>
        <w:t xml:space="preserve"> må ikke bruges til pædiatriske patienter sammen med andre lægemidler, som gør patienterne modtagelige for varmerelaterede sygdomme. Det omfatter </w:t>
      </w:r>
      <w:proofErr w:type="spellStart"/>
      <w:r w:rsidRPr="00F36DFC">
        <w:rPr>
          <w:sz w:val="24"/>
          <w:szCs w:val="24"/>
        </w:rPr>
        <w:t>kulsyreanhydrasehæmmere</w:t>
      </w:r>
      <w:proofErr w:type="spellEnd"/>
      <w:r w:rsidRPr="00F36DFC">
        <w:rPr>
          <w:sz w:val="24"/>
          <w:szCs w:val="24"/>
        </w:rPr>
        <w:t xml:space="preserve"> og lægemidler med </w:t>
      </w:r>
      <w:proofErr w:type="spellStart"/>
      <w:r w:rsidRPr="00F36DFC">
        <w:rPr>
          <w:sz w:val="24"/>
          <w:szCs w:val="24"/>
        </w:rPr>
        <w:t>antikolinerg</w:t>
      </w:r>
      <w:proofErr w:type="spellEnd"/>
      <w:r w:rsidRPr="00F36DFC">
        <w:rPr>
          <w:sz w:val="24"/>
          <w:szCs w:val="24"/>
        </w:rPr>
        <w:t xml:space="preserve"> aktivitet.</w:t>
      </w:r>
    </w:p>
    <w:p w14:paraId="3FC044E4" w14:textId="77777777" w:rsidR="00F859C7" w:rsidRPr="00F36DFC" w:rsidRDefault="00F859C7" w:rsidP="00D16F2D">
      <w:pPr>
        <w:ind w:left="851"/>
        <w:rPr>
          <w:sz w:val="24"/>
          <w:szCs w:val="24"/>
        </w:rPr>
      </w:pPr>
    </w:p>
    <w:p w14:paraId="4E1FA9AE" w14:textId="77777777" w:rsidR="00F859C7" w:rsidRPr="00F36DFC" w:rsidRDefault="00F859C7" w:rsidP="00D16F2D">
      <w:pPr>
        <w:ind w:left="851"/>
        <w:rPr>
          <w:sz w:val="24"/>
          <w:szCs w:val="24"/>
          <w:u w:val="single"/>
        </w:rPr>
      </w:pPr>
      <w:r w:rsidRPr="00F36DFC">
        <w:rPr>
          <w:sz w:val="24"/>
          <w:szCs w:val="24"/>
          <w:u w:val="single"/>
        </w:rPr>
        <w:t>Legemsvægt</w:t>
      </w:r>
    </w:p>
    <w:p w14:paraId="2FBD63A9" w14:textId="324C1103" w:rsidR="00F859C7" w:rsidRPr="00F36DFC" w:rsidRDefault="00F859C7" w:rsidP="00D16F2D">
      <w:pPr>
        <w:ind w:left="851"/>
        <w:rPr>
          <w:sz w:val="24"/>
          <w:szCs w:val="24"/>
        </w:rPr>
      </w:pPr>
      <w:r w:rsidRPr="00F36DFC">
        <w:rPr>
          <w:sz w:val="24"/>
          <w:szCs w:val="24"/>
        </w:rPr>
        <w:t xml:space="preserve">Vægttab, der medfører forringelse af almentilstanden og undladelse af at tage </w:t>
      </w:r>
      <w:proofErr w:type="spellStart"/>
      <w:r w:rsidRPr="00F36DFC">
        <w:rPr>
          <w:sz w:val="24"/>
          <w:szCs w:val="24"/>
        </w:rPr>
        <w:t>antiepileptika</w:t>
      </w:r>
      <w:proofErr w:type="spellEnd"/>
      <w:r w:rsidRPr="00F36DFC">
        <w:rPr>
          <w:sz w:val="24"/>
          <w:szCs w:val="24"/>
        </w:rPr>
        <w:t xml:space="preserve"> har været forbundet med dødelig udgang (se pkt. 4.8). </w:t>
      </w:r>
      <w:proofErr w:type="spellStart"/>
      <w:r w:rsidRPr="00F36DFC">
        <w:rPr>
          <w:sz w:val="24"/>
          <w:szCs w:val="24"/>
        </w:rPr>
        <w:t>Zonisamid</w:t>
      </w:r>
      <w:proofErr w:type="spellEnd"/>
      <w:r w:rsidRPr="00F36DFC">
        <w:rPr>
          <w:sz w:val="24"/>
          <w:szCs w:val="24"/>
        </w:rPr>
        <w:t xml:space="preserve"> </w:t>
      </w:r>
      <w:r w:rsidR="00C26C40">
        <w:rPr>
          <w:sz w:val="24"/>
          <w:szCs w:val="24"/>
        </w:rPr>
        <w:t>"</w:t>
      </w:r>
      <w:proofErr w:type="spellStart"/>
      <w:r w:rsidR="00C26C40">
        <w:rPr>
          <w:sz w:val="24"/>
          <w:szCs w:val="24"/>
        </w:rPr>
        <w:t>Desitin</w:t>
      </w:r>
      <w:proofErr w:type="spellEnd"/>
      <w:r w:rsidR="00C26C40">
        <w:rPr>
          <w:sz w:val="24"/>
          <w:szCs w:val="24"/>
        </w:rPr>
        <w:t>"</w:t>
      </w:r>
      <w:r w:rsidRPr="00F36DFC">
        <w:rPr>
          <w:sz w:val="24"/>
          <w:szCs w:val="24"/>
        </w:rPr>
        <w:t xml:space="preserve"> frarådes til pædiatriske patienter, som er undervægtige (defineret i henhold til </w:t>
      </w:r>
      <w:proofErr w:type="spellStart"/>
      <w:r w:rsidRPr="00F36DFC">
        <w:rPr>
          <w:sz w:val="24"/>
          <w:szCs w:val="24"/>
        </w:rPr>
        <w:t>WHOs</w:t>
      </w:r>
      <w:proofErr w:type="spellEnd"/>
      <w:r w:rsidRPr="00F36DFC">
        <w:rPr>
          <w:sz w:val="24"/>
          <w:szCs w:val="24"/>
        </w:rPr>
        <w:t xml:space="preserve"> aldersjusterende BMI-kategorier) eller har nedsat appetit.</w:t>
      </w:r>
    </w:p>
    <w:p w14:paraId="0FA51002" w14:textId="77777777" w:rsidR="00F859C7" w:rsidRPr="00F36DFC" w:rsidRDefault="00F859C7" w:rsidP="00D16F2D">
      <w:pPr>
        <w:ind w:left="851"/>
        <w:rPr>
          <w:sz w:val="24"/>
          <w:szCs w:val="24"/>
        </w:rPr>
      </w:pPr>
    </w:p>
    <w:p w14:paraId="4A63C663" w14:textId="39A27E87" w:rsidR="00F859C7" w:rsidRPr="00F36DFC" w:rsidRDefault="00F859C7" w:rsidP="00D16F2D">
      <w:pPr>
        <w:ind w:left="851"/>
        <w:rPr>
          <w:sz w:val="24"/>
          <w:szCs w:val="24"/>
        </w:rPr>
      </w:pPr>
      <w:r w:rsidRPr="00F36DFC">
        <w:rPr>
          <w:sz w:val="24"/>
          <w:szCs w:val="24"/>
        </w:rPr>
        <w:t xml:space="preserve">Hyppigheden af vægttab er ensartet på tværs af alle aldersgrupper (se pkt. 4.8), men i betragtning af hvor alvorligt vægttab kan være hos børn, bør vægten monitoreres hos denne population. Kosttilskud eller øget fødeindtagelse skal overvejes, hvis patienten ikke tager på i vægt i henhold til vækstkurverne. I modsat fald bør </w:t>
      </w:r>
      <w:proofErr w:type="spellStart"/>
      <w:r w:rsidRPr="00F36DFC">
        <w:rPr>
          <w:sz w:val="24"/>
          <w:szCs w:val="24"/>
        </w:rPr>
        <w:t>Zonisamid</w:t>
      </w:r>
      <w:proofErr w:type="spellEnd"/>
      <w:r w:rsidRPr="00F36DFC">
        <w:rPr>
          <w:sz w:val="24"/>
          <w:szCs w:val="24"/>
        </w:rPr>
        <w:t xml:space="preserve"> </w:t>
      </w:r>
      <w:r w:rsidR="00C26C40">
        <w:rPr>
          <w:sz w:val="24"/>
          <w:szCs w:val="24"/>
        </w:rPr>
        <w:t>"</w:t>
      </w:r>
      <w:proofErr w:type="spellStart"/>
      <w:r w:rsidR="00C26C40">
        <w:rPr>
          <w:sz w:val="24"/>
          <w:szCs w:val="24"/>
        </w:rPr>
        <w:t>Desitin</w:t>
      </w:r>
      <w:proofErr w:type="spellEnd"/>
      <w:r w:rsidR="00C26C40">
        <w:rPr>
          <w:sz w:val="24"/>
          <w:szCs w:val="24"/>
        </w:rPr>
        <w:t>"</w:t>
      </w:r>
      <w:r w:rsidRPr="00F36DFC">
        <w:rPr>
          <w:sz w:val="24"/>
          <w:szCs w:val="24"/>
        </w:rPr>
        <w:t xml:space="preserve"> seponeres.</w:t>
      </w:r>
    </w:p>
    <w:p w14:paraId="70BE9D80" w14:textId="77777777" w:rsidR="00F859C7" w:rsidRPr="00F36DFC" w:rsidRDefault="00F859C7" w:rsidP="00D16F2D">
      <w:pPr>
        <w:ind w:left="851"/>
        <w:rPr>
          <w:sz w:val="24"/>
          <w:szCs w:val="24"/>
        </w:rPr>
      </w:pPr>
    </w:p>
    <w:p w14:paraId="5BAD3A06" w14:textId="77777777" w:rsidR="00F859C7" w:rsidRPr="00F36DFC" w:rsidRDefault="00F859C7" w:rsidP="00D16F2D">
      <w:pPr>
        <w:ind w:left="851"/>
        <w:rPr>
          <w:sz w:val="24"/>
          <w:szCs w:val="24"/>
        </w:rPr>
      </w:pPr>
      <w:r w:rsidRPr="00F36DFC">
        <w:rPr>
          <w:sz w:val="24"/>
          <w:szCs w:val="24"/>
        </w:rPr>
        <w:t>Der foreligger kun begrænsede data fra kliniske studier hos patienter med legemsvægt under 20 kg. Børn på 6 år og derover med legemsvægt under 20 kg skal derfor behandles med forsigtighed. Langtidsvirkningen af vægttab på vækst og udvikling hos børn og unge kendes ikke.</w:t>
      </w:r>
    </w:p>
    <w:p w14:paraId="1F97E235" w14:textId="77777777" w:rsidR="00F859C7" w:rsidRPr="00F36DFC" w:rsidRDefault="00F859C7" w:rsidP="00D16F2D">
      <w:pPr>
        <w:ind w:left="851"/>
        <w:rPr>
          <w:sz w:val="24"/>
          <w:szCs w:val="24"/>
        </w:rPr>
      </w:pPr>
    </w:p>
    <w:p w14:paraId="20CDBF8E" w14:textId="77777777" w:rsidR="00F859C7" w:rsidRPr="00F36DFC" w:rsidRDefault="00F859C7" w:rsidP="00D16F2D">
      <w:pPr>
        <w:ind w:left="851"/>
        <w:rPr>
          <w:sz w:val="24"/>
          <w:szCs w:val="24"/>
          <w:u w:val="single"/>
        </w:rPr>
      </w:pPr>
      <w:r w:rsidRPr="00F36DFC">
        <w:rPr>
          <w:sz w:val="24"/>
          <w:szCs w:val="24"/>
          <w:u w:val="single"/>
        </w:rPr>
        <w:t xml:space="preserve">Metabolisk </w:t>
      </w:r>
      <w:proofErr w:type="spellStart"/>
      <w:r w:rsidRPr="00F36DFC">
        <w:rPr>
          <w:sz w:val="24"/>
          <w:szCs w:val="24"/>
          <w:u w:val="single"/>
        </w:rPr>
        <w:t>acidose</w:t>
      </w:r>
      <w:proofErr w:type="spellEnd"/>
    </w:p>
    <w:p w14:paraId="103A7C30" w14:textId="77777777" w:rsidR="00F859C7" w:rsidRPr="00F36DFC" w:rsidRDefault="00F859C7" w:rsidP="00D16F2D">
      <w:pPr>
        <w:ind w:left="851"/>
        <w:rPr>
          <w:sz w:val="24"/>
          <w:szCs w:val="24"/>
        </w:rPr>
      </w:pPr>
      <w:r w:rsidRPr="00F36DFC">
        <w:rPr>
          <w:sz w:val="24"/>
          <w:szCs w:val="24"/>
        </w:rPr>
        <w:t xml:space="preserve">Risikoen for </w:t>
      </w:r>
      <w:proofErr w:type="spellStart"/>
      <w:r w:rsidRPr="00F36DFC">
        <w:rPr>
          <w:sz w:val="24"/>
          <w:szCs w:val="24"/>
        </w:rPr>
        <w:t>zonisamidinduceret</w:t>
      </w:r>
      <w:proofErr w:type="spellEnd"/>
      <w:r w:rsidRPr="00F36DFC">
        <w:rPr>
          <w:sz w:val="24"/>
          <w:szCs w:val="24"/>
        </w:rPr>
        <w:t xml:space="preserve"> metabolisk </w:t>
      </w:r>
      <w:proofErr w:type="spellStart"/>
      <w:r w:rsidRPr="00F36DFC">
        <w:rPr>
          <w:sz w:val="24"/>
          <w:szCs w:val="24"/>
        </w:rPr>
        <w:t>acidose</w:t>
      </w:r>
      <w:proofErr w:type="spellEnd"/>
      <w:r w:rsidRPr="00F36DFC">
        <w:rPr>
          <w:sz w:val="24"/>
          <w:szCs w:val="24"/>
        </w:rPr>
        <w:t xml:space="preserve"> synes at være hyppigere og mere alvorlig hos pædiatriske og unge patienter. Passende evaluering og monitorering af serum-</w:t>
      </w:r>
      <w:proofErr w:type="spellStart"/>
      <w:r w:rsidRPr="00F36DFC">
        <w:rPr>
          <w:sz w:val="24"/>
          <w:szCs w:val="24"/>
        </w:rPr>
        <w:t>hydrogencarbonat</w:t>
      </w:r>
      <w:proofErr w:type="spellEnd"/>
      <w:r w:rsidRPr="00F36DFC">
        <w:rPr>
          <w:sz w:val="24"/>
          <w:szCs w:val="24"/>
        </w:rPr>
        <w:t xml:space="preserve"> skal udføres hos denne population (se hele advarslen i pkt. 4.4 – Metabolisk </w:t>
      </w:r>
      <w:proofErr w:type="spellStart"/>
      <w:r w:rsidRPr="00F36DFC">
        <w:rPr>
          <w:sz w:val="24"/>
          <w:szCs w:val="24"/>
        </w:rPr>
        <w:t>acidose</w:t>
      </w:r>
      <w:proofErr w:type="spellEnd"/>
      <w:r w:rsidRPr="00F36DFC">
        <w:rPr>
          <w:sz w:val="24"/>
          <w:szCs w:val="24"/>
        </w:rPr>
        <w:t xml:space="preserve"> og pkt. 4.8 vedrørende forekomsten af lav </w:t>
      </w:r>
      <w:proofErr w:type="spellStart"/>
      <w:r w:rsidRPr="00F36DFC">
        <w:rPr>
          <w:sz w:val="24"/>
          <w:szCs w:val="24"/>
        </w:rPr>
        <w:t>hydrogencarbonat</w:t>
      </w:r>
      <w:proofErr w:type="spellEnd"/>
      <w:r w:rsidRPr="00F36DFC">
        <w:rPr>
          <w:sz w:val="24"/>
          <w:szCs w:val="24"/>
        </w:rPr>
        <w:t xml:space="preserve">). Langtidsvirkningen af lave </w:t>
      </w:r>
      <w:proofErr w:type="spellStart"/>
      <w:r w:rsidRPr="00F36DFC">
        <w:rPr>
          <w:sz w:val="24"/>
          <w:szCs w:val="24"/>
        </w:rPr>
        <w:t>hydrogencarbonatniveauer</w:t>
      </w:r>
      <w:proofErr w:type="spellEnd"/>
      <w:r w:rsidRPr="00F36DFC">
        <w:rPr>
          <w:sz w:val="24"/>
          <w:szCs w:val="24"/>
        </w:rPr>
        <w:t xml:space="preserve"> på vækst og udvikling er ukendt.</w:t>
      </w:r>
    </w:p>
    <w:p w14:paraId="2EBAE97F" w14:textId="77777777" w:rsidR="00F859C7" w:rsidRPr="00F36DFC" w:rsidRDefault="00F859C7" w:rsidP="00D16F2D">
      <w:pPr>
        <w:ind w:left="851"/>
        <w:rPr>
          <w:sz w:val="24"/>
          <w:szCs w:val="24"/>
        </w:rPr>
      </w:pPr>
    </w:p>
    <w:p w14:paraId="539C7F7B" w14:textId="17029615" w:rsidR="00F859C7" w:rsidRPr="00F36DFC" w:rsidRDefault="00F859C7" w:rsidP="00D16F2D">
      <w:pPr>
        <w:ind w:left="851"/>
        <w:rPr>
          <w:sz w:val="24"/>
          <w:szCs w:val="24"/>
        </w:rPr>
      </w:pPr>
      <w:proofErr w:type="spellStart"/>
      <w:r w:rsidRPr="00F36DFC">
        <w:rPr>
          <w:sz w:val="24"/>
          <w:szCs w:val="24"/>
        </w:rPr>
        <w:t>Zonisamid</w:t>
      </w:r>
      <w:proofErr w:type="spellEnd"/>
      <w:r w:rsidRPr="00F36DFC">
        <w:rPr>
          <w:sz w:val="24"/>
          <w:szCs w:val="24"/>
        </w:rPr>
        <w:t xml:space="preserve"> </w:t>
      </w:r>
      <w:r w:rsidR="00C26C40">
        <w:rPr>
          <w:sz w:val="24"/>
          <w:szCs w:val="24"/>
        </w:rPr>
        <w:t>"</w:t>
      </w:r>
      <w:proofErr w:type="spellStart"/>
      <w:r w:rsidR="00C26C40">
        <w:rPr>
          <w:sz w:val="24"/>
          <w:szCs w:val="24"/>
        </w:rPr>
        <w:t>Desitin</w:t>
      </w:r>
      <w:proofErr w:type="spellEnd"/>
      <w:r w:rsidR="00C26C40">
        <w:rPr>
          <w:sz w:val="24"/>
          <w:szCs w:val="24"/>
        </w:rPr>
        <w:t>"</w:t>
      </w:r>
      <w:r w:rsidRPr="00F36DFC">
        <w:rPr>
          <w:sz w:val="24"/>
          <w:szCs w:val="24"/>
        </w:rPr>
        <w:t xml:space="preserve"> må ikke bruges hos pædiatriske patienter samtidig med andre </w:t>
      </w:r>
      <w:proofErr w:type="spellStart"/>
      <w:r w:rsidRPr="00F36DFC">
        <w:rPr>
          <w:sz w:val="24"/>
          <w:szCs w:val="24"/>
        </w:rPr>
        <w:t>kulsyreanhydrasehæmmere</w:t>
      </w:r>
      <w:proofErr w:type="spellEnd"/>
      <w:r w:rsidRPr="00F36DFC">
        <w:rPr>
          <w:sz w:val="24"/>
          <w:szCs w:val="24"/>
        </w:rPr>
        <w:t xml:space="preserve"> såsom </w:t>
      </w:r>
      <w:proofErr w:type="spellStart"/>
      <w:r w:rsidRPr="00F36DFC">
        <w:rPr>
          <w:sz w:val="24"/>
          <w:szCs w:val="24"/>
        </w:rPr>
        <w:t>topiramat</w:t>
      </w:r>
      <w:proofErr w:type="spellEnd"/>
      <w:r w:rsidRPr="00F36DFC">
        <w:rPr>
          <w:sz w:val="24"/>
          <w:szCs w:val="24"/>
        </w:rPr>
        <w:t xml:space="preserve"> og </w:t>
      </w:r>
      <w:proofErr w:type="spellStart"/>
      <w:r w:rsidRPr="00F36DFC">
        <w:rPr>
          <w:sz w:val="24"/>
          <w:szCs w:val="24"/>
        </w:rPr>
        <w:t>acetazolamid</w:t>
      </w:r>
      <w:proofErr w:type="spellEnd"/>
      <w:r w:rsidRPr="00F36DFC">
        <w:rPr>
          <w:sz w:val="24"/>
          <w:szCs w:val="24"/>
        </w:rPr>
        <w:t xml:space="preserve"> (se pkt. 4.5).</w:t>
      </w:r>
    </w:p>
    <w:p w14:paraId="35D3836D" w14:textId="77777777" w:rsidR="00F859C7" w:rsidRPr="00F36DFC" w:rsidRDefault="00F859C7" w:rsidP="00D16F2D">
      <w:pPr>
        <w:ind w:left="851"/>
        <w:rPr>
          <w:sz w:val="24"/>
          <w:szCs w:val="24"/>
        </w:rPr>
      </w:pPr>
    </w:p>
    <w:p w14:paraId="0E65BC1A" w14:textId="77777777" w:rsidR="00F859C7" w:rsidRPr="00F36DFC" w:rsidRDefault="00F859C7" w:rsidP="00D16F2D">
      <w:pPr>
        <w:ind w:left="851"/>
        <w:rPr>
          <w:sz w:val="24"/>
          <w:szCs w:val="24"/>
          <w:u w:val="single"/>
        </w:rPr>
      </w:pPr>
      <w:r w:rsidRPr="00F36DFC">
        <w:rPr>
          <w:sz w:val="24"/>
          <w:szCs w:val="24"/>
          <w:u w:val="single"/>
        </w:rPr>
        <w:t>Nyresten</w:t>
      </w:r>
    </w:p>
    <w:p w14:paraId="6FEDDA34" w14:textId="2CF6E22E" w:rsidR="00F859C7" w:rsidRPr="00F36DFC" w:rsidRDefault="00F859C7" w:rsidP="00D16F2D">
      <w:pPr>
        <w:ind w:left="851"/>
        <w:rPr>
          <w:sz w:val="24"/>
          <w:szCs w:val="24"/>
        </w:rPr>
      </w:pPr>
      <w:r w:rsidRPr="00F36DFC">
        <w:rPr>
          <w:sz w:val="24"/>
          <w:szCs w:val="24"/>
        </w:rPr>
        <w:t xml:space="preserve">Nyresten er forekommet hos pædiatriske patienter (se den fuldstændige advarsel i pkt. 4.4 Nyresten). Nogle patienter, især dem som er disponeret for </w:t>
      </w:r>
      <w:proofErr w:type="spellStart"/>
      <w:r w:rsidRPr="00F36DFC">
        <w:rPr>
          <w:sz w:val="24"/>
          <w:szCs w:val="24"/>
        </w:rPr>
        <w:t>nephrolithiasis</w:t>
      </w:r>
      <w:proofErr w:type="spellEnd"/>
      <w:r w:rsidRPr="00F36DFC">
        <w:rPr>
          <w:sz w:val="24"/>
          <w:szCs w:val="24"/>
        </w:rPr>
        <w:t xml:space="preserve">, kan have en øget risiko for nyrestensdannelse og dermed forbundne tegn og symptomer såsom nyrekolik og nyre- eller flankesmerter. </w:t>
      </w:r>
      <w:proofErr w:type="spellStart"/>
      <w:r w:rsidRPr="00F36DFC">
        <w:rPr>
          <w:sz w:val="24"/>
          <w:szCs w:val="24"/>
        </w:rPr>
        <w:t>Nephrolithiasis</w:t>
      </w:r>
      <w:proofErr w:type="spellEnd"/>
      <w:r w:rsidRPr="00F36DFC">
        <w:rPr>
          <w:sz w:val="24"/>
          <w:szCs w:val="24"/>
        </w:rPr>
        <w:t xml:space="preserve"> kan medføre kroniske nyreskader. Risikofaktorer for </w:t>
      </w:r>
      <w:proofErr w:type="spellStart"/>
      <w:r w:rsidRPr="00F36DFC">
        <w:rPr>
          <w:sz w:val="24"/>
          <w:szCs w:val="24"/>
        </w:rPr>
        <w:t>nephrolithiasis</w:t>
      </w:r>
      <w:proofErr w:type="spellEnd"/>
      <w:r w:rsidRPr="00F36DFC">
        <w:rPr>
          <w:sz w:val="24"/>
          <w:szCs w:val="24"/>
        </w:rPr>
        <w:t xml:space="preserve"> er bl.a. tidligere stendannelse, familieanamnese med </w:t>
      </w:r>
      <w:proofErr w:type="spellStart"/>
      <w:r w:rsidRPr="00F36DFC">
        <w:rPr>
          <w:sz w:val="24"/>
          <w:szCs w:val="24"/>
        </w:rPr>
        <w:t>nephrolithiasis</w:t>
      </w:r>
      <w:proofErr w:type="spellEnd"/>
      <w:r w:rsidRPr="00F36DFC">
        <w:rPr>
          <w:sz w:val="24"/>
          <w:szCs w:val="24"/>
        </w:rPr>
        <w:t xml:space="preserve"> og </w:t>
      </w:r>
      <w:proofErr w:type="spellStart"/>
      <w:r w:rsidRPr="00F36DFC">
        <w:rPr>
          <w:sz w:val="24"/>
          <w:szCs w:val="24"/>
        </w:rPr>
        <w:t>hyperkalciuri</w:t>
      </w:r>
      <w:proofErr w:type="spellEnd"/>
      <w:r w:rsidRPr="00F36DFC">
        <w:rPr>
          <w:sz w:val="24"/>
          <w:szCs w:val="24"/>
        </w:rPr>
        <w:t xml:space="preserve">. Ingen af disse risikofaktorer kan med sikkerhed forudsige stendannelse under behandling med </w:t>
      </w:r>
      <w:proofErr w:type="spellStart"/>
      <w:r w:rsidRPr="00F36DFC">
        <w:rPr>
          <w:sz w:val="24"/>
          <w:szCs w:val="24"/>
        </w:rPr>
        <w:t>Zonisamid</w:t>
      </w:r>
      <w:proofErr w:type="spellEnd"/>
      <w:r w:rsidRPr="00F36DFC">
        <w:rPr>
          <w:sz w:val="24"/>
          <w:szCs w:val="24"/>
        </w:rPr>
        <w:t xml:space="preserve"> </w:t>
      </w:r>
      <w:r w:rsidR="00C26C40">
        <w:rPr>
          <w:sz w:val="24"/>
          <w:szCs w:val="24"/>
        </w:rPr>
        <w:t>"</w:t>
      </w:r>
      <w:proofErr w:type="spellStart"/>
      <w:r w:rsidR="00C26C40">
        <w:rPr>
          <w:sz w:val="24"/>
          <w:szCs w:val="24"/>
        </w:rPr>
        <w:t>Desitin</w:t>
      </w:r>
      <w:proofErr w:type="spellEnd"/>
      <w:r w:rsidR="00C26C40">
        <w:rPr>
          <w:sz w:val="24"/>
          <w:szCs w:val="24"/>
        </w:rPr>
        <w:t>"</w:t>
      </w:r>
      <w:r w:rsidRPr="00F36DFC">
        <w:rPr>
          <w:sz w:val="24"/>
          <w:szCs w:val="24"/>
        </w:rPr>
        <w:t>.</w:t>
      </w:r>
    </w:p>
    <w:p w14:paraId="12D8F5E7" w14:textId="107587EC" w:rsidR="00F859C7" w:rsidRPr="00F36DFC" w:rsidRDefault="00F859C7" w:rsidP="00D16F2D">
      <w:pPr>
        <w:ind w:left="851"/>
        <w:rPr>
          <w:sz w:val="24"/>
          <w:szCs w:val="24"/>
        </w:rPr>
      </w:pPr>
      <w:r w:rsidRPr="00F36DFC">
        <w:rPr>
          <w:sz w:val="24"/>
          <w:szCs w:val="24"/>
        </w:rPr>
        <w:t xml:space="preserve">Øget væskeindtagelse og urinproduktion kan medvirke til at reducere risikoen for stendannelse, især hos patienter med prædisponerende risikofaktorer. Ultralydsskanning af nyrerne skal foretages efter lægens skøn. </w:t>
      </w:r>
      <w:proofErr w:type="spellStart"/>
      <w:r w:rsidRPr="00F36DFC">
        <w:rPr>
          <w:sz w:val="24"/>
          <w:szCs w:val="24"/>
        </w:rPr>
        <w:t>Zonisamid</w:t>
      </w:r>
      <w:proofErr w:type="spellEnd"/>
      <w:r w:rsidRPr="00F36DFC">
        <w:rPr>
          <w:sz w:val="24"/>
          <w:szCs w:val="24"/>
        </w:rPr>
        <w:t xml:space="preserve"> </w:t>
      </w:r>
      <w:r w:rsidR="00C26C40">
        <w:rPr>
          <w:sz w:val="24"/>
          <w:szCs w:val="24"/>
        </w:rPr>
        <w:t>"</w:t>
      </w:r>
      <w:proofErr w:type="spellStart"/>
      <w:r w:rsidR="00C26C40">
        <w:rPr>
          <w:sz w:val="24"/>
          <w:szCs w:val="24"/>
        </w:rPr>
        <w:t>Desitin</w:t>
      </w:r>
      <w:proofErr w:type="spellEnd"/>
      <w:r w:rsidR="00C26C40">
        <w:rPr>
          <w:sz w:val="24"/>
          <w:szCs w:val="24"/>
        </w:rPr>
        <w:t>"</w:t>
      </w:r>
      <w:r w:rsidRPr="00F36DFC">
        <w:rPr>
          <w:sz w:val="24"/>
          <w:szCs w:val="24"/>
        </w:rPr>
        <w:t xml:space="preserve"> skal seponeres ved påvisning af nyresten.</w:t>
      </w:r>
    </w:p>
    <w:p w14:paraId="285E5FE2" w14:textId="77777777" w:rsidR="00F859C7" w:rsidRPr="00F36DFC" w:rsidRDefault="00F859C7" w:rsidP="00D16F2D">
      <w:pPr>
        <w:ind w:left="851"/>
        <w:rPr>
          <w:sz w:val="24"/>
          <w:szCs w:val="24"/>
        </w:rPr>
      </w:pPr>
    </w:p>
    <w:p w14:paraId="47912716" w14:textId="77777777" w:rsidR="00F859C7" w:rsidRPr="00F36DFC" w:rsidRDefault="00F859C7" w:rsidP="00D16F2D">
      <w:pPr>
        <w:ind w:left="851"/>
        <w:rPr>
          <w:sz w:val="24"/>
          <w:szCs w:val="24"/>
          <w:u w:val="single"/>
        </w:rPr>
      </w:pPr>
      <w:r w:rsidRPr="00F36DFC">
        <w:rPr>
          <w:sz w:val="24"/>
          <w:szCs w:val="24"/>
          <w:u w:val="single"/>
        </w:rPr>
        <w:t>Nedsat leverfunktion</w:t>
      </w:r>
    </w:p>
    <w:p w14:paraId="2695437F" w14:textId="0AFCD305" w:rsidR="00F859C7" w:rsidRPr="00F36DFC" w:rsidRDefault="00F859C7" w:rsidP="00D16F2D">
      <w:pPr>
        <w:ind w:left="851"/>
        <w:rPr>
          <w:sz w:val="24"/>
          <w:szCs w:val="24"/>
        </w:rPr>
      </w:pPr>
      <w:r w:rsidRPr="00F36DFC">
        <w:rPr>
          <w:sz w:val="24"/>
          <w:szCs w:val="24"/>
        </w:rPr>
        <w:t>Forhøjede lever/galde-tal, såsom ALAT (</w:t>
      </w:r>
      <w:proofErr w:type="spellStart"/>
      <w:r w:rsidRPr="00F36DFC">
        <w:rPr>
          <w:sz w:val="24"/>
          <w:szCs w:val="24"/>
        </w:rPr>
        <w:t>alaninaminotransferase</w:t>
      </w:r>
      <w:proofErr w:type="spellEnd"/>
      <w:r w:rsidRPr="00F36DFC">
        <w:rPr>
          <w:sz w:val="24"/>
          <w:szCs w:val="24"/>
        </w:rPr>
        <w:t>), ASAT (</w:t>
      </w:r>
      <w:proofErr w:type="spellStart"/>
      <w:r w:rsidRPr="00F36DFC">
        <w:rPr>
          <w:sz w:val="24"/>
          <w:szCs w:val="24"/>
        </w:rPr>
        <w:t>aspartataminotransferease</w:t>
      </w:r>
      <w:proofErr w:type="spellEnd"/>
      <w:r w:rsidRPr="00F36DFC">
        <w:rPr>
          <w:sz w:val="24"/>
          <w:szCs w:val="24"/>
        </w:rPr>
        <w:t>), GGT (gamma-</w:t>
      </w:r>
      <w:proofErr w:type="spellStart"/>
      <w:r w:rsidRPr="00F36DFC">
        <w:rPr>
          <w:sz w:val="24"/>
          <w:szCs w:val="24"/>
        </w:rPr>
        <w:t>glutamyltransferase</w:t>
      </w:r>
      <w:proofErr w:type="spellEnd"/>
      <w:r w:rsidRPr="00F36DFC">
        <w:rPr>
          <w:sz w:val="24"/>
          <w:szCs w:val="24"/>
        </w:rPr>
        <w:t xml:space="preserve">) og bilirubin er forekommet hos pædiatriske og unge patienter uden noget ensartet mønster for forekomsten af værdier over øvre normalgrænse. Ved mistanke om en leverrelateret bivirkning skal leverfunktionen ikke desto mindre evalueres og </w:t>
      </w:r>
      <w:proofErr w:type="spellStart"/>
      <w:r w:rsidRPr="00F36DFC">
        <w:rPr>
          <w:sz w:val="24"/>
          <w:szCs w:val="24"/>
        </w:rPr>
        <w:t>seponering</w:t>
      </w:r>
      <w:proofErr w:type="spellEnd"/>
      <w:r w:rsidRPr="00F36DFC">
        <w:rPr>
          <w:sz w:val="24"/>
          <w:szCs w:val="24"/>
        </w:rPr>
        <w:t xml:space="preserve"> af </w:t>
      </w:r>
      <w:proofErr w:type="spellStart"/>
      <w:r w:rsidRPr="00F36DFC">
        <w:rPr>
          <w:sz w:val="24"/>
          <w:szCs w:val="24"/>
        </w:rPr>
        <w:t>Zonisamid</w:t>
      </w:r>
      <w:proofErr w:type="spellEnd"/>
      <w:r w:rsidRPr="00F36DFC">
        <w:rPr>
          <w:sz w:val="24"/>
          <w:szCs w:val="24"/>
        </w:rPr>
        <w:t xml:space="preserve"> </w:t>
      </w:r>
      <w:r w:rsidR="00C26C40">
        <w:rPr>
          <w:sz w:val="24"/>
          <w:szCs w:val="24"/>
        </w:rPr>
        <w:t>"</w:t>
      </w:r>
      <w:proofErr w:type="spellStart"/>
      <w:r w:rsidR="00C26C40">
        <w:rPr>
          <w:sz w:val="24"/>
          <w:szCs w:val="24"/>
        </w:rPr>
        <w:t>Desitin</w:t>
      </w:r>
      <w:proofErr w:type="spellEnd"/>
      <w:r w:rsidR="00C26C40">
        <w:rPr>
          <w:sz w:val="24"/>
          <w:szCs w:val="24"/>
        </w:rPr>
        <w:t>"</w:t>
      </w:r>
      <w:r w:rsidRPr="00F36DFC">
        <w:rPr>
          <w:sz w:val="24"/>
          <w:szCs w:val="24"/>
        </w:rPr>
        <w:t xml:space="preserve"> overvejes.</w:t>
      </w:r>
    </w:p>
    <w:p w14:paraId="474B2412" w14:textId="77777777" w:rsidR="00F859C7" w:rsidRPr="00F36DFC" w:rsidRDefault="00F859C7" w:rsidP="00D16F2D">
      <w:pPr>
        <w:ind w:left="851"/>
        <w:rPr>
          <w:sz w:val="24"/>
          <w:szCs w:val="24"/>
        </w:rPr>
      </w:pPr>
    </w:p>
    <w:p w14:paraId="28B3A493" w14:textId="77777777" w:rsidR="00F859C7" w:rsidRPr="00F36DFC" w:rsidRDefault="00F859C7" w:rsidP="00D16F2D">
      <w:pPr>
        <w:ind w:left="851"/>
        <w:rPr>
          <w:sz w:val="24"/>
          <w:szCs w:val="24"/>
          <w:u w:val="single"/>
        </w:rPr>
      </w:pPr>
      <w:r w:rsidRPr="00F36DFC">
        <w:rPr>
          <w:sz w:val="24"/>
          <w:szCs w:val="24"/>
          <w:u w:val="single"/>
        </w:rPr>
        <w:t>Kognition</w:t>
      </w:r>
    </w:p>
    <w:p w14:paraId="0EBD73AC" w14:textId="77777777" w:rsidR="00F859C7" w:rsidRPr="00F36DFC" w:rsidRDefault="00F859C7" w:rsidP="00D16F2D">
      <w:pPr>
        <w:ind w:left="851"/>
        <w:rPr>
          <w:sz w:val="24"/>
          <w:szCs w:val="24"/>
        </w:rPr>
      </w:pPr>
      <w:r w:rsidRPr="00F36DFC">
        <w:rPr>
          <w:sz w:val="24"/>
          <w:szCs w:val="24"/>
        </w:rPr>
        <w:t xml:space="preserve">Kognitiv svækkelse hos patienter med epilepsi har været forbundet med den underliggende patologi og/eller administration af </w:t>
      </w:r>
      <w:proofErr w:type="spellStart"/>
      <w:r w:rsidRPr="00F36DFC">
        <w:rPr>
          <w:sz w:val="24"/>
          <w:szCs w:val="24"/>
        </w:rPr>
        <w:t>antiepileptika</w:t>
      </w:r>
      <w:proofErr w:type="spellEnd"/>
      <w:r w:rsidRPr="00F36DFC">
        <w:rPr>
          <w:sz w:val="24"/>
          <w:szCs w:val="24"/>
        </w:rPr>
        <w:t xml:space="preserve">. I et placebokontrolleret studie af </w:t>
      </w:r>
      <w:proofErr w:type="spellStart"/>
      <w:r w:rsidRPr="00F36DFC">
        <w:rPr>
          <w:sz w:val="24"/>
          <w:szCs w:val="24"/>
        </w:rPr>
        <w:t>zonisamid</w:t>
      </w:r>
      <w:proofErr w:type="spellEnd"/>
      <w:r w:rsidRPr="00F36DFC">
        <w:rPr>
          <w:sz w:val="24"/>
          <w:szCs w:val="24"/>
        </w:rPr>
        <w:t xml:space="preserve"> hos pædiatriske og unge patienter var andelen af patienter med nedsat kognition numerisk større i </w:t>
      </w:r>
      <w:proofErr w:type="spellStart"/>
      <w:r w:rsidRPr="00F36DFC">
        <w:rPr>
          <w:sz w:val="24"/>
          <w:szCs w:val="24"/>
        </w:rPr>
        <w:t>zonisamidgruppen</w:t>
      </w:r>
      <w:proofErr w:type="spellEnd"/>
      <w:r w:rsidRPr="00F36DFC">
        <w:rPr>
          <w:sz w:val="24"/>
          <w:szCs w:val="24"/>
        </w:rPr>
        <w:t xml:space="preserve"> end i placebogruppen.</w:t>
      </w:r>
    </w:p>
    <w:p w14:paraId="150B3FEA" w14:textId="77777777" w:rsidR="00F859C7" w:rsidRPr="00F36DFC" w:rsidRDefault="00F859C7" w:rsidP="00D16F2D">
      <w:pPr>
        <w:numPr>
          <w:ilvl w:val="12"/>
          <w:numId w:val="0"/>
        </w:numPr>
        <w:ind w:left="851"/>
        <w:rPr>
          <w:sz w:val="24"/>
          <w:szCs w:val="24"/>
        </w:rPr>
      </w:pPr>
    </w:p>
    <w:p w14:paraId="6B9FB0D9" w14:textId="77777777" w:rsidR="00F859C7" w:rsidRPr="00F36DFC" w:rsidRDefault="00F859C7" w:rsidP="00D16F2D">
      <w:pPr>
        <w:numPr>
          <w:ilvl w:val="12"/>
          <w:numId w:val="0"/>
        </w:numPr>
        <w:ind w:left="851"/>
        <w:rPr>
          <w:sz w:val="24"/>
          <w:szCs w:val="24"/>
          <w:u w:val="single"/>
        </w:rPr>
      </w:pPr>
      <w:r w:rsidRPr="00F36DFC">
        <w:rPr>
          <w:sz w:val="24"/>
          <w:szCs w:val="24"/>
          <w:u w:val="single"/>
        </w:rPr>
        <w:t>Information om hjælpestoffer</w:t>
      </w:r>
    </w:p>
    <w:p w14:paraId="6850618D" w14:textId="77777777" w:rsidR="00F859C7" w:rsidRPr="00F36DFC" w:rsidRDefault="00F859C7" w:rsidP="00D16F2D">
      <w:pPr>
        <w:ind w:left="851"/>
        <w:rPr>
          <w:sz w:val="24"/>
          <w:szCs w:val="24"/>
        </w:rPr>
      </w:pPr>
      <w:r w:rsidRPr="00F36DFC">
        <w:rPr>
          <w:sz w:val="24"/>
          <w:szCs w:val="24"/>
        </w:rPr>
        <w:t xml:space="preserve">Lægemidlet indeholder </w:t>
      </w:r>
      <w:proofErr w:type="spellStart"/>
      <w:r w:rsidRPr="00F36DFC">
        <w:rPr>
          <w:sz w:val="24"/>
          <w:szCs w:val="24"/>
        </w:rPr>
        <w:t>natriummethylparahydroxy-benzoat</w:t>
      </w:r>
      <w:proofErr w:type="spellEnd"/>
      <w:r w:rsidRPr="00F36DFC">
        <w:rPr>
          <w:sz w:val="24"/>
          <w:szCs w:val="24"/>
        </w:rPr>
        <w:t xml:space="preserve"> og </w:t>
      </w:r>
      <w:proofErr w:type="spellStart"/>
      <w:r w:rsidRPr="00F36DFC">
        <w:rPr>
          <w:sz w:val="24"/>
          <w:szCs w:val="24"/>
        </w:rPr>
        <w:t>natriumpropylparahydroxy-benzoat</w:t>
      </w:r>
      <w:proofErr w:type="spellEnd"/>
      <w:r w:rsidRPr="00F36DFC">
        <w:rPr>
          <w:sz w:val="24"/>
          <w:szCs w:val="24"/>
        </w:rPr>
        <w:t>, som kan forårsage allergiske reaktioner (kan optræde efter behandlingen).</w:t>
      </w:r>
    </w:p>
    <w:p w14:paraId="6EBB4DA3" w14:textId="77777777" w:rsidR="00F859C7" w:rsidRPr="00F36DFC" w:rsidRDefault="00F859C7" w:rsidP="00D16F2D">
      <w:pPr>
        <w:ind w:left="851"/>
        <w:rPr>
          <w:sz w:val="24"/>
          <w:szCs w:val="24"/>
        </w:rPr>
      </w:pPr>
      <w:r w:rsidRPr="00F36DFC">
        <w:rPr>
          <w:sz w:val="24"/>
          <w:szCs w:val="24"/>
        </w:rPr>
        <w:t xml:space="preserve">Lægemidlet indeholder svovldioxid (E 220), der i sjældne tilfælde kan medføre alvorlige overfølsomhedsreaktioner og </w:t>
      </w:r>
      <w:proofErr w:type="spellStart"/>
      <w:r w:rsidRPr="00F36DFC">
        <w:rPr>
          <w:sz w:val="24"/>
          <w:szCs w:val="24"/>
        </w:rPr>
        <w:t>bronkospasmer</w:t>
      </w:r>
      <w:proofErr w:type="spellEnd"/>
      <w:r w:rsidRPr="00F36DFC">
        <w:rPr>
          <w:sz w:val="24"/>
          <w:szCs w:val="24"/>
        </w:rPr>
        <w:t>.</w:t>
      </w:r>
    </w:p>
    <w:p w14:paraId="229E6A3E" w14:textId="77777777" w:rsidR="00F859C7" w:rsidRPr="00F36DFC" w:rsidRDefault="00F859C7" w:rsidP="00D16F2D">
      <w:pPr>
        <w:ind w:left="851"/>
        <w:jc w:val="both"/>
        <w:rPr>
          <w:sz w:val="24"/>
          <w:szCs w:val="24"/>
        </w:rPr>
      </w:pPr>
      <w:r w:rsidRPr="00F36DFC">
        <w:rPr>
          <w:sz w:val="24"/>
          <w:szCs w:val="24"/>
        </w:rPr>
        <w:t xml:space="preserve">Lægemidlet indeholder </w:t>
      </w:r>
      <w:proofErr w:type="spellStart"/>
      <w:r w:rsidRPr="00F36DFC">
        <w:rPr>
          <w:sz w:val="24"/>
          <w:szCs w:val="24"/>
        </w:rPr>
        <w:t>glucose</w:t>
      </w:r>
      <w:proofErr w:type="spellEnd"/>
      <w:r w:rsidRPr="00F36DFC">
        <w:rPr>
          <w:sz w:val="24"/>
          <w:szCs w:val="24"/>
        </w:rPr>
        <w:t xml:space="preserve"> og </w:t>
      </w:r>
      <w:proofErr w:type="spellStart"/>
      <w:r w:rsidRPr="00F36DFC">
        <w:rPr>
          <w:sz w:val="24"/>
          <w:szCs w:val="24"/>
        </w:rPr>
        <w:t>saccharose</w:t>
      </w:r>
      <w:proofErr w:type="spellEnd"/>
      <w:r w:rsidRPr="00F36DFC">
        <w:rPr>
          <w:sz w:val="24"/>
          <w:szCs w:val="24"/>
        </w:rPr>
        <w:t xml:space="preserve">. Patienter med sjældne arvelige sygdomme med </w:t>
      </w:r>
      <w:proofErr w:type="spellStart"/>
      <w:r w:rsidRPr="00F36DFC">
        <w:rPr>
          <w:sz w:val="24"/>
          <w:szCs w:val="24"/>
        </w:rPr>
        <w:t>fructoseintolerans</w:t>
      </w:r>
      <w:proofErr w:type="spellEnd"/>
      <w:r w:rsidRPr="00F36DFC">
        <w:rPr>
          <w:sz w:val="24"/>
          <w:szCs w:val="24"/>
        </w:rPr>
        <w:t xml:space="preserve">, </w:t>
      </w:r>
      <w:proofErr w:type="spellStart"/>
      <w:r w:rsidRPr="00F36DFC">
        <w:rPr>
          <w:sz w:val="24"/>
          <w:szCs w:val="24"/>
        </w:rPr>
        <w:t>glucose-galactosemalabsorption</w:t>
      </w:r>
      <w:proofErr w:type="spellEnd"/>
      <w:r w:rsidRPr="00F36DFC">
        <w:rPr>
          <w:sz w:val="24"/>
          <w:szCs w:val="24"/>
        </w:rPr>
        <w:t xml:space="preserve"> eller </w:t>
      </w:r>
      <w:proofErr w:type="spellStart"/>
      <w:r w:rsidRPr="00F36DFC">
        <w:rPr>
          <w:sz w:val="24"/>
          <w:szCs w:val="24"/>
        </w:rPr>
        <w:t>sucrase-isomaltasemangel</w:t>
      </w:r>
      <w:proofErr w:type="spellEnd"/>
      <w:r w:rsidRPr="00F36DFC">
        <w:rPr>
          <w:sz w:val="24"/>
          <w:szCs w:val="24"/>
        </w:rPr>
        <w:t xml:space="preserve"> bør ikke tage dette lægemiddel. </w:t>
      </w:r>
      <w:proofErr w:type="spellStart"/>
      <w:r w:rsidRPr="00F36DFC">
        <w:rPr>
          <w:sz w:val="24"/>
          <w:szCs w:val="24"/>
        </w:rPr>
        <w:t>Glucose</w:t>
      </w:r>
      <w:proofErr w:type="spellEnd"/>
      <w:r w:rsidRPr="00F36DFC">
        <w:rPr>
          <w:sz w:val="24"/>
          <w:szCs w:val="24"/>
        </w:rPr>
        <w:t xml:space="preserve"> og </w:t>
      </w:r>
      <w:proofErr w:type="spellStart"/>
      <w:r w:rsidRPr="00F36DFC">
        <w:rPr>
          <w:sz w:val="24"/>
          <w:szCs w:val="24"/>
        </w:rPr>
        <w:t>saccharose</w:t>
      </w:r>
      <w:proofErr w:type="spellEnd"/>
      <w:r w:rsidRPr="00F36DFC">
        <w:rPr>
          <w:sz w:val="24"/>
          <w:szCs w:val="24"/>
        </w:rPr>
        <w:t xml:space="preserve"> kan være skadeligt for tænderne.</w:t>
      </w:r>
    </w:p>
    <w:p w14:paraId="325E8219" w14:textId="77777777" w:rsidR="00F859C7" w:rsidRPr="00F36DFC" w:rsidRDefault="00F859C7" w:rsidP="00D16F2D">
      <w:pPr>
        <w:ind w:left="851"/>
        <w:rPr>
          <w:sz w:val="24"/>
          <w:szCs w:val="24"/>
        </w:rPr>
      </w:pPr>
      <w:r w:rsidRPr="00F36DFC">
        <w:rPr>
          <w:sz w:val="24"/>
          <w:szCs w:val="24"/>
        </w:rPr>
        <w:t xml:space="preserve">Lægemidlet indeholder </w:t>
      </w:r>
      <w:proofErr w:type="spellStart"/>
      <w:r w:rsidRPr="00F36DFC">
        <w:rPr>
          <w:sz w:val="24"/>
          <w:szCs w:val="24"/>
        </w:rPr>
        <w:t>fructose</w:t>
      </w:r>
      <w:proofErr w:type="spellEnd"/>
      <w:r w:rsidRPr="00F36DFC">
        <w:rPr>
          <w:sz w:val="24"/>
          <w:szCs w:val="24"/>
        </w:rPr>
        <w:t xml:space="preserve">. Der bør tages højde for den </w:t>
      </w:r>
      <w:proofErr w:type="spellStart"/>
      <w:r w:rsidRPr="00F36DFC">
        <w:rPr>
          <w:sz w:val="24"/>
          <w:szCs w:val="24"/>
        </w:rPr>
        <w:t>additive</w:t>
      </w:r>
      <w:proofErr w:type="spellEnd"/>
      <w:r w:rsidRPr="00F36DFC">
        <w:rPr>
          <w:sz w:val="24"/>
          <w:szCs w:val="24"/>
        </w:rPr>
        <w:t xml:space="preserve"> effekt af samtidigt administrerede produkter med </w:t>
      </w:r>
      <w:proofErr w:type="spellStart"/>
      <w:r w:rsidRPr="00F36DFC">
        <w:rPr>
          <w:sz w:val="24"/>
          <w:szCs w:val="24"/>
        </w:rPr>
        <w:t>fructose</w:t>
      </w:r>
      <w:proofErr w:type="spellEnd"/>
      <w:r w:rsidRPr="00F36DFC">
        <w:rPr>
          <w:sz w:val="24"/>
          <w:szCs w:val="24"/>
        </w:rPr>
        <w:t xml:space="preserve"> (eller sorbitol) og indtag af </w:t>
      </w:r>
      <w:proofErr w:type="spellStart"/>
      <w:r w:rsidRPr="00F36DFC">
        <w:rPr>
          <w:sz w:val="24"/>
          <w:szCs w:val="24"/>
        </w:rPr>
        <w:t>fructose</w:t>
      </w:r>
      <w:proofErr w:type="spellEnd"/>
      <w:r w:rsidRPr="00F36DFC">
        <w:rPr>
          <w:sz w:val="24"/>
          <w:szCs w:val="24"/>
        </w:rPr>
        <w:t xml:space="preserve"> (eller sorbitol) gennem kosten.</w:t>
      </w:r>
    </w:p>
    <w:p w14:paraId="6EB1CE0C" w14:textId="77777777" w:rsidR="00F859C7" w:rsidRPr="00F36DFC" w:rsidRDefault="00F859C7" w:rsidP="00D16F2D">
      <w:pPr>
        <w:ind w:left="851"/>
        <w:rPr>
          <w:sz w:val="24"/>
          <w:szCs w:val="24"/>
        </w:rPr>
      </w:pPr>
      <w:proofErr w:type="spellStart"/>
      <w:r w:rsidRPr="00F36DFC">
        <w:rPr>
          <w:sz w:val="24"/>
          <w:szCs w:val="24"/>
        </w:rPr>
        <w:t>Fructose</w:t>
      </w:r>
      <w:proofErr w:type="spellEnd"/>
      <w:r w:rsidRPr="00F36DFC">
        <w:rPr>
          <w:sz w:val="24"/>
          <w:szCs w:val="24"/>
        </w:rPr>
        <w:t xml:space="preserve"> kan beskadige tænderne.</w:t>
      </w:r>
    </w:p>
    <w:p w14:paraId="363AA1D0" w14:textId="02AE4DE1" w:rsidR="00F859C7" w:rsidRPr="00F36DFC" w:rsidRDefault="00F859C7" w:rsidP="00D16F2D">
      <w:pPr>
        <w:ind w:left="851"/>
        <w:rPr>
          <w:sz w:val="24"/>
          <w:szCs w:val="24"/>
        </w:rPr>
      </w:pPr>
      <w:r w:rsidRPr="00F36DFC">
        <w:rPr>
          <w:sz w:val="24"/>
          <w:szCs w:val="24"/>
        </w:rPr>
        <w:t>Dette lægemiddel indeholder mindre end 1 mmol (23 mg) natrium pr. doseringssprøjte (10</w:t>
      </w:r>
      <w:r w:rsidR="00C26C40">
        <w:rPr>
          <w:sz w:val="24"/>
          <w:szCs w:val="24"/>
        </w:rPr>
        <w:t> </w:t>
      </w:r>
      <w:r w:rsidRPr="00F36DFC">
        <w:rPr>
          <w:sz w:val="24"/>
          <w:szCs w:val="24"/>
        </w:rPr>
        <w:t>ml), dvs. det er i det væsentlige natriumfrit.</w:t>
      </w:r>
    </w:p>
    <w:p w14:paraId="56BE47B9" w14:textId="77777777" w:rsidR="009260DE" w:rsidRPr="00F36DFC" w:rsidRDefault="009260DE" w:rsidP="009260DE">
      <w:pPr>
        <w:tabs>
          <w:tab w:val="left" w:pos="851"/>
        </w:tabs>
        <w:ind w:left="851"/>
        <w:rPr>
          <w:sz w:val="24"/>
          <w:szCs w:val="24"/>
        </w:rPr>
      </w:pPr>
    </w:p>
    <w:p w14:paraId="5CD26A68" w14:textId="77777777" w:rsidR="009260DE" w:rsidRPr="00F36DFC" w:rsidRDefault="009260DE" w:rsidP="009260DE">
      <w:pPr>
        <w:tabs>
          <w:tab w:val="left" w:pos="851"/>
        </w:tabs>
        <w:ind w:left="851" w:hanging="851"/>
        <w:rPr>
          <w:b/>
          <w:sz w:val="24"/>
          <w:szCs w:val="24"/>
        </w:rPr>
      </w:pPr>
      <w:r w:rsidRPr="00F36DFC">
        <w:rPr>
          <w:b/>
          <w:sz w:val="24"/>
          <w:szCs w:val="24"/>
        </w:rPr>
        <w:t>4.5</w:t>
      </w:r>
      <w:r w:rsidRPr="00F36DFC">
        <w:rPr>
          <w:b/>
          <w:sz w:val="24"/>
          <w:szCs w:val="24"/>
        </w:rPr>
        <w:tab/>
        <w:t>Interaktion med andre lægemidler og andre former for interaktion</w:t>
      </w:r>
    </w:p>
    <w:p w14:paraId="1A4DD6C6" w14:textId="77777777" w:rsidR="00F36DFC" w:rsidRDefault="00F36DFC" w:rsidP="00D16F2D">
      <w:pPr>
        <w:ind w:left="851"/>
        <w:rPr>
          <w:sz w:val="24"/>
          <w:szCs w:val="24"/>
          <w:u w:val="single"/>
        </w:rPr>
      </w:pPr>
    </w:p>
    <w:p w14:paraId="461BE217" w14:textId="2654FE64" w:rsidR="00F859C7" w:rsidRPr="00F36DFC" w:rsidRDefault="00F859C7" w:rsidP="00D16F2D">
      <w:pPr>
        <w:ind w:left="851"/>
        <w:rPr>
          <w:sz w:val="24"/>
          <w:szCs w:val="24"/>
          <w:u w:val="single"/>
          <w:lang w:eastAsia="de-DE"/>
        </w:rPr>
      </w:pPr>
      <w:r w:rsidRPr="00F36DFC">
        <w:rPr>
          <w:sz w:val="24"/>
          <w:szCs w:val="24"/>
          <w:u w:val="single"/>
        </w:rPr>
        <w:t xml:space="preserve">Virkning af </w:t>
      </w:r>
      <w:proofErr w:type="spellStart"/>
      <w:r w:rsidRPr="00F36DFC">
        <w:rPr>
          <w:sz w:val="24"/>
          <w:szCs w:val="24"/>
          <w:u w:val="single"/>
        </w:rPr>
        <w:t>Zonisamid</w:t>
      </w:r>
      <w:proofErr w:type="spellEnd"/>
      <w:r w:rsidRPr="00F36DFC">
        <w:rPr>
          <w:sz w:val="24"/>
          <w:szCs w:val="24"/>
          <w:u w:val="single"/>
        </w:rPr>
        <w:t xml:space="preserve"> </w:t>
      </w:r>
      <w:r w:rsidR="00C26C40">
        <w:rPr>
          <w:sz w:val="24"/>
          <w:szCs w:val="24"/>
          <w:u w:val="single"/>
        </w:rPr>
        <w:t>"</w:t>
      </w:r>
      <w:proofErr w:type="spellStart"/>
      <w:r w:rsidR="00C26C40">
        <w:rPr>
          <w:sz w:val="24"/>
          <w:szCs w:val="24"/>
          <w:u w:val="single"/>
        </w:rPr>
        <w:t>Desitin</w:t>
      </w:r>
      <w:proofErr w:type="spellEnd"/>
      <w:r w:rsidR="00C26C40">
        <w:rPr>
          <w:sz w:val="24"/>
          <w:szCs w:val="24"/>
          <w:u w:val="single"/>
        </w:rPr>
        <w:t>"</w:t>
      </w:r>
      <w:r w:rsidRPr="00F36DFC">
        <w:rPr>
          <w:sz w:val="24"/>
          <w:szCs w:val="24"/>
          <w:u w:val="single"/>
        </w:rPr>
        <w:t xml:space="preserve"> på CYP-enzymer</w:t>
      </w:r>
    </w:p>
    <w:p w14:paraId="36BD6393" w14:textId="77777777" w:rsidR="00F859C7" w:rsidRPr="00F36DFC" w:rsidRDefault="00F859C7" w:rsidP="00D16F2D">
      <w:pPr>
        <w:ind w:left="851"/>
        <w:rPr>
          <w:sz w:val="24"/>
          <w:szCs w:val="24"/>
        </w:rPr>
      </w:pPr>
    </w:p>
    <w:p w14:paraId="1AA1C25D" w14:textId="6C38FD34" w:rsidR="00F859C7" w:rsidRPr="00F36DFC" w:rsidRDefault="00F859C7" w:rsidP="00D16F2D">
      <w:pPr>
        <w:ind w:left="851"/>
        <w:rPr>
          <w:sz w:val="24"/>
          <w:szCs w:val="24"/>
        </w:rPr>
      </w:pPr>
      <w:r w:rsidRPr="00F36DFC">
        <w:rPr>
          <w:i/>
          <w:iCs/>
          <w:sz w:val="24"/>
          <w:szCs w:val="24"/>
        </w:rPr>
        <w:t xml:space="preserve">In </w:t>
      </w:r>
      <w:proofErr w:type="spellStart"/>
      <w:r w:rsidRPr="00F36DFC">
        <w:rPr>
          <w:i/>
          <w:iCs/>
          <w:sz w:val="24"/>
          <w:szCs w:val="24"/>
        </w:rPr>
        <w:t>vitro</w:t>
      </w:r>
      <w:proofErr w:type="spellEnd"/>
      <w:r w:rsidRPr="00F36DFC">
        <w:rPr>
          <w:i/>
          <w:iCs/>
          <w:sz w:val="24"/>
          <w:szCs w:val="24"/>
        </w:rPr>
        <w:t>-</w:t>
      </w:r>
      <w:r w:rsidRPr="00F36DFC">
        <w:rPr>
          <w:sz w:val="24"/>
          <w:szCs w:val="24"/>
        </w:rPr>
        <w:t xml:space="preserve">studier med anvendelse af humane </w:t>
      </w:r>
      <w:proofErr w:type="spellStart"/>
      <w:r w:rsidRPr="00F36DFC">
        <w:rPr>
          <w:sz w:val="24"/>
          <w:szCs w:val="24"/>
        </w:rPr>
        <w:t>levermikrosomer</w:t>
      </w:r>
      <w:proofErr w:type="spellEnd"/>
      <w:r w:rsidRPr="00F36DFC">
        <w:rPr>
          <w:sz w:val="24"/>
          <w:szCs w:val="24"/>
        </w:rPr>
        <w:t xml:space="preserve"> viser ingen eller lille (&lt; 25 %) hæmning af CYP-</w:t>
      </w:r>
      <w:proofErr w:type="spellStart"/>
      <w:r w:rsidRPr="00F36DFC">
        <w:rPr>
          <w:sz w:val="24"/>
          <w:szCs w:val="24"/>
        </w:rPr>
        <w:t>isozymerne</w:t>
      </w:r>
      <w:proofErr w:type="spellEnd"/>
      <w:r w:rsidRPr="00F36DFC">
        <w:rPr>
          <w:sz w:val="24"/>
          <w:szCs w:val="24"/>
        </w:rPr>
        <w:t xml:space="preserve"> 1A2, 2A6, 2B6, 2C8, 2C9, 2C19, 2D6, 2E1 eller 3A4 ved koncentrationer af </w:t>
      </w:r>
      <w:proofErr w:type="spellStart"/>
      <w:r w:rsidRPr="00F36DFC">
        <w:rPr>
          <w:sz w:val="24"/>
          <w:szCs w:val="24"/>
        </w:rPr>
        <w:t>zonisamid</w:t>
      </w:r>
      <w:proofErr w:type="spellEnd"/>
      <w:r w:rsidRPr="00F36DFC">
        <w:rPr>
          <w:sz w:val="24"/>
          <w:szCs w:val="24"/>
        </w:rPr>
        <w:t xml:space="preserve">, der er omkring 2 gange eller større end klinisk relevante ubundne serumkoncentrationer. Det forventes derfor ikke, at </w:t>
      </w:r>
      <w:proofErr w:type="spellStart"/>
      <w:r w:rsidRPr="00F36DFC">
        <w:rPr>
          <w:sz w:val="24"/>
          <w:szCs w:val="24"/>
        </w:rPr>
        <w:t>Zonisamid</w:t>
      </w:r>
      <w:proofErr w:type="spellEnd"/>
      <w:r w:rsidRPr="00F36DFC">
        <w:rPr>
          <w:sz w:val="24"/>
          <w:szCs w:val="24"/>
        </w:rPr>
        <w:t xml:space="preserve"> </w:t>
      </w:r>
      <w:r w:rsidR="00C26C40">
        <w:rPr>
          <w:sz w:val="24"/>
          <w:szCs w:val="24"/>
        </w:rPr>
        <w:t>"</w:t>
      </w:r>
      <w:proofErr w:type="spellStart"/>
      <w:r w:rsidR="00C26C40">
        <w:rPr>
          <w:sz w:val="24"/>
          <w:szCs w:val="24"/>
        </w:rPr>
        <w:t>Desitin</w:t>
      </w:r>
      <w:proofErr w:type="spellEnd"/>
      <w:r w:rsidR="00C26C40">
        <w:rPr>
          <w:sz w:val="24"/>
          <w:szCs w:val="24"/>
        </w:rPr>
        <w:t>"</w:t>
      </w:r>
      <w:r w:rsidRPr="00F36DFC">
        <w:rPr>
          <w:sz w:val="24"/>
          <w:szCs w:val="24"/>
        </w:rPr>
        <w:t xml:space="preserve"> påvirker farmakokinetikken af andre lægemidler via CYP medierede mekanismer, som det er vist for </w:t>
      </w:r>
      <w:proofErr w:type="spellStart"/>
      <w:r w:rsidRPr="00F36DFC">
        <w:rPr>
          <w:sz w:val="24"/>
          <w:szCs w:val="24"/>
        </w:rPr>
        <w:t>carbamazepin</w:t>
      </w:r>
      <w:proofErr w:type="spellEnd"/>
      <w:r w:rsidRPr="00F36DFC">
        <w:rPr>
          <w:sz w:val="24"/>
          <w:szCs w:val="24"/>
        </w:rPr>
        <w:t xml:space="preserve">, </w:t>
      </w:r>
      <w:proofErr w:type="spellStart"/>
      <w:r w:rsidRPr="00F36DFC">
        <w:rPr>
          <w:sz w:val="24"/>
          <w:szCs w:val="24"/>
        </w:rPr>
        <w:t>phenytoin</w:t>
      </w:r>
      <w:proofErr w:type="spellEnd"/>
      <w:r w:rsidRPr="00F36DFC">
        <w:rPr>
          <w:sz w:val="24"/>
          <w:szCs w:val="24"/>
        </w:rPr>
        <w:t xml:space="preserve">, </w:t>
      </w:r>
      <w:proofErr w:type="spellStart"/>
      <w:r w:rsidRPr="00F36DFC">
        <w:rPr>
          <w:sz w:val="24"/>
          <w:szCs w:val="24"/>
        </w:rPr>
        <w:t>ethinylestradiol</w:t>
      </w:r>
      <w:proofErr w:type="spellEnd"/>
      <w:r w:rsidRPr="00F36DFC">
        <w:rPr>
          <w:sz w:val="24"/>
          <w:szCs w:val="24"/>
        </w:rPr>
        <w:t xml:space="preserve"> og </w:t>
      </w:r>
      <w:proofErr w:type="spellStart"/>
      <w:r w:rsidRPr="00F36DFC">
        <w:rPr>
          <w:sz w:val="24"/>
          <w:szCs w:val="24"/>
        </w:rPr>
        <w:t>desipramin</w:t>
      </w:r>
      <w:proofErr w:type="spellEnd"/>
      <w:r w:rsidRPr="00F36DFC">
        <w:rPr>
          <w:sz w:val="24"/>
          <w:szCs w:val="24"/>
        </w:rPr>
        <w:t xml:space="preserve"> </w:t>
      </w:r>
      <w:r w:rsidRPr="00F36DFC">
        <w:rPr>
          <w:i/>
          <w:iCs/>
          <w:sz w:val="24"/>
          <w:szCs w:val="24"/>
        </w:rPr>
        <w:t xml:space="preserve">in </w:t>
      </w:r>
      <w:proofErr w:type="spellStart"/>
      <w:r w:rsidRPr="00F36DFC">
        <w:rPr>
          <w:i/>
          <w:iCs/>
          <w:sz w:val="24"/>
          <w:szCs w:val="24"/>
        </w:rPr>
        <w:t>vivo</w:t>
      </w:r>
      <w:proofErr w:type="spellEnd"/>
      <w:r w:rsidRPr="00F36DFC">
        <w:rPr>
          <w:sz w:val="24"/>
          <w:szCs w:val="24"/>
        </w:rPr>
        <w:t>.</w:t>
      </w:r>
    </w:p>
    <w:p w14:paraId="4AAA39F5" w14:textId="77777777" w:rsidR="00F859C7" w:rsidRPr="00F36DFC" w:rsidRDefault="00F859C7" w:rsidP="00D16F2D">
      <w:pPr>
        <w:ind w:left="851"/>
        <w:rPr>
          <w:sz w:val="24"/>
          <w:szCs w:val="24"/>
        </w:rPr>
      </w:pPr>
    </w:p>
    <w:p w14:paraId="7F7E537A" w14:textId="513D289B" w:rsidR="00F859C7" w:rsidRPr="00F36DFC" w:rsidRDefault="00F859C7" w:rsidP="00D16F2D">
      <w:pPr>
        <w:ind w:left="851"/>
        <w:rPr>
          <w:sz w:val="24"/>
          <w:szCs w:val="24"/>
          <w:u w:val="single"/>
        </w:rPr>
      </w:pPr>
      <w:proofErr w:type="spellStart"/>
      <w:r w:rsidRPr="00F36DFC">
        <w:rPr>
          <w:sz w:val="24"/>
          <w:szCs w:val="24"/>
          <w:u w:val="single"/>
        </w:rPr>
        <w:t>Zonisamid</w:t>
      </w:r>
      <w:proofErr w:type="spellEnd"/>
      <w:r w:rsidRPr="00F36DFC">
        <w:rPr>
          <w:sz w:val="24"/>
          <w:szCs w:val="24"/>
          <w:u w:val="single"/>
        </w:rPr>
        <w:t xml:space="preserve"> </w:t>
      </w:r>
      <w:r w:rsidR="00C26C40">
        <w:rPr>
          <w:sz w:val="24"/>
          <w:szCs w:val="24"/>
          <w:u w:val="single"/>
        </w:rPr>
        <w:t>"</w:t>
      </w:r>
      <w:proofErr w:type="spellStart"/>
      <w:r w:rsidR="00C26C40">
        <w:rPr>
          <w:sz w:val="24"/>
          <w:szCs w:val="24"/>
          <w:u w:val="single"/>
        </w:rPr>
        <w:t>Desitin"</w:t>
      </w:r>
      <w:r w:rsidRPr="00F36DFC">
        <w:rPr>
          <w:sz w:val="24"/>
          <w:szCs w:val="24"/>
          <w:u w:val="single"/>
        </w:rPr>
        <w:t>s</w:t>
      </w:r>
      <w:proofErr w:type="spellEnd"/>
      <w:r w:rsidRPr="00F36DFC">
        <w:rPr>
          <w:sz w:val="24"/>
          <w:szCs w:val="24"/>
          <w:u w:val="single"/>
        </w:rPr>
        <w:t xml:space="preserve"> mulighed for at indvirke på andre lægemidler</w:t>
      </w:r>
    </w:p>
    <w:p w14:paraId="2C55699B" w14:textId="77777777" w:rsidR="00F859C7" w:rsidRPr="00F36DFC" w:rsidRDefault="00F859C7" w:rsidP="00D16F2D">
      <w:pPr>
        <w:ind w:left="851"/>
        <w:rPr>
          <w:sz w:val="24"/>
          <w:szCs w:val="24"/>
        </w:rPr>
      </w:pPr>
    </w:p>
    <w:p w14:paraId="63C12391" w14:textId="77777777" w:rsidR="00F859C7" w:rsidRPr="00F36DFC" w:rsidRDefault="00F859C7" w:rsidP="00D16F2D">
      <w:pPr>
        <w:ind w:left="851"/>
        <w:rPr>
          <w:i/>
          <w:sz w:val="24"/>
          <w:szCs w:val="24"/>
        </w:rPr>
      </w:pPr>
      <w:proofErr w:type="spellStart"/>
      <w:r w:rsidRPr="00F36DFC">
        <w:rPr>
          <w:i/>
          <w:iCs/>
          <w:sz w:val="24"/>
          <w:szCs w:val="24"/>
        </w:rPr>
        <w:t>Antiepileptika</w:t>
      </w:r>
      <w:proofErr w:type="spellEnd"/>
    </w:p>
    <w:p w14:paraId="037E5DBA" w14:textId="1D0DA8D0" w:rsidR="00F859C7" w:rsidRPr="00F36DFC" w:rsidRDefault="00F859C7" w:rsidP="00D16F2D">
      <w:pPr>
        <w:ind w:left="851"/>
        <w:rPr>
          <w:sz w:val="24"/>
          <w:szCs w:val="24"/>
        </w:rPr>
      </w:pPr>
      <w:r w:rsidRPr="00F36DFC">
        <w:rPr>
          <w:sz w:val="24"/>
          <w:szCs w:val="24"/>
        </w:rPr>
        <w:t xml:space="preserve">Hos epilepsipatienter resulterede </w:t>
      </w:r>
      <w:proofErr w:type="spellStart"/>
      <w:r w:rsidRPr="00F36DFC">
        <w:rPr>
          <w:sz w:val="24"/>
          <w:szCs w:val="24"/>
        </w:rPr>
        <w:t>steady</w:t>
      </w:r>
      <w:proofErr w:type="spellEnd"/>
      <w:r w:rsidRPr="00F36DFC">
        <w:rPr>
          <w:sz w:val="24"/>
          <w:szCs w:val="24"/>
        </w:rPr>
        <w:t xml:space="preserve">-state-dosering med </w:t>
      </w:r>
      <w:proofErr w:type="spellStart"/>
      <w:r w:rsidRPr="00F36DFC">
        <w:rPr>
          <w:sz w:val="24"/>
          <w:szCs w:val="24"/>
        </w:rPr>
        <w:t>Zonisamid</w:t>
      </w:r>
      <w:proofErr w:type="spellEnd"/>
      <w:r w:rsidRPr="00F36DFC">
        <w:rPr>
          <w:sz w:val="24"/>
          <w:szCs w:val="24"/>
        </w:rPr>
        <w:t xml:space="preserve"> </w:t>
      </w:r>
      <w:r w:rsidR="00C26C40">
        <w:rPr>
          <w:sz w:val="24"/>
          <w:szCs w:val="24"/>
        </w:rPr>
        <w:t>"</w:t>
      </w:r>
      <w:proofErr w:type="spellStart"/>
      <w:r w:rsidR="00C26C40">
        <w:rPr>
          <w:sz w:val="24"/>
          <w:szCs w:val="24"/>
        </w:rPr>
        <w:t>Desitin</w:t>
      </w:r>
      <w:proofErr w:type="spellEnd"/>
      <w:r w:rsidR="00C26C40">
        <w:rPr>
          <w:sz w:val="24"/>
          <w:szCs w:val="24"/>
        </w:rPr>
        <w:t>"</w:t>
      </w:r>
      <w:r w:rsidRPr="00F36DFC">
        <w:rPr>
          <w:sz w:val="24"/>
          <w:szCs w:val="24"/>
        </w:rPr>
        <w:t xml:space="preserve"> ikke i klinisk relevante </w:t>
      </w:r>
      <w:proofErr w:type="spellStart"/>
      <w:r w:rsidRPr="00F36DFC">
        <w:rPr>
          <w:sz w:val="24"/>
          <w:szCs w:val="24"/>
        </w:rPr>
        <w:t>farmakokinetiske</w:t>
      </w:r>
      <w:proofErr w:type="spellEnd"/>
      <w:r w:rsidRPr="00F36DFC">
        <w:rPr>
          <w:sz w:val="24"/>
          <w:szCs w:val="24"/>
        </w:rPr>
        <w:t xml:space="preserve"> virkninger på </w:t>
      </w:r>
      <w:proofErr w:type="spellStart"/>
      <w:r w:rsidRPr="00F36DFC">
        <w:rPr>
          <w:sz w:val="24"/>
          <w:szCs w:val="24"/>
        </w:rPr>
        <w:t>carbamazepin</w:t>
      </w:r>
      <w:proofErr w:type="spellEnd"/>
      <w:r w:rsidRPr="00F36DFC">
        <w:rPr>
          <w:sz w:val="24"/>
          <w:szCs w:val="24"/>
        </w:rPr>
        <w:t xml:space="preserve">, </w:t>
      </w:r>
      <w:proofErr w:type="spellStart"/>
      <w:r w:rsidRPr="00F36DFC">
        <w:rPr>
          <w:sz w:val="24"/>
          <w:szCs w:val="24"/>
        </w:rPr>
        <w:t>lamotrigin</w:t>
      </w:r>
      <w:proofErr w:type="spellEnd"/>
      <w:r w:rsidRPr="00F36DFC">
        <w:rPr>
          <w:sz w:val="24"/>
          <w:szCs w:val="24"/>
        </w:rPr>
        <w:t xml:space="preserve">, </w:t>
      </w:r>
      <w:proofErr w:type="spellStart"/>
      <w:r w:rsidRPr="00F36DFC">
        <w:rPr>
          <w:sz w:val="24"/>
          <w:szCs w:val="24"/>
        </w:rPr>
        <w:t>phenytoin</w:t>
      </w:r>
      <w:proofErr w:type="spellEnd"/>
      <w:r w:rsidRPr="00F36DFC">
        <w:rPr>
          <w:sz w:val="24"/>
          <w:szCs w:val="24"/>
        </w:rPr>
        <w:t xml:space="preserve"> eller </w:t>
      </w:r>
      <w:proofErr w:type="spellStart"/>
      <w:r w:rsidRPr="00F36DFC">
        <w:rPr>
          <w:sz w:val="24"/>
          <w:szCs w:val="24"/>
        </w:rPr>
        <w:t>natriumvalproat</w:t>
      </w:r>
      <w:proofErr w:type="spellEnd"/>
      <w:r w:rsidRPr="00F36DFC">
        <w:rPr>
          <w:sz w:val="24"/>
          <w:szCs w:val="24"/>
        </w:rPr>
        <w:t>.</w:t>
      </w:r>
    </w:p>
    <w:p w14:paraId="21DE5933" w14:textId="77777777" w:rsidR="00F859C7" w:rsidRPr="00F36DFC" w:rsidRDefault="00F859C7" w:rsidP="00D16F2D">
      <w:pPr>
        <w:ind w:left="851"/>
        <w:rPr>
          <w:sz w:val="24"/>
          <w:szCs w:val="24"/>
        </w:rPr>
      </w:pPr>
    </w:p>
    <w:p w14:paraId="6A10CEF1" w14:textId="77777777" w:rsidR="00F859C7" w:rsidRPr="00F36DFC" w:rsidRDefault="00F859C7" w:rsidP="00D16F2D">
      <w:pPr>
        <w:ind w:left="851"/>
        <w:rPr>
          <w:i/>
          <w:sz w:val="24"/>
          <w:szCs w:val="24"/>
        </w:rPr>
      </w:pPr>
      <w:r w:rsidRPr="00F36DFC">
        <w:rPr>
          <w:i/>
          <w:iCs/>
          <w:sz w:val="24"/>
          <w:szCs w:val="24"/>
        </w:rPr>
        <w:t xml:space="preserve">Orale </w:t>
      </w:r>
      <w:proofErr w:type="spellStart"/>
      <w:r w:rsidRPr="00F36DFC">
        <w:rPr>
          <w:i/>
          <w:iCs/>
          <w:sz w:val="24"/>
          <w:szCs w:val="24"/>
        </w:rPr>
        <w:t>kontraceptiva</w:t>
      </w:r>
      <w:proofErr w:type="spellEnd"/>
    </w:p>
    <w:p w14:paraId="21DFF674" w14:textId="3918A4F8" w:rsidR="00F859C7" w:rsidRPr="00F36DFC" w:rsidRDefault="00F859C7" w:rsidP="00D16F2D">
      <w:pPr>
        <w:ind w:left="851"/>
        <w:rPr>
          <w:sz w:val="24"/>
          <w:szCs w:val="24"/>
        </w:rPr>
      </w:pPr>
      <w:r w:rsidRPr="00F36DFC">
        <w:rPr>
          <w:sz w:val="24"/>
          <w:szCs w:val="24"/>
        </w:rPr>
        <w:t xml:space="preserve">I kliniske studier af raske forsøgspersoner påvirkede </w:t>
      </w:r>
      <w:proofErr w:type="spellStart"/>
      <w:r w:rsidRPr="00F36DFC">
        <w:rPr>
          <w:sz w:val="24"/>
          <w:szCs w:val="24"/>
        </w:rPr>
        <w:t>steady</w:t>
      </w:r>
      <w:proofErr w:type="spellEnd"/>
      <w:r w:rsidRPr="00F36DFC">
        <w:rPr>
          <w:sz w:val="24"/>
          <w:szCs w:val="24"/>
        </w:rPr>
        <w:t xml:space="preserve">-state-dosering med </w:t>
      </w:r>
      <w:proofErr w:type="spellStart"/>
      <w:r w:rsidRPr="00F36DFC">
        <w:rPr>
          <w:sz w:val="24"/>
          <w:szCs w:val="24"/>
        </w:rPr>
        <w:t>Zonisamid</w:t>
      </w:r>
      <w:proofErr w:type="spellEnd"/>
      <w:r w:rsidRPr="00F36DFC">
        <w:rPr>
          <w:sz w:val="24"/>
          <w:szCs w:val="24"/>
        </w:rPr>
        <w:t xml:space="preserve"> </w:t>
      </w:r>
      <w:r w:rsidR="00C26C40">
        <w:rPr>
          <w:sz w:val="24"/>
          <w:szCs w:val="24"/>
        </w:rPr>
        <w:t>"</w:t>
      </w:r>
      <w:proofErr w:type="spellStart"/>
      <w:r w:rsidR="00C26C40">
        <w:rPr>
          <w:sz w:val="24"/>
          <w:szCs w:val="24"/>
        </w:rPr>
        <w:t>Desitin</w:t>
      </w:r>
      <w:proofErr w:type="spellEnd"/>
      <w:r w:rsidR="00C26C40">
        <w:rPr>
          <w:sz w:val="24"/>
          <w:szCs w:val="24"/>
        </w:rPr>
        <w:t>"</w:t>
      </w:r>
      <w:r w:rsidRPr="00F36DFC">
        <w:rPr>
          <w:sz w:val="24"/>
          <w:szCs w:val="24"/>
        </w:rPr>
        <w:t xml:space="preserve"> ikke serumkoncentrationen af </w:t>
      </w:r>
      <w:proofErr w:type="spellStart"/>
      <w:r w:rsidRPr="00F36DFC">
        <w:rPr>
          <w:sz w:val="24"/>
          <w:szCs w:val="24"/>
        </w:rPr>
        <w:t>ethinylestradiol</w:t>
      </w:r>
      <w:proofErr w:type="spellEnd"/>
      <w:r w:rsidRPr="00F36DFC">
        <w:rPr>
          <w:sz w:val="24"/>
          <w:szCs w:val="24"/>
        </w:rPr>
        <w:t xml:space="preserve"> eller </w:t>
      </w:r>
      <w:proofErr w:type="spellStart"/>
      <w:r w:rsidRPr="00F36DFC">
        <w:rPr>
          <w:sz w:val="24"/>
          <w:szCs w:val="24"/>
        </w:rPr>
        <w:t>norethisteron</w:t>
      </w:r>
      <w:proofErr w:type="spellEnd"/>
      <w:r w:rsidRPr="00F36DFC">
        <w:rPr>
          <w:sz w:val="24"/>
          <w:szCs w:val="24"/>
        </w:rPr>
        <w:t xml:space="preserve"> i et kombineret oralt </w:t>
      </w:r>
      <w:proofErr w:type="spellStart"/>
      <w:r w:rsidRPr="00F36DFC">
        <w:rPr>
          <w:sz w:val="24"/>
          <w:szCs w:val="24"/>
        </w:rPr>
        <w:t>kontraceptivum</w:t>
      </w:r>
      <w:proofErr w:type="spellEnd"/>
      <w:r w:rsidRPr="00F36DFC">
        <w:rPr>
          <w:sz w:val="24"/>
          <w:szCs w:val="24"/>
        </w:rPr>
        <w:t>.</w:t>
      </w:r>
    </w:p>
    <w:p w14:paraId="27FE8022" w14:textId="77777777" w:rsidR="00F859C7" w:rsidRPr="00F36DFC" w:rsidRDefault="00F859C7" w:rsidP="00D16F2D">
      <w:pPr>
        <w:ind w:left="851"/>
        <w:rPr>
          <w:sz w:val="24"/>
          <w:szCs w:val="24"/>
        </w:rPr>
      </w:pPr>
    </w:p>
    <w:p w14:paraId="69865078" w14:textId="77777777" w:rsidR="00F859C7" w:rsidRPr="00F36DFC" w:rsidRDefault="00F859C7" w:rsidP="00D16F2D">
      <w:pPr>
        <w:ind w:left="851"/>
        <w:rPr>
          <w:i/>
          <w:sz w:val="24"/>
          <w:szCs w:val="24"/>
        </w:rPr>
      </w:pPr>
      <w:proofErr w:type="spellStart"/>
      <w:r w:rsidRPr="00F36DFC">
        <w:rPr>
          <w:i/>
          <w:iCs/>
          <w:sz w:val="24"/>
          <w:szCs w:val="24"/>
        </w:rPr>
        <w:t>Kulsyreanhydrasehæmmere</w:t>
      </w:r>
      <w:proofErr w:type="spellEnd"/>
    </w:p>
    <w:p w14:paraId="60CA0DAB" w14:textId="4B4B9136" w:rsidR="00F859C7" w:rsidRPr="00F36DFC" w:rsidRDefault="00F859C7" w:rsidP="00D16F2D">
      <w:pPr>
        <w:ind w:left="851"/>
        <w:rPr>
          <w:sz w:val="24"/>
          <w:szCs w:val="24"/>
        </w:rPr>
      </w:pPr>
      <w:proofErr w:type="spellStart"/>
      <w:r w:rsidRPr="00F36DFC">
        <w:rPr>
          <w:sz w:val="24"/>
          <w:szCs w:val="24"/>
        </w:rPr>
        <w:t>Zonisamid</w:t>
      </w:r>
      <w:proofErr w:type="spellEnd"/>
      <w:r w:rsidRPr="00F36DFC">
        <w:rPr>
          <w:sz w:val="24"/>
          <w:szCs w:val="24"/>
        </w:rPr>
        <w:t xml:space="preserve"> </w:t>
      </w:r>
      <w:r w:rsidR="00C26C40">
        <w:rPr>
          <w:sz w:val="24"/>
          <w:szCs w:val="24"/>
        </w:rPr>
        <w:t>"</w:t>
      </w:r>
      <w:proofErr w:type="spellStart"/>
      <w:r w:rsidR="00C26C40">
        <w:rPr>
          <w:sz w:val="24"/>
          <w:szCs w:val="24"/>
        </w:rPr>
        <w:t>Desitin</w:t>
      </w:r>
      <w:proofErr w:type="spellEnd"/>
      <w:r w:rsidR="00C26C40">
        <w:rPr>
          <w:sz w:val="24"/>
          <w:szCs w:val="24"/>
        </w:rPr>
        <w:t>"</w:t>
      </w:r>
      <w:r w:rsidRPr="00F36DFC">
        <w:rPr>
          <w:sz w:val="24"/>
          <w:szCs w:val="24"/>
        </w:rPr>
        <w:t xml:space="preserve"> bør anvendes med forsigtighed hos voksne patienter, der samtidig behandles med </w:t>
      </w:r>
      <w:proofErr w:type="spellStart"/>
      <w:r w:rsidRPr="00F36DFC">
        <w:rPr>
          <w:sz w:val="24"/>
          <w:szCs w:val="24"/>
        </w:rPr>
        <w:t>kulsyreanhydrasehæmmere</w:t>
      </w:r>
      <w:proofErr w:type="spellEnd"/>
      <w:r w:rsidRPr="00F36DFC">
        <w:rPr>
          <w:sz w:val="24"/>
          <w:szCs w:val="24"/>
        </w:rPr>
        <w:t xml:space="preserve"> såsom </w:t>
      </w:r>
      <w:proofErr w:type="spellStart"/>
      <w:r w:rsidRPr="00F36DFC">
        <w:rPr>
          <w:sz w:val="24"/>
          <w:szCs w:val="24"/>
        </w:rPr>
        <w:t>topiramat</w:t>
      </w:r>
      <w:proofErr w:type="spellEnd"/>
      <w:r w:rsidRPr="00F36DFC">
        <w:rPr>
          <w:sz w:val="24"/>
          <w:szCs w:val="24"/>
        </w:rPr>
        <w:t xml:space="preserve"> og </w:t>
      </w:r>
      <w:proofErr w:type="spellStart"/>
      <w:r w:rsidRPr="00F36DFC">
        <w:rPr>
          <w:sz w:val="24"/>
          <w:szCs w:val="24"/>
        </w:rPr>
        <w:t>acetazolamid</w:t>
      </w:r>
      <w:proofErr w:type="spellEnd"/>
      <w:r w:rsidRPr="00F36DFC">
        <w:rPr>
          <w:sz w:val="24"/>
          <w:szCs w:val="24"/>
        </w:rPr>
        <w:t xml:space="preserve">, da der foreligger utilstrækkelige data til at udelukke en mulig </w:t>
      </w:r>
      <w:proofErr w:type="spellStart"/>
      <w:r w:rsidRPr="00F36DFC">
        <w:rPr>
          <w:sz w:val="24"/>
          <w:szCs w:val="24"/>
        </w:rPr>
        <w:t>farmakodynamisk</w:t>
      </w:r>
      <w:proofErr w:type="spellEnd"/>
      <w:r w:rsidRPr="00F36DFC">
        <w:rPr>
          <w:sz w:val="24"/>
          <w:szCs w:val="24"/>
        </w:rPr>
        <w:t xml:space="preserve"> interaktion (se pkt. 4.4).</w:t>
      </w:r>
    </w:p>
    <w:p w14:paraId="427B3F8C" w14:textId="77777777" w:rsidR="00F859C7" w:rsidRPr="00F36DFC" w:rsidRDefault="00F859C7" w:rsidP="00D16F2D">
      <w:pPr>
        <w:ind w:left="851"/>
        <w:rPr>
          <w:sz w:val="24"/>
          <w:szCs w:val="24"/>
        </w:rPr>
      </w:pPr>
    </w:p>
    <w:p w14:paraId="0D41C351" w14:textId="23A2B9FF" w:rsidR="00F859C7" w:rsidRPr="00F36DFC" w:rsidRDefault="00F859C7" w:rsidP="00D16F2D">
      <w:pPr>
        <w:ind w:left="851"/>
        <w:rPr>
          <w:sz w:val="24"/>
          <w:szCs w:val="24"/>
        </w:rPr>
      </w:pPr>
      <w:proofErr w:type="spellStart"/>
      <w:r w:rsidRPr="00F36DFC">
        <w:rPr>
          <w:sz w:val="24"/>
          <w:szCs w:val="24"/>
        </w:rPr>
        <w:t>Zonisamid</w:t>
      </w:r>
      <w:proofErr w:type="spellEnd"/>
      <w:r w:rsidRPr="00F36DFC">
        <w:rPr>
          <w:sz w:val="24"/>
          <w:szCs w:val="24"/>
        </w:rPr>
        <w:t xml:space="preserve"> </w:t>
      </w:r>
      <w:r w:rsidR="00C26C40">
        <w:rPr>
          <w:sz w:val="24"/>
          <w:szCs w:val="24"/>
        </w:rPr>
        <w:t>"</w:t>
      </w:r>
      <w:proofErr w:type="spellStart"/>
      <w:r w:rsidR="00C26C40">
        <w:rPr>
          <w:sz w:val="24"/>
          <w:szCs w:val="24"/>
        </w:rPr>
        <w:t>Desitin</w:t>
      </w:r>
      <w:proofErr w:type="spellEnd"/>
      <w:r w:rsidR="00C26C40">
        <w:rPr>
          <w:sz w:val="24"/>
          <w:szCs w:val="24"/>
        </w:rPr>
        <w:t>"</w:t>
      </w:r>
      <w:r w:rsidRPr="00F36DFC">
        <w:rPr>
          <w:sz w:val="24"/>
          <w:szCs w:val="24"/>
        </w:rPr>
        <w:t xml:space="preserve"> må ikke bruges hos pædiatriske patienter samtidig med andre </w:t>
      </w:r>
      <w:proofErr w:type="spellStart"/>
      <w:r w:rsidRPr="00F36DFC">
        <w:rPr>
          <w:sz w:val="24"/>
          <w:szCs w:val="24"/>
        </w:rPr>
        <w:t>kulsyreanhydrasehæmmere</w:t>
      </w:r>
      <w:proofErr w:type="spellEnd"/>
      <w:r w:rsidRPr="00F36DFC">
        <w:rPr>
          <w:sz w:val="24"/>
          <w:szCs w:val="24"/>
        </w:rPr>
        <w:t xml:space="preserve"> såsom </w:t>
      </w:r>
      <w:proofErr w:type="spellStart"/>
      <w:r w:rsidRPr="00F36DFC">
        <w:rPr>
          <w:sz w:val="24"/>
          <w:szCs w:val="24"/>
        </w:rPr>
        <w:t>topiramat</w:t>
      </w:r>
      <w:proofErr w:type="spellEnd"/>
      <w:r w:rsidRPr="00F36DFC">
        <w:rPr>
          <w:sz w:val="24"/>
          <w:szCs w:val="24"/>
        </w:rPr>
        <w:t xml:space="preserve"> og </w:t>
      </w:r>
      <w:proofErr w:type="spellStart"/>
      <w:r w:rsidRPr="00F36DFC">
        <w:rPr>
          <w:sz w:val="24"/>
          <w:szCs w:val="24"/>
        </w:rPr>
        <w:t>acetazolamid</w:t>
      </w:r>
      <w:proofErr w:type="spellEnd"/>
      <w:r w:rsidRPr="00F36DFC">
        <w:rPr>
          <w:sz w:val="24"/>
          <w:szCs w:val="24"/>
        </w:rPr>
        <w:t xml:space="preserve"> (se pkt. 4.4).</w:t>
      </w:r>
    </w:p>
    <w:p w14:paraId="2EEEABA8" w14:textId="77777777" w:rsidR="00F859C7" w:rsidRPr="00F36DFC" w:rsidRDefault="00F859C7" w:rsidP="00D16F2D">
      <w:pPr>
        <w:ind w:left="851"/>
        <w:rPr>
          <w:sz w:val="24"/>
          <w:szCs w:val="24"/>
        </w:rPr>
      </w:pPr>
    </w:p>
    <w:p w14:paraId="153C0C79" w14:textId="77777777" w:rsidR="00F859C7" w:rsidRPr="00F36DFC" w:rsidRDefault="00F859C7" w:rsidP="00D16F2D">
      <w:pPr>
        <w:ind w:left="851"/>
        <w:rPr>
          <w:i/>
          <w:sz w:val="24"/>
          <w:szCs w:val="24"/>
        </w:rPr>
      </w:pPr>
      <w:r w:rsidRPr="00F36DFC">
        <w:rPr>
          <w:i/>
          <w:iCs/>
          <w:sz w:val="24"/>
          <w:szCs w:val="24"/>
        </w:rPr>
        <w:t>P-</w:t>
      </w:r>
      <w:proofErr w:type="spellStart"/>
      <w:r w:rsidRPr="00F36DFC">
        <w:rPr>
          <w:i/>
          <w:iCs/>
          <w:sz w:val="24"/>
          <w:szCs w:val="24"/>
        </w:rPr>
        <w:t>glykoprotein</w:t>
      </w:r>
      <w:proofErr w:type="spellEnd"/>
      <w:r w:rsidRPr="00F36DFC">
        <w:rPr>
          <w:i/>
          <w:iCs/>
          <w:sz w:val="24"/>
          <w:szCs w:val="24"/>
        </w:rPr>
        <w:t>-substrat</w:t>
      </w:r>
    </w:p>
    <w:p w14:paraId="3BB73987" w14:textId="77777777" w:rsidR="00F859C7" w:rsidRPr="00F36DFC" w:rsidRDefault="00F859C7" w:rsidP="00D16F2D">
      <w:pPr>
        <w:ind w:left="851"/>
        <w:rPr>
          <w:sz w:val="24"/>
          <w:szCs w:val="24"/>
        </w:rPr>
      </w:pPr>
      <w:r w:rsidRPr="00F36DFC">
        <w:rPr>
          <w:sz w:val="24"/>
          <w:szCs w:val="24"/>
        </w:rPr>
        <w:t>Et</w:t>
      </w:r>
      <w:r w:rsidRPr="00F36DFC">
        <w:rPr>
          <w:i/>
          <w:iCs/>
          <w:sz w:val="24"/>
          <w:szCs w:val="24"/>
        </w:rPr>
        <w:t xml:space="preserve"> in </w:t>
      </w:r>
      <w:proofErr w:type="spellStart"/>
      <w:r w:rsidRPr="00F36DFC">
        <w:rPr>
          <w:i/>
          <w:iCs/>
          <w:sz w:val="24"/>
          <w:szCs w:val="24"/>
        </w:rPr>
        <w:t>vitro</w:t>
      </w:r>
      <w:proofErr w:type="spellEnd"/>
      <w:r w:rsidRPr="00F36DFC">
        <w:rPr>
          <w:i/>
          <w:iCs/>
          <w:sz w:val="24"/>
          <w:szCs w:val="24"/>
        </w:rPr>
        <w:t>-</w:t>
      </w:r>
      <w:r w:rsidRPr="00F36DFC">
        <w:rPr>
          <w:sz w:val="24"/>
          <w:szCs w:val="24"/>
        </w:rPr>
        <w:t xml:space="preserve">studie viser, at </w:t>
      </w:r>
      <w:proofErr w:type="spellStart"/>
      <w:r w:rsidRPr="00F36DFC">
        <w:rPr>
          <w:sz w:val="24"/>
          <w:szCs w:val="24"/>
        </w:rPr>
        <w:t>zonisamid</w:t>
      </w:r>
      <w:proofErr w:type="spellEnd"/>
      <w:r w:rsidRPr="00F36DFC">
        <w:rPr>
          <w:sz w:val="24"/>
          <w:szCs w:val="24"/>
        </w:rPr>
        <w:t xml:space="preserve"> er en svag hæmmer af P-</w:t>
      </w:r>
      <w:proofErr w:type="spellStart"/>
      <w:r w:rsidRPr="00F36DFC">
        <w:rPr>
          <w:sz w:val="24"/>
          <w:szCs w:val="24"/>
        </w:rPr>
        <w:t>glykoprotein</w:t>
      </w:r>
      <w:proofErr w:type="spellEnd"/>
      <w:r w:rsidRPr="00F36DFC">
        <w:rPr>
          <w:sz w:val="24"/>
          <w:szCs w:val="24"/>
        </w:rPr>
        <w:t xml:space="preserve"> (P-gp) (MDR1) med en IC</w:t>
      </w:r>
      <w:r w:rsidRPr="00F36DFC">
        <w:rPr>
          <w:sz w:val="24"/>
          <w:szCs w:val="24"/>
          <w:vertAlign w:val="subscript"/>
        </w:rPr>
        <w:t>50</w:t>
      </w:r>
      <w:r w:rsidRPr="00F36DFC">
        <w:rPr>
          <w:sz w:val="24"/>
          <w:szCs w:val="24"/>
        </w:rPr>
        <w:t xml:space="preserve"> på 267 µmol/l, og </w:t>
      </w:r>
      <w:proofErr w:type="spellStart"/>
      <w:r w:rsidRPr="00F36DFC">
        <w:rPr>
          <w:sz w:val="24"/>
          <w:szCs w:val="24"/>
        </w:rPr>
        <w:t>zonisamid</w:t>
      </w:r>
      <w:proofErr w:type="spellEnd"/>
      <w:r w:rsidRPr="00F36DFC">
        <w:rPr>
          <w:sz w:val="24"/>
          <w:szCs w:val="24"/>
        </w:rPr>
        <w:t xml:space="preserve"> kan i teorien påvirke farmakokinetikken for stoffer, der er P-gp-substrater. Det tilrådes at udvise forsigtighed, når </w:t>
      </w:r>
      <w:proofErr w:type="spellStart"/>
      <w:r w:rsidRPr="00F36DFC">
        <w:rPr>
          <w:sz w:val="24"/>
          <w:szCs w:val="24"/>
        </w:rPr>
        <w:t>zonisamid</w:t>
      </w:r>
      <w:proofErr w:type="spellEnd"/>
      <w:r w:rsidRPr="00F36DFC">
        <w:rPr>
          <w:sz w:val="24"/>
          <w:szCs w:val="24"/>
        </w:rPr>
        <w:t xml:space="preserve">-behandling iværksættes eller standses, eller når </w:t>
      </w:r>
      <w:proofErr w:type="spellStart"/>
      <w:r w:rsidRPr="00F36DFC">
        <w:rPr>
          <w:sz w:val="24"/>
          <w:szCs w:val="24"/>
        </w:rPr>
        <w:t>zonisamid</w:t>
      </w:r>
      <w:proofErr w:type="spellEnd"/>
      <w:r w:rsidRPr="00F36DFC">
        <w:rPr>
          <w:sz w:val="24"/>
          <w:szCs w:val="24"/>
        </w:rPr>
        <w:t xml:space="preserve">-dosis ændres hos patienter, som også får lægemidler, der er substrater for P-gp (f.eks. </w:t>
      </w:r>
      <w:proofErr w:type="spellStart"/>
      <w:r w:rsidRPr="00F36DFC">
        <w:rPr>
          <w:sz w:val="24"/>
          <w:szCs w:val="24"/>
        </w:rPr>
        <w:t>digoxin</w:t>
      </w:r>
      <w:proofErr w:type="spellEnd"/>
      <w:r w:rsidRPr="00F36DFC">
        <w:rPr>
          <w:sz w:val="24"/>
          <w:szCs w:val="24"/>
        </w:rPr>
        <w:t xml:space="preserve">, </w:t>
      </w:r>
      <w:proofErr w:type="spellStart"/>
      <w:r w:rsidRPr="00F36DFC">
        <w:rPr>
          <w:sz w:val="24"/>
          <w:szCs w:val="24"/>
        </w:rPr>
        <w:t>kinidin</w:t>
      </w:r>
      <w:proofErr w:type="spellEnd"/>
      <w:r w:rsidRPr="00F36DFC">
        <w:rPr>
          <w:sz w:val="24"/>
          <w:szCs w:val="24"/>
        </w:rPr>
        <w:t>).</w:t>
      </w:r>
    </w:p>
    <w:p w14:paraId="7F26B306" w14:textId="77777777" w:rsidR="00F859C7" w:rsidRPr="00F36DFC" w:rsidRDefault="00F859C7" w:rsidP="00D16F2D">
      <w:pPr>
        <w:ind w:left="851"/>
        <w:rPr>
          <w:sz w:val="24"/>
          <w:szCs w:val="24"/>
        </w:rPr>
      </w:pPr>
    </w:p>
    <w:p w14:paraId="0AAEFC39" w14:textId="33AF3EA7" w:rsidR="00F859C7" w:rsidRPr="00F36DFC" w:rsidRDefault="00F859C7" w:rsidP="00D16F2D">
      <w:pPr>
        <w:ind w:left="851"/>
        <w:rPr>
          <w:sz w:val="24"/>
          <w:szCs w:val="24"/>
          <w:u w:val="single"/>
        </w:rPr>
      </w:pPr>
      <w:r w:rsidRPr="00F36DFC">
        <w:rPr>
          <w:sz w:val="24"/>
          <w:szCs w:val="24"/>
          <w:u w:val="single"/>
        </w:rPr>
        <w:t xml:space="preserve">Mulige lægemiddelinteraktioner, der kan påvirke </w:t>
      </w:r>
      <w:proofErr w:type="spellStart"/>
      <w:r w:rsidRPr="00F36DFC">
        <w:rPr>
          <w:sz w:val="24"/>
          <w:szCs w:val="24"/>
          <w:u w:val="single"/>
        </w:rPr>
        <w:t>Zonisamid</w:t>
      </w:r>
      <w:proofErr w:type="spellEnd"/>
      <w:r w:rsidRPr="00F36DFC">
        <w:rPr>
          <w:sz w:val="24"/>
          <w:szCs w:val="24"/>
          <w:u w:val="single"/>
        </w:rPr>
        <w:t xml:space="preserve"> </w:t>
      </w:r>
      <w:r w:rsidR="00C26C40">
        <w:rPr>
          <w:sz w:val="24"/>
          <w:szCs w:val="24"/>
          <w:u w:val="single"/>
        </w:rPr>
        <w:t>"</w:t>
      </w:r>
      <w:proofErr w:type="spellStart"/>
      <w:r w:rsidR="00C26C40">
        <w:rPr>
          <w:sz w:val="24"/>
          <w:szCs w:val="24"/>
          <w:u w:val="single"/>
        </w:rPr>
        <w:t>Desitin</w:t>
      </w:r>
      <w:proofErr w:type="spellEnd"/>
      <w:r w:rsidR="00C26C40">
        <w:rPr>
          <w:sz w:val="24"/>
          <w:szCs w:val="24"/>
          <w:u w:val="single"/>
        </w:rPr>
        <w:t>"</w:t>
      </w:r>
    </w:p>
    <w:p w14:paraId="760EC0BD" w14:textId="77777777" w:rsidR="00F859C7" w:rsidRPr="00F36DFC" w:rsidRDefault="00F859C7" w:rsidP="00D16F2D">
      <w:pPr>
        <w:ind w:left="851"/>
        <w:rPr>
          <w:sz w:val="24"/>
          <w:szCs w:val="24"/>
        </w:rPr>
      </w:pPr>
    </w:p>
    <w:p w14:paraId="2F050F0B" w14:textId="4A92482A" w:rsidR="00F859C7" w:rsidRPr="00F36DFC" w:rsidRDefault="00F859C7" w:rsidP="00D16F2D">
      <w:pPr>
        <w:ind w:left="851"/>
        <w:rPr>
          <w:sz w:val="24"/>
          <w:szCs w:val="24"/>
        </w:rPr>
      </w:pPr>
      <w:r w:rsidRPr="00F36DFC">
        <w:rPr>
          <w:sz w:val="24"/>
          <w:szCs w:val="24"/>
        </w:rPr>
        <w:t xml:space="preserve">I kliniske studier havde samtidig indgift af </w:t>
      </w:r>
      <w:proofErr w:type="spellStart"/>
      <w:r w:rsidRPr="00F36DFC">
        <w:rPr>
          <w:sz w:val="24"/>
          <w:szCs w:val="24"/>
        </w:rPr>
        <w:t>lamotrigin</w:t>
      </w:r>
      <w:proofErr w:type="spellEnd"/>
      <w:r w:rsidRPr="00F36DFC">
        <w:rPr>
          <w:sz w:val="24"/>
          <w:szCs w:val="24"/>
        </w:rPr>
        <w:t xml:space="preserve"> ingen åbenbar virkning på </w:t>
      </w:r>
      <w:proofErr w:type="spellStart"/>
      <w:r w:rsidRPr="00F36DFC">
        <w:rPr>
          <w:sz w:val="24"/>
          <w:szCs w:val="24"/>
        </w:rPr>
        <w:t>zonisamids</w:t>
      </w:r>
      <w:proofErr w:type="spellEnd"/>
      <w:r w:rsidRPr="00F36DFC">
        <w:rPr>
          <w:sz w:val="24"/>
          <w:szCs w:val="24"/>
        </w:rPr>
        <w:t xml:space="preserve"> farmakokinetik. Kombinationen af </w:t>
      </w:r>
      <w:proofErr w:type="spellStart"/>
      <w:r w:rsidRPr="00F36DFC">
        <w:rPr>
          <w:sz w:val="24"/>
          <w:szCs w:val="24"/>
        </w:rPr>
        <w:t>Zonisamid</w:t>
      </w:r>
      <w:proofErr w:type="spellEnd"/>
      <w:r w:rsidRPr="00F36DFC">
        <w:rPr>
          <w:sz w:val="24"/>
          <w:szCs w:val="24"/>
        </w:rPr>
        <w:t xml:space="preserve"> </w:t>
      </w:r>
      <w:r w:rsidR="00C26C40">
        <w:rPr>
          <w:sz w:val="24"/>
          <w:szCs w:val="24"/>
        </w:rPr>
        <w:t>"</w:t>
      </w:r>
      <w:proofErr w:type="spellStart"/>
      <w:r w:rsidR="00C26C40">
        <w:rPr>
          <w:sz w:val="24"/>
          <w:szCs w:val="24"/>
        </w:rPr>
        <w:t>Desitin</w:t>
      </w:r>
      <w:proofErr w:type="spellEnd"/>
      <w:r w:rsidR="00C26C40">
        <w:rPr>
          <w:sz w:val="24"/>
          <w:szCs w:val="24"/>
        </w:rPr>
        <w:t>"</w:t>
      </w:r>
      <w:r w:rsidRPr="00F36DFC">
        <w:rPr>
          <w:sz w:val="24"/>
          <w:szCs w:val="24"/>
        </w:rPr>
        <w:t xml:space="preserve"> med andre lægemidler, som kan medføre </w:t>
      </w:r>
      <w:proofErr w:type="spellStart"/>
      <w:r w:rsidRPr="00F36DFC">
        <w:rPr>
          <w:sz w:val="24"/>
          <w:szCs w:val="24"/>
        </w:rPr>
        <w:t>urolithiasis</w:t>
      </w:r>
      <w:proofErr w:type="spellEnd"/>
      <w:r w:rsidRPr="00F36DFC">
        <w:rPr>
          <w:sz w:val="24"/>
          <w:szCs w:val="24"/>
        </w:rPr>
        <w:t xml:space="preserve"> kan øge risikoen for udvikling af nyresten. Samtidig indgift af disse lægemidler bør derfor undgås.</w:t>
      </w:r>
    </w:p>
    <w:p w14:paraId="701EE08D" w14:textId="77777777" w:rsidR="00F859C7" w:rsidRPr="00F36DFC" w:rsidRDefault="00F859C7" w:rsidP="00D16F2D">
      <w:pPr>
        <w:ind w:left="851"/>
        <w:rPr>
          <w:sz w:val="24"/>
          <w:szCs w:val="24"/>
        </w:rPr>
      </w:pPr>
    </w:p>
    <w:p w14:paraId="6B996CF8" w14:textId="77777777" w:rsidR="00F859C7" w:rsidRPr="00F36DFC" w:rsidRDefault="00F859C7" w:rsidP="00D16F2D">
      <w:pPr>
        <w:ind w:left="851"/>
        <w:rPr>
          <w:sz w:val="24"/>
          <w:szCs w:val="24"/>
        </w:rPr>
      </w:pPr>
      <w:proofErr w:type="spellStart"/>
      <w:r w:rsidRPr="00F36DFC">
        <w:rPr>
          <w:sz w:val="24"/>
          <w:szCs w:val="24"/>
        </w:rPr>
        <w:t>Zonisamid</w:t>
      </w:r>
      <w:proofErr w:type="spellEnd"/>
      <w:r w:rsidRPr="00F36DFC">
        <w:rPr>
          <w:sz w:val="24"/>
          <w:szCs w:val="24"/>
        </w:rPr>
        <w:t xml:space="preserve"> </w:t>
      </w:r>
      <w:proofErr w:type="spellStart"/>
      <w:r w:rsidRPr="00F36DFC">
        <w:rPr>
          <w:sz w:val="24"/>
          <w:szCs w:val="24"/>
        </w:rPr>
        <w:t>metaboliseres</w:t>
      </w:r>
      <w:proofErr w:type="spellEnd"/>
      <w:r w:rsidRPr="00F36DFC">
        <w:rPr>
          <w:sz w:val="24"/>
          <w:szCs w:val="24"/>
        </w:rPr>
        <w:t xml:space="preserve"> delvist af CYP3A4 (reduktiv nedbrydning) samt også af N-acetyl transferaser og </w:t>
      </w:r>
      <w:proofErr w:type="spellStart"/>
      <w:r w:rsidRPr="00F36DFC">
        <w:rPr>
          <w:sz w:val="24"/>
          <w:szCs w:val="24"/>
        </w:rPr>
        <w:t>konjugering</w:t>
      </w:r>
      <w:proofErr w:type="spellEnd"/>
      <w:r w:rsidRPr="00F36DFC">
        <w:rPr>
          <w:sz w:val="24"/>
          <w:szCs w:val="24"/>
        </w:rPr>
        <w:t xml:space="preserve"> med </w:t>
      </w:r>
      <w:proofErr w:type="spellStart"/>
      <w:r w:rsidRPr="00F36DFC">
        <w:rPr>
          <w:sz w:val="24"/>
          <w:szCs w:val="24"/>
        </w:rPr>
        <w:t>glukuronsyre</w:t>
      </w:r>
      <w:proofErr w:type="spellEnd"/>
      <w:r w:rsidRPr="00F36DFC">
        <w:rPr>
          <w:sz w:val="24"/>
          <w:szCs w:val="24"/>
        </w:rPr>
        <w:t xml:space="preserve">. Stoffer, der kan inducere eller hæmme disse enzymer, kan derfor påvirke </w:t>
      </w:r>
      <w:proofErr w:type="spellStart"/>
      <w:r w:rsidRPr="00F36DFC">
        <w:rPr>
          <w:sz w:val="24"/>
          <w:szCs w:val="24"/>
        </w:rPr>
        <w:t>zonisamids</w:t>
      </w:r>
      <w:proofErr w:type="spellEnd"/>
      <w:r w:rsidRPr="00F36DFC">
        <w:rPr>
          <w:sz w:val="24"/>
          <w:szCs w:val="24"/>
        </w:rPr>
        <w:t xml:space="preserve"> farmakokinetik:</w:t>
      </w:r>
    </w:p>
    <w:p w14:paraId="77F647B9" w14:textId="77777777" w:rsidR="00F859C7" w:rsidRPr="00F36DFC" w:rsidRDefault="00F859C7" w:rsidP="00D16F2D">
      <w:pPr>
        <w:ind w:left="851"/>
        <w:rPr>
          <w:sz w:val="24"/>
          <w:szCs w:val="24"/>
        </w:rPr>
      </w:pPr>
    </w:p>
    <w:p w14:paraId="3E2A781F" w14:textId="1B76246F" w:rsidR="00F859C7" w:rsidRPr="00F36DFC" w:rsidRDefault="00F859C7" w:rsidP="00D16F2D">
      <w:pPr>
        <w:pStyle w:val="Listeafsnit"/>
        <w:numPr>
          <w:ilvl w:val="0"/>
          <w:numId w:val="10"/>
        </w:numPr>
        <w:ind w:left="1276" w:hanging="425"/>
        <w:rPr>
          <w:rFonts w:cs="Times New Roman"/>
          <w:sz w:val="24"/>
          <w:lang w:val="da-DK"/>
        </w:rPr>
      </w:pPr>
      <w:r w:rsidRPr="00F36DFC">
        <w:rPr>
          <w:rFonts w:cs="Times New Roman"/>
          <w:sz w:val="24"/>
          <w:lang w:val="da-DK"/>
        </w:rPr>
        <w:t xml:space="preserve">Enzyminduktion: Eksponeringen for </w:t>
      </w:r>
      <w:proofErr w:type="spellStart"/>
      <w:r w:rsidRPr="00F36DFC">
        <w:rPr>
          <w:rFonts w:cs="Times New Roman"/>
          <w:sz w:val="24"/>
          <w:lang w:val="da-DK"/>
        </w:rPr>
        <w:t>zonisamid</w:t>
      </w:r>
      <w:proofErr w:type="spellEnd"/>
      <w:r w:rsidRPr="00F36DFC">
        <w:rPr>
          <w:rFonts w:cs="Times New Roman"/>
          <w:sz w:val="24"/>
          <w:lang w:val="da-DK"/>
        </w:rPr>
        <w:t xml:space="preserve"> er mindre hos epilepsipatienter, der får CYP3A4-induktorer såsom </w:t>
      </w:r>
      <w:proofErr w:type="spellStart"/>
      <w:r w:rsidRPr="00F36DFC">
        <w:rPr>
          <w:rFonts w:cs="Times New Roman"/>
          <w:sz w:val="24"/>
          <w:lang w:val="da-DK"/>
        </w:rPr>
        <w:t>phenytoin</w:t>
      </w:r>
      <w:proofErr w:type="spellEnd"/>
      <w:r w:rsidRPr="00F36DFC">
        <w:rPr>
          <w:rFonts w:cs="Times New Roman"/>
          <w:sz w:val="24"/>
          <w:lang w:val="da-DK"/>
        </w:rPr>
        <w:t xml:space="preserve">, </w:t>
      </w:r>
      <w:proofErr w:type="spellStart"/>
      <w:r w:rsidRPr="00F36DFC">
        <w:rPr>
          <w:rFonts w:cs="Times New Roman"/>
          <w:sz w:val="24"/>
          <w:lang w:val="da-DK"/>
        </w:rPr>
        <w:t>carbamazepin</w:t>
      </w:r>
      <w:proofErr w:type="spellEnd"/>
      <w:r w:rsidRPr="00F36DFC">
        <w:rPr>
          <w:rFonts w:cs="Times New Roman"/>
          <w:sz w:val="24"/>
          <w:lang w:val="da-DK"/>
        </w:rPr>
        <w:t xml:space="preserve"> og </w:t>
      </w:r>
      <w:proofErr w:type="spellStart"/>
      <w:r w:rsidRPr="00F36DFC">
        <w:rPr>
          <w:rFonts w:cs="Times New Roman"/>
          <w:sz w:val="24"/>
          <w:lang w:val="da-DK"/>
        </w:rPr>
        <w:t>phenobarbiton</w:t>
      </w:r>
      <w:proofErr w:type="spellEnd"/>
      <w:r w:rsidRPr="00F36DFC">
        <w:rPr>
          <w:rFonts w:cs="Times New Roman"/>
          <w:sz w:val="24"/>
          <w:lang w:val="da-DK"/>
        </w:rPr>
        <w:t xml:space="preserve">. Det er usandsynligt, at disse virkninger kan have klinisk betydning, når </w:t>
      </w:r>
      <w:proofErr w:type="spellStart"/>
      <w:r w:rsidRPr="00F36DFC">
        <w:rPr>
          <w:rFonts w:cs="Times New Roman"/>
          <w:sz w:val="24"/>
          <w:lang w:val="da-DK"/>
        </w:rPr>
        <w:t>Zonisamid</w:t>
      </w:r>
      <w:proofErr w:type="spellEnd"/>
      <w:r w:rsidRPr="00F36DFC">
        <w:rPr>
          <w:rFonts w:cs="Times New Roman"/>
          <w:sz w:val="24"/>
          <w:lang w:val="da-DK"/>
        </w:rPr>
        <w:t xml:space="preserve"> </w:t>
      </w:r>
      <w:r w:rsidR="00C26C40">
        <w:rPr>
          <w:rFonts w:cs="Times New Roman"/>
          <w:sz w:val="24"/>
          <w:lang w:val="da-DK"/>
        </w:rPr>
        <w:t>"</w:t>
      </w:r>
      <w:proofErr w:type="spellStart"/>
      <w:r w:rsidR="00C26C40">
        <w:rPr>
          <w:rFonts w:cs="Times New Roman"/>
          <w:sz w:val="24"/>
          <w:lang w:val="da-DK"/>
        </w:rPr>
        <w:t>Desitin</w:t>
      </w:r>
      <w:proofErr w:type="spellEnd"/>
      <w:r w:rsidR="00C26C40">
        <w:rPr>
          <w:rFonts w:cs="Times New Roman"/>
          <w:sz w:val="24"/>
          <w:lang w:val="da-DK"/>
        </w:rPr>
        <w:t>"</w:t>
      </w:r>
      <w:r w:rsidRPr="00F36DFC">
        <w:rPr>
          <w:rFonts w:cs="Times New Roman"/>
          <w:sz w:val="24"/>
          <w:lang w:val="da-DK"/>
        </w:rPr>
        <w:t xml:space="preserve"> føjes til en eksisterende behandling. Ændringer i </w:t>
      </w:r>
      <w:proofErr w:type="spellStart"/>
      <w:r w:rsidRPr="00F36DFC">
        <w:rPr>
          <w:rFonts w:cs="Times New Roman"/>
          <w:sz w:val="24"/>
          <w:lang w:val="da-DK"/>
        </w:rPr>
        <w:t>zonisamidkoncentrationen</w:t>
      </w:r>
      <w:proofErr w:type="spellEnd"/>
      <w:r w:rsidRPr="00F36DFC">
        <w:rPr>
          <w:rFonts w:cs="Times New Roman"/>
          <w:sz w:val="24"/>
          <w:lang w:val="da-DK"/>
        </w:rPr>
        <w:t xml:space="preserve"> kan dog forekomme, hvis samtidig behandling med et CYP3A4-inducerende </w:t>
      </w:r>
      <w:proofErr w:type="spellStart"/>
      <w:r w:rsidRPr="00F36DFC">
        <w:rPr>
          <w:rFonts w:cs="Times New Roman"/>
          <w:sz w:val="24"/>
          <w:lang w:val="da-DK"/>
        </w:rPr>
        <w:t>antiepileptikum</w:t>
      </w:r>
      <w:proofErr w:type="spellEnd"/>
      <w:r w:rsidRPr="00F36DFC">
        <w:rPr>
          <w:rFonts w:cs="Times New Roman"/>
          <w:sz w:val="24"/>
          <w:lang w:val="da-DK"/>
        </w:rPr>
        <w:t xml:space="preserve"> eller andre lægemidler seponeres, hvor dosis justeres eller påbegyndes og justering af </w:t>
      </w:r>
      <w:proofErr w:type="spellStart"/>
      <w:r w:rsidRPr="00F36DFC">
        <w:rPr>
          <w:rFonts w:cs="Times New Roman"/>
          <w:sz w:val="24"/>
          <w:lang w:val="da-DK"/>
        </w:rPr>
        <w:t>Zonisamid</w:t>
      </w:r>
      <w:proofErr w:type="spellEnd"/>
      <w:r w:rsidRPr="00F36DFC">
        <w:rPr>
          <w:rFonts w:cs="Times New Roman"/>
          <w:sz w:val="24"/>
          <w:lang w:val="da-DK"/>
        </w:rPr>
        <w:t xml:space="preserve"> </w:t>
      </w:r>
      <w:r w:rsidR="00C26C40">
        <w:rPr>
          <w:rFonts w:cs="Times New Roman"/>
          <w:sz w:val="24"/>
          <w:lang w:val="da-DK"/>
        </w:rPr>
        <w:t>"</w:t>
      </w:r>
      <w:proofErr w:type="spellStart"/>
      <w:r w:rsidR="00C26C40">
        <w:rPr>
          <w:rFonts w:cs="Times New Roman"/>
          <w:sz w:val="24"/>
          <w:lang w:val="da-DK"/>
        </w:rPr>
        <w:t>Desitin</w:t>
      </w:r>
      <w:proofErr w:type="spellEnd"/>
      <w:r w:rsidR="00C26C40">
        <w:rPr>
          <w:rFonts w:cs="Times New Roman"/>
          <w:sz w:val="24"/>
          <w:lang w:val="da-DK"/>
        </w:rPr>
        <w:t xml:space="preserve">" </w:t>
      </w:r>
      <w:r w:rsidRPr="00F36DFC">
        <w:rPr>
          <w:rFonts w:cs="Times New Roman"/>
          <w:sz w:val="24"/>
          <w:lang w:val="da-DK"/>
        </w:rPr>
        <w:t xml:space="preserve">dosis kan blive nødvendig. </w:t>
      </w:r>
      <w:proofErr w:type="spellStart"/>
      <w:r w:rsidRPr="00F36DFC">
        <w:rPr>
          <w:rFonts w:cs="Times New Roman"/>
          <w:sz w:val="24"/>
          <w:lang w:val="da-DK"/>
        </w:rPr>
        <w:t>Rifampicin</w:t>
      </w:r>
      <w:proofErr w:type="spellEnd"/>
      <w:r w:rsidRPr="00F36DFC">
        <w:rPr>
          <w:rFonts w:cs="Times New Roman"/>
          <w:sz w:val="24"/>
          <w:lang w:val="da-DK"/>
        </w:rPr>
        <w:t xml:space="preserve"> er en potent CYP3A4-induktor. Hvis samtidig indgift er nødvendig, skal patienten kontrolleres tæt og </w:t>
      </w:r>
      <w:proofErr w:type="spellStart"/>
      <w:r w:rsidRPr="00F36DFC">
        <w:rPr>
          <w:rFonts w:cs="Times New Roman"/>
          <w:sz w:val="24"/>
          <w:lang w:val="da-DK"/>
        </w:rPr>
        <w:t>Zonisamid</w:t>
      </w:r>
      <w:proofErr w:type="spellEnd"/>
      <w:r w:rsidRPr="00F36DFC">
        <w:rPr>
          <w:rFonts w:cs="Times New Roman"/>
          <w:sz w:val="24"/>
          <w:lang w:val="da-DK"/>
        </w:rPr>
        <w:t xml:space="preserve"> </w:t>
      </w:r>
      <w:r w:rsidR="00C26C40">
        <w:rPr>
          <w:rFonts w:cs="Times New Roman"/>
          <w:sz w:val="24"/>
          <w:lang w:val="da-DK"/>
        </w:rPr>
        <w:t>"</w:t>
      </w:r>
      <w:proofErr w:type="spellStart"/>
      <w:r w:rsidR="00C26C40">
        <w:rPr>
          <w:rFonts w:cs="Times New Roman"/>
          <w:sz w:val="24"/>
          <w:lang w:val="da-DK"/>
        </w:rPr>
        <w:t>Desitin</w:t>
      </w:r>
      <w:proofErr w:type="spellEnd"/>
      <w:r w:rsidR="00C26C40">
        <w:rPr>
          <w:rFonts w:cs="Times New Roman"/>
          <w:sz w:val="24"/>
          <w:lang w:val="da-DK"/>
        </w:rPr>
        <w:t xml:space="preserve">" </w:t>
      </w:r>
      <w:r w:rsidRPr="00F36DFC">
        <w:rPr>
          <w:rFonts w:cs="Times New Roman"/>
          <w:sz w:val="24"/>
          <w:lang w:val="da-DK"/>
        </w:rPr>
        <w:t>dosis og andre CYP3A4-substrater justeres efter behov.</w:t>
      </w:r>
    </w:p>
    <w:p w14:paraId="7E4F1719" w14:textId="77777777" w:rsidR="00F859C7" w:rsidRPr="00F36DFC" w:rsidRDefault="00F859C7" w:rsidP="00D16F2D">
      <w:pPr>
        <w:ind w:left="1276" w:hanging="425"/>
        <w:rPr>
          <w:sz w:val="24"/>
          <w:szCs w:val="24"/>
        </w:rPr>
      </w:pPr>
    </w:p>
    <w:p w14:paraId="3B36121E" w14:textId="1E6072CB" w:rsidR="00F859C7" w:rsidRPr="00F36DFC" w:rsidRDefault="00F859C7" w:rsidP="00D16F2D">
      <w:pPr>
        <w:pStyle w:val="Listeafsnit"/>
        <w:numPr>
          <w:ilvl w:val="0"/>
          <w:numId w:val="11"/>
        </w:numPr>
        <w:ind w:left="1276" w:hanging="425"/>
        <w:rPr>
          <w:rFonts w:cs="Times New Roman"/>
          <w:sz w:val="24"/>
          <w:lang w:val="da-DK"/>
        </w:rPr>
      </w:pPr>
      <w:r w:rsidRPr="00F36DFC">
        <w:rPr>
          <w:rFonts w:cs="Times New Roman"/>
          <w:sz w:val="24"/>
          <w:lang w:val="da-DK"/>
        </w:rPr>
        <w:t xml:space="preserve">CYP3A4-hæmning: Baseret på kliniske data synes kendte og ukendte uspecifikke CYP3A4 </w:t>
      </w:r>
      <w:proofErr w:type="spellStart"/>
      <w:r w:rsidRPr="00F36DFC">
        <w:rPr>
          <w:rFonts w:cs="Times New Roman"/>
          <w:sz w:val="24"/>
          <w:lang w:val="da-DK"/>
        </w:rPr>
        <w:t>hæmmere</w:t>
      </w:r>
      <w:proofErr w:type="spellEnd"/>
      <w:r w:rsidRPr="00F36DFC">
        <w:rPr>
          <w:rFonts w:cs="Times New Roman"/>
          <w:sz w:val="24"/>
          <w:lang w:val="da-DK"/>
        </w:rPr>
        <w:t xml:space="preserve"> ikke at have klinisk relevant virkning på </w:t>
      </w:r>
      <w:proofErr w:type="spellStart"/>
      <w:r w:rsidRPr="00F36DFC">
        <w:rPr>
          <w:rFonts w:cs="Times New Roman"/>
          <w:sz w:val="24"/>
          <w:lang w:val="da-DK"/>
        </w:rPr>
        <w:t>zonisamids</w:t>
      </w:r>
      <w:proofErr w:type="spellEnd"/>
      <w:r w:rsidRPr="00F36DFC">
        <w:rPr>
          <w:rFonts w:cs="Times New Roman"/>
          <w:sz w:val="24"/>
          <w:lang w:val="da-DK"/>
        </w:rPr>
        <w:t xml:space="preserve"> </w:t>
      </w:r>
      <w:proofErr w:type="spellStart"/>
      <w:r w:rsidRPr="00F36DFC">
        <w:rPr>
          <w:rFonts w:cs="Times New Roman"/>
          <w:sz w:val="24"/>
          <w:lang w:val="da-DK"/>
        </w:rPr>
        <w:t>farmakokinetiske</w:t>
      </w:r>
      <w:proofErr w:type="spellEnd"/>
      <w:r w:rsidRPr="00F36DFC">
        <w:rPr>
          <w:rFonts w:cs="Times New Roman"/>
          <w:sz w:val="24"/>
          <w:lang w:val="da-DK"/>
        </w:rPr>
        <w:t xml:space="preserve"> eksponeringsparametre. </w:t>
      </w:r>
      <w:proofErr w:type="spellStart"/>
      <w:r w:rsidRPr="00F36DFC">
        <w:rPr>
          <w:rFonts w:cs="Times New Roman"/>
          <w:sz w:val="24"/>
          <w:lang w:val="da-DK"/>
        </w:rPr>
        <w:t>Steady</w:t>
      </w:r>
      <w:proofErr w:type="spellEnd"/>
      <w:r w:rsidRPr="00F36DFC">
        <w:rPr>
          <w:rFonts w:cs="Times New Roman"/>
          <w:sz w:val="24"/>
          <w:lang w:val="da-DK"/>
        </w:rPr>
        <w:t xml:space="preserve">-state-dosering af enten </w:t>
      </w:r>
      <w:proofErr w:type="spellStart"/>
      <w:r w:rsidRPr="00F36DFC">
        <w:rPr>
          <w:rFonts w:cs="Times New Roman"/>
          <w:sz w:val="24"/>
          <w:lang w:val="da-DK"/>
        </w:rPr>
        <w:t>ketoconazol</w:t>
      </w:r>
      <w:proofErr w:type="spellEnd"/>
      <w:r w:rsidRPr="00F36DFC">
        <w:rPr>
          <w:rFonts w:cs="Times New Roman"/>
          <w:sz w:val="24"/>
          <w:lang w:val="da-DK"/>
        </w:rPr>
        <w:t xml:space="preserve"> (400 mg dagligt) eller </w:t>
      </w:r>
      <w:proofErr w:type="spellStart"/>
      <w:r w:rsidRPr="00F36DFC">
        <w:rPr>
          <w:rFonts w:cs="Times New Roman"/>
          <w:sz w:val="24"/>
          <w:lang w:val="da-DK"/>
        </w:rPr>
        <w:t>cimetidin</w:t>
      </w:r>
      <w:proofErr w:type="spellEnd"/>
      <w:r w:rsidRPr="00F36DFC">
        <w:rPr>
          <w:rFonts w:cs="Times New Roman"/>
          <w:sz w:val="24"/>
          <w:lang w:val="da-DK"/>
        </w:rPr>
        <w:t xml:space="preserve"> (1.200 mg dagligt) havde ingen kliniske relevante virkninger på enkeltdosisfarmakokinetikken for </w:t>
      </w:r>
      <w:proofErr w:type="spellStart"/>
      <w:r w:rsidRPr="00F36DFC">
        <w:rPr>
          <w:rFonts w:cs="Times New Roman"/>
          <w:sz w:val="24"/>
          <w:lang w:val="da-DK"/>
        </w:rPr>
        <w:t>zonisamid</w:t>
      </w:r>
      <w:proofErr w:type="spellEnd"/>
      <w:r w:rsidRPr="00F36DFC">
        <w:rPr>
          <w:rFonts w:cs="Times New Roman"/>
          <w:sz w:val="24"/>
          <w:lang w:val="da-DK"/>
        </w:rPr>
        <w:t xml:space="preserve"> givet til raske forsøgspersoner. Ændring af </w:t>
      </w:r>
      <w:proofErr w:type="spellStart"/>
      <w:r w:rsidRPr="00F36DFC">
        <w:rPr>
          <w:rFonts w:cs="Times New Roman"/>
          <w:sz w:val="24"/>
          <w:lang w:val="da-DK"/>
        </w:rPr>
        <w:t>Zonisamid</w:t>
      </w:r>
      <w:proofErr w:type="spellEnd"/>
      <w:r w:rsidRPr="00F36DFC">
        <w:rPr>
          <w:rFonts w:cs="Times New Roman"/>
          <w:sz w:val="24"/>
          <w:lang w:val="da-DK"/>
        </w:rPr>
        <w:t xml:space="preserve"> </w:t>
      </w:r>
      <w:r w:rsidR="00C26C40">
        <w:rPr>
          <w:rFonts w:cs="Times New Roman"/>
          <w:sz w:val="24"/>
          <w:lang w:val="da-DK"/>
        </w:rPr>
        <w:t>"</w:t>
      </w:r>
      <w:proofErr w:type="spellStart"/>
      <w:r w:rsidR="00C26C40">
        <w:rPr>
          <w:rFonts w:cs="Times New Roman"/>
          <w:sz w:val="24"/>
          <w:lang w:val="da-DK"/>
        </w:rPr>
        <w:t>Desitin</w:t>
      </w:r>
      <w:proofErr w:type="spellEnd"/>
      <w:r w:rsidR="00C26C40">
        <w:rPr>
          <w:rFonts w:cs="Times New Roman"/>
          <w:sz w:val="24"/>
          <w:lang w:val="da-DK"/>
        </w:rPr>
        <w:t xml:space="preserve">" </w:t>
      </w:r>
      <w:r w:rsidRPr="00F36DFC">
        <w:rPr>
          <w:rFonts w:cs="Times New Roman"/>
          <w:sz w:val="24"/>
          <w:lang w:val="da-DK"/>
        </w:rPr>
        <w:t xml:space="preserve">dosis skulle derfor ikke være nødvendig, når det gives samtidigt med kendte CYP3A4 </w:t>
      </w:r>
      <w:proofErr w:type="spellStart"/>
      <w:r w:rsidRPr="00F36DFC">
        <w:rPr>
          <w:rFonts w:cs="Times New Roman"/>
          <w:sz w:val="24"/>
          <w:lang w:val="da-DK"/>
        </w:rPr>
        <w:t>hæmmere</w:t>
      </w:r>
      <w:proofErr w:type="spellEnd"/>
      <w:r w:rsidRPr="00F36DFC">
        <w:rPr>
          <w:rFonts w:cs="Times New Roman"/>
          <w:sz w:val="24"/>
          <w:lang w:val="da-DK"/>
        </w:rPr>
        <w:t>.</w:t>
      </w:r>
    </w:p>
    <w:p w14:paraId="2461E271" w14:textId="77777777" w:rsidR="00F859C7" w:rsidRPr="00F36DFC" w:rsidRDefault="00F859C7" w:rsidP="00D16F2D">
      <w:pPr>
        <w:ind w:left="851"/>
        <w:rPr>
          <w:sz w:val="24"/>
          <w:szCs w:val="24"/>
        </w:rPr>
      </w:pPr>
    </w:p>
    <w:p w14:paraId="5A38BED9" w14:textId="77777777" w:rsidR="00F859C7" w:rsidRPr="00F36DFC" w:rsidRDefault="00F859C7" w:rsidP="00D16F2D">
      <w:pPr>
        <w:ind w:left="851"/>
        <w:rPr>
          <w:sz w:val="24"/>
          <w:szCs w:val="24"/>
          <w:u w:val="single"/>
        </w:rPr>
      </w:pPr>
      <w:r w:rsidRPr="00F36DFC">
        <w:rPr>
          <w:sz w:val="24"/>
          <w:szCs w:val="24"/>
          <w:u w:val="single"/>
        </w:rPr>
        <w:t>Pædiatrisk population</w:t>
      </w:r>
    </w:p>
    <w:p w14:paraId="4DFE74B5" w14:textId="77777777" w:rsidR="00F859C7" w:rsidRPr="00F36DFC" w:rsidRDefault="00F859C7" w:rsidP="00D16F2D">
      <w:pPr>
        <w:ind w:left="851"/>
        <w:rPr>
          <w:sz w:val="24"/>
          <w:szCs w:val="24"/>
        </w:rPr>
      </w:pPr>
      <w:r w:rsidRPr="00F36DFC">
        <w:rPr>
          <w:sz w:val="24"/>
          <w:szCs w:val="24"/>
        </w:rPr>
        <w:t>Interaktionsstudier er kun udført hos voksne.</w:t>
      </w:r>
    </w:p>
    <w:p w14:paraId="00C58042" w14:textId="77777777" w:rsidR="009260DE" w:rsidRPr="00F36DFC" w:rsidRDefault="009260DE" w:rsidP="009260DE">
      <w:pPr>
        <w:tabs>
          <w:tab w:val="left" w:pos="851"/>
        </w:tabs>
        <w:ind w:left="851"/>
        <w:rPr>
          <w:sz w:val="24"/>
          <w:szCs w:val="24"/>
        </w:rPr>
      </w:pPr>
    </w:p>
    <w:p w14:paraId="33D6234B" w14:textId="77777777" w:rsidR="009260DE" w:rsidRPr="00F36DFC" w:rsidRDefault="009260DE" w:rsidP="009260DE">
      <w:pPr>
        <w:tabs>
          <w:tab w:val="left" w:pos="851"/>
        </w:tabs>
        <w:ind w:left="851" w:hanging="851"/>
        <w:rPr>
          <w:b/>
          <w:sz w:val="24"/>
          <w:szCs w:val="24"/>
        </w:rPr>
      </w:pPr>
      <w:r w:rsidRPr="00F36DFC">
        <w:rPr>
          <w:b/>
          <w:sz w:val="24"/>
          <w:szCs w:val="24"/>
        </w:rPr>
        <w:t>4.6</w:t>
      </w:r>
      <w:r w:rsidRPr="00F36DFC">
        <w:rPr>
          <w:b/>
          <w:sz w:val="24"/>
          <w:szCs w:val="24"/>
        </w:rPr>
        <w:tab/>
      </w:r>
      <w:r w:rsidR="0071241E" w:rsidRPr="00F36DFC">
        <w:rPr>
          <w:b/>
          <w:sz w:val="24"/>
          <w:szCs w:val="24"/>
        </w:rPr>
        <w:t>Fertilitet, g</w:t>
      </w:r>
      <w:r w:rsidRPr="00F36DFC">
        <w:rPr>
          <w:b/>
          <w:sz w:val="24"/>
          <w:szCs w:val="24"/>
        </w:rPr>
        <w:t>raviditet og amning</w:t>
      </w:r>
    </w:p>
    <w:p w14:paraId="5B0C4E8F" w14:textId="77777777" w:rsidR="00F859C7" w:rsidRPr="00F36DFC" w:rsidRDefault="00F859C7" w:rsidP="00F36DFC">
      <w:pPr>
        <w:ind w:left="851"/>
        <w:rPr>
          <w:sz w:val="24"/>
          <w:szCs w:val="24"/>
          <w:lang w:eastAsia="de-DE"/>
        </w:rPr>
      </w:pPr>
    </w:p>
    <w:p w14:paraId="022EB672" w14:textId="77777777" w:rsidR="00F859C7" w:rsidRPr="00F36DFC" w:rsidRDefault="00F859C7" w:rsidP="00E14048">
      <w:pPr>
        <w:ind w:left="851"/>
        <w:rPr>
          <w:sz w:val="24"/>
          <w:szCs w:val="24"/>
          <w:u w:val="single"/>
        </w:rPr>
      </w:pPr>
      <w:r w:rsidRPr="00F36DFC">
        <w:rPr>
          <w:sz w:val="24"/>
          <w:szCs w:val="24"/>
          <w:u w:val="single"/>
        </w:rPr>
        <w:t>Kvinder i den fertile alder</w:t>
      </w:r>
    </w:p>
    <w:p w14:paraId="5519D581" w14:textId="3EA37D19" w:rsidR="00F859C7" w:rsidRPr="00F36DFC" w:rsidRDefault="00F859C7" w:rsidP="00E14048">
      <w:pPr>
        <w:adjustRightInd w:val="0"/>
        <w:ind w:left="851"/>
        <w:rPr>
          <w:sz w:val="24"/>
          <w:szCs w:val="24"/>
        </w:rPr>
      </w:pPr>
      <w:r w:rsidRPr="00F36DFC">
        <w:rPr>
          <w:sz w:val="24"/>
          <w:szCs w:val="24"/>
        </w:rPr>
        <w:t xml:space="preserve">Kvinder i den fertile alder skal anvende sikker </w:t>
      </w:r>
      <w:proofErr w:type="spellStart"/>
      <w:r w:rsidRPr="00F36DFC">
        <w:rPr>
          <w:sz w:val="24"/>
          <w:szCs w:val="24"/>
        </w:rPr>
        <w:t>kontraception</w:t>
      </w:r>
      <w:proofErr w:type="spellEnd"/>
      <w:r w:rsidRPr="00F36DFC">
        <w:rPr>
          <w:sz w:val="24"/>
          <w:szCs w:val="24"/>
        </w:rPr>
        <w:t xml:space="preserve"> under behandlingen med </w:t>
      </w:r>
      <w:proofErr w:type="spellStart"/>
      <w:r w:rsidRPr="00F36DFC">
        <w:rPr>
          <w:sz w:val="24"/>
          <w:szCs w:val="24"/>
        </w:rPr>
        <w:t>Zonisamid</w:t>
      </w:r>
      <w:proofErr w:type="spellEnd"/>
      <w:r w:rsidRPr="00F36DFC">
        <w:rPr>
          <w:sz w:val="24"/>
          <w:szCs w:val="24"/>
        </w:rPr>
        <w:t xml:space="preserve"> </w:t>
      </w:r>
      <w:r w:rsidR="00C26C40">
        <w:rPr>
          <w:sz w:val="24"/>
          <w:szCs w:val="24"/>
        </w:rPr>
        <w:t>"</w:t>
      </w:r>
      <w:proofErr w:type="spellStart"/>
      <w:r w:rsidR="00C26C40">
        <w:rPr>
          <w:sz w:val="24"/>
          <w:szCs w:val="24"/>
        </w:rPr>
        <w:t>Desitin</w:t>
      </w:r>
      <w:proofErr w:type="spellEnd"/>
      <w:r w:rsidR="00C26C40">
        <w:rPr>
          <w:sz w:val="24"/>
          <w:szCs w:val="24"/>
        </w:rPr>
        <w:t>"</w:t>
      </w:r>
      <w:r w:rsidRPr="00F36DFC">
        <w:rPr>
          <w:sz w:val="24"/>
          <w:szCs w:val="24"/>
        </w:rPr>
        <w:t xml:space="preserve"> og i en måned efter </w:t>
      </w:r>
      <w:proofErr w:type="spellStart"/>
      <w:r w:rsidRPr="00F36DFC">
        <w:rPr>
          <w:sz w:val="24"/>
          <w:szCs w:val="24"/>
        </w:rPr>
        <w:t>seponeringen</w:t>
      </w:r>
      <w:proofErr w:type="spellEnd"/>
      <w:r w:rsidRPr="00F36DFC">
        <w:rPr>
          <w:sz w:val="24"/>
          <w:szCs w:val="24"/>
        </w:rPr>
        <w:t>.</w:t>
      </w:r>
    </w:p>
    <w:p w14:paraId="5B20A881" w14:textId="77777777" w:rsidR="00F859C7" w:rsidRPr="00F36DFC" w:rsidRDefault="00F859C7" w:rsidP="00E14048">
      <w:pPr>
        <w:adjustRightInd w:val="0"/>
        <w:ind w:left="851"/>
        <w:rPr>
          <w:sz w:val="24"/>
          <w:szCs w:val="24"/>
        </w:rPr>
      </w:pPr>
    </w:p>
    <w:p w14:paraId="0EED4A43" w14:textId="5C1CD423" w:rsidR="00F859C7" w:rsidRPr="00F36DFC" w:rsidRDefault="00F859C7" w:rsidP="00E14048">
      <w:pPr>
        <w:adjustRightInd w:val="0"/>
        <w:ind w:left="851"/>
        <w:rPr>
          <w:sz w:val="24"/>
          <w:szCs w:val="24"/>
        </w:rPr>
      </w:pPr>
      <w:proofErr w:type="spellStart"/>
      <w:r w:rsidRPr="00F36DFC">
        <w:rPr>
          <w:sz w:val="24"/>
          <w:szCs w:val="24"/>
        </w:rPr>
        <w:t>Zonisamid</w:t>
      </w:r>
      <w:proofErr w:type="spellEnd"/>
      <w:r w:rsidRPr="00F36DFC">
        <w:rPr>
          <w:sz w:val="24"/>
          <w:szCs w:val="24"/>
        </w:rPr>
        <w:t xml:space="preserve"> </w:t>
      </w:r>
      <w:r w:rsidR="00C26C40">
        <w:rPr>
          <w:sz w:val="24"/>
          <w:szCs w:val="24"/>
        </w:rPr>
        <w:t>"</w:t>
      </w:r>
      <w:proofErr w:type="spellStart"/>
      <w:r w:rsidR="00C26C40">
        <w:rPr>
          <w:sz w:val="24"/>
          <w:szCs w:val="24"/>
        </w:rPr>
        <w:t>Desitin</w:t>
      </w:r>
      <w:proofErr w:type="spellEnd"/>
      <w:r w:rsidR="00C26C40">
        <w:rPr>
          <w:sz w:val="24"/>
          <w:szCs w:val="24"/>
        </w:rPr>
        <w:t>"</w:t>
      </w:r>
      <w:r w:rsidRPr="00F36DFC">
        <w:rPr>
          <w:sz w:val="24"/>
          <w:szCs w:val="24"/>
        </w:rPr>
        <w:t xml:space="preserve"> må ikke bruges hos kvinder i den fertile alder, som ikke anvender sikker </w:t>
      </w:r>
      <w:proofErr w:type="spellStart"/>
      <w:r w:rsidRPr="00F36DFC">
        <w:rPr>
          <w:sz w:val="24"/>
          <w:szCs w:val="24"/>
        </w:rPr>
        <w:t>kontraception</w:t>
      </w:r>
      <w:proofErr w:type="spellEnd"/>
      <w:r w:rsidRPr="00F36DFC">
        <w:rPr>
          <w:sz w:val="24"/>
          <w:szCs w:val="24"/>
        </w:rPr>
        <w:t xml:space="preserve">, medmindre det er klart nødvendigt, og kun hvis den potentielle fordel anses for at opveje risikoen for fosteret. Kvinder i den fertile alder, der behandles med </w:t>
      </w:r>
      <w:proofErr w:type="spellStart"/>
      <w:r w:rsidRPr="00F36DFC">
        <w:rPr>
          <w:sz w:val="24"/>
          <w:szCs w:val="24"/>
        </w:rPr>
        <w:t>zonisamid</w:t>
      </w:r>
      <w:proofErr w:type="spellEnd"/>
      <w:r w:rsidRPr="00F36DFC">
        <w:rPr>
          <w:sz w:val="24"/>
          <w:szCs w:val="24"/>
        </w:rPr>
        <w:t xml:space="preserve">, skal have medicinsk specialistrådgivning. Kvinden skal være fuldt informeret om og forstå </w:t>
      </w:r>
      <w:proofErr w:type="spellStart"/>
      <w:r w:rsidRPr="00F36DFC">
        <w:rPr>
          <w:sz w:val="24"/>
          <w:szCs w:val="24"/>
        </w:rPr>
        <w:t>Zonisamid</w:t>
      </w:r>
      <w:proofErr w:type="spellEnd"/>
      <w:r w:rsidRPr="00F36DFC">
        <w:rPr>
          <w:sz w:val="24"/>
          <w:szCs w:val="24"/>
        </w:rPr>
        <w:t xml:space="preserve"> </w:t>
      </w:r>
      <w:r w:rsidR="00C26C40">
        <w:rPr>
          <w:sz w:val="24"/>
          <w:szCs w:val="24"/>
        </w:rPr>
        <w:t>"</w:t>
      </w:r>
      <w:proofErr w:type="spellStart"/>
      <w:r w:rsidR="00C26C40">
        <w:rPr>
          <w:sz w:val="24"/>
          <w:szCs w:val="24"/>
        </w:rPr>
        <w:t>Desitin"</w:t>
      </w:r>
      <w:r w:rsidRPr="00F36DFC">
        <w:rPr>
          <w:sz w:val="24"/>
          <w:szCs w:val="24"/>
        </w:rPr>
        <w:t>s</w:t>
      </w:r>
      <w:proofErr w:type="spellEnd"/>
      <w:r w:rsidRPr="00F36DFC">
        <w:rPr>
          <w:sz w:val="24"/>
          <w:szCs w:val="24"/>
        </w:rPr>
        <w:t xml:space="preserve"> mulige bivirkninger på fosteret, og disse risici bør drøftes med patienten i forhold til fordelene inden behandlingsstart. En graviditetstest bør overvejes før start på behandling med </w:t>
      </w:r>
      <w:proofErr w:type="spellStart"/>
      <w:r w:rsidRPr="00F36DFC">
        <w:rPr>
          <w:sz w:val="24"/>
          <w:szCs w:val="24"/>
        </w:rPr>
        <w:t>zonisamid</w:t>
      </w:r>
      <w:proofErr w:type="spellEnd"/>
      <w:r w:rsidRPr="00F36DFC">
        <w:rPr>
          <w:sz w:val="24"/>
          <w:szCs w:val="24"/>
        </w:rPr>
        <w:t xml:space="preserve"> hos kvinder i den fertile alder. Kvinder, der planlægger at blive gravide, skal konsultere deres specialister med henblik på genvurdering af behandlingen med </w:t>
      </w:r>
      <w:proofErr w:type="spellStart"/>
      <w:r w:rsidRPr="00F36DFC">
        <w:rPr>
          <w:sz w:val="24"/>
          <w:szCs w:val="24"/>
        </w:rPr>
        <w:t>zonisamid</w:t>
      </w:r>
      <w:proofErr w:type="spellEnd"/>
      <w:r w:rsidRPr="00F36DFC">
        <w:rPr>
          <w:sz w:val="24"/>
          <w:szCs w:val="24"/>
        </w:rPr>
        <w:t xml:space="preserve"> og for at overveje andre behandlingsmuligheder før undfangelse og før afbrydelse af </w:t>
      </w:r>
      <w:proofErr w:type="spellStart"/>
      <w:r w:rsidRPr="00F36DFC">
        <w:rPr>
          <w:sz w:val="24"/>
          <w:szCs w:val="24"/>
        </w:rPr>
        <w:t>kontraception</w:t>
      </w:r>
      <w:proofErr w:type="spellEnd"/>
      <w:r w:rsidRPr="00F36DFC">
        <w:rPr>
          <w:sz w:val="24"/>
          <w:szCs w:val="24"/>
        </w:rPr>
        <w:t>.</w:t>
      </w:r>
    </w:p>
    <w:p w14:paraId="4046A74F" w14:textId="77777777" w:rsidR="00F859C7" w:rsidRPr="00F36DFC" w:rsidRDefault="00F859C7" w:rsidP="00E14048">
      <w:pPr>
        <w:adjustRightInd w:val="0"/>
        <w:ind w:left="851"/>
        <w:rPr>
          <w:sz w:val="24"/>
          <w:szCs w:val="24"/>
        </w:rPr>
      </w:pPr>
    </w:p>
    <w:p w14:paraId="718D59AA" w14:textId="77777777" w:rsidR="00F859C7" w:rsidRPr="00F36DFC" w:rsidRDefault="00F859C7" w:rsidP="00E14048">
      <w:pPr>
        <w:adjustRightInd w:val="0"/>
        <w:ind w:left="851"/>
        <w:rPr>
          <w:sz w:val="24"/>
          <w:szCs w:val="24"/>
        </w:rPr>
      </w:pPr>
      <w:r w:rsidRPr="00F36DFC">
        <w:rPr>
          <w:sz w:val="24"/>
          <w:szCs w:val="24"/>
        </w:rPr>
        <w:t xml:space="preserve">Som med alle typer </w:t>
      </w:r>
      <w:proofErr w:type="spellStart"/>
      <w:r w:rsidRPr="00F36DFC">
        <w:rPr>
          <w:sz w:val="24"/>
          <w:szCs w:val="24"/>
        </w:rPr>
        <w:t>antiepileptikum</w:t>
      </w:r>
      <w:proofErr w:type="spellEnd"/>
      <w:r w:rsidRPr="00F36DFC">
        <w:rPr>
          <w:sz w:val="24"/>
          <w:szCs w:val="24"/>
        </w:rPr>
        <w:t xml:space="preserve"> skal pludselig </w:t>
      </w:r>
      <w:proofErr w:type="spellStart"/>
      <w:r w:rsidRPr="00F36DFC">
        <w:rPr>
          <w:sz w:val="24"/>
          <w:szCs w:val="24"/>
        </w:rPr>
        <w:t>seponering</w:t>
      </w:r>
      <w:proofErr w:type="spellEnd"/>
      <w:r w:rsidRPr="00F36DFC">
        <w:rPr>
          <w:sz w:val="24"/>
          <w:szCs w:val="24"/>
        </w:rPr>
        <w:t xml:space="preserve"> af </w:t>
      </w:r>
      <w:proofErr w:type="spellStart"/>
      <w:r w:rsidRPr="00F36DFC">
        <w:rPr>
          <w:sz w:val="24"/>
          <w:szCs w:val="24"/>
        </w:rPr>
        <w:t>zonisamid</w:t>
      </w:r>
      <w:proofErr w:type="spellEnd"/>
      <w:r w:rsidRPr="00F36DFC">
        <w:rPr>
          <w:sz w:val="24"/>
          <w:szCs w:val="24"/>
        </w:rPr>
        <w:t xml:space="preserve"> undgås, da dette kan medføre gennembrudsanfald, som vil kunne få alvorlige følger for både moder og barn. Risikoen for medfødt misdannelse øges med faktor 2 til 3 for børn af mødre, der er behandlet med et </w:t>
      </w:r>
      <w:proofErr w:type="spellStart"/>
      <w:r w:rsidRPr="00F36DFC">
        <w:rPr>
          <w:sz w:val="24"/>
          <w:szCs w:val="24"/>
        </w:rPr>
        <w:t>antiepileptikum</w:t>
      </w:r>
      <w:proofErr w:type="spellEnd"/>
      <w:r w:rsidRPr="00F36DFC">
        <w:rPr>
          <w:sz w:val="24"/>
          <w:szCs w:val="24"/>
        </w:rPr>
        <w:t xml:space="preserve">. De hyppigst rapporterede er læbespalte, </w:t>
      </w:r>
      <w:proofErr w:type="spellStart"/>
      <w:r w:rsidRPr="00F36DFC">
        <w:rPr>
          <w:sz w:val="24"/>
          <w:szCs w:val="24"/>
        </w:rPr>
        <w:t>kardiovaskulære</w:t>
      </w:r>
      <w:proofErr w:type="spellEnd"/>
      <w:r w:rsidRPr="00F36DFC">
        <w:rPr>
          <w:sz w:val="24"/>
          <w:szCs w:val="24"/>
        </w:rPr>
        <w:t xml:space="preserve"> misdannelser og neuralrørsdefekt. Behandling med flere </w:t>
      </w:r>
      <w:proofErr w:type="spellStart"/>
      <w:r w:rsidRPr="00F36DFC">
        <w:rPr>
          <w:sz w:val="24"/>
          <w:szCs w:val="24"/>
        </w:rPr>
        <w:t>antiepileptika</w:t>
      </w:r>
      <w:proofErr w:type="spellEnd"/>
      <w:r w:rsidRPr="00F36DFC">
        <w:rPr>
          <w:sz w:val="24"/>
          <w:szCs w:val="24"/>
        </w:rPr>
        <w:t xml:space="preserve"> kan være forbundet med en højere risiko for </w:t>
      </w:r>
      <w:proofErr w:type="spellStart"/>
      <w:r w:rsidRPr="00F36DFC">
        <w:rPr>
          <w:sz w:val="24"/>
          <w:szCs w:val="24"/>
        </w:rPr>
        <w:t>kongenitte</w:t>
      </w:r>
      <w:proofErr w:type="spellEnd"/>
      <w:r w:rsidRPr="00F36DFC">
        <w:rPr>
          <w:sz w:val="24"/>
          <w:szCs w:val="24"/>
        </w:rPr>
        <w:t xml:space="preserve"> misdannelser end ved monoterapi.</w:t>
      </w:r>
    </w:p>
    <w:p w14:paraId="56B5B209" w14:textId="77777777" w:rsidR="00F859C7" w:rsidRPr="00F36DFC" w:rsidRDefault="00F859C7" w:rsidP="00E14048">
      <w:pPr>
        <w:ind w:left="851"/>
        <w:rPr>
          <w:sz w:val="24"/>
          <w:szCs w:val="24"/>
        </w:rPr>
      </w:pPr>
    </w:p>
    <w:p w14:paraId="137BF709" w14:textId="77777777" w:rsidR="00F859C7" w:rsidRPr="00F36DFC" w:rsidRDefault="00F859C7" w:rsidP="00E14048">
      <w:pPr>
        <w:ind w:left="851"/>
        <w:rPr>
          <w:sz w:val="24"/>
          <w:szCs w:val="24"/>
          <w:u w:val="single"/>
        </w:rPr>
      </w:pPr>
      <w:r w:rsidRPr="00F36DFC">
        <w:rPr>
          <w:sz w:val="24"/>
          <w:szCs w:val="24"/>
          <w:u w:val="single"/>
        </w:rPr>
        <w:t>Graviditet</w:t>
      </w:r>
    </w:p>
    <w:p w14:paraId="15C0E01A" w14:textId="6C4ACD21" w:rsidR="00F859C7" w:rsidRPr="00F36DFC" w:rsidRDefault="00F859C7" w:rsidP="00E14048">
      <w:pPr>
        <w:ind w:left="851"/>
        <w:rPr>
          <w:sz w:val="24"/>
          <w:szCs w:val="24"/>
        </w:rPr>
      </w:pPr>
      <w:r w:rsidRPr="00F36DFC">
        <w:rPr>
          <w:sz w:val="24"/>
          <w:szCs w:val="24"/>
        </w:rPr>
        <w:t xml:space="preserve">Der er utilstrækkelige data fra anvendelse af </w:t>
      </w:r>
      <w:proofErr w:type="spellStart"/>
      <w:r w:rsidRPr="00F36DFC">
        <w:rPr>
          <w:sz w:val="24"/>
          <w:szCs w:val="24"/>
        </w:rPr>
        <w:t>Zonisamid</w:t>
      </w:r>
      <w:proofErr w:type="spellEnd"/>
      <w:r w:rsidRPr="00F36DFC">
        <w:rPr>
          <w:sz w:val="24"/>
          <w:szCs w:val="24"/>
        </w:rPr>
        <w:t xml:space="preserve"> </w:t>
      </w:r>
      <w:r w:rsidR="00C26C40">
        <w:rPr>
          <w:sz w:val="24"/>
          <w:szCs w:val="24"/>
        </w:rPr>
        <w:t>"</w:t>
      </w:r>
      <w:proofErr w:type="spellStart"/>
      <w:r w:rsidR="00C26C40">
        <w:rPr>
          <w:sz w:val="24"/>
          <w:szCs w:val="24"/>
        </w:rPr>
        <w:t>Desitin</w:t>
      </w:r>
      <w:proofErr w:type="spellEnd"/>
      <w:r w:rsidR="00C26C40">
        <w:rPr>
          <w:sz w:val="24"/>
          <w:szCs w:val="24"/>
        </w:rPr>
        <w:t>"</w:t>
      </w:r>
      <w:r w:rsidRPr="00F36DFC">
        <w:rPr>
          <w:sz w:val="24"/>
          <w:szCs w:val="24"/>
        </w:rPr>
        <w:t xml:space="preserve"> til gravide kvinder. Dyrestudier har påvist reproduktionstoksicitet (se pkt. 5.3). Hos mennesker er den potentielle risiko for større medfødte misdannelser og </w:t>
      </w:r>
      <w:proofErr w:type="spellStart"/>
      <w:r w:rsidRPr="00F36DFC">
        <w:rPr>
          <w:sz w:val="24"/>
          <w:szCs w:val="24"/>
        </w:rPr>
        <w:t>neuroudviklingsmæssige</w:t>
      </w:r>
      <w:proofErr w:type="spellEnd"/>
      <w:r w:rsidRPr="00F36DFC">
        <w:rPr>
          <w:sz w:val="24"/>
          <w:szCs w:val="24"/>
        </w:rPr>
        <w:t xml:space="preserve"> forstyrrelser ukendt.</w:t>
      </w:r>
    </w:p>
    <w:p w14:paraId="2361F208" w14:textId="77777777" w:rsidR="00F859C7" w:rsidRPr="00F36DFC" w:rsidRDefault="00F859C7" w:rsidP="00E14048">
      <w:pPr>
        <w:ind w:left="851"/>
        <w:rPr>
          <w:sz w:val="24"/>
          <w:szCs w:val="24"/>
        </w:rPr>
      </w:pPr>
    </w:p>
    <w:p w14:paraId="7F8ED34D" w14:textId="7F989AB5" w:rsidR="00F859C7" w:rsidRPr="00F36DFC" w:rsidRDefault="00F859C7" w:rsidP="00E14048">
      <w:pPr>
        <w:adjustRightInd w:val="0"/>
        <w:ind w:left="851"/>
        <w:rPr>
          <w:sz w:val="24"/>
          <w:szCs w:val="24"/>
        </w:rPr>
      </w:pPr>
      <w:r w:rsidRPr="00F36DFC">
        <w:rPr>
          <w:sz w:val="24"/>
          <w:szCs w:val="24"/>
        </w:rPr>
        <w:t xml:space="preserve">Data fra et registerstudie tyder på en øget andel af spædbørn, der fødes med en lav fødselsvægt, for tidligt eller små i forhold til </w:t>
      </w:r>
      <w:proofErr w:type="spellStart"/>
      <w:r w:rsidRPr="00F36DFC">
        <w:rPr>
          <w:sz w:val="24"/>
          <w:szCs w:val="24"/>
        </w:rPr>
        <w:t>gestationsalder</w:t>
      </w:r>
      <w:proofErr w:type="spellEnd"/>
      <w:r w:rsidRPr="00F36DFC">
        <w:rPr>
          <w:sz w:val="24"/>
          <w:szCs w:val="24"/>
        </w:rPr>
        <w:t>. Disse forøgelser ligger på omkring 5</w:t>
      </w:r>
      <w:r w:rsidR="00C26C40">
        <w:rPr>
          <w:sz w:val="24"/>
          <w:szCs w:val="24"/>
        </w:rPr>
        <w:t> </w:t>
      </w:r>
      <w:r w:rsidRPr="00F36DFC">
        <w:rPr>
          <w:sz w:val="24"/>
          <w:szCs w:val="24"/>
        </w:rPr>
        <w:t xml:space="preserve">% til 8 % for lav fødselsvægt, på omkring 8 % til 10 % for </w:t>
      </w:r>
      <w:proofErr w:type="spellStart"/>
      <w:r w:rsidRPr="00F36DFC">
        <w:rPr>
          <w:sz w:val="24"/>
          <w:szCs w:val="24"/>
        </w:rPr>
        <w:t>for</w:t>
      </w:r>
      <w:proofErr w:type="spellEnd"/>
      <w:r w:rsidRPr="00F36DFC">
        <w:rPr>
          <w:sz w:val="24"/>
          <w:szCs w:val="24"/>
        </w:rPr>
        <w:t xml:space="preserve"> tidlig fødsel og på omkring 7 % til 12 % for lille størrelse i forhold til </w:t>
      </w:r>
      <w:proofErr w:type="spellStart"/>
      <w:r w:rsidRPr="00F36DFC">
        <w:rPr>
          <w:sz w:val="24"/>
          <w:szCs w:val="24"/>
        </w:rPr>
        <w:t>gestationsalder</w:t>
      </w:r>
      <w:proofErr w:type="spellEnd"/>
      <w:r w:rsidRPr="00F36DFC">
        <w:rPr>
          <w:sz w:val="24"/>
          <w:szCs w:val="24"/>
        </w:rPr>
        <w:t xml:space="preserve">, hvor alle tilfælde blev sammenlignet med mødre, der blev behandlet med </w:t>
      </w:r>
      <w:proofErr w:type="spellStart"/>
      <w:r w:rsidRPr="00F36DFC">
        <w:rPr>
          <w:sz w:val="24"/>
          <w:szCs w:val="24"/>
        </w:rPr>
        <w:t>lamotrigin</w:t>
      </w:r>
      <w:proofErr w:type="spellEnd"/>
      <w:r w:rsidRPr="00F36DFC">
        <w:rPr>
          <w:sz w:val="24"/>
          <w:szCs w:val="24"/>
        </w:rPr>
        <w:t>-monoterapi.</w:t>
      </w:r>
    </w:p>
    <w:p w14:paraId="254D2C3B" w14:textId="77777777" w:rsidR="00F859C7" w:rsidRPr="00F36DFC" w:rsidRDefault="00F859C7" w:rsidP="00E14048">
      <w:pPr>
        <w:adjustRightInd w:val="0"/>
        <w:ind w:left="851"/>
        <w:rPr>
          <w:sz w:val="24"/>
          <w:szCs w:val="24"/>
        </w:rPr>
      </w:pPr>
    </w:p>
    <w:p w14:paraId="1CA6A5A2" w14:textId="305D83C1" w:rsidR="00F859C7" w:rsidRPr="00F36DFC" w:rsidRDefault="00F859C7" w:rsidP="00E14048">
      <w:pPr>
        <w:adjustRightInd w:val="0"/>
        <w:ind w:left="851"/>
        <w:rPr>
          <w:sz w:val="24"/>
          <w:szCs w:val="24"/>
        </w:rPr>
      </w:pPr>
      <w:proofErr w:type="spellStart"/>
      <w:r w:rsidRPr="00F36DFC">
        <w:rPr>
          <w:sz w:val="24"/>
          <w:szCs w:val="24"/>
        </w:rPr>
        <w:t>Zonisamid</w:t>
      </w:r>
      <w:proofErr w:type="spellEnd"/>
      <w:r w:rsidRPr="00F36DFC">
        <w:rPr>
          <w:sz w:val="24"/>
          <w:szCs w:val="24"/>
        </w:rPr>
        <w:t xml:space="preserve"> </w:t>
      </w:r>
      <w:r w:rsidR="00C26C40">
        <w:rPr>
          <w:sz w:val="24"/>
          <w:szCs w:val="24"/>
        </w:rPr>
        <w:t>"</w:t>
      </w:r>
      <w:proofErr w:type="spellStart"/>
      <w:r w:rsidR="00C26C40">
        <w:rPr>
          <w:sz w:val="24"/>
          <w:szCs w:val="24"/>
        </w:rPr>
        <w:t>Desitin</w:t>
      </w:r>
      <w:proofErr w:type="spellEnd"/>
      <w:r w:rsidR="00C26C40">
        <w:rPr>
          <w:sz w:val="24"/>
          <w:szCs w:val="24"/>
        </w:rPr>
        <w:t>"</w:t>
      </w:r>
      <w:r w:rsidRPr="00F36DFC">
        <w:rPr>
          <w:sz w:val="24"/>
          <w:szCs w:val="24"/>
        </w:rPr>
        <w:t xml:space="preserve"> må ikke anvendes under graviditet, medmindre det er klart nødvendigt, og kun hvis den potentielle nytte anses for at berettige risikoen for fostret. Hvis </w:t>
      </w:r>
      <w:proofErr w:type="spellStart"/>
      <w:r w:rsidRPr="00F36DFC">
        <w:rPr>
          <w:sz w:val="24"/>
          <w:szCs w:val="24"/>
        </w:rPr>
        <w:t>Zonisamid</w:t>
      </w:r>
      <w:proofErr w:type="spellEnd"/>
      <w:r w:rsidRPr="00F36DFC">
        <w:rPr>
          <w:sz w:val="24"/>
          <w:szCs w:val="24"/>
        </w:rPr>
        <w:t xml:space="preserve"> </w:t>
      </w:r>
      <w:r w:rsidR="00C26C40">
        <w:rPr>
          <w:sz w:val="24"/>
          <w:szCs w:val="24"/>
        </w:rPr>
        <w:t>"</w:t>
      </w:r>
      <w:proofErr w:type="spellStart"/>
      <w:r w:rsidR="00C26C40">
        <w:rPr>
          <w:sz w:val="24"/>
          <w:szCs w:val="24"/>
        </w:rPr>
        <w:t>Desitin</w:t>
      </w:r>
      <w:proofErr w:type="spellEnd"/>
      <w:r w:rsidR="00C26C40">
        <w:rPr>
          <w:sz w:val="24"/>
          <w:szCs w:val="24"/>
        </w:rPr>
        <w:t>"</w:t>
      </w:r>
      <w:r w:rsidRPr="00F36DFC">
        <w:rPr>
          <w:sz w:val="24"/>
          <w:szCs w:val="24"/>
        </w:rPr>
        <w:t xml:space="preserve"> ordineres under graviditet, skal patienterne informeres grundigt om den potentielle skade på fosteret, og brugen af minimal effektiv dosis anbefales sammen med omhyggelig kontrol.</w:t>
      </w:r>
    </w:p>
    <w:p w14:paraId="402CF54B" w14:textId="77777777" w:rsidR="00F859C7" w:rsidRPr="00F36DFC" w:rsidRDefault="00F859C7" w:rsidP="00E14048">
      <w:pPr>
        <w:ind w:left="851"/>
        <w:rPr>
          <w:sz w:val="24"/>
          <w:szCs w:val="24"/>
        </w:rPr>
      </w:pPr>
    </w:p>
    <w:p w14:paraId="17CB15FD" w14:textId="77777777" w:rsidR="00F859C7" w:rsidRPr="00F36DFC" w:rsidRDefault="00F859C7" w:rsidP="00E14048">
      <w:pPr>
        <w:ind w:left="851"/>
        <w:rPr>
          <w:sz w:val="24"/>
          <w:szCs w:val="24"/>
          <w:u w:val="single"/>
        </w:rPr>
      </w:pPr>
      <w:r w:rsidRPr="00F36DFC">
        <w:rPr>
          <w:sz w:val="24"/>
          <w:szCs w:val="24"/>
          <w:u w:val="single"/>
        </w:rPr>
        <w:t>Amning</w:t>
      </w:r>
    </w:p>
    <w:p w14:paraId="65175949" w14:textId="09334CB3" w:rsidR="00F859C7" w:rsidRPr="00F36DFC" w:rsidRDefault="00F859C7" w:rsidP="00E14048">
      <w:pPr>
        <w:ind w:left="851"/>
        <w:rPr>
          <w:sz w:val="24"/>
          <w:szCs w:val="24"/>
        </w:rPr>
      </w:pPr>
      <w:proofErr w:type="spellStart"/>
      <w:r w:rsidRPr="00F36DFC">
        <w:rPr>
          <w:sz w:val="24"/>
          <w:szCs w:val="24"/>
        </w:rPr>
        <w:t>Zonisamid</w:t>
      </w:r>
      <w:proofErr w:type="spellEnd"/>
      <w:r w:rsidRPr="00F36DFC">
        <w:rPr>
          <w:sz w:val="24"/>
          <w:szCs w:val="24"/>
        </w:rPr>
        <w:t xml:space="preserve"> udskilles i human mælk. Koncentrationen i modermælk er den samme som i moderens plasma. Det skal besluttes, om amning skal ophøre eller behandling med </w:t>
      </w:r>
      <w:proofErr w:type="spellStart"/>
      <w:r w:rsidRPr="00F36DFC">
        <w:rPr>
          <w:sz w:val="24"/>
          <w:szCs w:val="24"/>
        </w:rPr>
        <w:t>Zonisamid</w:t>
      </w:r>
      <w:proofErr w:type="spellEnd"/>
      <w:r w:rsidRPr="00F36DFC">
        <w:rPr>
          <w:sz w:val="24"/>
          <w:szCs w:val="24"/>
        </w:rPr>
        <w:t xml:space="preserve"> </w:t>
      </w:r>
      <w:r w:rsidR="00C26C40">
        <w:rPr>
          <w:sz w:val="24"/>
          <w:szCs w:val="24"/>
        </w:rPr>
        <w:t>"</w:t>
      </w:r>
      <w:proofErr w:type="spellStart"/>
      <w:r w:rsidR="00C26C40">
        <w:rPr>
          <w:sz w:val="24"/>
          <w:szCs w:val="24"/>
        </w:rPr>
        <w:t>Desitin</w:t>
      </w:r>
      <w:proofErr w:type="spellEnd"/>
      <w:r w:rsidR="00C26C40">
        <w:rPr>
          <w:sz w:val="24"/>
          <w:szCs w:val="24"/>
        </w:rPr>
        <w:t>"</w:t>
      </w:r>
      <w:r w:rsidRPr="00F36DFC">
        <w:rPr>
          <w:sz w:val="24"/>
          <w:szCs w:val="24"/>
        </w:rPr>
        <w:t xml:space="preserve"> seponeres. På grund af lang retentionstid for </w:t>
      </w:r>
      <w:proofErr w:type="spellStart"/>
      <w:r w:rsidRPr="00F36DFC">
        <w:rPr>
          <w:sz w:val="24"/>
          <w:szCs w:val="24"/>
        </w:rPr>
        <w:t>zonisamid</w:t>
      </w:r>
      <w:proofErr w:type="spellEnd"/>
      <w:r w:rsidRPr="00F36DFC">
        <w:rPr>
          <w:sz w:val="24"/>
          <w:szCs w:val="24"/>
        </w:rPr>
        <w:t xml:space="preserve"> i organismen bør amning ikke genoptages før en måned efter, at behandlingen med </w:t>
      </w:r>
      <w:proofErr w:type="spellStart"/>
      <w:r w:rsidRPr="00F36DFC">
        <w:rPr>
          <w:sz w:val="24"/>
          <w:szCs w:val="24"/>
        </w:rPr>
        <w:t>Zonisamid</w:t>
      </w:r>
      <w:proofErr w:type="spellEnd"/>
      <w:r w:rsidRPr="00F36DFC">
        <w:rPr>
          <w:sz w:val="24"/>
          <w:szCs w:val="24"/>
        </w:rPr>
        <w:t xml:space="preserve"> </w:t>
      </w:r>
      <w:r w:rsidR="00C26C40">
        <w:rPr>
          <w:sz w:val="24"/>
          <w:szCs w:val="24"/>
        </w:rPr>
        <w:t>"</w:t>
      </w:r>
      <w:proofErr w:type="spellStart"/>
      <w:r w:rsidR="00C26C40">
        <w:rPr>
          <w:sz w:val="24"/>
          <w:szCs w:val="24"/>
        </w:rPr>
        <w:t>Desitin</w:t>
      </w:r>
      <w:proofErr w:type="spellEnd"/>
      <w:r w:rsidR="00C26C40">
        <w:rPr>
          <w:sz w:val="24"/>
          <w:szCs w:val="24"/>
        </w:rPr>
        <w:t>"</w:t>
      </w:r>
      <w:r w:rsidRPr="00F36DFC">
        <w:rPr>
          <w:sz w:val="24"/>
          <w:szCs w:val="24"/>
        </w:rPr>
        <w:t xml:space="preserve"> er afsluttet.</w:t>
      </w:r>
    </w:p>
    <w:p w14:paraId="4BC91F35" w14:textId="77777777" w:rsidR="00F859C7" w:rsidRPr="00F36DFC" w:rsidRDefault="00F859C7" w:rsidP="00E14048">
      <w:pPr>
        <w:ind w:left="851"/>
        <w:rPr>
          <w:sz w:val="24"/>
          <w:szCs w:val="24"/>
        </w:rPr>
      </w:pPr>
    </w:p>
    <w:p w14:paraId="7DBF1E59" w14:textId="77777777" w:rsidR="00F859C7" w:rsidRPr="00F36DFC" w:rsidRDefault="00F859C7" w:rsidP="00E14048">
      <w:pPr>
        <w:ind w:left="851"/>
        <w:rPr>
          <w:sz w:val="24"/>
          <w:szCs w:val="24"/>
          <w:u w:val="single"/>
        </w:rPr>
      </w:pPr>
      <w:r w:rsidRPr="00F36DFC">
        <w:rPr>
          <w:sz w:val="24"/>
          <w:szCs w:val="24"/>
          <w:u w:val="single"/>
        </w:rPr>
        <w:t>Fertilitet</w:t>
      </w:r>
    </w:p>
    <w:p w14:paraId="27FC4454" w14:textId="77777777" w:rsidR="00F859C7" w:rsidRPr="00F36DFC" w:rsidRDefault="00F859C7" w:rsidP="00E14048">
      <w:pPr>
        <w:ind w:left="851"/>
        <w:rPr>
          <w:sz w:val="24"/>
          <w:szCs w:val="24"/>
        </w:rPr>
      </w:pPr>
      <w:r w:rsidRPr="00F36DFC">
        <w:rPr>
          <w:sz w:val="24"/>
          <w:szCs w:val="24"/>
        </w:rPr>
        <w:t xml:space="preserve">Der foreligger ingen kliniske data om </w:t>
      </w:r>
      <w:proofErr w:type="spellStart"/>
      <w:r w:rsidRPr="00F36DFC">
        <w:rPr>
          <w:sz w:val="24"/>
          <w:szCs w:val="24"/>
        </w:rPr>
        <w:t>zonisamids</w:t>
      </w:r>
      <w:proofErr w:type="spellEnd"/>
      <w:r w:rsidRPr="00F36DFC">
        <w:rPr>
          <w:sz w:val="24"/>
          <w:szCs w:val="24"/>
        </w:rPr>
        <w:t xml:space="preserve"> virkning på human fertilitet. Dyrestudier har påvist ændringer i fertilitetsparametre (se pkt. 5.3).</w:t>
      </w:r>
    </w:p>
    <w:p w14:paraId="6B3F012D" w14:textId="77777777" w:rsidR="009260DE" w:rsidRPr="00F36DFC" w:rsidRDefault="009260DE" w:rsidP="009260DE">
      <w:pPr>
        <w:tabs>
          <w:tab w:val="left" w:pos="851"/>
        </w:tabs>
        <w:ind w:left="851"/>
        <w:rPr>
          <w:sz w:val="24"/>
          <w:szCs w:val="24"/>
        </w:rPr>
      </w:pPr>
    </w:p>
    <w:p w14:paraId="6B1D0D16" w14:textId="77777777" w:rsidR="009260DE" w:rsidRPr="00F36DFC" w:rsidRDefault="009260DE" w:rsidP="009260DE">
      <w:pPr>
        <w:tabs>
          <w:tab w:val="left" w:pos="851"/>
        </w:tabs>
        <w:ind w:left="851" w:hanging="851"/>
        <w:rPr>
          <w:b/>
          <w:sz w:val="24"/>
          <w:szCs w:val="24"/>
        </w:rPr>
      </w:pPr>
      <w:r w:rsidRPr="00F36DFC">
        <w:rPr>
          <w:b/>
          <w:sz w:val="24"/>
          <w:szCs w:val="24"/>
        </w:rPr>
        <w:t>4.7</w:t>
      </w:r>
      <w:r w:rsidRPr="00F36DFC">
        <w:rPr>
          <w:b/>
          <w:sz w:val="24"/>
          <w:szCs w:val="24"/>
        </w:rPr>
        <w:tab/>
        <w:t xml:space="preserve">Virkning på evnen til at føre motorkøretøj </w:t>
      </w:r>
      <w:r w:rsidR="0071241E" w:rsidRPr="00F36DFC">
        <w:rPr>
          <w:b/>
          <w:sz w:val="24"/>
          <w:szCs w:val="24"/>
        </w:rPr>
        <w:t>og</w:t>
      </w:r>
      <w:r w:rsidRPr="00F36DFC">
        <w:rPr>
          <w:b/>
          <w:sz w:val="24"/>
          <w:szCs w:val="24"/>
        </w:rPr>
        <w:t xml:space="preserve"> betjene maskiner</w:t>
      </w:r>
    </w:p>
    <w:p w14:paraId="3A34364C" w14:textId="77777777" w:rsidR="00F859C7" w:rsidRPr="00F36DFC" w:rsidRDefault="00F859C7" w:rsidP="00E14048">
      <w:pPr>
        <w:ind w:left="851"/>
        <w:rPr>
          <w:sz w:val="24"/>
          <w:szCs w:val="24"/>
          <w:lang w:eastAsia="de-DE"/>
        </w:rPr>
      </w:pPr>
      <w:r w:rsidRPr="00F36DFC">
        <w:rPr>
          <w:sz w:val="24"/>
          <w:szCs w:val="24"/>
        </w:rPr>
        <w:t>Ikke mærkning.</w:t>
      </w:r>
    </w:p>
    <w:p w14:paraId="0013E678" w14:textId="77777777" w:rsidR="00F859C7" w:rsidRPr="00F36DFC" w:rsidRDefault="00F859C7" w:rsidP="00E14048">
      <w:pPr>
        <w:ind w:left="851"/>
        <w:rPr>
          <w:sz w:val="24"/>
          <w:szCs w:val="24"/>
        </w:rPr>
      </w:pPr>
      <w:r w:rsidRPr="00F36DFC">
        <w:rPr>
          <w:sz w:val="24"/>
          <w:szCs w:val="24"/>
        </w:rPr>
        <w:t>Der er ikke udført studier af virkningen på evnen til at føre motorkøretøj og betjene maskiner. Da nogle patienter kan opleve døsighed eller koncentrationsbesvær især tidligt i behandlingen eller efter dosisøgning, skal patienterne dog rådes til at udvise forsigtighed i forbindelse med aktiviteter, der kræver stor årvågenhed f.eks. bilkørsel eller betjening af maskiner.</w:t>
      </w:r>
    </w:p>
    <w:p w14:paraId="19293280" w14:textId="77777777" w:rsidR="009260DE" w:rsidRPr="00F36DFC" w:rsidRDefault="009260DE" w:rsidP="009260DE">
      <w:pPr>
        <w:tabs>
          <w:tab w:val="left" w:pos="851"/>
        </w:tabs>
        <w:ind w:left="851"/>
        <w:rPr>
          <w:sz w:val="24"/>
          <w:szCs w:val="24"/>
        </w:rPr>
      </w:pPr>
    </w:p>
    <w:p w14:paraId="5C8329DF" w14:textId="77777777" w:rsidR="009260DE" w:rsidRPr="00F36DFC" w:rsidRDefault="009260DE" w:rsidP="009260DE">
      <w:pPr>
        <w:tabs>
          <w:tab w:val="left" w:pos="851"/>
        </w:tabs>
        <w:ind w:left="851" w:hanging="851"/>
        <w:rPr>
          <w:b/>
          <w:sz w:val="24"/>
          <w:szCs w:val="24"/>
        </w:rPr>
      </w:pPr>
      <w:r w:rsidRPr="00F36DFC">
        <w:rPr>
          <w:b/>
          <w:sz w:val="24"/>
          <w:szCs w:val="24"/>
        </w:rPr>
        <w:t>4.8</w:t>
      </w:r>
      <w:r w:rsidRPr="00F36DFC">
        <w:rPr>
          <w:b/>
          <w:sz w:val="24"/>
          <w:szCs w:val="24"/>
        </w:rPr>
        <w:tab/>
        <w:t>Bivirkninger</w:t>
      </w:r>
    </w:p>
    <w:p w14:paraId="4964C9A5" w14:textId="77777777" w:rsidR="00F36DFC" w:rsidRDefault="00F36DFC" w:rsidP="00E14048">
      <w:pPr>
        <w:ind w:left="851"/>
        <w:rPr>
          <w:sz w:val="24"/>
          <w:szCs w:val="24"/>
          <w:u w:val="single"/>
        </w:rPr>
      </w:pPr>
    </w:p>
    <w:p w14:paraId="6D2D6C61" w14:textId="59025431" w:rsidR="00F859C7" w:rsidRPr="00F36DFC" w:rsidRDefault="00F859C7" w:rsidP="00E14048">
      <w:pPr>
        <w:ind w:left="851"/>
        <w:rPr>
          <w:sz w:val="24"/>
          <w:szCs w:val="24"/>
          <w:u w:val="single"/>
          <w:lang w:eastAsia="de-DE"/>
        </w:rPr>
      </w:pPr>
      <w:r w:rsidRPr="00F36DFC">
        <w:rPr>
          <w:sz w:val="24"/>
          <w:szCs w:val="24"/>
          <w:u w:val="single"/>
        </w:rPr>
        <w:t>Sammendrag af sikkerhedsprofilen</w:t>
      </w:r>
    </w:p>
    <w:p w14:paraId="02A3AAD8" w14:textId="77777777" w:rsidR="00F859C7" w:rsidRPr="00F36DFC" w:rsidRDefault="00F859C7" w:rsidP="00E14048">
      <w:pPr>
        <w:ind w:left="851"/>
        <w:rPr>
          <w:sz w:val="24"/>
          <w:szCs w:val="24"/>
        </w:rPr>
      </w:pPr>
    </w:p>
    <w:p w14:paraId="5BDDDFA2" w14:textId="77777777" w:rsidR="00F859C7" w:rsidRPr="00F36DFC" w:rsidRDefault="00F859C7" w:rsidP="00E14048">
      <w:pPr>
        <w:ind w:left="851"/>
        <w:rPr>
          <w:sz w:val="24"/>
          <w:szCs w:val="24"/>
        </w:rPr>
      </w:pPr>
      <w:proofErr w:type="spellStart"/>
      <w:r w:rsidRPr="00F36DFC">
        <w:rPr>
          <w:sz w:val="24"/>
          <w:szCs w:val="24"/>
        </w:rPr>
        <w:t>Zonisamid</w:t>
      </w:r>
      <w:proofErr w:type="spellEnd"/>
      <w:r w:rsidRPr="00F36DFC">
        <w:rPr>
          <w:sz w:val="24"/>
          <w:szCs w:val="24"/>
        </w:rPr>
        <w:t xml:space="preserve"> er givet til 1.200 patienter i kliniske studier, hvoraf mere end 400 fik </w:t>
      </w:r>
      <w:proofErr w:type="spellStart"/>
      <w:r w:rsidRPr="00F36DFC">
        <w:rPr>
          <w:sz w:val="24"/>
          <w:szCs w:val="24"/>
        </w:rPr>
        <w:t>zomisamid</w:t>
      </w:r>
      <w:proofErr w:type="spellEnd"/>
      <w:r w:rsidRPr="00F36DFC">
        <w:rPr>
          <w:sz w:val="24"/>
          <w:szCs w:val="24"/>
        </w:rPr>
        <w:t xml:space="preserve"> i mindst 1 år. Yderligere er der indhentet omfattende erfaringer siden markedsføringen af </w:t>
      </w:r>
      <w:proofErr w:type="spellStart"/>
      <w:r w:rsidRPr="00F36DFC">
        <w:rPr>
          <w:sz w:val="24"/>
          <w:szCs w:val="24"/>
        </w:rPr>
        <w:t>zonisamid</w:t>
      </w:r>
      <w:proofErr w:type="spellEnd"/>
      <w:r w:rsidRPr="00F36DFC">
        <w:rPr>
          <w:sz w:val="24"/>
          <w:szCs w:val="24"/>
        </w:rPr>
        <w:t xml:space="preserve"> i Japan i 1989 og i USA i 2000.</w:t>
      </w:r>
    </w:p>
    <w:p w14:paraId="69D92869" w14:textId="77777777" w:rsidR="00F859C7" w:rsidRPr="00F36DFC" w:rsidRDefault="00F859C7" w:rsidP="00E14048">
      <w:pPr>
        <w:ind w:left="851"/>
        <w:rPr>
          <w:sz w:val="24"/>
          <w:szCs w:val="24"/>
        </w:rPr>
      </w:pPr>
    </w:p>
    <w:p w14:paraId="4AF03DD4" w14:textId="25632246" w:rsidR="00F859C7" w:rsidRPr="00F36DFC" w:rsidRDefault="00F859C7" w:rsidP="00E14048">
      <w:pPr>
        <w:ind w:left="851"/>
        <w:rPr>
          <w:sz w:val="24"/>
          <w:szCs w:val="24"/>
        </w:rPr>
      </w:pPr>
      <w:r w:rsidRPr="00F36DFC">
        <w:rPr>
          <w:sz w:val="24"/>
          <w:szCs w:val="24"/>
        </w:rPr>
        <w:t xml:space="preserve">Det skal bemærkes, at </w:t>
      </w:r>
      <w:proofErr w:type="spellStart"/>
      <w:r w:rsidRPr="00F36DFC">
        <w:rPr>
          <w:sz w:val="24"/>
          <w:szCs w:val="24"/>
        </w:rPr>
        <w:t>Zonisamid</w:t>
      </w:r>
      <w:proofErr w:type="spellEnd"/>
      <w:r w:rsidRPr="00F36DFC">
        <w:rPr>
          <w:sz w:val="24"/>
          <w:szCs w:val="24"/>
        </w:rPr>
        <w:t xml:space="preserve"> </w:t>
      </w:r>
      <w:r w:rsidR="00C26C40">
        <w:rPr>
          <w:sz w:val="24"/>
          <w:szCs w:val="24"/>
        </w:rPr>
        <w:t>"</w:t>
      </w:r>
      <w:proofErr w:type="spellStart"/>
      <w:r w:rsidR="00C26C40">
        <w:rPr>
          <w:sz w:val="24"/>
          <w:szCs w:val="24"/>
        </w:rPr>
        <w:t>Desitin</w:t>
      </w:r>
      <w:proofErr w:type="spellEnd"/>
      <w:r w:rsidR="00C26C40">
        <w:rPr>
          <w:sz w:val="24"/>
          <w:szCs w:val="24"/>
        </w:rPr>
        <w:t>"</w:t>
      </w:r>
      <w:r w:rsidRPr="00F36DFC">
        <w:rPr>
          <w:sz w:val="24"/>
          <w:szCs w:val="24"/>
        </w:rPr>
        <w:t xml:space="preserve"> er et </w:t>
      </w:r>
      <w:proofErr w:type="spellStart"/>
      <w:r w:rsidRPr="00F36DFC">
        <w:rPr>
          <w:sz w:val="24"/>
          <w:szCs w:val="24"/>
        </w:rPr>
        <w:t>benzisoxazolderivat</w:t>
      </w:r>
      <w:proofErr w:type="spellEnd"/>
      <w:r w:rsidRPr="00F36DFC">
        <w:rPr>
          <w:sz w:val="24"/>
          <w:szCs w:val="24"/>
        </w:rPr>
        <w:t xml:space="preserve">, som indeholder en sulfonamidgruppe. Alvorlige immunbaserede bivirkninger, som har forbindelse med lægemidler indeholdende en sulfonamidgruppe, omfatter udslæt, allergisk reaktion og alvorlige hæmatologiske sygdomme inklusive </w:t>
      </w:r>
      <w:proofErr w:type="spellStart"/>
      <w:r w:rsidRPr="00F36DFC">
        <w:rPr>
          <w:sz w:val="24"/>
          <w:szCs w:val="24"/>
        </w:rPr>
        <w:t>aplastisk</w:t>
      </w:r>
      <w:proofErr w:type="spellEnd"/>
      <w:r w:rsidRPr="00F36DFC">
        <w:rPr>
          <w:sz w:val="24"/>
          <w:szCs w:val="24"/>
        </w:rPr>
        <w:t xml:space="preserve"> anæmi, der i meget sjældne tilfælde kan være fatalt (se pkt. 4.4).</w:t>
      </w:r>
    </w:p>
    <w:p w14:paraId="7D80C740" w14:textId="77777777" w:rsidR="00F859C7" w:rsidRPr="00F36DFC" w:rsidRDefault="00F859C7" w:rsidP="00E14048">
      <w:pPr>
        <w:ind w:left="851"/>
        <w:rPr>
          <w:sz w:val="24"/>
          <w:szCs w:val="24"/>
        </w:rPr>
      </w:pPr>
    </w:p>
    <w:p w14:paraId="5068EF44" w14:textId="77777777" w:rsidR="00F859C7" w:rsidRPr="00F36DFC" w:rsidRDefault="00F859C7" w:rsidP="00E14048">
      <w:pPr>
        <w:ind w:left="851"/>
        <w:rPr>
          <w:sz w:val="24"/>
          <w:szCs w:val="24"/>
        </w:rPr>
      </w:pPr>
      <w:r w:rsidRPr="00F36DFC">
        <w:rPr>
          <w:sz w:val="24"/>
          <w:szCs w:val="24"/>
        </w:rPr>
        <w:t xml:space="preserve">De mest almindelige bivirkninger i kontrollerede studier med supplerende behandlinger var døsighed, svimmelhed og anoreksi. De mest almindelige bivirkninger i et randomiseret, kontrolleret studie med monoterapi, der sammenlignede </w:t>
      </w:r>
      <w:proofErr w:type="spellStart"/>
      <w:r w:rsidRPr="00F36DFC">
        <w:rPr>
          <w:sz w:val="24"/>
          <w:szCs w:val="24"/>
        </w:rPr>
        <w:t>zonisamid</w:t>
      </w:r>
      <w:proofErr w:type="spellEnd"/>
      <w:r w:rsidRPr="00F36DFC">
        <w:rPr>
          <w:sz w:val="24"/>
          <w:szCs w:val="24"/>
        </w:rPr>
        <w:t xml:space="preserve"> med </w:t>
      </w:r>
      <w:proofErr w:type="spellStart"/>
      <w:r w:rsidRPr="00F36DFC">
        <w:rPr>
          <w:sz w:val="24"/>
          <w:szCs w:val="24"/>
        </w:rPr>
        <w:t>carbamazepin</w:t>
      </w:r>
      <w:proofErr w:type="spellEnd"/>
      <w:r w:rsidRPr="00F36DFC">
        <w:rPr>
          <w:sz w:val="24"/>
          <w:szCs w:val="24"/>
        </w:rPr>
        <w:t xml:space="preserve">-depotformulering, var nedsat </w:t>
      </w:r>
      <w:proofErr w:type="spellStart"/>
      <w:r w:rsidRPr="00F36DFC">
        <w:rPr>
          <w:sz w:val="24"/>
          <w:szCs w:val="24"/>
        </w:rPr>
        <w:t>hydrogencarbonat</w:t>
      </w:r>
      <w:proofErr w:type="spellEnd"/>
      <w:r w:rsidRPr="00F36DFC">
        <w:rPr>
          <w:sz w:val="24"/>
          <w:szCs w:val="24"/>
        </w:rPr>
        <w:t>, nedsat appetit og vægttab. Hyppigheden af abnormt lav serum-</w:t>
      </w:r>
      <w:proofErr w:type="spellStart"/>
      <w:r w:rsidRPr="00F36DFC">
        <w:rPr>
          <w:sz w:val="24"/>
          <w:szCs w:val="24"/>
        </w:rPr>
        <w:t>hydrogencarbonat</w:t>
      </w:r>
      <w:proofErr w:type="spellEnd"/>
      <w:r w:rsidRPr="00F36DFC">
        <w:rPr>
          <w:sz w:val="24"/>
          <w:szCs w:val="24"/>
        </w:rPr>
        <w:t xml:space="preserve"> (en reduktion til under 17 </w:t>
      </w:r>
      <w:proofErr w:type="spellStart"/>
      <w:r w:rsidRPr="00F36DFC">
        <w:rPr>
          <w:sz w:val="24"/>
          <w:szCs w:val="24"/>
        </w:rPr>
        <w:t>mEq</w:t>
      </w:r>
      <w:proofErr w:type="spellEnd"/>
      <w:r w:rsidRPr="00F36DFC">
        <w:rPr>
          <w:sz w:val="24"/>
          <w:szCs w:val="24"/>
        </w:rPr>
        <w:t xml:space="preserve">/l eller med over 5 </w:t>
      </w:r>
      <w:proofErr w:type="spellStart"/>
      <w:r w:rsidRPr="00F36DFC">
        <w:rPr>
          <w:sz w:val="24"/>
          <w:szCs w:val="24"/>
        </w:rPr>
        <w:t>mEq</w:t>
      </w:r>
      <w:proofErr w:type="spellEnd"/>
      <w:r w:rsidRPr="00F36DFC">
        <w:rPr>
          <w:sz w:val="24"/>
          <w:szCs w:val="24"/>
        </w:rPr>
        <w:t>/l) var 3,8 %. Hyppigheden af markant vægttab på 20 % eller mere var 0,7 %.</w:t>
      </w:r>
    </w:p>
    <w:p w14:paraId="64AFD7D8" w14:textId="77777777" w:rsidR="00F859C7" w:rsidRPr="00F36DFC" w:rsidRDefault="00F859C7" w:rsidP="00E14048">
      <w:pPr>
        <w:ind w:left="851"/>
        <w:rPr>
          <w:sz w:val="24"/>
          <w:szCs w:val="24"/>
        </w:rPr>
      </w:pPr>
    </w:p>
    <w:p w14:paraId="48F878FF" w14:textId="77777777" w:rsidR="00F859C7" w:rsidRPr="00F36DFC" w:rsidRDefault="00F859C7" w:rsidP="00E14048">
      <w:pPr>
        <w:ind w:left="851"/>
        <w:rPr>
          <w:sz w:val="24"/>
          <w:szCs w:val="24"/>
          <w:u w:val="single"/>
        </w:rPr>
      </w:pPr>
      <w:r w:rsidRPr="00F36DFC">
        <w:rPr>
          <w:sz w:val="24"/>
          <w:szCs w:val="24"/>
          <w:u w:val="single"/>
        </w:rPr>
        <w:t>Skematisk oversigt over bivirkninger</w:t>
      </w:r>
    </w:p>
    <w:p w14:paraId="7F46AE51" w14:textId="77777777" w:rsidR="00F859C7" w:rsidRPr="00F36DFC" w:rsidRDefault="00F859C7" w:rsidP="00E14048">
      <w:pPr>
        <w:ind w:left="851"/>
        <w:rPr>
          <w:sz w:val="24"/>
          <w:szCs w:val="24"/>
        </w:rPr>
      </w:pPr>
    </w:p>
    <w:p w14:paraId="559A57E7" w14:textId="5190FF91" w:rsidR="00F859C7" w:rsidRPr="00F36DFC" w:rsidRDefault="00F859C7" w:rsidP="00E14048">
      <w:pPr>
        <w:ind w:left="851"/>
        <w:rPr>
          <w:sz w:val="24"/>
          <w:szCs w:val="24"/>
        </w:rPr>
      </w:pPr>
      <w:r w:rsidRPr="00F36DFC">
        <w:rPr>
          <w:sz w:val="24"/>
          <w:szCs w:val="24"/>
        </w:rPr>
        <w:t xml:space="preserve">Bivirkninger forbundet med </w:t>
      </w:r>
      <w:proofErr w:type="spellStart"/>
      <w:r w:rsidRPr="00F36DFC">
        <w:rPr>
          <w:sz w:val="24"/>
          <w:szCs w:val="24"/>
        </w:rPr>
        <w:t>Zonisamid</w:t>
      </w:r>
      <w:proofErr w:type="spellEnd"/>
      <w:r w:rsidRPr="00F36DFC">
        <w:rPr>
          <w:sz w:val="24"/>
          <w:szCs w:val="24"/>
        </w:rPr>
        <w:t xml:space="preserve"> </w:t>
      </w:r>
      <w:r w:rsidR="00C26C40">
        <w:rPr>
          <w:sz w:val="24"/>
          <w:szCs w:val="24"/>
        </w:rPr>
        <w:t>"</w:t>
      </w:r>
      <w:proofErr w:type="spellStart"/>
      <w:r w:rsidR="00C26C40">
        <w:rPr>
          <w:sz w:val="24"/>
          <w:szCs w:val="24"/>
        </w:rPr>
        <w:t>Desitin</w:t>
      </w:r>
      <w:proofErr w:type="spellEnd"/>
      <w:r w:rsidR="00C26C40">
        <w:rPr>
          <w:sz w:val="24"/>
          <w:szCs w:val="24"/>
        </w:rPr>
        <w:t>"</w:t>
      </w:r>
      <w:r w:rsidRPr="00F36DFC">
        <w:rPr>
          <w:sz w:val="24"/>
          <w:szCs w:val="24"/>
        </w:rPr>
        <w:t xml:space="preserve"> registreret fra kliniske studier og overvågning efter markedsføring er anført i nedenstående tabel. Hyppighederne er ordnet efter følgende skema:</w:t>
      </w:r>
    </w:p>
    <w:p w14:paraId="1D2B2A23" w14:textId="77777777" w:rsidR="00F859C7" w:rsidRPr="00F36DFC" w:rsidRDefault="00F859C7" w:rsidP="00E14048">
      <w:pPr>
        <w:ind w:left="851"/>
        <w:rPr>
          <w:sz w:val="24"/>
          <w:szCs w:val="24"/>
        </w:rPr>
      </w:pPr>
    </w:p>
    <w:p w14:paraId="1BFC45CD" w14:textId="77777777" w:rsidR="00F859C7" w:rsidRPr="00F36DFC" w:rsidRDefault="00F859C7" w:rsidP="00E14048">
      <w:pPr>
        <w:tabs>
          <w:tab w:val="left" w:pos="1701"/>
        </w:tabs>
        <w:ind w:left="851"/>
        <w:rPr>
          <w:spacing w:val="-3"/>
          <w:sz w:val="24"/>
          <w:szCs w:val="24"/>
        </w:rPr>
      </w:pPr>
      <w:r w:rsidRPr="00F36DFC">
        <w:rPr>
          <w:sz w:val="24"/>
          <w:szCs w:val="24"/>
        </w:rPr>
        <w:t>Meget almindelig</w:t>
      </w:r>
      <w:r w:rsidRPr="00F36DFC">
        <w:rPr>
          <w:sz w:val="24"/>
          <w:szCs w:val="24"/>
        </w:rPr>
        <w:tab/>
        <w:t>≥ 1/10</w:t>
      </w:r>
    </w:p>
    <w:p w14:paraId="380E8F15" w14:textId="77777777" w:rsidR="00F859C7" w:rsidRPr="00F36DFC" w:rsidRDefault="00F859C7" w:rsidP="00E14048">
      <w:pPr>
        <w:tabs>
          <w:tab w:val="left" w:pos="1701"/>
        </w:tabs>
        <w:ind w:left="851"/>
        <w:rPr>
          <w:spacing w:val="-3"/>
          <w:sz w:val="24"/>
          <w:szCs w:val="24"/>
        </w:rPr>
      </w:pPr>
      <w:r w:rsidRPr="00F36DFC">
        <w:rPr>
          <w:sz w:val="24"/>
          <w:szCs w:val="24"/>
        </w:rPr>
        <w:t>Almindelig</w:t>
      </w:r>
      <w:r w:rsidRPr="00F36DFC">
        <w:rPr>
          <w:sz w:val="24"/>
          <w:szCs w:val="24"/>
        </w:rPr>
        <w:tab/>
        <w:t>≥ 1/100 til &lt; 1/10</w:t>
      </w:r>
    </w:p>
    <w:p w14:paraId="2193E8A8" w14:textId="77777777" w:rsidR="00F859C7" w:rsidRPr="00F36DFC" w:rsidRDefault="00F859C7" w:rsidP="00E14048">
      <w:pPr>
        <w:tabs>
          <w:tab w:val="left" w:pos="1701"/>
        </w:tabs>
        <w:ind w:left="851"/>
        <w:rPr>
          <w:spacing w:val="-3"/>
          <w:sz w:val="24"/>
          <w:szCs w:val="24"/>
        </w:rPr>
      </w:pPr>
      <w:r w:rsidRPr="00F36DFC">
        <w:rPr>
          <w:sz w:val="24"/>
          <w:szCs w:val="24"/>
        </w:rPr>
        <w:t>Ikke almindelig</w:t>
      </w:r>
      <w:r w:rsidRPr="00F36DFC">
        <w:rPr>
          <w:sz w:val="24"/>
          <w:szCs w:val="24"/>
        </w:rPr>
        <w:tab/>
        <w:t>≥ 1/1.000 til &lt; 1/100</w:t>
      </w:r>
    </w:p>
    <w:p w14:paraId="42512835" w14:textId="3A98A3B8" w:rsidR="00F859C7" w:rsidRPr="00F36DFC" w:rsidRDefault="00F859C7" w:rsidP="00E14048">
      <w:pPr>
        <w:tabs>
          <w:tab w:val="left" w:pos="1701"/>
        </w:tabs>
        <w:ind w:left="851"/>
        <w:rPr>
          <w:spacing w:val="-3"/>
          <w:sz w:val="24"/>
          <w:szCs w:val="24"/>
        </w:rPr>
      </w:pPr>
      <w:r w:rsidRPr="00F36DFC">
        <w:rPr>
          <w:sz w:val="24"/>
          <w:szCs w:val="24"/>
        </w:rPr>
        <w:t>Sjælden</w:t>
      </w:r>
      <w:r w:rsidRPr="00F36DFC">
        <w:rPr>
          <w:sz w:val="24"/>
          <w:szCs w:val="24"/>
        </w:rPr>
        <w:tab/>
      </w:r>
      <w:r w:rsidR="00F36DFC">
        <w:rPr>
          <w:sz w:val="24"/>
          <w:szCs w:val="24"/>
        </w:rPr>
        <w:tab/>
      </w:r>
      <w:r w:rsidRPr="00F36DFC">
        <w:rPr>
          <w:sz w:val="24"/>
          <w:szCs w:val="24"/>
        </w:rPr>
        <w:t>≥ 1/10.000 til &lt; 1/1.000</w:t>
      </w:r>
    </w:p>
    <w:p w14:paraId="3E80556B" w14:textId="77777777" w:rsidR="00F859C7" w:rsidRPr="00F36DFC" w:rsidRDefault="00F859C7" w:rsidP="00E14048">
      <w:pPr>
        <w:tabs>
          <w:tab w:val="left" w:pos="1701"/>
        </w:tabs>
        <w:ind w:left="851"/>
        <w:rPr>
          <w:spacing w:val="-3"/>
          <w:sz w:val="24"/>
          <w:szCs w:val="24"/>
        </w:rPr>
      </w:pPr>
      <w:r w:rsidRPr="00F36DFC">
        <w:rPr>
          <w:sz w:val="24"/>
          <w:szCs w:val="24"/>
        </w:rPr>
        <w:t>Meget sjælden</w:t>
      </w:r>
      <w:r w:rsidRPr="00F36DFC">
        <w:rPr>
          <w:sz w:val="24"/>
          <w:szCs w:val="24"/>
        </w:rPr>
        <w:tab/>
        <w:t>&lt; 1/10.000</w:t>
      </w:r>
    </w:p>
    <w:p w14:paraId="5C59AD61" w14:textId="77777777" w:rsidR="00F859C7" w:rsidRPr="00F36DFC" w:rsidRDefault="00F859C7" w:rsidP="00E14048">
      <w:pPr>
        <w:tabs>
          <w:tab w:val="left" w:pos="1701"/>
        </w:tabs>
        <w:ind w:left="851"/>
        <w:rPr>
          <w:spacing w:val="-3"/>
          <w:sz w:val="24"/>
          <w:szCs w:val="24"/>
        </w:rPr>
      </w:pPr>
      <w:r w:rsidRPr="00F36DFC">
        <w:rPr>
          <w:sz w:val="24"/>
          <w:szCs w:val="24"/>
        </w:rPr>
        <w:t>Ikke kendt</w:t>
      </w:r>
      <w:r w:rsidRPr="00F36DFC">
        <w:rPr>
          <w:sz w:val="24"/>
          <w:szCs w:val="24"/>
        </w:rPr>
        <w:tab/>
        <w:t>kan ikke estimeres ud fra forhåndenværende data</w:t>
      </w:r>
    </w:p>
    <w:p w14:paraId="775D5553" w14:textId="77777777" w:rsidR="00F859C7" w:rsidRPr="00F36DFC" w:rsidRDefault="00F859C7" w:rsidP="00F859C7">
      <w:pPr>
        <w:rPr>
          <w:sz w:val="24"/>
          <w:szCs w:val="24"/>
        </w:rPr>
      </w:pPr>
    </w:p>
    <w:p w14:paraId="529F515B" w14:textId="484B6FA3" w:rsidR="00F859C7" w:rsidRPr="00F36DFC" w:rsidRDefault="00F859C7" w:rsidP="00E14048">
      <w:pPr>
        <w:rPr>
          <w:b/>
          <w:bCs/>
          <w:sz w:val="24"/>
          <w:szCs w:val="24"/>
          <w:u w:val="single"/>
        </w:rPr>
      </w:pPr>
      <w:proofErr w:type="spellStart"/>
      <w:r w:rsidRPr="00F36DFC">
        <w:rPr>
          <w:b/>
          <w:bCs/>
          <w:sz w:val="24"/>
          <w:szCs w:val="24"/>
          <w:u w:val="single"/>
        </w:rPr>
        <w:t>Table</w:t>
      </w:r>
      <w:proofErr w:type="spellEnd"/>
      <w:r w:rsidRPr="00F36DFC">
        <w:rPr>
          <w:b/>
          <w:bCs/>
          <w:sz w:val="24"/>
          <w:szCs w:val="24"/>
          <w:u w:val="single"/>
        </w:rPr>
        <w:t xml:space="preserve"> 5</w:t>
      </w:r>
      <w:r w:rsidR="00F36DFC">
        <w:rPr>
          <w:b/>
          <w:bCs/>
          <w:sz w:val="24"/>
          <w:szCs w:val="24"/>
          <w:u w:val="single"/>
        </w:rPr>
        <w:t xml:space="preserve">. </w:t>
      </w:r>
      <w:r w:rsidRPr="00F36DFC">
        <w:rPr>
          <w:b/>
          <w:bCs/>
          <w:sz w:val="24"/>
          <w:szCs w:val="24"/>
          <w:u w:val="single"/>
        </w:rPr>
        <w:t xml:space="preserve">Bivirkninger forbundet med </w:t>
      </w:r>
      <w:proofErr w:type="spellStart"/>
      <w:r w:rsidRPr="00F36DFC">
        <w:rPr>
          <w:b/>
          <w:bCs/>
          <w:sz w:val="24"/>
          <w:szCs w:val="24"/>
          <w:u w:val="single"/>
        </w:rPr>
        <w:t>zonisamid</w:t>
      </w:r>
      <w:proofErr w:type="spellEnd"/>
      <w:r w:rsidRPr="00F36DFC">
        <w:rPr>
          <w:b/>
          <w:bCs/>
          <w:sz w:val="24"/>
          <w:szCs w:val="24"/>
          <w:u w:val="single"/>
        </w:rPr>
        <w:t>, som blev set ved supplerende behandling i kliniske studier og overvågning efter markedsføring</w:t>
      </w:r>
    </w:p>
    <w:p w14:paraId="306B05A3" w14:textId="77777777" w:rsidR="00E14048" w:rsidRPr="00F36DFC" w:rsidRDefault="00E14048" w:rsidP="00E14048">
      <w:pPr>
        <w:rPr>
          <w:b/>
          <w:sz w:val="24"/>
          <w:szCs w:val="24"/>
          <w:u w:val="single"/>
        </w:rPr>
      </w:pPr>
    </w:p>
    <w:tbl>
      <w:tblPr>
        <w:tblStyle w:val="TableNormal"/>
        <w:tblW w:w="5000" w:type="pct"/>
        <w:tblInd w:w="0" w:type="dxa"/>
        <w:tblLook w:val="01E0" w:firstRow="1" w:lastRow="1" w:firstColumn="1" w:lastColumn="1" w:noHBand="0" w:noVBand="0"/>
      </w:tblPr>
      <w:tblGrid>
        <w:gridCol w:w="2294"/>
        <w:gridCol w:w="1682"/>
        <w:gridCol w:w="2315"/>
        <w:gridCol w:w="1397"/>
        <w:gridCol w:w="1934"/>
      </w:tblGrid>
      <w:tr w:rsidR="00F859C7" w:rsidRPr="00F36DFC" w14:paraId="7918D6A2" w14:textId="77777777" w:rsidTr="00F36DFC">
        <w:trPr>
          <w:trHeight w:val="20"/>
        </w:trPr>
        <w:tc>
          <w:tcPr>
            <w:tcW w:w="1192" w:type="pct"/>
            <w:tcBorders>
              <w:top w:val="single" w:sz="8" w:space="0" w:color="000000"/>
              <w:left w:val="single" w:sz="6" w:space="0" w:color="000000"/>
              <w:bottom w:val="single" w:sz="6" w:space="0" w:color="000000"/>
              <w:right w:val="single" w:sz="6" w:space="0" w:color="000000"/>
            </w:tcBorders>
            <w:hideMark/>
          </w:tcPr>
          <w:p w14:paraId="4500E1CE" w14:textId="77777777" w:rsidR="00F859C7" w:rsidRPr="00F36DFC" w:rsidRDefault="00F859C7">
            <w:pPr>
              <w:widowControl/>
              <w:ind w:left="57"/>
              <w:rPr>
                <w:rFonts w:ascii="Times New Roman" w:hAnsi="Times New Roman" w:cs="Times New Roman"/>
                <w:b/>
                <w:sz w:val="22"/>
                <w:lang w:val="en-GB"/>
              </w:rPr>
            </w:pPr>
            <w:r w:rsidRPr="00F36DFC">
              <w:rPr>
                <w:rFonts w:ascii="Times New Roman" w:hAnsi="Times New Roman" w:cs="Times New Roman"/>
                <w:b/>
                <w:bCs/>
                <w:sz w:val="22"/>
                <w:lang w:val="da-DK"/>
              </w:rPr>
              <w:t>Systemorgan-</w:t>
            </w:r>
          </w:p>
          <w:p w14:paraId="4DE37C31" w14:textId="77777777" w:rsidR="00F859C7" w:rsidRPr="00F36DFC" w:rsidRDefault="00F859C7">
            <w:pPr>
              <w:widowControl/>
              <w:ind w:left="57"/>
              <w:rPr>
                <w:rFonts w:ascii="Times New Roman" w:hAnsi="Times New Roman" w:cs="Times New Roman"/>
                <w:b/>
                <w:sz w:val="22"/>
              </w:rPr>
            </w:pPr>
            <w:r w:rsidRPr="00F36DFC">
              <w:rPr>
                <w:rFonts w:ascii="Times New Roman" w:hAnsi="Times New Roman" w:cs="Times New Roman"/>
                <w:b/>
                <w:bCs/>
                <w:sz w:val="22"/>
                <w:lang w:val="da-DK"/>
              </w:rPr>
              <w:t>klasser</w:t>
            </w:r>
          </w:p>
          <w:p w14:paraId="2B205445" w14:textId="77777777" w:rsidR="00F859C7" w:rsidRPr="00F36DFC" w:rsidRDefault="00F859C7">
            <w:pPr>
              <w:widowControl/>
              <w:ind w:left="57"/>
              <w:rPr>
                <w:rFonts w:ascii="Times New Roman" w:hAnsi="Times New Roman" w:cs="Times New Roman"/>
                <w:sz w:val="22"/>
              </w:rPr>
            </w:pPr>
            <w:r w:rsidRPr="00F36DFC">
              <w:rPr>
                <w:rFonts w:ascii="Times New Roman" w:hAnsi="Times New Roman" w:cs="Times New Roman"/>
                <w:sz w:val="22"/>
                <w:lang w:val="da-DK"/>
              </w:rPr>
              <w:t>(</w:t>
            </w:r>
            <w:proofErr w:type="spellStart"/>
            <w:r w:rsidRPr="00F36DFC">
              <w:rPr>
                <w:rFonts w:ascii="Times New Roman" w:hAnsi="Times New Roman" w:cs="Times New Roman"/>
                <w:sz w:val="22"/>
                <w:lang w:val="da-DK"/>
              </w:rPr>
              <w:t>MedDRA</w:t>
            </w:r>
            <w:proofErr w:type="spellEnd"/>
            <w:r w:rsidRPr="00F36DFC">
              <w:rPr>
                <w:rFonts w:ascii="Times New Roman" w:hAnsi="Times New Roman" w:cs="Times New Roman"/>
                <w:sz w:val="22"/>
                <w:lang w:val="da-DK"/>
              </w:rPr>
              <w:t>-</w:t>
            </w:r>
          </w:p>
          <w:p w14:paraId="124DA732" w14:textId="77777777" w:rsidR="00F859C7" w:rsidRPr="00F36DFC" w:rsidRDefault="00F859C7">
            <w:pPr>
              <w:widowControl/>
              <w:ind w:left="57"/>
              <w:rPr>
                <w:rFonts w:ascii="Times New Roman" w:hAnsi="Times New Roman" w:cs="Times New Roman"/>
                <w:b/>
                <w:sz w:val="22"/>
              </w:rPr>
            </w:pPr>
            <w:r w:rsidRPr="00F36DFC">
              <w:rPr>
                <w:rFonts w:ascii="Times New Roman" w:hAnsi="Times New Roman" w:cs="Times New Roman"/>
                <w:sz w:val="22"/>
                <w:lang w:val="da-DK"/>
              </w:rPr>
              <w:t>terminologi)</w:t>
            </w:r>
          </w:p>
        </w:tc>
        <w:tc>
          <w:tcPr>
            <w:tcW w:w="874" w:type="pct"/>
            <w:tcBorders>
              <w:top w:val="single" w:sz="8" w:space="0" w:color="000000"/>
              <w:left w:val="single" w:sz="6" w:space="0" w:color="000000"/>
              <w:bottom w:val="single" w:sz="6" w:space="0" w:color="000000"/>
              <w:right w:val="single" w:sz="6" w:space="0" w:color="000000"/>
            </w:tcBorders>
            <w:hideMark/>
          </w:tcPr>
          <w:p w14:paraId="4813F19F" w14:textId="77777777" w:rsidR="00F859C7" w:rsidRPr="00F36DFC" w:rsidRDefault="00F859C7">
            <w:pPr>
              <w:widowControl/>
              <w:ind w:left="57"/>
              <w:rPr>
                <w:rFonts w:ascii="Times New Roman" w:hAnsi="Times New Roman" w:cs="Times New Roman"/>
                <w:b/>
                <w:sz w:val="22"/>
              </w:rPr>
            </w:pPr>
            <w:r w:rsidRPr="00F36DFC">
              <w:rPr>
                <w:rFonts w:ascii="Times New Roman" w:hAnsi="Times New Roman" w:cs="Times New Roman"/>
                <w:b/>
                <w:bCs/>
                <w:sz w:val="22"/>
                <w:lang w:val="da-DK"/>
              </w:rPr>
              <w:t>Meget</w:t>
            </w:r>
          </w:p>
          <w:p w14:paraId="40292D0A" w14:textId="77777777" w:rsidR="00F859C7" w:rsidRPr="00F36DFC" w:rsidRDefault="00F859C7">
            <w:pPr>
              <w:widowControl/>
              <w:ind w:left="57"/>
              <w:rPr>
                <w:rFonts w:ascii="Times New Roman" w:hAnsi="Times New Roman" w:cs="Times New Roman"/>
                <w:b/>
                <w:sz w:val="22"/>
              </w:rPr>
            </w:pPr>
            <w:r w:rsidRPr="00F36DFC">
              <w:rPr>
                <w:rFonts w:ascii="Times New Roman" w:hAnsi="Times New Roman" w:cs="Times New Roman"/>
                <w:b/>
                <w:bCs/>
                <w:sz w:val="22"/>
                <w:lang w:val="da-DK"/>
              </w:rPr>
              <w:t>Almindelig</w:t>
            </w:r>
          </w:p>
        </w:tc>
        <w:tc>
          <w:tcPr>
            <w:tcW w:w="1203" w:type="pct"/>
            <w:tcBorders>
              <w:top w:val="single" w:sz="6" w:space="0" w:color="000000"/>
              <w:left w:val="single" w:sz="6" w:space="0" w:color="000000"/>
              <w:bottom w:val="single" w:sz="6" w:space="0" w:color="000000"/>
              <w:right w:val="single" w:sz="6" w:space="0" w:color="000000"/>
            </w:tcBorders>
            <w:hideMark/>
          </w:tcPr>
          <w:p w14:paraId="06B1AF07" w14:textId="77777777" w:rsidR="00F859C7" w:rsidRPr="00F36DFC" w:rsidRDefault="00F859C7">
            <w:pPr>
              <w:widowControl/>
              <w:ind w:left="57"/>
              <w:rPr>
                <w:rFonts w:ascii="Times New Roman" w:hAnsi="Times New Roman" w:cs="Times New Roman"/>
                <w:b/>
                <w:sz w:val="22"/>
              </w:rPr>
            </w:pPr>
            <w:r w:rsidRPr="00F36DFC">
              <w:rPr>
                <w:rFonts w:ascii="Times New Roman" w:hAnsi="Times New Roman" w:cs="Times New Roman"/>
                <w:b/>
                <w:bCs/>
                <w:sz w:val="22"/>
                <w:lang w:val="da-DK"/>
              </w:rPr>
              <w:t>Almindelig</w:t>
            </w:r>
          </w:p>
        </w:tc>
        <w:tc>
          <w:tcPr>
            <w:tcW w:w="726" w:type="pct"/>
            <w:tcBorders>
              <w:top w:val="single" w:sz="6" w:space="0" w:color="000000"/>
              <w:left w:val="single" w:sz="6" w:space="0" w:color="000000"/>
              <w:bottom w:val="single" w:sz="6" w:space="0" w:color="000000"/>
              <w:right w:val="single" w:sz="6" w:space="0" w:color="000000"/>
            </w:tcBorders>
            <w:hideMark/>
          </w:tcPr>
          <w:p w14:paraId="69946393" w14:textId="77777777" w:rsidR="00F859C7" w:rsidRPr="00F36DFC" w:rsidRDefault="00F859C7">
            <w:pPr>
              <w:widowControl/>
              <w:ind w:left="57"/>
              <w:rPr>
                <w:rFonts w:ascii="Times New Roman" w:hAnsi="Times New Roman" w:cs="Times New Roman"/>
                <w:b/>
                <w:sz w:val="22"/>
              </w:rPr>
            </w:pPr>
            <w:r w:rsidRPr="00F36DFC">
              <w:rPr>
                <w:rFonts w:ascii="Times New Roman" w:hAnsi="Times New Roman" w:cs="Times New Roman"/>
                <w:b/>
                <w:bCs/>
                <w:sz w:val="22"/>
                <w:lang w:val="da-DK"/>
              </w:rPr>
              <w:t>Ikke almindelig</w:t>
            </w:r>
          </w:p>
        </w:tc>
        <w:tc>
          <w:tcPr>
            <w:tcW w:w="1005" w:type="pct"/>
            <w:tcBorders>
              <w:top w:val="single" w:sz="6" w:space="0" w:color="000000"/>
              <w:left w:val="single" w:sz="6" w:space="0" w:color="000000"/>
              <w:bottom w:val="single" w:sz="6" w:space="0" w:color="000000"/>
              <w:right w:val="single" w:sz="6" w:space="0" w:color="000000"/>
            </w:tcBorders>
            <w:hideMark/>
          </w:tcPr>
          <w:p w14:paraId="7CBCFBE7" w14:textId="77777777" w:rsidR="00F859C7" w:rsidRPr="00F36DFC" w:rsidRDefault="00F859C7">
            <w:pPr>
              <w:widowControl/>
              <w:ind w:left="57"/>
              <w:rPr>
                <w:rFonts w:ascii="Times New Roman" w:hAnsi="Times New Roman" w:cs="Times New Roman"/>
                <w:b/>
                <w:sz w:val="22"/>
              </w:rPr>
            </w:pPr>
            <w:r w:rsidRPr="00F36DFC">
              <w:rPr>
                <w:rFonts w:ascii="Times New Roman" w:hAnsi="Times New Roman" w:cs="Times New Roman"/>
                <w:b/>
                <w:bCs/>
                <w:sz w:val="22"/>
                <w:lang w:val="da-DK"/>
              </w:rPr>
              <w:t>Meget sjælden</w:t>
            </w:r>
          </w:p>
        </w:tc>
      </w:tr>
      <w:tr w:rsidR="00F859C7" w:rsidRPr="00F36DFC" w14:paraId="721C1E78" w14:textId="77777777" w:rsidTr="00F36DFC">
        <w:trPr>
          <w:trHeight w:val="20"/>
        </w:trPr>
        <w:tc>
          <w:tcPr>
            <w:tcW w:w="1192" w:type="pct"/>
            <w:tcBorders>
              <w:top w:val="single" w:sz="6" w:space="0" w:color="000000"/>
              <w:left w:val="single" w:sz="6" w:space="0" w:color="000000"/>
              <w:bottom w:val="single" w:sz="6" w:space="0" w:color="000000"/>
              <w:right w:val="single" w:sz="6" w:space="0" w:color="000000"/>
            </w:tcBorders>
            <w:hideMark/>
          </w:tcPr>
          <w:p w14:paraId="48EEFFA9" w14:textId="77777777" w:rsidR="00F859C7" w:rsidRPr="00F36DFC" w:rsidRDefault="00F859C7">
            <w:pPr>
              <w:widowControl/>
              <w:ind w:left="57"/>
              <w:rPr>
                <w:rFonts w:ascii="Times New Roman" w:hAnsi="Times New Roman" w:cs="Times New Roman"/>
                <w:b/>
                <w:sz w:val="22"/>
              </w:rPr>
            </w:pPr>
            <w:r w:rsidRPr="00F36DFC">
              <w:rPr>
                <w:rFonts w:ascii="Times New Roman" w:hAnsi="Times New Roman" w:cs="Times New Roman"/>
                <w:b/>
                <w:bCs/>
                <w:sz w:val="22"/>
                <w:lang w:val="da-DK"/>
              </w:rPr>
              <w:t>Infektioner og parasitære sygdomme</w:t>
            </w:r>
          </w:p>
        </w:tc>
        <w:tc>
          <w:tcPr>
            <w:tcW w:w="874" w:type="pct"/>
            <w:tcBorders>
              <w:top w:val="single" w:sz="6" w:space="0" w:color="000000"/>
              <w:left w:val="single" w:sz="6" w:space="0" w:color="000000"/>
              <w:bottom w:val="single" w:sz="6" w:space="0" w:color="000000"/>
              <w:right w:val="single" w:sz="6" w:space="0" w:color="000000"/>
            </w:tcBorders>
          </w:tcPr>
          <w:p w14:paraId="13D2C526" w14:textId="77777777" w:rsidR="00F859C7" w:rsidRPr="00F36DFC" w:rsidRDefault="00F859C7">
            <w:pPr>
              <w:ind w:left="57"/>
              <w:rPr>
                <w:rFonts w:ascii="Times New Roman" w:hAnsi="Times New Roman" w:cs="Times New Roman"/>
                <w:sz w:val="22"/>
              </w:rPr>
            </w:pPr>
          </w:p>
        </w:tc>
        <w:tc>
          <w:tcPr>
            <w:tcW w:w="1203" w:type="pct"/>
            <w:tcBorders>
              <w:top w:val="single" w:sz="6" w:space="0" w:color="000000"/>
              <w:left w:val="single" w:sz="6" w:space="0" w:color="000000"/>
              <w:bottom w:val="single" w:sz="6" w:space="0" w:color="000000"/>
              <w:right w:val="single" w:sz="6" w:space="0" w:color="000000"/>
            </w:tcBorders>
          </w:tcPr>
          <w:p w14:paraId="17E1F29D" w14:textId="77777777" w:rsidR="00F859C7" w:rsidRPr="00F36DFC" w:rsidRDefault="00F859C7">
            <w:pPr>
              <w:ind w:left="57"/>
              <w:rPr>
                <w:rFonts w:ascii="Times New Roman" w:hAnsi="Times New Roman" w:cs="Times New Roman"/>
                <w:sz w:val="22"/>
              </w:rPr>
            </w:pPr>
          </w:p>
        </w:tc>
        <w:tc>
          <w:tcPr>
            <w:tcW w:w="726" w:type="pct"/>
            <w:tcBorders>
              <w:top w:val="single" w:sz="6" w:space="0" w:color="000000"/>
              <w:left w:val="single" w:sz="6" w:space="0" w:color="000000"/>
              <w:bottom w:val="single" w:sz="6" w:space="0" w:color="000000"/>
              <w:right w:val="single" w:sz="6" w:space="0" w:color="000000"/>
            </w:tcBorders>
            <w:hideMark/>
          </w:tcPr>
          <w:p w14:paraId="5225202A" w14:textId="77777777" w:rsidR="00F859C7" w:rsidRPr="00F36DFC" w:rsidRDefault="00F859C7">
            <w:pPr>
              <w:widowControl/>
              <w:ind w:left="57"/>
              <w:rPr>
                <w:rFonts w:ascii="Times New Roman" w:hAnsi="Times New Roman" w:cs="Times New Roman"/>
                <w:sz w:val="22"/>
              </w:rPr>
            </w:pPr>
            <w:r w:rsidRPr="00F36DFC">
              <w:rPr>
                <w:rFonts w:ascii="Times New Roman" w:hAnsi="Times New Roman" w:cs="Times New Roman"/>
                <w:sz w:val="22"/>
                <w:lang w:val="da-DK"/>
              </w:rPr>
              <w:t>Pneumoni</w:t>
            </w:r>
          </w:p>
          <w:p w14:paraId="754FCEC2" w14:textId="77777777" w:rsidR="00F859C7" w:rsidRPr="00F36DFC" w:rsidRDefault="00F859C7">
            <w:pPr>
              <w:widowControl/>
              <w:ind w:left="57"/>
              <w:rPr>
                <w:rFonts w:ascii="Times New Roman" w:hAnsi="Times New Roman" w:cs="Times New Roman"/>
                <w:sz w:val="22"/>
              </w:rPr>
            </w:pPr>
            <w:r w:rsidRPr="00F36DFC">
              <w:rPr>
                <w:rFonts w:ascii="Times New Roman" w:hAnsi="Times New Roman" w:cs="Times New Roman"/>
                <w:sz w:val="22"/>
                <w:lang w:val="da-DK"/>
              </w:rPr>
              <w:t>Urinvejsinfektion</w:t>
            </w:r>
          </w:p>
        </w:tc>
        <w:tc>
          <w:tcPr>
            <w:tcW w:w="1005" w:type="pct"/>
            <w:tcBorders>
              <w:top w:val="single" w:sz="6" w:space="0" w:color="000000"/>
              <w:left w:val="single" w:sz="6" w:space="0" w:color="000000"/>
              <w:bottom w:val="single" w:sz="6" w:space="0" w:color="000000"/>
              <w:right w:val="single" w:sz="6" w:space="0" w:color="000000"/>
            </w:tcBorders>
          </w:tcPr>
          <w:p w14:paraId="11BBF113" w14:textId="77777777" w:rsidR="00F859C7" w:rsidRPr="00F36DFC" w:rsidRDefault="00F859C7">
            <w:pPr>
              <w:ind w:left="57"/>
              <w:rPr>
                <w:rFonts w:ascii="Times New Roman" w:hAnsi="Times New Roman" w:cs="Times New Roman"/>
                <w:sz w:val="22"/>
              </w:rPr>
            </w:pPr>
          </w:p>
        </w:tc>
      </w:tr>
      <w:tr w:rsidR="00F859C7" w:rsidRPr="00F36DFC" w14:paraId="0FDAD3E6" w14:textId="77777777" w:rsidTr="00F36DFC">
        <w:trPr>
          <w:trHeight w:val="20"/>
        </w:trPr>
        <w:tc>
          <w:tcPr>
            <w:tcW w:w="1192" w:type="pct"/>
            <w:tcBorders>
              <w:top w:val="single" w:sz="6" w:space="0" w:color="000000"/>
              <w:left w:val="single" w:sz="6" w:space="0" w:color="000000"/>
              <w:bottom w:val="single" w:sz="6" w:space="0" w:color="000000"/>
              <w:right w:val="single" w:sz="6" w:space="0" w:color="000000"/>
            </w:tcBorders>
            <w:hideMark/>
          </w:tcPr>
          <w:p w14:paraId="3BC9E71E" w14:textId="77777777" w:rsidR="00F859C7" w:rsidRPr="00F36DFC" w:rsidRDefault="00F859C7">
            <w:pPr>
              <w:widowControl/>
              <w:ind w:left="57"/>
              <w:rPr>
                <w:rFonts w:ascii="Times New Roman" w:hAnsi="Times New Roman" w:cs="Times New Roman"/>
                <w:b/>
                <w:sz w:val="22"/>
              </w:rPr>
            </w:pPr>
            <w:r w:rsidRPr="00F36DFC">
              <w:rPr>
                <w:rFonts w:ascii="Times New Roman" w:hAnsi="Times New Roman" w:cs="Times New Roman"/>
                <w:b/>
                <w:bCs/>
                <w:sz w:val="22"/>
                <w:lang w:val="da-DK"/>
              </w:rPr>
              <w:t>Blod og lymfesystem</w:t>
            </w:r>
          </w:p>
        </w:tc>
        <w:tc>
          <w:tcPr>
            <w:tcW w:w="874" w:type="pct"/>
            <w:tcBorders>
              <w:top w:val="single" w:sz="6" w:space="0" w:color="000000"/>
              <w:left w:val="single" w:sz="6" w:space="0" w:color="000000"/>
              <w:bottom w:val="single" w:sz="6" w:space="0" w:color="000000"/>
              <w:right w:val="single" w:sz="6" w:space="0" w:color="000000"/>
            </w:tcBorders>
          </w:tcPr>
          <w:p w14:paraId="4BB437C0" w14:textId="77777777" w:rsidR="00F859C7" w:rsidRPr="00F36DFC" w:rsidRDefault="00F859C7">
            <w:pPr>
              <w:ind w:left="57"/>
              <w:rPr>
                <w:rFonts w:ascii="Times New Roman" w:hAnsi="Times New Roman" w:cs="Times New Roman"/>
                <w:sz w:val="22"/>
              </w:rPr>
            </w:pPr>
          </w:p>
        </w:tc>
        <w:tc>
          <w:tcPr>
            <w:tcW w:w="1203" w:type="pct"/>
            <w:tcBorders>
              <w:top w:val="single" w:sz="6" w:space="0" w:color="000000"/>
              <w:left w:val="single" w:sz="6" w:space="0" w:color="000000"/>
              <w:bottom w:val="single" w:sz="6" w:space="0" w:color="000000"/>
              <w:right w:val="single" w:sz="6" w:space="0" w:color="000000"/>
            </w:tcBorders>
            <w:hideMark/>
          </w:tcPr>
          <w:p w14:paraId="5BCB9006" w14:textId="77777777" w:rsidR="00F859C7" w:rsidRPr="00F36DFC" w:rsidRDefault="00F859C7">
            <w:pPr>
              <w:widowControl/>
              <w:ind w:left="57"/>
              <w:rPr>
                <w:rFonts w:ascii="Times New Roman" w:hAnsi="Times New Roman" w:cs="Times New Roman"/>
                <w:sz w:val="22"/>
              </w:rPr>
            </w:pPr>
            <w:proofErr w:type="spellStart"/>
            <w:r w:rsidRPr="00F36DFC">
              <w:rPr>
                <w:rFonts w:ascii="Times New Roman" w:hAnsi="Times New Roman" w:cs="Times New Roman"/>
                <w:sz w:val="22"/>
                <w:lang w:val="da-DK"/>
              </w:rPr>
              <w:t>Ekkymose</w:t>
            </w:r>
            <w:proofErr w:type="spellEnd"/>
          </w:p>
        </w:tc>
        <w:tc>
          <w:tcPr>
            <w:tcW w:w="726" w:type="pct"/>
            <w:tcBorders>
              <w:top w:val="single" w:sz="6" w:space="0" w:color="000000"/>
              <w:left w:val="single" w:sz="6" w:space="0" w:color="000000"/>
              <w:bottom w:val="single" w:sz="6" w:space="0" w:color="000000"/>
              <w:right w:val="single" w:sz="6" w:space="0" w:color="000000"/>
            </w:tcBorders>
          </w:tcPr>
          <w:p w14:paraId="2B6116C4" w14:textId="77777777" w:rsidR="00F859C7" w:rsidRPr="00F36DFC" w:rsidRDefault="00F859C7">
            <w:pPr>
              <w:ind w:left="57"/>
              <w:rPr>
                <w:rFonts w:ascii="Times New Roman" w:hAnsi="Times New Roman" w:cs="Times New Roman"/>
                <w:sz w:val="22"/>
              </w:rPr>
            </w:pPr>
          </w:p>
        </w:tc>
        <w:tc>
          <w:tcPr>
            <w:tcW w:w="1005" w:type="pct"/>
            <w:tcBorders>
              <w:top w:val="single" w:sz="6" w:space="0" w:color="000000"/>
              <w:left w:val="single" w:sz="6" w:space="0" w:color="000000"/>
              <w:bottom w:val="single" w:sz="6" w:space="0" w:color="000000"/>
              <w:right w:val="single" w:sz="6" w:space="0" w:color="000000"/>
            </w:tcBorders>
            <w:hideMark/>
          </w:tcPr>
          <w:p w14:paraId="46B315D9" w14:textId="77777777" w:rsidR="00F859C7" w:rsidRPr="00F36DFC" w:rsidRDefault="00F859C7">
            <w:pPr>
              <w:widowControl/>
              <w:ind w:left="57"/>
              <w:rPr>
                <w:rFonts w:ascii="Times New Roman" w:hAnsi="Times New Roman" w:cs="Times New Roman"/>
                <w:sz w:val="22"/>
              </w:rPr>
            </w:pPr>
            <w:proofErr w:type="spellStart"/>
            <w:r w:rsidRPr="00F36DFC">
              <w:rPr>
                <w:rFonts w:ascii="Times New Roman" w:hAnsi="Times New Roman" w:cs="Times New Roman"/>
                <w:sz w:val="22"/>
              </w:rPr>
              <w:t>Agranulocytose</w:t>
            </w:r>
            <w:proofErr w:type="spellEnd"/>
          </w:p>
          <w:p w14:paraId="5F5A0BF5" w14:textId="77777777" w:rsidR="00F859C7" w:rsidRPr="00F36DFC" w:rsidRDefault="00F859C7">
            <w:pPr>
              <w:widowControl/>
              <w:ind w:left="57"/>
              <w:rPr>
                <w:rFonts w:ascii="Times New Roman" w:hAnsi="Times New Roman" w:cs="Times New Roman"/>
                <w:sz w:val="22"/>
              </w:rPr>
            </w:pPr>
            <w:proofErr w:type="spellStart"/>
            <w:r w:rsidRPr="00F36DFC">
              <w:rPr>
                <w:rFonts w:ascii="Times New Roman" w:hAnsi="Times New Roman" w:cs="Times New Roman"/>
                <w:sz w:val="22"/>
              </w:rPr>
              <w:t>Aplastisk</w:t>
            </w:r>
            <w:proofErr w:type="spellEnd"/>
            <w:r w:rsidRPr="00F36DFC">
              <w:rPr>
                <w:rFonts w:ascii="Times New Roman" w:hAnsi="Times New Roman" w:cs="Times New Roman"/>
                <w:sz w:val="22"/>
              </w:rPr>
              <w:t xml:space="preserve"> </w:t>
            </w:r>
            <w:proofErr w:type="spellStart"/>
            <w:r w:rsidRPr="00F36DFC">
              <w:rPr>
                <w:rFonts w:ascii="Times New Roman" w:hAnsi="Times New Roman" w:cs="Times New Roman"/>
                <w:sz w:val="22"/>
              </w:rPr>
              <w:t>anæmi</w:t>
            </w:r>
            <w:proofErr w:type="spellEnd"/>
            <w:r w:rsidRPr="00F36DFC">
              <w:rPr>
                <w:rFonts w:ascii="Times New Roman" w:hAnsi="Times New Roman" w:cs="Times New Roman"/>
                <w:sz w:val="22"/>
              </w:rPr>
              <w:t xml:space="preserve"> </w:t>
            </w:r>
          </w:p>
          <w:p w14:paraId="1C89A5F3" w14:textId="77777777" w:rsidR="00F859C7" w:rsidRPr="00F36DFC" w:rsidRDefault="00F859C7">
            <w:pPr>
              <w:widowControl/>
              <w:ind w:left="57"/>
              <w:rPr>
                <w:rFonts w:ascii="Times New Roman" w:hAnsi="Times New Roman" w:cs="Times New Roman"/>
                <w:sz w:val="22"/>
              </w:rPr>
            </w:pPr>
            <w:proofErr w:type="spellStart"/>
            <w:r w:rsidRPr="00F36DFC">
              <w:rPr>
                <w:rFonts w:ascii="Times New Roman" w:hAnsi="Times New Roman" w:cs="Times New Roman"/>
                <w:sz w:val="22"/>
              </w:rPr>
              <w:t>Leucocytose</w:t>
            </w:r>
            <w:proofErr w:type="spellEnd"/>
          </w:p>
          <w:p w14:paraId="67B01CFD" w14:textId="77777777" w:rsidR="00F859C7" w:rsidRPr="00F36DFC" w:rsidRDefault="00F859C7">
            <w:pPr>
              <w:widowControl/>
              <w:ind w:left="57"/>
              <w:rPr>
                <w:rFonts w:ascii="Times New Roman" w:hAnsi="Times New Roman" w:cs="Times New Roman"/>
                <w:sz w:val="22"/>
              </w:rPr>
            </w:pPr>
            <w:proofErr w:type="spellStart"/>
            <w:r w:rsidRPr="00F36DFC">
              <w:rPr>
                <w:rFonts w:ascii="Times New Roman" w:hAnsi="Times New Roman" w:cs="Times New Roman"/>
                <w:sz w:val="22"/>
              </w:rPr>
              <w:t>Leukopeni</w:t>
            </w:r>
            <w:proofErr w:type="spellEnd"/>
          </w:p>
          <w:p w14:paraId="6A54FB36" w14:textId="77777777" w:rsidR="00F859C7" w:rsidRPr="00F36DFC" w:rsidRDefault="00F859C7">
            <w:pPr>
              <w:widowControl/>
              <w:ind w:left="57"/>
              <w:rPr>
                <w:rFonts w:ascii="Times New Roman" w:hAnsi="Times New Roman" w:cs="Times New Roman"/>
                <w:sz w:val="22"/>
              </w:rPr>
            </w:pPr>
            <w:proofErr w:type="spellStart"/>
            <w:r w:rsidRPr="00F36DFC">
              <w:rPr>
                <w:rFonts w:ascii="Times New Roman" w:hAnsi="Times New Roman" w:cs="Times New Roman"/>
                <w:sz w:val="22"/>
              </w:rPr>
              <w:t>Lymphadenopathi</w:t>
            </w:r>
            <w:proofErr w:type="spellEnd"/>
            <w:r w:rsidRPr="00F36DFC">
              <w:rPr>
                <w:rFonts w:ascii="Times New Roman" w:hAnsi="Times New Roman" w:cs="Times New Roman"/>
                <w:sz w:val="22"/>
              </w:rPr>
              <w:t xml:space="preserve"> </w:t>
            </w:r>
            <w:proofErr w:type="spellStart"/>
            <w:r w:rsidRPr="00F36DFC">
              <w:rPr>
                <w:rFonts w:ascii="Times New Roman" w:hAnsi="Times New Roman" w:cs="Times New Roman"/>
                <w:sz w:val="22"/>
              </w:rPr>
              <w:t>Pancytopeni</w:t>
            </w:r>
            <w:proofErr w:type="spellEnd"/>
          </w:p>
          <w:p w14:paraId="593636A2" w14:textId="77777777" w:rsidR="00F859C7" w:rsidRPr="00F36DFC" w:rsidRDefault="00F859C7">
            <w:pPr>
              <w:widowControl/>
              <w:ind w:left="57"/>
              <w:rPr>
                <w:rFonts w:ascii="Times New Roman" w:hAnsi="Times New Roman" w:cs="Times New Roman"/>
                <w:sz w:val="22"/>
              </w:rPr>
            </w:pPr>
            <w:proofErr w:type="spellStart"/>
            <w:r w:rsidRPr="00F36DFC">
              <w:rPr>
                <w:rFonts w:ascii="Times New Roman" w:hAnsi="Times New Roman" w:cs="Times New Roman"/>
                <w:sz w:val="22"/>
                <w:lang w:val="da-DK"/>
              </w:rPr>
              <w:t>Trombocytopeni</w:t>
            </w:r>
            <w:proofErr w:type="spellEnd"/>
          </w:p>
        </w:tc>
      </w:tr>
      <w:tr w:rsidR="00F859C7" w:rsidRPr="00F36DFC" w14:paraId="538E9A2A" w14:textId="77777777" w:rsidTr="00F36DFC">
        <w:trPr>
          <w:trHeight w:val="20"/>
        </w:trPr>
        <w:tc>
          <w:tcPr>
            <w:tcW w:w="1192" w:type="pct"/>
            <w:tcBorders>
              <w:top w:val="single" w:sz="6" w:space="0" w:color="000000"/>
              <w:left w:val="single" w:sz="6" w:space="0" w:color="000000"/>
              <w:bottom w:val="single" w:sz="6" w:space="0" w:color="000000"/>
              <w:right w:val="single" w:sz="6" w:space="0" w:color="000000"/>
            </w:tcBorders>
            <w:hideMark/>
          </w:tcPr>
          <w:p w14:paraId="58FFD95F" w14:textId="77777777" w:rsidR="00F859C7" w:rsidRPr="00F36DFC" w:rsidRDefault="00F859C7">
            <w:pPr>
              <w:widowControl/>
              <w:ind w:left="57"/>
              <w:rPr>
                <w:rFonts w:ascii="Times New Roman" w:hAnsi="Times New Roman" w:cs="Times New Roman"/>
                <w:b/>
                <w:sz w:val="22"/>
              </w:rPr>
            </w:pPr>
            <w:r w:rsidRPr="00F36DFC">
              <w:rPr>
                <w:rFonts w:ascii="Times New Roman" w:hAnsi="Times New Roman" w:cs="Times New Roman"/>
                <w:b/>
                <w:bCs/>
                <w:sz w:val="22"/>
                <w:lang w:val="da-DK"/>
              </w:rPr>
              <w:t>Immunsystemet</w:t>
            </w:r>
          </w:p>
        </w:tc>
        <w:tc>
          <w:tcPr>
            <w:tcW w:w="874" w:type="pct"/>
            <w:tcBorders>
              <w:top w:val="single" w:sz="6" w:space="0" w:color="000000"/>
              <w:left w:val="single" w:sz="6" w:space="0" w:color="000000"/>
              <w:bottom w:val="single" w:sz="6" w:space="0" w:color="000000"/>
              <w:right w:val="single" w:sz="6" w:space="0" w:color="000000"/>
            </w:tcBorders>
          </w:tcPr>
          <w:p w14:paraId="6A4301E7" w14:textId="77777777" w:rsidR="00F859C7" w:rsidRPr="00F36DFC" w:rsidRDefault="00F859C7">
            <w:pPr>
              <w:ind w:left="57"/>
              <w:rPr>
                <w:rFonts w:ascii="Times New Roman" w:hAnsi="Times New Roman" w:cs="Times New Roman"/>
                <w:sz w:val="22"/>
              </w:rPr>
            </w:pPr>
          </w:p>
        </w:tc>
        <w:tc>
          <w:tcPr>
            <w:tcW w:w="1203" w:type="pct"/>
            <w:tcBorders>
              <w:top w:val="single" w:sz="6" w:space="0" w:color="000000"/>
              <w:left w:val="single" w:sz="6" w:space="0" w:color="000000"/>
              <w:bottom w:val="single" w:sz="6" w:space="0" w:color="000000"/>
              <w:right w:val="single" w:sz="8" w:space="0" w:color="000000"/>
            </w:tcBorders>
            <w:hideMark/>
          </w:tcPr>
          <w:p w14:paraId="27ACE671" w14:textId="77777777" w:rsidR="00F859C7" w:rsidRPr="00F36DFC" w:rsidRDefault="00F859C7">
            <w:pPr>
              <w:widowControl/>
              <w:ind w:left="57"/>
              <w:rPr>
                <w:rFonts w:ascii="Times New Roman" w:hAnsi="Times New Roman" w:cs="Times New Roman"/>
                <w:sz w:val="22"/>
              </w:rPr>
            </w:pPr>
            <w:r w:rsidRPr="00F36DFC">
              <w:rPr>
                <w:rFonts w:ascii="Times New Roman" w:hAnsi="Times New Roman" w:cs="Times New Roman"/>
                <w:sz w:val="22"/>
                <w:lang w:val="da-DK"/>
              </w:rPr>
              <w:t>Overfølsomhed</w:t>
            </w:r>
          </w:p>
        </w:tc>
        <w:tc>
          <w:tcPr>
            <w:tcW w:w="726" w:type="pct"/>
            <w:tcBorders>
              <w:top w:val="single" w:sz="6" w:space="0" w:color="000000"/>
              <w:left w:val="single" w:sz="8" w:space="0" w:color="000000"/>
              <w:bottom w:val="single" w:sz="6" w:space="0" w:color="000000"/>
              <w:right w:val="single" w:sz="6" w:space="0" w:color="000000"/>
            </w:tcBorders>
          </w:tcPr>
          <w:p w14:paraId="2F1149A1" w14:textId="77777777" w:rsidR="00F859C7" w:rsidRPr="00F36DFC" w:rsidRDefault="00F859C7">
            <w:pPr>
              <w:ind w:left="57"/>
              <w:rPr>
                <w:rFonts w:ascii="Times New Roman" w:hAnsi="Times New Roman" w:cs="Times New Roman"/>
                <w:sz w:val="22"/>
              </w:rPr>
            </w:pPr>
          </w:p>
        </w:tc>
        <w:tc>
          <w:tcPr>
            <w:tcW w:w="1005" w:type="pct"/>
            <w:tcBorders>
              <w:top w:val="single" w:sz="6" w:space="0" w:color="000000"/>
              <w:left w:val="single" w:sz="6" w:space="0" w:color="000000"/>
              <w:bottom w:val="single" w:sz="6" w:space="0" w:color="000000"/>
              <w:right w:val="single" w:sz="6" w:space="0" w:color="000000"/>
            </w:tcBorders>
            <w:hideMark/>
          </w:tcPr>
          <w:p w14:paraId="45427164" w14:textId="77777777" w:rsidR="00F859C7" w:rsidRPr="00F36DFC" w:rsidRDefault="00F859C7">
            <w:pPr>
              <w:widowControl/>
              <w:ind w:left="57"/>
              <w:rPr>
                <w:rFonts w:ascii="Times New Roman" w:hAnsi="Times New Roman" w:cs="Times New Roman"/>
                <w:sz w:val="22"/>
                <w:lang w:val="da-DK"/>
              </w:rPr>
            </w:pPr>
            <w:r w:rsidRPr="00F36DFC">
              <w:rPr>
                <w:rFonts w:ascii="Times New Roman" w:hAnsi="Times New Roman" w:cs="Times New Roman"/>
                <w:sz w:val="22"/>
                <w:lang w:val="da-DK"/>
              </w:rPr>
              <w:t>Lægemiddelinduceret overfølsomhedssyndrom</w:t>
            </w:r>
          </w:p>
          <w:p w14:paraId="2104E33F" w14:textId="77777777" w:rsidR="00F859C7" w:rsidRPr="00F36DFC" w:rsidRDefault="00F859C7">
            <w:pPr>
              <w:widowControl/>
              <w:ind w:left="57"/>
              <w:rPr>
                <w:rFonts w:ascii="Times New Roman" w:hAnsi="Times New Roman" w:cs="Times New Roman"/>
                <w:sz w:val="22"/>
                <w:lang w:val="da-DK"/>
              </w:rPr>
            </w:pPr>
            <w:r w:rsidRPr="00F36DFC">
              <w:rPr>
                <w:rFonts w:ascii="Times New Roman" w:hAnsi="Times New Roman" w:cs="Times New Roman"/>
                <w:sz w:val="22"/>
                <w:lang w:val="da-DK"/>
              </w:rPr>
              <w:t xml:space="preserve">Lægemiddeludslæt med </w:t>
            </w:r>
            <w:proofErr w:type="spellStart"/>
            <w:r w:rsidRPr="00F36DFC">
              <w:rPr>
                <w:rFonts w:ascii="Times New Roman" w:hAnsi="Times New Roman" w:cs="Times New Roman"/>
                <w:sz w:val="22"/>
                <w:lang w:val="da-DK"/>
              </w:rPr>
              <w:t>eosinofili</w:t>
            </w:r>
            <w:proofErr w:type="spellEnd"/>
            <w:r w:rsidRPr="00F36DFC">
              <w:rPr>
                <w:rFonts w:ascii="Times New Roman" w:hAnsi="Times New Roman" w:cs="Times New Roman"/>
                <w:sz w:val="22"/>
                <w:lang w:val="da-DK"/>
              </w:rPr>
              <w:t xml:space="preserve"> og systemiske symptomer</w:t>
            </w:r>
          </w:p>
        </w:tc>
      </w:tr>
      <w:tr w:rsidR="00F859C7" w:rsidRPr="00F36DFC" w14:paraId="1919D045" w14:textId="77777777" w:rsidTr="00F36DFC">
        <w:trPr>
          <w:trHeight w:val="20"/>
        </w:trPr>
        <w:tc>
          <w:tcPr>
            <w:tcW w:w="1192" w:type="pct"/>
            <w:tcBorders>
              <w:top w:val="single" w:sz="6" w:space="0" w:color="000000"/>
              <w:left w:val="single" w:sz="6" w:space="0" w:color="000000"/>
              <w:bottom w:val="single" w:sz="6" w:space="0" w:color="000000"/>
              <w:right w:val="single" w:sz="6" w:space="0" w:color="000000"/>
            </w:tcBorders>
            <w:hideMark/>
          </w:tcPr>
          <w:p w14:paraId="20BD1287" w14:textId="77777777" w:rsidR="00F859C7" w:rsidRPr="00F36DFC" w:rsidRDefault="00F859C7">
            <w:pPr>
              <w:widowControl/>
              <w:ind w:left="57"/>
              <w:rPr>
                <w:rFonts w:ascii="Times New Roman" w:hAnsi="Times New Roman" w:cs="Times New Roman"/>
                <w:b/>
                <w:sz w:val="22"/>
                <w:lang w:val="en-GB"/>
              </w:rPr>
            </w:pPr>
            <w:r w:rsidRPr="00F36DFC">
              <w:rPr>
                <w:rFonts w:ascii="Times New Roman" w:hAnsi="Times New Roman" w:cs="Times New Roman"/>
                <w:b/>
                <w:bCs/>
                <w:sz w:val="22"/>
                <w:lang w:val="da-DK"/>
              </w:rPr>
              <w:t>Metabolisme og ernæring</w:t>
            </w:r>
          </w:p>
        </w:tc>
        <w:tc>
          <w:tcPr>
            <w:tcW w:w="874" w:type="pct"/>
            <w:tcBorders>
              <w:top w:val="single" w:sz="6" w:space="0" w:color="000000"/>
              <w:left w:val="single" w:sz="6" w:space="0" w:color="000000"/>
              <w:bottom w:val="single" w:sz="6" w:space="0" w:color="000000"/>
              <w:right w:val="single" w:sz="6" w:space="0" w:color="000000"/>
            </w:tcBorders>
            <w:hideMark/>
          </w:tcPr>
          <w:p w14:paraId="107C93A5" w14:textId="77777777" w:rsidR="00F859C7" w:rsidRPr="00F36DFC" w:rsidRDefault="00F859C7">
            <w:pPr>
              <w:widowControl/>
              <w:ind w:left="57"/>
              <w:rPr>
                <w:rFonts w:ascii="Times New Roman" w:hAnsi="Times New Roman" w:cs="Times New Roman"/>
                <w:sz w:val="22"/>
              </w:rPr>
            </w:pPr>
            <w:r w:rsidRPr="00F36DFC">
              <w:rPr>
                <w:rFonts w:ascii="Times New Roman" w:hAnsi="Times New Roman" w:cs="Times New Roman"/>
                <w:sz w:val="22"/>
                <w:lang w:val="da-DK"/>
              </w:rPr>
              <w:t>Anoreksi</w:t>
            </w:r>
          </w:p>
        </w:tc>
        <w:tc>
          <w:tcPr>
            <w:tcW w:w="1203" w:type="pct"/>
            <w:tcBorders>
              <w:top w:val="single" w:sz="6" w:space="0" w:color="000000"/>
              <w:left w:val="single" w:sz="6" w:space="0" w:color="000000"/>
              <w:bottom w:val="single" w:sz="6" w:space="0" w:color="000000"/>
              <w:right w:val="single" w:sz="8" w:space="0" w:color="000000"/>
            </w:tcBorders>
          </w:tcPr>
          <w:p w14:paraId="1638E92D" w14:textId="77777777" w:rsidR="00F859C7" w:rsidRPr="00F36DFC" w:rsidRDefault="00F859C7">
            <w:pPr>
              <w:ind w:left="57"/>
              <w:rPr>
                <w:rFonts w:ascii="Times New Roman" w:hAnsi="Times New Roman" w:cs="Times New Roman"/>
                <w:sz w:val="22"/>
              </w:rPr>
            </w:pPr>
          </w:p>
        </w:tc>
        <w:tc>
          <w:tcPr>
            <w:tcW w:w="726" w:type="pct"/>
            <w:tcBorders>
              <w:top w:val="single" w:sz="6" w:space="0" w:color="000000"/>
              <w:left w:val="single" w:sz="8" w:space="0" w:color="000000"/>
              <w:bottom w:val="single" w:sz="6" w:space="0" w:color="000000"/>
              <w:right w:val="single" w:sz="6" w:space="0" w:color="000000"/>
            </w:tcBorders>
            <w:hideMark/>
          </w:tcPr>
          <w:p w14:paraId="20561AB9" w14:textId="77777777" w:rsidR="00F859C7" w:rsidRPr="00F36DFC" w:rsidRDefault="00F859C7">
            <w:pPr>
              <w:widowControl/>
              <w:ind w:left="57"/>
              <w:rPr>
                <w:rFonts w:ascii="Times New Roman" w:hAnsi="Times New Roman" w:cs="Times New Roman"/>
                <w:sz w:val="22"/>
              </w:rPr>
            </w:pPr>
            <w:proofErr w:type="spellStart"/>
            <w:r w:rsidRPr="00F36DFC">
              <w:rPr>
                <w:rFonts w:ascii="Times New Roman" w:hAnsi="Times New Roman" w:cs="Times New Roman"/>
                <w:sz w:val="22"/>
                <w:lang w:val="da-DK"/>
              </w:rPr>
              <w:t>Hypokaliæmi</w:t>
            </w:r>
            <w:proofErr w:type="spellEnd"/>
          </w:p>
        </w:tc>
        <w:tc>
          <w:tcPr>
            <w:tcW w:w="1005" w:type="pct"/>
            <w:tcBorders>
              <w:top w:val="single" w:sz="6" w:space="0" w:color="000000"/>
              <w:left w:val="single" w:sz="6" w:space="0" w:color="000000"/>
              <w:bottom w:val="single" w:sz="6" w:space="0" w:color="000000"/>
              <w:right w:val="single" w:sz="6" w:space="0" w:color="000000"/>
            </w:tcBorders>
            <w:hideMark/>
          </w:tcPr>
          <w:p w14:paraId="224BE79A" w14:textId="77777777" w:rsidR="00F859C7" w:rsidRPr="00F36DFC" w:rsidRDefault="00F859C7">
            <w:pPr>
              <w:widowControl/>
              <w:ind w:left="57"/>
              <w:rPr>
                <w:rFonts w:ascii="Times New Roman" w:hAnsi="Times New Roman" w:cs="Times New Roman"/>
                <w:sz w:val="22"/>
              </w:rPr>
            </w:pPr>
            <w:r w:rsidRPr="00F36DFC">
              <w:rPr>
                <w:rFonts w:ascii="Times New Roman" w:hAnsi="Times New Roman" w:cs="Times New Roman"/>
                <w:sz w:val="22"/>
                <w:lang w:val="da-DK"/>
              </w:rPr>
              <w:t xml:space="preserve">Metabolisk </w:t>
            </w:r>
            <w:proofErr w:type="spellStart"/>
            <w:r w:rsidRPr="00F36DFC">
              <w:rPr>
                <w:rFonts w:ascii="Times New Roman" w:hAnsi="Times New Roman" w:cs="Times New Roman"/>
                <w:sz w:val="22"/>
                <w:lang w:val="da-DK"/>
              </w:rPr>
              <w:t>acidose</w:t>
            </w:r>
            <w:proofErr w:type="spellEnd"/>
          </w:p>
          <w:p w14:paraId="5500C1DB" w14:textId="77777777" w:rsidR="00F859C7" w:rsidRPr="00F36DFC" w:rsidRDefault="00F859C7">
            <w:pPr>
              <w:widowControl/>
              <w:ind w:left="57"/>
              <w:rPr>
                <w:rFonts w:ascii="Times New Roman" w:hAnsi="Times New Roman" w:cs="Times New Roman"/>
                <w:sz w:val="22"/>
              </w:rPr>
            </w:pPr>
            <w:proofErr w:type="spellStart"/>
            <w:r w:rsidRPr="00F36DFC">
              <w:rPr>
                <w:rFonts w:ascii="Times New Roman" w:hAnsi="Times New Roman" w:cs="Times New Roman"/>
                <w:sz w:val="22"/>
                <w:lang w:val="da-DK"/>
              </w:rPr>
              <w:t>Renal</w:t>
            </w:r>
            <w:proofErr w:type="spellEnd"/>
            <w:r w:rsidRPr="00F36DFC">
              <w:rPr>
                <w:rFonts w:ascii="Times New Roman" w:hAnsi="Times New Roman" w:cs="Times New Roman"/>
                <w:sz w:val="22"/>
                <w:lang w:val="da-DK"/>
              </w:rPr>
              <w:t xml:space="preserve"> </w:t>
            </w:r>
            <w:proofErr w:type="spellStart"/>
            <w:r w:rsidRPr="00F36DFC">
              <w:rPr>
                <w:rFonts w:ascii="Times New Roman" w:hAnsi="Times New Roman" w:cs="Times New Roman"/>
                <w:sz w:val="22"/>
                <w:lang w:val="da-DK"/>
              </w:rPr>
              <w:t>tubulær</w:t>
            </w:r>
            <w:proofErr w:type="spellEnd"/>
            <w:r w:rsidRPr="00F36DFC">
              <w:rPr>
                <w:rFonts w:ascii="Times New Roman" w:hAnsi="Times New Roman" w:cs="Times New Roman"/>
                <w:sz w:val="22"/>
                <w:lang w:val="da-DK"/>
              </w:rPr>
              <w:t xml:space="preserve"> </w:t>
            </w:r>
            <w:proofErr w:type="spellStart"/>
            <w:r w:rsidRPr="00F36DFC">
              <w:rPr>
                <w:rFonts w:ascii="Times New Roman" w:hAnsi="Times New Roman" w:cs="Times New Roman"/>
                <w:sz w:val="22"/>
                <w:lang w:val="da-DK"/>
              </w:rPr>
              <w:t>acidose</w:t>
            </w:r>
            <w:proofErr w:type="spellEnd"/>
          </w:p>
        </w:tc>
      </w:tr>
      <w:tr w:rsidR="00F859C7" w:rsidRPr="00F36DFC" w14:paraId="29C0C774" w14:textId="77777777" w:rsidTr="00F36DFC">
        <w:trPr>
          <w:trHeight w:val="20"/>
        </w:trPr>
        <w:tc>
          <w:tcPr>
            <w:tcW w:w="1192" w:type="pct"/>
            <w:tcBorders>
              <w:top w:val="single" w:sz="6" w:space="0" w:color="000000"/>
              <w:left w:val="single" w:sz="6" w:space="0" w:color="000000"/>
              <w:bottom w:val="single" w:sz="6" w:space="0" w:color="000000"/>
              <w:right w:val="single" w:sz="6" w:space="0" w:color="000000"/>
            </w:tcBorders>
            <w:hideMark/>
          </w:tcPr>
          <w:p w14:paraId="0E579527" w14:textId="77777777" w:rsidR="00F859C7" w:rsidRPr="00F36DFC" w:rsidRDefault="00F859C7">
            <w:pPr>
              <w:widowControl/>
              <w:ind w:left="57"/>
              <w:rPr>
                <w:rFonts w:ascii="Times New Roman" w:hAnsi="Times New Roman" w:cs="Times New Roman"/>
                <w:b/>
                <w:sz w:val="22"/>
              </w:rPr>
            </w:pPr>
            <w:r w:rsidRPr="00F36DFC">
              <w:rPr>
                <w:rFonts w:ascii="Times New Roman" w:hAnsi="Times New Roman" w:cs="Times New Roman"/>
                <w:b/>
                <w:bCs/>
                <w:sz w:val="22"/>
                <w:lang w:val="da-DK"/>
              </w:rPr>
              <w:t>Psykiske forstyrrelser</w:t>
            </w:r>
          </w:p>
        </w:tc>
        <w:tc>
          <w:tcPr>
            <w:tcW w:w="874" w:type="pct"/>
            <w:tcBorders>
              <w:top w:val="single" w:sz="6" w:space="0" w:color="000000"/>
              <w:left w:val="single" w:sz="6" w:space="0" w:color="000000"/>
              <w:bottom w:val="single" w:sz="6" w:space="0" w:color="000000"/>
              <w:right w:val="single" w:sz="6" w:space="0" w:color="000000"/>
            </w:tcBorders>
            <w:hideMark/>
          </w:tcPr>
          <w:p w14:paraId="5101A17B" w14:textId="77777777" w:rsidR="00F859C7" w:rsidRPr="00F36DFC" w:rsidRDefault="00F859C7">
            <w:pPr>
              <w:widowControl/>
              <w:ind w:left="57"/>
              <w:rPr>
                <w:rFonts w:ascii="Times New Roman" w:hAnsi="Times New Roman" w:cs="Times New Roman"/>
                <w:sz w:val="22"/>
              </w:rPr>
            </w:pPr>
            <w:r w:rsidRPr="00F36DFC">
              <w:rPr>
                <w:rFonts w:ascii="Times New Roman" w:hAnsi="Times New Roman" w:cs="Times New Roman"/>
                <w:sz w:val="22"/>
                <w:lang w:val="da-DK"/>
              </w:rPr>
              <w:t>Agitation</w:t>
            </w:r>
          </w:p>
          <w:p w14:paraId="469CBAE2" w14:textId="77777777" w:rsidR="00F859C7" w:rsidRPr="00F36DFC" w:rsidRDefault="00F859C7">
            <w:pPr>
              <w:widowControl/>
              <w:ind w:left="57"/>
              <w:rPr>
                <w:rFonts w:ascii="Times New Roman" w:hAnsi="Times New Roman" w:cs="Times New Roman"/>
                <w:sz w:val="22"/>
              </w:rPr>
            </w:pPr>
            <w:r w:rsidRPr="00F36DFC">
              <w:rPr>
                <w:rFonts w:ascii="Times New Roman" w:hAnsi="Times New Roman" w:cs="Times New Roman"/>
                <w:sz w:val="22"/>
                <w:lang w:val="da-DK"/>
              </w:rPr>
              <w:t>Irritabilitet</w:t>
            </w:r>
          </w:p>
          <w:p w14:paraId="05BA49B8" w14:textId="77777777" w:rsidR="00F859C7" w:rsidRPr="00F36DFC" w:rsidRDefault="00F859C7">
            <w:pPr>
              <w:widowControl/>
              <w:ind w:left="57"/>
              <w:rPr>
                <w:rFonts w:ascii="Times New Roman" w:hAnsi="Times New Roman" w:cs="Times New Roman"/>
                <w:sz w:val="22"/>
              </w:rPr>
            </w:pPr>
            <w:r w:rsidRPr="00F36DFC">
              <w:rPr>
                <w:rFonts w:ascii="Times New Roman" w:hAnsi="Times New Roman" w:cs="Times New Roman"/>
                <w:sz w:val="22"/>
                <w:lang w:val="da-DK"/>
              </w:rPr>
              <w:t>Konfusionstilstande</w:t>
            </w:r>
          </w:p>
          <w:p w14:paraId="56AAD49C" w14:textId="77777777" w:rsidR="00F859C7" w:rsidRPr="00F36DFC" w:rsidRDefault="00F859C7">
            <w:pPr>
              <w:widowControl/>
              <w:ind w:left="57"/>
              <w:rPr>
                <w:rFonts w:ascii="Times New Roman" w:hAnsi="Times New Roman" w:cs="Times New Roman"/>
                <w:sz w:val="22"/>
              </w:rPr>
            </w:pPr>
            <w:r w:rsidRPr="00F36DFC">
              <w:rPr>
                <w:rFonts w:ascii="Times New Roman" w:hAnsi="Times New Roman" w:cs="Times New Roman"/>
                <w:sz w:val="22"/>
                <w:lang w:val="da-DK"/>
              </w:rPr>
              <w:t>Depression</w:t>
            </w:r>
          </w:p>
        </w:tc>
        <w:tc>
          <w:tcPr>
            <w:tcW w:w="1203" w:type="pct"/>
            <w:tcBorders>
              <w:top w:val="single" w:sz="6" w:space="0" w:color="000000"/>
              <w:left w:val="single" w:sz="6" w:space="0" w:color="000000"/>
              <w:bottom w:val="single" w:sz="6" w:space="0" w:color="000000"/>
              <w:right w:val="single" w:sz="8" w:space="0" w:color="000000"/>
            </w:tcBorders>
            <w:hideMark/>
          </w:tcPr>
          <w:p w14:paraId="72AB4A6C" w14:textId="77777777" w:rsidR="00F859C7" w:rsidRPr="00F36DFC" w:rsidRDefault="00F859C7">
            <w:pPr>
              <w:widowControl/>
              <w:ind w:left="57"/>
              <w:rPr>
                <w:rFonts w:ascii="Times New Roman" w:hAnsi="Times New Roman" w:cs="Times New Roman"/>
                <w:sz w:val="22"/>
                <w:lang w:val="da-DK"/>
              </w:rPr>
            </w:pPr>
            <w:r w:rsidRPr="00F36DFC">
              <w:rPr>
                <w:rFonts w:ascii="Times New Roman" w:hAnsi="Times New Roman" w:cs="Times New Roman"/>
                <w:sz w:val="22"/>
                <w:lang w:val="da-DK"/>
              </w:rPr>
              <w:t>Affektlabilitet</w:t>
            </w:r>
          </w:p>
          <w:p w14:paraId="305304B3" w14:textId="77777777" w:rsidR="00F859C7" w:rsidRPr="00F36DFC" w:rsidRDefault="00F859C7">
            <w:pPr>
              <w:widowControl/>
              <w:ind w:left="57"/>
              <w:rPr>
                <w:rFonts w:ascii="Times New Roman" w:hAnsi="Times New Roman" w:cs="Times New Roman"/>
                <w:sz w:val="22"/>
                <w:lang w:val="da-DK"/>
              </w:rPr>
            </w:pPr>
            <w:r w:rsidRPr="00F36DFC">
              <w:rPr>
                <w:rFonts w:ascii="Times New Roman" w:hAnsi="Times New Roman" w:cs="Times New Roman"/>
                <w:sz w:val="22"/>
                <w:lang w:val="da-DK"/>
              </w:rPr>
              <w:t>Angst</w:t>
            </w:r>
          </w:p>
          <w:p w14:paraId="7BE81D6B" w14:textId="77777777" w:rsidR="00F859C7" w:rsidRPr="00F36DFC" w:rsidRDefault="00F859C7">
            <w:pPr>
              <w:widowControl/>
              <w:ind w:left="57"/>
              <w:rPr>
                <w:rFonts w:ascii="Times New Roman" w:hAnsi="Times New Roman" w:cs="Times New Roman"/>
                <w:sz w:val="22"/>
                <w:lang w:val="da-DK"/>
              </w:rPr>
            </w:pPr>
            <w:r w:rsidRPr="00F36DFC">
              <w:rPr>
                <w:rFonts w:ascii="Times New Roman" w:hAnsi="Times New Roman" w:cs="Times New Roman"/>
                <w:sz w:val="22"/>
                <w:lang w:val="da-DK"/>
              </w:rPr>
              <w:t>Insomni</w:t>
            </w:r>
          </w:p>
          <w:p w14:paraId="12BD7C46" w14:textId="77777777" w:rsidR="00F859C7" w:rsidRPr="00F36DFC" w:rsidRDefault="00F859C7">
            <w:pPr>
              <w:widowControl/>
              <w:ind w:left="57"/>
              <w:rPr>
                <w:rFonts w:ascii="Times New Roman" w:hAnsi="Times New Roman" w:cs="Times New Roman"/>
                <w:sz w:val="22"/>
                <w:lang w:val="da-DK"/>
              </w:rPr>
            </w:pPr>
            <w:r w:rsidRPr="00F36DFC">
              <w:rPr>
                <w:rFonts w:ascii="Times New Roman" w:hAnsi="Times New Roman" w:cs="Times New Roman"/>
                <w:sz w:val="22"/>
                <w:lang w:val="da-DK"/>
              </w:rPr>
              <w:t>Psykotisk tilstand</w:t>
            </w:r>
          </w:p>
        </w:tc>
        <w:tc>
          <w:tcPr>
            <w:tcW w:w="726" w:type="pct"/>
            <w:tcBorders>
              <w:top w:val="single" w:sz="6" w:space="0" w:color="000000"/>
              <w:left w:val="single" w:sz="8" w:space="0" w:color="000000"/>
              <w:bottom w:val="single" w:sz="6" w:space="0" w:color="000000"/>
              <w:right w:val="single" w:sz="6" w:space="0" w:color="000000"/>
            </w:tcBorders>
            <w:hideMark/>
          </w:tcPr>
          <w:p w14:paraId="0A553A36" w14:textId="77777777" w:rsidR="00F859C7" w:rsidRPr="00F36DFC" w:rsidRDefault="00F859C7">
            <w:pPr>
              <w:widowControl/>
              <w:ind w:left="57"/>
              <w:rPr>
                <w:rFonts w:ascii="Times New Roman" w:hAnsi="Times New Roman" w:cs="Times New Roman"/>
                <w:sz w:val="22"/>
                <w:lang w:val="en-GB"/>
              </w:rPr>
            </w:pPr>
            <w:r w:rsidRPr="00F36DFC">
              <w:rPr>
                <w:rFonts w:ascii="Times New Roman" w:hAnsi="Times New Roman" w:cs="Times New Roman"/>
                <w:sz w:val="22"/>
                <w:lang w:val="da-DK"/>
              </w:rPr>
              <w:t>Vrede</w:t>
            </w:r>
          </w:p>
          <w:p w14:paraId="02A6E69D" w14:textId="77777777" w:rsidR="00F859C7" w:rsidRPr="00F36DFC" w:rsidRDefault="00F859C7">
            <w:pPr>
              <w:widowControl/>
              <w:ind w:left="57"/>
              <w:rPr>
                <w:rFonts w:ascii="Times New Roman" w:hAnsi="Times New Roman" w:cs="Times New Roman"/>
                <w:sz w:val="22"/>
              </w:rPr>
            </w:pPr>
            <w:r w:rsidRPr="00F36DFC">
              <w:rPr>
                <w:rFonts w:ascii="Times New Roman" w:hAnsi="Times New Roman" w:cs="Times New Roman"/>
                <w:sz w:val="22"/>
                <w:lang w:val="da-DK"/>
              </w:rPr>
              <w:t>Aggression</w:t>
            </w:r>
          </w:p>
          <w:p w14:paraId="57E9C2F7" w14:textId="77777777" w:rsidR="00F859C7" w:rsidRPr="00F36DFC" w:rsidRDefault="00F859C7">
            <w:pPr>
              <w:widowControl/>
              <w:ind w:left="57"/>
              <w:rPr>
                <w:rFonts w:ascii="Times New Roman" w:hAnsi="Times New Roman" w:cs="Times New Roman"/>
                <w:sz w:val="22"/>
              </w:rPr>
            </w:pPr>
            <w:r w:rsidRPr="00F36DFC">
              <w:rPr>
                <w:rFonts w:ascii="Times New Roman" w:hAnsi="Times New Roman" w:cs="Times New Roman"/>
                <w:sz w:val="22"/>
                <w:lang w:val="da-DK"/>
              </w:rPr>
              <w:t>Selvmordstanker</w:t>
            </w:r>
          </w:p>
          <w:p w14:paraId="3DE964D6" w14:textId="77777777" w:rsidR="00F859C7" w:rsidRPr="00F36DFC" w:rsidRDefault="00F859C7">
            <w:pPr>
              <w:widowControl/>
              <w:ind w:left="57"/>
              <w:rPr>
                <w:rFonts w:ascii="Times New Roman" w:hAnsi="Times New Roman" w:cs="Times New Roman"/>
                <w:sz w:val="22"/>
              </w:rPr>
            </w:pPr>
            <w:r w:rsidRPr="00F36DFC">
              <w:rPr>
                <w:rFonts w:ascii="Times New Roman" w:hAnsi="Times New Roman" w:cs="Times New Roman"/>
                <w:sz w:val="22"/>
                <w:lang w:val="da-DK"/>
              </w:rPr>
              <w:t>Selvmordsforsøg</w:t>
            </w:r>
          </w:p>
        </w:tc>
        <w:tc>
          <w:tcPr>
            <w:tcW w:w="1005" w:type="pct"/>
            <w:tcBorders>
              <w:top w:val="single" w:sz="6" w:space="0" w:color="000000"/>
              <w:left w:val="single" w:sz="6" w:space="0" w:color="000000"/>
              <w:bottom w:val="single" w:sz="6" w:space="0" w:color="000000"/>
              <w:right w:val="single" w:sz="6" w:space="0" w:color="000000"/>
            </w:tcBorders>
            <w:hideMark/>
          </w:tcPr>
          <w:p w14:paraId="3DCE2DD3" w14:textId="77777777" w:rsidR="00F859C7" w:rsidRPr="00F36DFC" w:rsidRDefault="00F859C7">
            <w:pPr>
              <w:widowControl/>
              <w:ind w:left="57"/>
              <w:rPr>
                <w:rFonts w:ascii="Times New Roman" w:hAnsi="Times New Roman" w:cs="Times New Roman"/>
                <w:sz w:val="22"/>
              </w:rPr>
            </w:pPr>
            <w:r w:rsidRPr="00F36DFC">
              <w:rPr>
                <w:rFonts w:ascii="Times New Roman" w:hAnsi="Times New Roman" w:cs="Times New Roman"/>
                <w:sz w:val="22"/>
                <w:lang w:val="da-DK"/>
              </w:rPr>
              <w:t>Hallucinationer</w:t>
            </w:r>
          </w:p>
        </w:tc>
      </w:tr>
      <w:tr w:rsidR="00F859C7" w:rsidRPr="00F36DFC" w14:paraId="6378E0A0" w14:textId="77777777" w:rsidTr="00F36DFC">
        <w:trPr>
          <w:trHeight w:val="20"/>
        </w:trPr>
        <w:tc>
          <w:tcPr>
            <w:tcW w:w="1192" w:type="pct"/>
            <w:tcBorders>
              <w:top w:val="single" w:sz="6" w:space="0" w:color="000000"/>
              <w:left w:val="single" w:sz="6" w:space="0" w:color="000000"/>
              <w:bottom w:val="single" w:sz="6" w:space="0" w:color="000000"/>
              <w:right w:val="single" w:sz="6" w:space="0" w:color="000000"/>
            </w:tcBorders>
            <w:hideMark/>
          </w:tcPr>
          <w:p w14:paraId="63B071C6" w14:textId="77777777" w:rsidR="00F859C7" w:rsidRPr="00F36DFC" w:rsidRDefault="00F859C7">
            <w:pPr>
              <w:widowControl/>
              <w:ind w:left="57"/>
              <w:rPr>
                <w:rFonts w:ascii="Times New Roman" w:hAnsi="Times New Roman" w:cs="Times New Roman"/>
                <w:b/>
                <w:sz w:val="22"/>
              </w:rPr>
            </w:pPr>
            <w:r w:rsidRPr="00F36DFC">
              <w:rPr>
                <w:rFonts w:ascii="Times New Roman" w:hAnsi="Times New Roman" w:cs="Times New Roman"/>
                <w:b/>
                <w:bCs/>
                <w:sz w:val="22"/>
                <w:lang w:val="da-DK"/>
              </w:rPr>
              <w:t>Nervesystemet</w:t>
            </w:r>
          </w:p>
        </w:tc>
        <w:tc>
          <w:tcPr>
            <w:tcW w:w="874" w:type="pct"/>
            <w:tcBorders>
              <w:top w:val="single" w:sz="6" w:space="0" w:color="000000"/>
              <w:left w:val="single" w:sz="6" w:space="0" w:color="000000"/>
              <w:bottom w:val="single" w:sz="6" w:space="0" w:color="000000"/>
              <w:right w:val="single" w:sz="6" w:space="0" w:color="000000"/>
            </w:tcBorders>
            <w:hideMark/>
          </w:tcPr>
          <w:p w14:paraId="0309A175" w14:textId="77777777" w:rsidR="00F859C7" w:rsidRPr="00F36DFC" w:rsidRDefault="00F859C7">
            <w:pPr>
              <w:widowControl/>
              <w:ind w:left="57"/>
              <w:rPr>
                <w:rFonts w:ascii="Times New Roman" w:hAnsi="Times New Roman" w:cs="Times New Roman"/>
                <w:sz w:val="22"/>
              </w:rPr>
            </w:pPr>
            <w:proofErr w:type="spellStart"/>
            <w:r w:rsidRPr="00F36DFC">
              <w:rPr>
                <w:rFonts w:ascii="Times New Roman" w:hAnsi="Times New Roman" w:cs="Times New Roman"/>
                <w:sz w:val="22"/>
                <w:lang w:val="da-DK"/>
              </w:rPr>
              <w:t>Ataksi</w:t>
            </w:r>
            <w:proofErr w:type="spellEnd"/>
          </w:p>
          <w:p w14:paraId="2383C7E4" w14:textId="77777777" w:rsidR="00F859C7" w:rsidRPr="00F36DFC" w:rsidRDefault="00F859C7">
            <w:pPr>
              <w:widowControl/>
              <w:ind w:left="57"/>
              <w:rPr>
                <w:rFonts w:ascii="Times New Roman" w:hAnsi="Times New Roman" w:cs="Times New Roman"/>
                <w:sz w:val="22"/>
              </w:rPr>
            </w:pPr>
            <w:r w:rsidRPr="00F36DFC">
              <w:rPr>
                <w:rFonts w:ascii="Times New Roman" w:hAnsi="Times New Roman" w:cs="Times New Roman"/>
                <w:sz w:val="22"/>
                <w:lang w:val="da-DK"/>
              </w:rPr>
              <w:t>Svimmelhed</w:t>
            </w:r>
          </w:p>
          <w:p w14:paraId="11984D20" w14:textId="77777777" w:rsidR="00F859C7" w:rsidRPr="00F36DFC" w:rsidRDefault="00F859C7">
            <w:pPr>
              <w:widowControl/>
              <w:ind w:left="57"/>
              <w:rPr>
                <w:rFonts w:ascii="Times New Roman" w:hAnsi="Times New Roman" w:cs="Times New Roman"/>
                <w:sz w:val="22"/>
              </w:rPr>
            </w:pPr>
            <w:r w:rsidRPr="00F36DFC">
              <w:rPr>
                <w:rFonts w:ascii="Times New Roman" w:hAnsi="Times New Roman" w:cs="Times New Roman"/>
                <w:sz w:val="22"/>
                <w:lang w:val="da-DK"/>
              </w:rPr>
              <w:t>Hukommelsesbesvær</w:t>
            </w:r>
          </w:p>
          <w:p w14:paraId="1AD38032" w14:textId="77777777" w:rsidR="00F859C7" w:rsidRPr="00F36DFC" w:rsidRDefault="00F859C7">
            <w:pPr>
              <w:widowControl/>
              <w:ind w:left="57"/>
              <w:rPr>
                <w:rFonts w:ascii="Times New Roman" w:hAnsi="Times New Roman" w:cs="Times New Roman"/>
                <w:sz w:val="22"/>
              </w:rPr>
            </w:pPr>
            <w:r w:rsidRPr="00F36DFC">
              <w:rPr>
                <w:rFonts w:ascii="Times New Roman" w:hAnsi="Times New Roman" w:cs="Times New Roman"/>
                <w:sz w:val="22"/>
                <w:lang w:val="da-DK"/>
              </w:rPr>
              <w:t>Døsighed</w:t>
            </w:r>
          </w:p>
        </w:tc>
        <w:tc>
          <w:tcPr>
            <w:tcW w:w="1203" w:type="pct"/>
            <w:tcBorders>
              <w:top w:val="single" w:sz="6" w:space="0" w:color="000000"/>
              <w:left w:val="single" w:sz="6" w:space="0" w:color="000000"/>
              <w:bottom w:val="single" w:sz="6" w:space="0" w:color="000000"/>
              <w:right w:val="single" w:sz="8" w:space="0" w:color="000000"/>
            </w:tcBorders>
            <w:hideMark/>
          </w:tcPr>
          <w:p w14:paraId="3EE9C126" w14:textId="77777777" w:rsidR="00F859C7" w:rsidRPr="00F36DFC" w:rsidRDefault="00F859C7">
            <w:pPr>
              <w:widowControl/>
              <w:ind w:left="57"/>
              <w:rPr>
                <w:rFonts w:ascii="Times New Roman" w:hAnsi="Times New Roman" w:cs="Times New Roman"/>
                <w:sz w:val="22"/>
                <w:lang w:val="da-DK"/>
              </w:rPr>
            </w:pPr>
            <w:proofErr w:type="spellStart"/>
            <w:r w:rsidRPr="00F36DFC">
              <w:rPr>
                <w:rFonts w:ascii="Times New Roman" w:hAnsi="Times New Roman" w:cs="Times New Roman"/>
                <w:sz w:val="22"/>
                <w:lang w:val="da-DK"/>
              </w:rPr>
              <w:t>Bradyfreni</w:t>
            </w:r>
            <w:proofErr w:type="spellEnd"/>
          </w:p>
          <w:p w14:paraId="28A3B77B" w14:textId="77777777" w:rsidR="00F859C7" w:rsidRPr="00F36DFC" w:rsidRDefault="00F859C7">
            <w:pPr>
              <w:widowControl/>
              <w:ind w:left="57"/>
              <w:rPr>
                <w:rFonts w:ascii="Times New Roman" w:hAnsi="Times New Roman" w:cs="Times New Roman"/>
                <w:sz w:val="22"/>
                <w:lang w:val="da-DK"/>
              </w:rPr>
            </w:pPr>
            <w:r w:rsidRPr="00F36DFC">
              <w:rPr>
                <w:rFonts w:ascii="Times New Roman" w:hAnsi="Times New Roman" w:cs="Times New Roman"/>
                <w:sz w:val="22"/>
                <w:lang w:val="da-DK"/>
              </w:rPr>
              <w:t>Opmærksomhedsforstyrrelser</w:t>
            </w:r>
          </w:p>
          <w:p w14:paraId="2BC2BA02" w14:textId="77777777" w:rsidR="00F859C7" w:rsidRPr="00F36DFC" w:rsidRDefault="00F859C7">
            <w:pPr>
              <w:widowControl/>
              <w:ind w:left="57"/>
              <w:rPr>
                <w:rFonts w:ascii="Times New Roman" w:hAnsi="Times New Roman" w:cs="Times New Roman"/>
                <w:sz w:val="22"/>
                <w:lang w:val="da-DK"/>
              </w:rPr>
            </w:pPr>
            <w:r w:rsidRPr="00F36DFC">
              <w:rPr>
                <w:rFonts w:ascii="Times New Roman" w:hAnsi="Times New Roman" w:cs="Times New Roman"/>
                <w:sz w:val="22"/>
                <w:lang w:val="da-DK"/>
              </w:rPr>
              <w:t>Nystagmus</w:t>
            </w:r>
          </w:p>
          <w:p w14:paraId="6866ADC6" w14:textId="77777777" w:rsidR="00F859C7" w:rsidRPr="00F36DFC" w:rsidRDefault="00F859C7">
            <w:pPr>
              <w:widowControl/>
              <w:ind w:left="57"/>
              <w:rPr>
                <w:rFonts w:ascii="Times New Roman" w:hAnsi="Times New Roman" w:cs="Times New Roman"/>
                <w:sz w:val="22"/>
                <w:lang w:val="da-DK"/>
              </w:rPr>
            </w:pPr>
            <w:proofErr w:type="spellStart"/>
            <w:r w:rsidRPr="00F36DFC">
              <w:rPr>
                <w:rFonts w:ascii="Times New Roman" w:hAnsi="Times New Roman" w:cs="Times New Roman"/>
                <w:sz w:val="22"/>
                <w:lang w:val="da-DK"/>
              </w:rPr>
              <w:t>Paræstesi</w:t>
            </w:r>
            <w:proofErr w:type="spellEnd"/>
          </w:p>
          <w:p w14:paraId="462576F8" w14:textId="77777777" w:rsidR="00F859C7" w:rsidRPr="00F36DFC" w:rsidRDefault="00F859C7">
            <w:pPr>
              <w:widowControl/>
              <w:ind w:left="57"/>
              <w:rPr>
                <w:rFonts w:ascii="Times New Roman" w:hAnsi="Times New Roman" w:cs="Times New Roman"/>
                <w:sz w:val="22"/>
                <w:lang w:val="da-DK"/>
              </w:rPr>
            </w:pPr>
            <w:r w:rsidRPr="00F36DFC">
              <w:rPr>
                <w:rFonts w:ascii="Times New Roman" w:hAnsi="Times New Roman" w:cs="Times New Roman"/>
                <w:sz w:val="22"/>
                <w:lang w:val="da-DK"/>
              </w:rPr>
              <w:t>Taleforstyrrelser</w:t>
            </w:r>
          </w:p>
          <w:p w14:paraId="2651F378" w14:textId="77777777" w:rsidR="00F859C7" w:rsidRPr="00F36DFC" w:rsidRDefault="00F859C7">
            <w:pPr>
              <w:widowControl/>
              <w:ind w:left="57"/>
              <w:rPr>
                <w:rFonts w:ascii="Times New Roman" w:hAnsi="Times New Roman" w:cs="Times New Roman"/>
                <w:sz w:val="22"/>
                <w:lang w:val="da-DK"/>
              </w:rPr>
            </w:pPr>
            <w:proofErr w:type="spellStart"/>
            <w:r w:rsidRPr="00F36DFC">
              <w:rPr>
                <w:rFonts w:ascii="Times New Roman" w:hAnsi="Times New Roman" w:cs="Times New Roman"/>
                <w:sz w:val="22"/>
                <w:lang w:val="da-DK"/>
              </w:rPr>
              <w:t>Tremor</w:t>
            </w:r>
            <w:proofErr w:type="spellEnd"/>
          </w:p>
        </w:tc>
        <w:tc>
          <w:tcPr>
            <w:tcW w:w="726" w:type="pct"/>
            <w:tcBorders>
              <w:top w:val="single" w:sz="6" w:space="0" w:color="000000"/>
              <w:left w:val="single" w:sz="8" w:space="0" w:color="000000"/>
              <w:bottom w:val="single" w:sz="6" w:space="0" w:color="000000"/>
              <w:right w:val="single" w:sz="6" w:space="0" w:color="000000"/>
            </w:tcBorders>
            <w:hideMark/>
          </w:tcPr>
          <w:p w14:paraId="30F6013C" w14:textId="77777777" w:rsidR="00F859C7" w:rsidRPr="00F36DFC" w:rsidRDefault="00F859C7">
            <w:pPr>
              <w:widowControl/>
              <w:ind w:left="57"/>
              <w:rPr>
                <w:rFonts w:ascii="Times New Roman" w:hAnsi="Times New Roman" w:cs="Times New Roman"/>
                <w:sz w:val="22"/>
                <w:lang w:val="en-GB"/>
              </w:rPr>
            </w:pPr>
            <w:r w:rsidRPr="00F36DFC">
              <w:rPr>
                <w:rFonts w:ascii="Times New Roman" w:hAnsi="Times New Roman" w:cs="Times New Roman"/>
                <w:sz w:val="22"/>
                <w:lang w:val="da-DK"/>
              </w:rPr>
              <w:t>Krampeanfald</w:t>
            </w:r>
          </w:p>
        </w:tc>
        <w:tc>
          <w:tcPr>
            <w:tcW w:w="1005" w:type="pct"/>
            <w:tcBorders>
              <w:top w:val="single" w:sz="6" w:space="0" w:color="000000"/>
              <w:left w:val="single" w:sz="6" w:space="0" w:color="000000"/>
              <w:bottom w:val="single" w:sz="6" w:space="0" w:color="000000"/>
              <w:right w:val="single" w:sz="6" w:space="0" w:color="000000"/>
            </w:tcBorders>
            <w:hideMark/>
          </w:tcPr>
          <w:p w14:paraId="689A2EF0" w14:textId="77777777" w:rsidR="00F859C7" w:rsidRPr="00F36DFC" w:rsidRDefault="00F859C7">
            <w:pPr>
              <w:widowControl/>
              <w:ind w:left="57"/>
              <w:rPr>
                <w:rFonts w:ascii="Times New Roman" w:hAnsi="Times New Roman" w:cs="Times New Roman"/>
                <w:sz w:val="22"/>
                <w:lang w:val="da-DK"/>
              </w:rPr>
            </w:pPr>
            <w:r w:rsidRPr="00F36DFC">
              <w:rPr>
                <w:rFonts w:ascii="Times New Roman" w:hAnsi="Times New Roman" w:cs="Times New Roman"/>
                <w:sz w:val="22"/>
                <w:lang w:val="da-DK"/>
              </w:rPr>
              <w:t>Amnesi</w:t>
            </w:r>
          </w:p>
          <w:p w14:paraId="7E07ACB6" w14:textId="77777777" w:rsidR="00F859C7" w:rsidRPr="00F36DFC" w:rsidRDefault="00F859C7">
            <w:pPr>
              <w:widowControl/>
              <w:ind w:left="57"/>
              <w:rPr>
                <w:rFonts w:ascii="Times New Roman" w:hAnsi="Times New Roman" w:cs="Times New Roman"/>
                <w:sz w:val="22"/>
                <w:lang w:val="da-DK"/>
              </w:rPr>
            </w:pPr>
            <w:r w:rsidRPr="00F36DFC">
              <w:rPr>
                <w:rFonts w:ascii="Times New Roman" w:hAnsi="Times New Roman" w:cs="Times New Roman"/>
                <w:sz w:val="22"/>
                <w:lang w:val="da-DK"/>
              </w:rPr>
              <w:t>Koma</w:t>
            </w:r>
          </w:p>
          <w:p w14:paraId="0779C82B" w14:textId="77777777" w:rsidR="00F859C7" w:rsidRPr="00F36DFC" w:rsidRDefault="00F859C7">
            <w:pPr>
              <w:widowControl/>
              <w:ind w:left="57"/>
              <w:rPr>
                <w:rFonts w:ascii="Times New Roman" w:hAnsi="Times New Roman" w:cs="Times New Roman"/>
                <w:sz w:val="22"/>
                <w:lang w:val="da-DK"/>
              </w:rPr>
            </w:pPr>
            <w:r w:rsidRPr="00F36DFC">
              <w:rPr>
                <w:rFonts w:ascii="Times New Roman" w:hAnsi="Times New Roman" w:cs="Times New Roman"/>
                <w:sz w:val="22"/>
                <w:lang w:val="da-DK"/>
              </w:rPr>
              <w:t>Grand mal-anfald</w:t>
            </w:r>
          </w:p>
          <w:p w14:paraId="6600CB72" w14:textId="77777777" w:rsidR="00F859C7" w:rsidRPr="00F36DFC" w:rsidRDefault="00F859C7">
            <w:pPr>
              <w:widowControl/>
              <w:ind w:left="57"/>
              <w:rPr>
                <w:rFonts w:ascii="Times New Roman" w:hAnsi="Times New Roman" w:cs="Times New Roman"/>
                <w:sz w:val="22"/>
                <w:lang w:val="da-DK"/>
              </w:rPr>
            </w:pPr>
            <w:proofErr w:type="spellStart"/>
            <w:r w:rsidRPr="00F36DFC">
              <w:rPr>
                <w:rFonts w:ascii="Times New Roman" w:hAnsi="Times New Roman" w:cs="Times New Roman"/>
                <w:sz w:val="22"/>
                <w:lang w:val="da-DK"/>
              </w:rPr>
              <w:t>Myasthenisk</w:t>
            </w:r>
            <w:proofErr w:type="spellEnd"/>
            <w:r w:rsidRPr="00F36DFC">
              <w:rPr>
                <w:rFonts w:ascii="Times New Roman" w:hAnsi="Times New Roman" w:cs="Times New Roman"/>
                <w:sz w:val="22"/>
                <w:lang w:val="da-DK"/>
              </w:rPr>
              <w:t xml:space="preserve"> syndrom</w:t>
            </w:r>
          </w:p>
          <w:p w14:paraId="4789CC99" w14:textId="77777777" w:rsidR="00F859C7" w:rsidRPr="00F36DFC" w:rsidRDefault="00F859C7">
            <w:pPr>
              <w:widowControl/>
              <w:ind w:left="57"/>
              <w:rPr>
                <w:rFonts w:ascii="Times New Roman" w:hAnsi="Times New Roman" w:cs="Times New Roman"/>
                <w:sz w:val="22"/>
                <w:lang w:val="en-GB"/>
              </w:rPr>
            </w:pPr>
            <w:r w:rsidRPr="00F36DFC">
              <w:rPr>
                <w:rFonts w:ascii="Times New Roman" w:hAnsi="Times New Roman" w:cs="Times New Roman"/>
                <w:sz w:val="22"/>
                <w:lang w:val="da-DK"/>
              </w:rPr>
              <w:t xml:space="preserve">Malignt </w:t>
            </w:r>
            <w:proofErr w:type="spellStart"/>
            <w:r w:rsidRPr="00F36DFC">
              <w:rPr>
                <w:rFonts w:ascii="Times New Roman" w:hAnsi="Times New Roman" w:cs="Times New Roman"/>
                <w:sz w:val="22"/>
                <w:lang w:val="da-DK"/>
              </w:rPr>
              <w:t>neuroleptikumsyndrom</w:t>
            </w:r>
            <w:proofErr w:type="spellEnd"/>
          </w:p>
          <w:p w14:paraId="0C7AF0E9" w14:textId="77777777" w:rsidR="00F859C7" w:rsidRPr="00F36DFC" w:rsidRDefault="00F859C7">
            <w:pPr>
              <w:widowControl/>
              <w:ind w:left="57"/>
              <w:rPr>
                <w:rFonts w:ascii="Times New Roman" w:hAnsi="Times New Roman" w:cs="Times New Roman"/>
                <w:sz w:val="22"/>
              </w:rPr>
            </w:pPr>
            <w:r w:rsidRPr="00F36DFC">
              <w:rPr>
                <w:rFonts w:ascii="Times New Roman" w:hAnsi="Times New Roman" w:cs="Times New Roman"/>
                <w:sz w:val="22"/>
                <w:lang w:val="da-DK"/>
              </w:rPr>
              <w:t xml:space="preserve">Status </w:t>
            </w:r>
            <w:proofErr w:type="spellStart"/>
            <w:r w:rsidRPr="00F36DFC">
              <w:rPr>
                <w:rFonts w:ascii="Times New Roman" w:hAnsi="Times New Roman" w:cs="Times New Roman"/>
                <w:sz w:val="22"/>
                <w:lang w:val="da-DK"/>
              </w:rPr>
              <w:t>epilepticus</w:t>
            </w:r>
            <w:proofErr w:type="spellEnd"/>
          </w:p>
        </w:tc>
      </w:tr>
      <w:tr w:rsidR="00F859C7" w:rsidRPr="00F36DFC" w14:paraId="0FB03033" w14:textId="77777777" w:rsidTr="00F36DFC">
        <w:trPr>
          <w:trHeight w:val="20"/>
        </w:trPr>
        <w:tc>
          <w:tcPr>
            <w:tcW w:w="1192" w:type="pct"/>
            <w:tcBorders>
              <w:top w:val="single" w:sz="6" w:space="0" w:color="000000"/>
              <w:left w:val="single" w:sz="6" w:space="0" w:color="000000"/>
              <w:bottom w:val="single" w:sz="6" w:space="0" w:color="000000"/>
              <w:right w:val="single" w:sz="6" w:space="0" w:color="000000"/>
            </w:tcBorders>
            <w:hideMark/>
          </w:tcPr>
          <w:p w14:paraId="2F4E4CFE" w14:textId="77777777" w:rsidR="00F859C7" w:rsidRPr="00F36DFC" w:rsidRDefault="00F859C7">
            <w:pPr>
              <w:widowControl/>
              <w:ind w:left="57"/>
              <w:rPr>
                <w:rFonts w:ascii="Times New Roman" w:hAnsi="Times New Roman" w:cs="Times New Roman"/>
                <w:b/>
                <w:sz w:val="22"/>
              </w:rPr>
            </w:pPr>
            <w:r w:rsidRPr="00F36DFC">
              <w:rPr>
                <w:rFonts w:ascii="Times New Roman" w:hAnsi="Times New Roman" w:cs="Times New Roman"/>
                <w:b/>
                <w:bCs/>
                <w:sz w:val="22"/>
                <w:lang w:val="da-DK"/>
              </w:rPr>
              <w:t>Øjne</w:t>
            </w:r>
          </w:p>
        </w:tc>
        <w:tc>
          <w:tcPr>
            <w:tcW w:w="874" w:type="pct"/>
            <w:tcBorders>
              <w:top w:val="single" w:sz="6" w:space="0" w:color="000000"/>
              <w:left w:val="single" w:sz="6" w:space="0" w:color="000000"/>
              <w:bottom w:val="single" w:sz="6" w:space="0" w:color="000000"/>
              <w:right w:val="single" w:sz="6" w:space="0" w:color="000000"/>
            </w:tcBorders>
            <w:hideMark/>
          </w:tcPr>
          <w:p w14:paraId="69EC7135" w14:textId="77777777" w:rsidR="00F859C7" w:rsidRPr="00F36DFC" w:rsidRDefault="00F859C7">
            <w:pPr>
              <w:widowControl/>
              <w:ind w:left="57"/>
              <w:rPr>
                <w:rFonts w:ascii="Times New Roman" w:hAnsi="Times New Roman" w:cs="Times New Roman"/>
                <w:sz w:val="22"/>
              </w:rPr>
            </w:pPr>
            <w:r w:rsidRPr="00F36DFC">
              <w:rPr>
                <w:rFonts w:ascii="Times New Roman" w:hAnsi="Times New Roman" w:cs="Times New Roman"/>
                <w:sz w:val="22"/>
                <w:lang w:val="da-DK"/>
              </w:rPr>
              <w:t>Dobbeltsyn</w:t>
            </w:r>
          </w:p>
        </w:tc>
        <w:tc>
          <w:tcPr>
            <w:tcW w:w="1203" w:type="pct"/>
            <w:tcBorders>
              <w:top w:val="single" w:sz="6" w:space="0" w:color="000000"/>
              <w:left w:val="single" w:sz="6" w:space="0" w:color="000000"/>
              <w:bottom w:val="single" w:sz="6" w:space="0" w:color="000000"/>
              <w:right w:val="single" w:sz="8" w:space="0" w:color="000000"/>
            </w:tcBorders>
          </w:tcPr>
          <w:p w14:paraId="2EBFDC4A" w14:textId="77777777" w:rsidR="00F859C7" w:rsidRPr="00F36DFC" w:rsidRDefault="00F859C7">
            <w:pPr>
              <w:ind w:left="57"/>
              <w:rPr>
                <w:rFonts w:ascii="Times New Roman" w:hAnsi="Times New Roman" w:cs="Times New Roman"/>
                <w:sz w:val="22"/>
              </w:rPr>
            </w:pPr>
          </w:p>
        </w:tc>
        <w:tc>
          <w:tcPr>
            <w:tcW w:w="726" w:type="pct"/>
            <w:tcBorders>
              <w:top w:val="single" w:sz="6" w:space="0" w:color="000000"/>
              <w:left w:val="single" w:sz="8" w:space="0" w:color="000000"/>
              <w:bottom w:val="single" w:sz="6" w:space="0" w:color="000000"/>
              <w:right w:val="single" w:sz="6" w:space="0" w:color="000000"/>
            </w:tcBorders>
          </w:tcPr>
          <w:p w14:paraId="1172DB27" w14:textId="77777777" w:rsidR="00F859C7" w:rsidRPr="00F36DFC" w:rsidRDefault="00F859C7">
            <w:pPr>
              <w:ind w:left="57"/>
              <w:rPr>
                <w:rFonts w:ascii="Times New Roman" w:hAnsi="Times New Roman" w:cs="Times New Roman"/>
                <w:sz w:val="22"/>
              </w:rPr>
            </w:pPr>
          </w:p>
        </w:tc>
        <w:tc>
          <w:tcPr>
            <w:tcW w:w="1005" w:type="pct"/>
            <w:tcBorders>
              <w:top w:val="single" w:sz="6" w:space="0" w:color="000000"/>
              <w:left w:val="single" w:sz="6" w:space="0" w:color="000000"/>
              <w:bottom w:val="single" w:sz="6" w:space="0" w:color="000000"/>
              <w:right w:val="single" w:sz="6" w:space="0" w:color="000000"/>
            </w:tcBorders>
          </w:tcPr>
          <w:p w14:paraId="7E4E1997" w14:textId="77777777" w:rsidR="00F859C7" w:rsidRPr="00F36DFC" w:rsidRDefault="00F859C7">
            <w:pPr>
              <w:widowControl/>
              <w:ind w:left="57"/>
              <w:rPr>
                <w:rFonts w:ascii="Times New Roman" w:hAnsi="Times New Roman" w:cs="Times New Roman"/>
                <w:sz w:val="22"/>
                <w:lang w:val="da-DK"/>
              </w:rPr>
            </w:pPr>
            <w:r w:rsidRPr="00F36DFC">
              <w:rPr>
                <w:rFonts w:ascii="Times New Roman" w:hAnsi="Times New Roman" w:cs="Times New Roman"/>
                <w:sz w:val="22"/>
                <w:lang w:val="da-DK"/>
              </w:rPr>
              <w:t xml:space="preserve">Lukket-vinkel </w:t>
            </w:r>
            <w:proofErr w:type="spellStart"/>
            <w:r w:rsidRPr="00F36DFC">
              <w:rPr>
                <w:rFonts w:ascii="Times New Roman" w:hAnsi="Times New Roman" w:cs="Times New Roman"/>
                <w:sz w:val="22"/>
                <w:lang w:val="da-DK"/>
              </w:rPr>
              <w:t>glaukom</w:t>
            </w:r>
            <w:proofErr w:type="spellEnd"/>
          </w:p>
          <w:p w14:paraId="1538BF6D" w14:textId="77777777" w:rsidR="00F859C7" w:rsidRPr="00F36DFC" w:rsidRDefault="00F859C7">
            <w:pPr>
              <w:widowControl/>
              <w:ind w:left="57"/>
              <w:rPr>
                <w:rFonts w:ascii="Times New Roman" w:hAnsi="Times New Roman" w:cs="Times New Roman"/>
                <w:sz w:val="22"/>
                <w:lang w:val="da-DK"/>
              </w:rPr>
            </w:pPr>
            <w:r w:rsidRPr="00F36DFC">
              <w:rPr>
                <w:rFonts w:ascii="Times New Roman" w:hAnsi="Times New Roman" w:cs="Times New Roman"/>
                <w:sz w:val="22"/>
                <w:lang w:val="da-DK"/>
              </w:rPr>
              <w:t>Øjensmerter</w:t>
            </w:r>
          </w:p>
          <w:p w14:paraId="3D147EF5" w14:textId="77777777" w:rsidR="00F859C7" w:rsidRPr="00F36DFC" w:rsidRDefault="00F859C7">
            <w:pPr>
              <w:widowControl/>
              <w:ind w:left="57"/>
              <w:rPr>
                <w:rFonts w:ascii="Times New Roman" w:hAnsi="Times New Roman" w:cs="Times New Roman"/>
                <w:sz w:val="22"/>
                <w:lang w:val="da-DK"/>
              </w:rPr>
            </w:pPr>
            <w:proofErr w:type="spellStart"/>
            <w:r w:rsidRPr="00F36DFC">
              <w:rPr>
                <w:rFonts w:ascii="Times New Roman" w:hAnsi="Times New Roman" w:cs="Times New Roman"/>
                <w:sz w:val="22"/>
                <w:lang w:val="da-DK"/>
              </w:rPr>
              <w:t>Myopi</w:t>
            </w:r>
            <w:proofErr w:type="spellEnd"/>
          </w:p>
          <w:p w14:paraId="565745FC" w14:textId="77777777" w:rsidR="00F859C7" w:rsidRPr="00F36DFC" w:rsidRDefault="00F859C7">
            <w:pPr>
              <w:widowControl/>
              <w:ind w:left="57"/>
              <w:rPr>
                <w:rFonts w:ascii="Times New Roman" w:hAnsi="Times New Roman" w:cs="Times New Roman"/>
                <w:sz w:val="22"/>
                <w:lang w:val="da-DK"/>
              </w:rPr>
            </w:pPr>
            <w:r w:rsidRPr="00F36DFC">
              <w:rPr>
                <w:rFonts w:ascii="Times New Roman" w:hAnsi="Times New Roman" w:cs="Times New Roman"/>
                <w:sz w:val="22"/>
                <w:lang w:val="da-DK"/>
              </w:rPr>
              <w:t>Sløret syn</w:t>
            </w:r>
          </w:p>
          <w:p w14:paraId="6D24AB3D" w14:textId="77777777" w:rsidR="00F859C7" w:rsidRPr="00F36DFC" w:rsidRDefault="00F859C7">
            <w:pPr>
              <w:widowControl/>
              <w:ind w:left="57"/>
              <w:rPr>
                <w:rFonts w:ascii="Times New Roman" w:hAnsi="Times New Roman" w:cs="Times New Roman"/>
                <w:sz w:val="22"/>
                <w:lang w:val="en-GB"/>
              </w:rPr>
            </w:pPr>
            <w:r w:rsidRPr="00F36DFC">
              <w:rPr>
                <w:rFonts w:ascii="Times New Roman" w:hAnsi="Times New Roman" w:cs="Times New Roman"/>
                <w:sz w:val="22"/>
                <w:lang w:val="da-DK"/>
              </w:rPr>
              <w:t>Nedsat synsskarphed</w:t>
            </w:r>
          </w:p>
          <w:p w14:paraId="32CA2312" w14:textId="77777777" w:rsidR="00F859C7" w:rsidRPr="00F36DFC" w:rsidRDefault="00F859C7">
            <w:pPr>
              <w:rPr>
                <w:rFonts w:ascii="Times New Roman" w:hAnsi="Times New Roman" w:cs="Times New Roman"/>
                <w:sz w:val="22"/>
              </w:rPr>
            </w:pPr>
          </w:p>
        </w:tc>
      </w:tr>
      <w:tr w:rsidR="00F859C7" w:rsidRPr="00F36DFC" w14:paraId="28B069B1" w14:textId="77777777" w:rsidTr="00F36DFC">
        <w:trPr>
          <w:trHeight w:val="20"/>
        </w:trPr>
        <w:tc>
          <w:tcPr>
            <w:tcW w:w="1192" w:type="pct"/>
            <w:tcBorders>
              <w:top w:val="single" w:sz="6" w:space="0" w:color="000000"/>
              <w:left w:val="single" w:sz="6" w:space="0" w:color="000000"/>
              <w:bottom w:val="single" w:sz="6" w:space="0" w:color="000000"/>
              <w:right w:val="single" w:sz="6" w:space="0" w:color="000000"/>
            </w:tcBorders>
            <w:hideMark/>
          </w:tcPr>
          <w:p w14:paraId="7535D304" w14:textId="77777777" w:rsidR="00F859C7" w:rsidRPr="00F36DFC" w:rsidRDefault="00F859C7">
            <w:pPr>
              <w:widowControl/>
              <w:ind w:left="57"/>
              <w:rPr>
                <w:rFonts w:ascii="Times New Roman" w:hAnsi="Times New Roman" w:cs="Times New Roman"/>
                <w:b/>
                <w:sz w:val="22"/>
              </w:rPr>
            </w:pPr>
            <w:r w:rsidRPr="00F36DFC">
              <w:rPr>
                <w:rFonts w:ascii="Times New Roman" w:hAnsi="Times New Roman" w:cs="Times New Roman"/>
                <w:b/>
                <w:bCs/>
                <w:sz w:val="22"/>
                <w:lang w:val="da-DK"/>
              </w:rPr>
              <w:t xml:space="preserve">Luftveje, thorax og </w:t>
            </w:r>
            <w:proofErr w:type="spellStart"/>
            <w:r w:rsidRPr="00F36DFC">
              <w:rPr>
                <w:rFonts w:ascii="Times New Roman" w:hAnsi="Times New Roman" w:cs="Times New Roman"/>
                <w:b/>
                <w:bCs/>
                <w:sz w:val="22"/>
                <w:lang w:val="da-DK"/>
              </w:rPr>
              <w:t>mediastinum</w:t>
            </w:r>
            <w:proofErr w:type="spellEnd"/>
          </w:p>
        </w:tc>
        <w:tc>
          <w:tcPr>
            <w:tcW w:w="874" w:type="pct"/>
            <w:tcBorders>
              <w:top w:val="single" w:sz="6" w:space="0" w:color="000000"/>
              <w:left w:val="single" w:sz="6" w:space="0" w:color="000000"/>
              <w:bottom w:val="single" w:sz="6" w:space="0" w:color="000000"/>
              <w:right w:val="single" w:sz="6" w:space="0" w:color="000000"/>
            </w:tcBorders>
          </w:tcPr>
          <w:p w14:paraId="2CED2D07" w14:textId="77777777" w:rsidR="00F859C7" w:rsidRPr="00F36DFC" w:rsidRDefault="00F859C7">
            <w:pPr>
              <w:ind w:left="57"/>
              <w:rPr>
                <w:rFonts w:ascii="Times New Roman" w:hAnsi="Times New Roman" w:cs="Times New Roman"/>
                <w:sz w:val="22"/>
              </w:rPr>
            </w:pPr>
          </w:p>
        </w:tc>
        <w:tc>
          <w:tcPr>
            <w:tcW w:w="1203" w:type="pct"/>
            <w:tcBorders>
              <w:top w:val="single" w:sz="6" w:space="0" w:color="000000"/>
              <w:left w:val="single" w:sz="6" w:space="0" w:color="000000"/>
              <w:bottom w:val="single" w:sz="6" w:space="0" w:color="000000"/>
              <w:right w:val="single" w:sz="8" w:space="0" w:color="000000"/>
            </w:tcBorders>
          </w:tcPr>
          <w:p w14:paraId="21E520AA" w14:textId="77777777" w:rsidR="00F859C7" w:rsidRPr="00F36DFC" w:rsidRDefault="00F859C7">
            <w:pPr>
              <w:ind w:left="57"/>
              <w:rPr>
                <w:rFonts w:ascii="Times New Roman" w:hAnsi="Times New Roman" w:cs="Times New Roman"/>
                <w:sz w:val="22"/>
              </w:rPr>
            </w:pPr>
          </w:p>
        </w:tc>
        <w:tc>
          <w:tcPr>
            <w:tcW w:w="726" w:type="pct"/>
            <w:tcBorders>
              <w:top w:val="single" w:sz="6" w:space="0" w:color="000000"/>
              <w:left w:val="single" w:sz="8" w:space="0" w:color="000000"/>
              <w:bottom w:val="single" w:sz="6" w:space="0" w:color="000000"/>
              <w:right w:val="single" w:sz="6" w:space="0" w:color="000000"/>
            </w:tcBorders>
          </w:tcPr>
          <w:p w14:paraId="6E22D94B" w14:textId="77777777" w:rsidR="00F859C7" w:rsidRPr="00F36DFC" w:rsidRDefault="00F859C7">
            <w:pPr>
              <w:ind w:left="57"/>
              <w:rPr>
                <w:rFonts w:ascii="Times New Roman" w:hAnsi="Times New Roman" w:cs="Times New Roman"/>
                <w:sz w:val="22"/>
              </w:rPr>
            </w:pPr>
          </w:p>
        </w:tc>
        <w:tc>
          <w:tcPr>
            <w:tcW w:w="1005" w:type="pct"/>
            <w:tcBorders>
              <w:top w:val="single" w:sz="6" w:space="0" w:color="000000"/>
              <w:left w:val="single" w:sz="6" w:space="0" w:color="000000"/>
              <w:bottom w:val="single" w:sz="6" w:space="0" w:color="000000"/>
              <w:right w:val="single" w:sz="6" w:space="0" w:color="000000"/>
            </w:tcBorders>
            <w:hideMark/>
          </w:tcPr>
          <w:p w14:paraId="49F713A6" w14:textId="77777777" w:rsidR="00F859C7" w:rsidRPr="00F36DFC" w:rsidRDefault="00F859C7">
            <w:pPr>
              <w:widowControl/>
              <w:ind w:left="57"/>
              <w:rPr>
                <w:rFonts w:ascii="Times New Roman" w:hAnsi="Times New Roman" w:cs="Times New Roman"/>
                <w:sz w:val="22"/>
                <w:lang w:val="da-DK"/>
              </w:rPr>
            </w:pPr>
            <w:r w:rsidRPr="00F36DFC">
              <w:rPr>
                <w:rFonts w:ascii="Times New Roman" w:hAnsi="Times New Roman" w:cs="Times New Roman"/>
                <w:sz w:val="22"/>
                <w:lang w:val="da-DK"/>
              </w:rPr>
              <w:t>Dyspnø</w:t>
            </w:r>
          </w:p>
          <w:p w14:paraId="26B99575" w14:textId="77777777" w:rsidR="00F859C7" w:rsidRPr="00F36DFC" w:rsidRDefault="00F859C7">
            <w:pPr>
              <w:widowControl/>
              <w:ind w:left="57"/>
              <w:rPr>
                <w:rFonts w:ascii="Times New Roman" w:hAnsi="Times New Roman" w:cs="Times New Roman"/>
                <w:sz w:val="22"/>
                <w:lang w:val="da-DK"/>
              </w:rPr>
            </w:pPr>
            <w:r w:rsidRPr="00F36DFC">
              <w:rPr>
                <w:rFonts w:ascii="Times New Roman" w:hAnsi="Times New Roman" w:cs="Times New Roman"/>
                <w:sz w:val="22"/>
                <w:lang w:val="da-DK"/>
              </w:rPr>
              <w:t>Aspirationspneumoni</w:t>
            </w:r>
          </w:p>
          <w:p w14:paraId="38A76E4A" w14:textId="77777777" w:rsidR="00F859C7" w:rsidRPr="00F36DFC" w:rsidRDefault="00F859C7">
            <w:pPr>
              <w:widowControl/>
              <w:ind w:left="57"/>
              <w:rPr>
                <w:rFonts w:ascii="Times New Roman" w:hAnsi="Times New Roman" w:cs="Times New Roman"/>
                <w:sz w:val="22"/>
                <w:lang w:val="da-DK"/>
              </w:rPr>
            </w:pPr>
            <w:r w:rsidRPr="00F36DFC">
              <w:rPr>
                <w:rFonts w:ascii="Times New Roman" w:hAnsi="Times New Roman" w:cs="Times New Roman"/>
                <w:sz w:val="22"/>
                <w:lang w:val="da-DK"/>
              </w:rPr>
              <w:t>Respirationsforstyrrelser</w:t>
            </w:r>
          </w:p>
          <w:p w14:paraId="0A3EDCFC" w14:textId="77777777" w:rsidR="00F859C7" w:rsidRPr="00F36DFC" w:rsidRDefault="00F859C7">
            <w:pPr>
              <w:widowControl/>
              <w:ind w:left="57"/>
              <w:rPr>
                <w:rFonts w:ascii="Times New Roman" w:hAnsi="Times New Roman" w:cs="Times New Roman"/>
                <w:sz w:val="22"/>
                <w:lang w:val="da-DK"/>
              </w:rPr>
            </w:pPr>
            <w:r w:rsidRPr="00F36DFC">
              <w:rPr>
                <w:rFonts w:ascii="Times New Roman" w:hAnsi="Times New Roman" w:cs="Times New Roman"/>
                <w:sz w:val="22"/>
                <w:lang w:val="da-DK"/>
              </w:rPr>
              <w:t>Pneumonitis af overfølsomhedstypen</w:t>
            </w:r>
          </w:p>
        </w:tc>
      </w:tr>
      <w:tr w:rsidR="00F859C7" w:rsidRPr="00F36DFC" w14:paraId="1FAAF5BD" w14:textId="77777777" w:rsidTr="00F36DFC">
        <w:trPr>
          <w:trHeight w:val="20"/>
        </w:trPr>
        <w:tc>
          <w:tcPr>
            <w:tcW w:w="1192" w:type="pct"/>
            <w:tcBorders>
              <w:top w:val="single" w:sz="6" w:space="0" w:color="000000"/>
              <w:left w:val="single" w:sz="6" w:space="0" w:color="000000"/>
              <w:bottom w:val="single" w:sz="6" w:space="0" w:color="000000"/>
              <w:right w:val="single" w:sz="6" w:space="0" w:color="000000"/>
            </w:tcBorders>
            <w:hideMark/>
          </w:tcPr>
          <w:p w14:paraId="12D38358" w14:textId="77777777" w:rsidR="00F859C7" w:rsidRPr="00F36DFC" w:rsidRDefault="00F859C7">
            <w:pPr>
              <w:widowControl/>
              <w:ind w:left="57"/>
              <w:rPr>
                <w:rFonts w:ascii="Times New Roman" w:hAnsi="Times New Roman" w:cs="Times New Roman"/>
                <w:b/>
                <w:sz w:val="22"/>
                <w:lang w:val="en-GB"/>
              </w:rPr>
            </w:pPr>
            <w:proofErr w:type="spellStart"/>
            <w:r w:rsidRPr="00F36DFC">
              <w:rPr>
                <w:rFonts w:ascii="Times New Roman" w:hAnsi="Times New Roman" w:cs="Times New Roman"/>
                <w:b/>
                <w:bCs/>
                <w:sz w:val="22"/>
                <w:lang w:val="da-DK"/>
              </w:rPr>
              <w:t>Mave-tarmkanalen</w:t>
            </w:r>
            <w:proofErr w:type="spellEnd"/>
          </w:p>
        </w:tc>
        <w:tc>
          <w:tcPr>
            <w:tcW w:w="874" w:type="pct"/>
            <w:tcBorders>
              <w:top w:val="single" w:sz="6" w:space="0" w:color="000000"/>
              <w:left w:val="single" w:sz="6" w:space="0" w:color="000000"/>
              <w:bottom w:val="single" w:sz="6" w:space="0" w:color="000000"/>
              <w:right w:val="single" w:sz="6" w:space="0" w:color="000000"/>
            </w:tcBorders>
          </w:tcPr>
          <w:p w14:paraId="57628ADA" w14:textId="77777777" w:rsidR="00F859C7" w:rsidRPr="00F36DFC" w:rsidRDefault="00F859C7">
            <w:pPr>
              <w:ind w:left="57"/>
              <w:rPr>
                <w:rFonts w:ascii="Times New Roman" w:hAnsi="Times New Roman" w:cs="Times New Roman"/>
                <w:sz w:val="22"/>
              </w:rPr>
            </w:pPr>
          </w:p>
        </w:tc>
        <w:tc>
          <w:tcPr>
            <w:tcW w:w="1203" w:type="pct"/>
            <w:tcBorders>
              <w:top w:val="single" w:sz="6" w:space="0" w:color="000000"/>
              <w:left w:val="single" w:sz="6" w:space="0" w:color="000000"/>
              <w:bottom w:val="single" w:sz="6" w:space="0" w:color="000000"/>
              <w:right w:val="single" w:sz="8" w:space="0" w:color="000000"/>
            </w:tcBorders>
            <w:hideMark/>
          </w:tcPr>
          <w:p w14:paraId="7A75BCC3" w14:textId="77777777" w:rsidR="00F859C7" w:rsidRPr="00F36DFC" w:rsidRDefault="00F859C7">
            <w:pPr>
              <w:widowControl/>
              <w:ind w:left="57"/>
              <w:rPr>
                <w:rFonts w:ascii="Times New Roman" w:hAnsi="Times New Roman" w:cs="Times New Roman"/>
                <w:sz w:val="22"/>
                <w:lang w:val="da-DK"/>
              </w:rPr>
            </w:pPr>
            <w:proofErr w:type="spellStart"/>
            <w:r w:rsidRPr="00F36DFC">
              <w:rPr>
                <w:rFonts w:ascii="Times New Roman" w:hAnsi="Times New Roman" w:cs="Times New Roman"/>
                <w:sz w:val="22"/>
                <w:lang w:val="da-DK"/>
              </w:rPr>
              <w:t>Abdominalsmerter</w:t>
            </w:r>
            <w:proofErr w:type="spellEnd"/>
          </w:p>
          <w:p w14:paraId="11D77071" w14:textId="77777777" w:rsidR="00F859C7" w:rsidRPr="00F36DFC" w:rsidRDefault="00F859C7">
            <w:pPr>
              <w:widowControl/>
              <w:ind w:left="57"/>
              <w:rPr>
                <w:rFonts w:ascii="Times New Roman" w:hAnsi="Times New Roman" w:cs="Times New Roman"/>
                <w:sz w:val="22"/>
                <w:lang w:val="da-DK"/>
              </w:rPr>
            </w:pPr>
            <w:r w:rsidRPr="00F36DFC">
              <w:rPr>
                <w:rFonts w:ascii="Times New Roman" w:hAnsi="Times New Roman" w:cs="Times New Roman"/>
                <w:sz w:val="22"/>
                <w:lang w:val="da-DK"/>
              </w:rPr>
              <w:t>Obstipation</w:t>
            </w:r>
          </w:p>
          <w:p w14:paraId="11014C3C" w14:textId="77777777" w:rsidR="00F859C7" w:rsidRPr="00F36DFC" w:rsidRDefault="00F859C7">
            <w:pPr>
              <w:widowControl/>
              <w:ind w:left="57"/>
              <w:rPr>
                <w:rFonts w:ascii="Times New Roman" w:hAnsi="Times New Roman" w:cs="Times New Roman"/>
                <w:sz w:val="22"/>
                <w:lang w:val="da-DK"/>
              </w:rPr>
            </w:pPr>
            <w:r w:rsidRPr="00F36DFC">
              <w:rPr>
                <w:rFonts w:ascii="Times New Roman" w:hAnsi="Times New Roman" w:cs="Times New Roman"/>
                <w:sz w:val="22"/>
                <w:lang w:val="da-DK"/>
              </w:rPr>
              <w:t>Diarré</w:t>
            </w:r>
          </w:p>
          <w:p w14:paraId="79D66193" w14:textId="77777777" w:rsidR="00F859C7" w:rsidRPr="00F36DFC" w:rsidRDefault="00F859C7">
            <w:pPr>
              <w:widowControl/>
              <w:ind w:left="57"/>
              <w:rPr>
                <w:rFonts w:ascii="Times New Roman" w:hAnsi="Times New Roman" w:cs="Times New Roman"/>
                <w:sz w:val="22"/>
                <w:lang w:val="da-DK"/>
              </w:rPr>
            </w:pPr>
            <w:r w:rsidRPr="00F36DFC">
              <w:rPr>
                <w:rFonts w:ascii="Times New Roman" w:hAnsi="Times New Roman" w:cs="Times New Roman"/>
                <w:sz w:val="22"/>
                <w:lang w:val="da-DK"/>
              </w:rPr>
              <w:t>Dyspepsi</w:t>
            </w:r>
          </w:p>
          <w:p w14:paraId="306A450E" w14:textId="77777777" w:rsidR="00F859C7" w:rsidRPr="00F36DFC" w:rsidRDefault="00F859C7">
            <w:pPr>
              <w:widowControl/>
              <w:ind w:left="57"/>
              <w:rPr>
                <w:rFonts w:ascii="Times New Roman" w:hAnsi="Times New Roman" w:cs="Times New Roman"/>
                <w:sz w:val="22"/>
                <w:lang w:val="da-DK"/>
              </w:rPr>
            </w:pPr>
            <w:r w:rsidRPr="00F36DFC">
              <w:rPr>
                <w:rFonts w:ascii="Times New Roman" w:hAnsi="Times New Roman" w:cs="Times New Roman"/>
                <w:sz w:val="22"/>
                <w:lang w:val="da-DK"/>
              </w:rPr>
              <w:t>Kvalme</w:t>
            </w:r>
          </w:p>
        </w:tc>
        <w:tc>
          <w:tcPr>
            <w:tcW w:w="726" w:type="pct"/>
            <w:tcBorders>
              <w:top w:val="single" w:sz="6" w:space="0" w:color="000000"/>
              <w:left w:val="single" w:sz="8" w:space="0" w:color="000000"/>
              <w:bottom w:val="single" w:sz="6" w:space="0" w:color="000000"/>
              <w:right w:val="single" w:sz="6" w:space="0" w:color="000000"/>
            </w:tcBorders>
            <w:hideMark/>
          </w:tcPr>
          <w:p w14:paraId="77E7FF47" w14:textId="77777777" w:rsidR="00F859C7" w:rsidRPr="00F36DFC" w:rsidRDefault="00F859C7">
            <w:pPr>
              <w:widowControl/>
              <w:ind w:left="57"/>
              <w:rPr>
                <w:rFonts w:ascii="Times New Roman" w:hAnsi="Times New Roman" w:cs="Times New Roman"/>
                <w:sz w:val="22"/>
                <w:lang w:val="en-GB"/>
              </w:rPr>
            </w:pPr>
            <w:r w:rsidRPr="00F36DFC">
              <w:rPr>
                <w:rFonts w:ascii="Times New Roman" w:hAnsi="Times New Roman" w:cs="Times New Roman"/>
                <w:sz w:val="22"/>
                <w:lang w:val="da-DK"/>
              </w:rPr>
              <w:t>Opkastning</w:t>
            </w:r>
          </w:p>
        </w:tc>
        <w:tc>
          <w:tcPr>
            <w:tcW w:w="1005" w:type="pct"/>
            <w:tcBorders>
              <w:top w:val="single" w:sz="6" w:space="0" w:color="000000"/>
              <w:left w:val="single" w:sz="6" w:space="0" w:color="000000"/>
              <w:bottom w:val="single" w:sz="6" w:space="0" w:color="000000"/>
              <w:right w:val="single" w:sz="6" w:space="0" w:color="000000"/>
            </w:tcBorders>
            <w:hideMark/>
          </w:tcPr>
          <w:p w14:paraId="1A3934CA" w14:textId="77777777" w:rsidR="00F859C7" w:rsidRPr="00F36DFC" w:rsidRDefault="00F859C7">
            <w:pPr>
              <w:widowControl/>
              <w:ind w:left="57"/>
              <w:rPr>
                <w:rFonts w:ascii="Times New Roman" w:hAnsi="Times New Roman" w:cs="Times New Roman"/>
                <w:sz w:val="22"/>
              </w:rPr>
            </w:pPr>
            <w:proofErr w:type="spellStart"/>
            <w:r w:rsidRPr="00F36DFC">
              <w:rPr>
                <w:rFonts w:ascii="Times New Roman" w:hAnsi="Times New Roman" w:cs="Times New Roman"/>
                <w:sz w:val="22"/>
                <w:lang w:val="da-DK"/>
              </w:rPr>
              <w:t>Pancreatitis</w:t>
            </w:r>
            <w:proofErr w:type="spellEnd"/>
          </w:p>
        </w:tc>
      </w:tr>
      <w:tr w:rsidR="00F859C7" w:rsidRPr="00F36DFC" w14:paraId="395D9992" w14:textId="77777777" w:rsidTr="00F36DFC">
        <w:trPr>
          <w:trHeight w:val="20"/>
        </w:trPr>
        <w:tc>
          <w:tcPr>
            <w:tcW w:w="1192" w:type="pct"/>
            <w:tcBorders>
              <w:top w:val="single" w:sz="6" w:space="0" w:color="000000"/>
              <w:left w:val="single" w:sz="6" w:space="0" w:color="000000"/>
              <w:bottom w:val="single" w:sz="6" w:space="0" w:color="000000"/>
              <w:right w:val="single" w:sz="6" w:space="0" w:color="000000"/>
            </w:tcBorders>
            <w:hideMark/>
          </w:tcPr>
          <w:p w14:paraId="7CA20AA7" w14:textId="77777777" w:rsidR="00F859C7" w:rsidRPr="00F36DFC" w:rsidRDefault="00F859C7">
            <w:pPr>
              <w:widowControl/>
              <w:ind w:left="57"/>
              <w:rPr>
                <w:rFonts w:ascii="Times New Roman" w:hAnsi="Times New Roman" w:cs="Times New Roman"/>
                <w:b/>
                <w:sz w:val="22"/>
              </w:rPr>
            </w:pPr>
            <w:r w:rsidRPr="00F36DFC">
              <w:rPr>
                <w:rFonts w:ascii="Times New Roman" w:hAnsi="Times New Roman" w:cs="Times New Roman"/>
                <w:b/>
                <w:bCs/>
                <w:sz w:val="22"/>
                <w:lang w:val="da-DK"/>
              </w:rPr>
              <w:t>Lever og galdeveje</w:t>
            </w:r>
          </w:p>
        </w:tc>
        <w:tc>
          <w:tcPr>
            <w:tcW w:w="874" w:type="pct"/>
            <w:tcBorders>
              <w:top w:val="single" w:sz="6" w:space="0" w:color="000000"/>
              <w:left w:val="single" w:sz="6" w:space="0" w:color="000000"/>
              <w:bottom w:val="single" w:sz="6" w:space="0" w:color="000000"/>
              <w:right w:val="single" w:sz="6" w:space="0" w:color="000000"/>
            </w:tcBorders>
          </w:tcPr>
          <w:p w14:paraId="6F7FB54E" w14:textId="77777777" w:rsidR="00F859C7" w:rsidRPr="00F36DFC" w:rsidRDefault="00F859C7">
            <w:pPr>
              <w:ind w:left="57"/>
              <w:rPr>
                <w:rFonts w:ascii="Times New Roman" w:hAnsi="Times New Roman" w:cs="Times New Roman"/>
                <w:sz w:val="22"/>
              </w:rPr>
            </w:pPr>
          </w:p>
        </w:tc>
        <w:tc>
          <w:tcPr>
            <w:tcW w:w="1203" w:type="pct"/>
            <w:tcBorders>
              <w:top w:val="single" w:sz="6" w:space="0" w:color="000000"/>
              <w:left w:val="single" w:sz="6" w:space="0" w:color="000000"/>
              <w:bottom w:val="single" w:sz="6" w:space="0" w:color="000000"/>
              <w:right w:val="single" w:sz="8" w:space="0" w:color="000000"/>
            </w:tcBorders>
          </w:tcPr>
          <w:p w14:paraId="115B6F4B" w14:textId="77777777" w:rsidR="00F859C7" w:rsidRPr="00F36DFC" w:rsidRDefault="00F859C7">
            <w:pPr>
              <w:ind w:left="57"/>
              <w:rPr>
                <w:rFonts w:ascii="Times New Roman" w:hAnsi="Times New Roman" w:cs="Times New Roman"/>
                <w:sz w:val="22"/>
              </w:rPr>
            </w:pPr>
          </w:p>
        </w:tc>
        <w:tc>
          <w:tcPr>
            <w:tcW w:w="726" w:type="pct"/>
            <w:tcBorders>
              <w:top w:val="single" w:sz="6" w:space="0" w:color="000000"/>
              <w:left w:val="single" w:sz="8" w:space="0" w:color="000000"/>
              <w:bottom w:val="single" w:sz="6" w:space="0" w:color="000000"/>
              <w:right w:val="single" w:sz="6" w:space="0" w:color="000000"/>
            </w:tcBorders>
            <w:hideMark/>
          </w:tcPr>
          <w:p w14:paraId="7BC950C2" w14:textId="77777777" w:rsidR="00F859C7" w:rsidRPr="00F36DFC" w:rsidRDefault="00F859C7">
            <w:pPr>
              <w:widowControl/>
              <w:ind w:left="57"/>
              <w:rPr>
                <w:rFonts w:ascii="Times New Roman" w:hAnsi="Times New Roman" w:cs="Times New Roman"/>
                <w:sz w:val="22"/>
              </w:rPr>
            </w:pPr>
            <w:proofErr w:type="spellStart"/>
            <w:r w:rsidRPr="00F36DFC">
              <w:rPr>
                <w:rFonts w:ascii="Times New Roman" w:hAnsi="Times New Roman" w:cs="Times New Roman"/>
                <w:sz w:val="22"/>
                <w:lang w:val="da-DK"/>
              </w:rPr>
              <w:t>Cholecystitis</w:t>
            </w:r>
            <w:proofErr w:type="spellEnd"/>
          </w:p>
          <w:p w14:paraId="752C0B60" w14:textId="77777777" w:rsidR="00F859C7" w:rsidRPr="00F36DFC" w:rsidRDefault="00F859C7">
            <w:pPr>
              <w:widowControl/>
              <w:ind w:left="57"/>
              <w:rPr>
                <w:rFonts w:ascii="Times New Roman" w:hAnsi="Times New Roman" w:cs="Times New Roman"/>
                <w:sz w:val="22"/>
              </w:rPr>
            </w:pPr>
            <w:proofErr w:type="spellStart"/>
            <w:r w:rsidRPr="00F36DFC">
              <w:rPr>
                <w:rFonts w:ascii="Times New Roman" w:hAnsi="Times New Roman" w:cs="Times New Roman"/>
                <w:sz w:val="22"/>
                <w:lang w:val="da-DK"/>
              </w:rPr>
              <w:t>Cholelithiasis</w:t>
            </w:r>
            <w:proofErr w:type="spellEnd"/>
          </w:p>
        </w:tc>
        <w:tc>
          <w:tcPr>
            <w:tcW w:w="1005" w:type="pct"/>
            <w:tcBorders>
              <w:top w:val="single" w:sz="6" w:space="0" w:color="000000"/>
              <w:left w:val="single" w:sz="6" w:space="0" w:color="000000"/>
              <w:bottom w:val="single" w:sz="6" w:space="0" w:color="000000"/>
              <w:right w:val="single" w:sz="6" w:space="0" w:color="000000"/>
            </w:tcBorders>
            <w:hideMark/>
          </w:tcPr>
          <w:p w14:paraId="35BD471B" w14:textId="77777777" w:rsidR="00F859C7" w:rsidRPr="00F36DFC" w:rsidRDefault="00F859C7">
            <w:pPr>
              <w:widowControl/>
              <w:ind w:left="57"/>
              <w:rPr>
                <w:rFonts w:ascii="Times New Roman" w:hAnsi="Times New Roman" w:cs="Times New Roman"/>
                <w:sz w:val="22"/>
              </w:rPr>
            </w:pPr>
            <w:r w:rsidRPr="00F36DFC">
              <w:rPr>
                <w:rFonts w:ascii="Times New Roman" w:hAnsi="Times New Roman" w:cs="Times New Roman"/>
                <w:sz w:val="22"/>
                <w:lang w:val="da-DK"/>
              </w:rPr>
              <w:t>Levercelleskade</w:t>
            </w:r>
          </w:p>
        </w:tc>
      </w:tr>
      <w:tr w:rsidR="00F859C7" w:rsidRPr="00F36DFC" w14:paraId="1FF077A0" w14:textId="77777777" w:rsidTr="00F36DFC">
        <w:trPr>
          <w:trHeight w:val="20"/>
        </w:trPr>
        <w:tc>
          <w:tcPr>
            <w:tcW w:w="1192" w:type="pct"/>
            <w:tcBorders>
              <w:top w:val="single" w:sz="6" w:space="0" w:color="000000"/>
              <w:left w:val="single" w:sz="6" w:space="0" w:color="000000"/>
              <w:bottom w:val="single" w:sz="6" w:space="0" w:color="000000"/>
              <w:right w:val="single" w:sz="6" w:space="0" w:color="000000"/>
            </w:tcBorders>
            <w:hideMark/>
          </w:tcPr>
          <w:p w14:paraId="56D949CF" w14:textId="77777777" w:rsidR="00F859C7" w:rsidRPr="00F36DFC" w:rsidRDefault="00F859C7">
            <w:pPr>
              <w:widowControl/>
              <w:ind w:left="57"/>
              <w:rPr>
                <w:rFonts w:ascii="Times New Roman" w:hAnsi="Times New Roman" w:cs="Times New Roman"/>
                <w:b/>
                <w:sz w:val="22"/>
              </w:rPr>
            </w:pPr>
            <w:r w:rsidRPr="00F36DFC">
              <w:rPr>
                <w:rFonts w:ascii="Times New Roman" w:hAnsi="Times New Roman" w:cs="Times New Roman"/>
                <w:b/>
                <w:bCs/>
                <w:sz w:val="22"/>
                <w:lang w:val="da-DK"/>
              </w:rPr>
              <w:t>Hud og subkutane væv</w:t>
            </w:r>
          </w:p>
        </w:tc>
        <w:tc>
          <w:tcPr>
            <w:tcW w:w="874" w:type="pct"/>
            <w:tcBorders>
              <w:top w:val="single" w:sz="6" w:space="0" w:color="000000"/>
              <w:left w:val="single" w:sz="6" w:space="0" w:color="000000"/>
              <w:bottom w:val="single" w:sz="6" w:space="0" w:color="000000"/>
              <w:right w:val="single" w:sz="6" w:space="0" w:color="000000"/>
            </w:tcBorders>
          </w:tcPr>
          <w:p w14:paraId="68F166E2" w14:textId="77777777" w:rsidR="00F859C7" w:rsidRPr="00F36DFC" w:rsidRDefault="00F859C7">
            <w:pPr>
              <w:ind w:left="57"/>
              <w:rPr>
                <w:rFonts w:ascii="Times New Roman" w:hAnsi="Times New Roman" w:cs="Times New Roman"/>
                <w:sz w:val="22"/>
              </w:rPr>
            </w:pPr>
          </w:p>
        </w:tc>
        <w:tc>
          <w:tcPr>
            <w:tcW w:w="1203" w:type="pct"/>
            <w:tcBorders>
              <w:top w:val="single" w:sz="6" w:space="0" w:color="000000"/>
              <w:left w:val="single" w:sz="6" w:space="0" w:color="000000"/>
              <w:bottom w:val="single" w:sz="6" w:space="0" w:color="000000"/>
              <w:right w:val="single" w:sz="8" w:space="0" w:color="000000"/>
            </w:tcBorders>
            <w:hideMark/>
          </w:tcPr>
          <w:p w14:paraId="1004E065" w14:textId="77777777" w:rsidR="00F859C7" w:rsidRPr="00F36DFC" w:rsidRDefault="00F859C7">
            <w:pPr>
              <w:widowControl/>
              <w:ind w:left="57"/>
              <w:rPr>
                <w:rFonts w:ascii="Times New Roman" w:hAnsi="Times New Roman" w:cs="Times New Roman"/>
                <w:sz w:val="22"/>
              </w:rPr>
            </w:pPr>
            <w:r w:rsidRPr="00F36DFC">
              <w:rPr>
                <w:rFonts w:ascii="Times New Roman" w:hAnsi="Times New Roman" w:cs="Times New Roman"/>
                <w:sz w:val="22"/>
                <w:lang w:val="da-DK"/>
              </w:rPr>
              <w:t>Udslæt</w:t>
            </w:r>
          </w:p>
          <w:p w14:paraId="26213293" w14:textId="77777777" w:rsidR="00F859C7" w:rsidRPr="00F36DFC" w:rsidRDefault="00F859C7">
            <w:pPr>
              <w:widowControl/>
              <w:ind w:left="57"/>
              <w:rPr>
                <w:rFonts w:ascii="Times New Roman" w:hAnsi="Times New Roman" w:cs="Times New Roman"/>
                <w:sz w:val="22"/>
              </w:rPr>
            </w:pPr>
            <w:proofErr w:type="spellStart"/>
            <w:r w:rsidRPr="00F36DFC">
              <w:rPr>
                <w:rFonts w:ascii="Times New Roman" w:hAnsi="Times New Roman" w:cs="Times New Roman"/>
                <w:sz w:val="22"/>
                <w:lang w:val="da-DK"/>
              </w:rPr>
              <w:t>Pruritus</w:t>
            </w:r>
            <w:proofErr w:type="spellEnd"/>
          </w:p>
          <w:p w14:paraId="629DE780" w14:textId="77777777" w:rsidR="00F859C7" w:rsidRPr="00F36DFC" w:rsidRDefault="00F859C7">
            <w:pPr>
              <w:widowControl/>
              <w:ind w:left="57"/>
              <w:rPr>
                <w:rFonts w:ascii="Times New Roman" w:hAnsi="Times New Roman" w:cs="Times New Roman"/>
                <w:sz w:val="22"/>
              </w:rPr>
            </w:pPr>
            <w:proofErr w:type="spellStart"/>
            <w:r w:rsidRPr="00F36DFC">
              <w:rPr>
                <w:rFonts w:ascii="Times New Roman" w:hAnsi="Times New Roman" w:cs="Times New Roman"/>
                <w:sz w:val="22"/>
                <w:lang w:val="da-DK"/>
              </w:rPr>
              <w:t>Alopeci</w:t>
            </w:r>
            <w:proofErr w:type="spellEnd"/>
          </w:p>
        </w:tc>
        <w:tc>
          <w:tcPr>
            <w:tcW w:w="726" w:type="pct"/>
            <w:tcBorders>
              <w:top w:val="single" w:sz="6" w:space="0" w:color="000000"/>
              <w:left w:val="single" w:sz="8" w:space="0" w:color="000000"/>
              <w:bottom w:val="single" w:sz="6" w:space="0" w:color="000000"/>
              <w:right w:val="single" w:sz="6" w:space="0" w:color="000000"/>
            </w:tcBorders>
          </w:tcPr>
          <w:p w14:paraId="5EC6F8E2" w14:textId="77777777" w:rsidR="00F859C7" w:rsidRPr="00F36DFC" w:rsidRDefault="00F859C7">
            <w:pPr>
              <w:ind w:left="57"/>
              <w:rPr>
                <w:rFonts w:ascii="Times New Roman" w:hAnsi="Times New Roman" w:cs="Times New Roman"/>
                <w:sz w:val="22"/>
              </w:rPr>
            </w:pPr>
          </w:p>
        </w:tc>
        <w:tc>
          <w:tcPr>
            <w:tcW w:w="1005" w:type="pct"/>
            <w:tcBorders>
              <w:top w:val="single" w:sz="6" w:space="0" w:color="000000"/>
              <w:left w:val="single" w:sz="6" w:space="0" w:color="000000"/>
              <w:bottom w:val="single" w:sz="6" w:space="0" w:color="000000"/>
              <w:right w:val="single" w:sz="6" w:space="0" w:color="000000"/>
            </w:tcBorders>
            <w:hideMark/>
          </w:tcPr>
          <w:p w14:paraId="1246D8B6" w14:textId="77777777" w:rsidR="00F859C7" w:rsidRPr="00F36DFC" w:rsidRDefault="00F859C7">
            <w:pPr>
              <w:widowControl/>
              <w:ind w:left="57"/>
              <w:rPr>
                <w:rFonts w:ascii="Times New Roman" w:hAnsi="Times New Roman" w:cs="Times New Roman"/>
                <w:sz w:val="22"/>
                <w:lang w:val="da-DK"/>
              </w:rPr>
            </w:pPr>
            <w:proofErr w:type="spellStart"/>
            <w:r w:rsidRPr="00F36DFC">
              <w:rPr>
                <w:rFonts w:ascii="Times New Roman" w:hAnsi="Times New Roman" w:cs="Times New Roman"/>
                <w:sz w:val="22"/>
                <w:lang w:val="da-DK"/>
              </w:rPr>
              <w:t>Anhidrose</w:t>
            </w:r>
            <w:proofErr w:type="spellEnd"/>
          </w:p>
          <w:p w14:paraId="42F47317" w14:textId="77777777" w:rsidR="00F859C7" w:rsidRPr="00F36DFC" w:rsidRDefault="00F859C7">
            <w:pPr>
              <w:widowControl/>
              <w:ind w:left="57"/>
              <w:rPr>
                <w:rFonts w:ascii="Times New Roman" w:hAnsi="Times New Roman" w:cs="Times New Roman"/>
                <w:sz w:val="22"/>
                <w:lang w:val="da-DK"/>
              </w:rPr>
            </w:pPr>
            <w:proofErr w:type="spellStart"/>
            <w:r w:rsidRPr="00F36DFC">
              <w:rPr>
                <w:rFonts w:ascii="Times New Roman" w:hAnsi="Times New Roman" w:cs="Times New Roman"/>
                <w:sz w:val="22"/>
                <w:lang w:val="da-DK"/>
              </w:rPr>
              <w:t>Erythema</w:t>
            </w:r>
            <w:proofErr w:type="spellEnd"/>
            <w:r w:rsidRPr="00F36DFC">
              <w:rPr>
                <w:rFonts w:ascii="Times New Roman" w:hAnsi="Times New Roman" w:cs="Times New Roman"/>
                <w:sz w:val="22"/>
                <w:lang w:val="da-DK"/>
              </w:rPr>
              <w:t xml:space="preserve"> multiforme</w:t>
            </w:r>
          </w:p>
          <w:p w14:paraId="36F0234E" w14:textId="77777777" w:rsidR="00F859C7" w:rsidRPr="00F36DFC" w:rsidRDefault="00F859C7">
            <w:pPr>
              <w:widowControl/>
              <w:ind w:left="57"/>
              <w:rPr>
                <w:rFonts w:ascii="Times New Roman" w:hAnsi="Times New Roman" w:cs="Times New Roman"/>
                <w:sz w:val="22"/>
                <w:lang w:val="da-DK"/>
              </w:rPr>
            </w:pPr>
            <w:r w:rsidRPr="00F36DFC">
              <w:rPr>
                <w:rFonts w:ascii="Times New Roman" w:hAnsi="Times New Roman" w:cs="Times New Roman"/>
                <w:sz w:val="22"/>
                <w:lang w:val="da-DK"/>
              </w:rPr>
              <w:t>Stevens-Johnsons syndrom</w:t>
            </w:r>
          </w:p>
          <w:p w14:paraId="35873B08" w14:textId="77777777" w:rsidR="00F859C7" w:rsidRPr="00F36DFC" w:rsidRDefault="00F859C7">
            <w:pPr>
              <w:widowControl/>
              <w:ind w:left="57"/>
              <w:rPr>
                <w:rFonts w:ascii="Times New Roman" w:hAnsi="Times New Roman" w:cs="Times New Roman"/>
                <w:sz w:val="22"/>
                <w:lang w:val="da-DK"/>
              </w:rPr>
            </w:pPr>
            <w:r w:rsidRPr="00F36DFC">
              <w:rPr>
                <w:rFonts w:ascii="Times New Roman" w:hAnsi="Times New Roman" w:cs="Times New Roman"/>
                <w:sz w:val="22"/>
                <w:lang w:val="da-DK"/>
              </w:rPr>
              <w:t xml:space="preserve">Toksisk </w:t>
            </w:r>
            <w:proofErr w:type="spellStart"/>
            <w:r w:rsidRPr="00F36DFC">
              <w:rPr>
                <w:rFonts w:ascii="Times New Roman" w:hAnsi="Times New Roman" w:cs="Times New Roman"/>
                <w:sz w:val="22"/>
                <w:lang w:val="da-DK"/>
              </w:rPr>
              <w:t>epidermal</w:t>
            </w:r>
            <w:proofErr w:type="spellEnd"/>
            <w:r w:rsidRPr="00F36DFC">
              <w:rPr>
                <w:rFonts w:ascii="Times New Roman" w:hAnsi="Times New Roman" w:cs="Times New Roman"/>
                <w:sz w:val="22"/>
                <w:lang w:val="da-DK"/>
              </w:rPr>
              <w:t xml:space="preserve"> </w:t>
            </w:r>
            <w:proofErr w:type="spellStart"/>
            <w:r w:rsidRPr="00F36DFC">
              <w:rPr>
                <w:rFonts w:ascii="Times New Roman" w:hAnsi="Times New Roman" w:cs="Times New Roman"/>
                <w:sz w:val="22"/>
                <w:lang w:val="da-DK"/>
              </w:rPr>
              <w:t>nekrolyse</w:t>
            </w:r>
            <w:proofErr w:type="spellEnd"/>
          </w:p>
        </w:tc>
      </w:tr>
      <w:tr w:rsidR="00F859C7" w:rsidRPr="00F36DFC" w14:paraId="3BA00567" w14:textId="77777777" w:rsidTr="00F36DFC">
        <w:trPr>
          <w:trHeight w:val="20"/>
        </w:trPr>
        <w:tc>
          <w:tcPr>
            <w:tcW w:w="1192" w:type="pct"/>
            <w:tcBorders>
              <w:top w:val="single" w:sz="6" w:space="0" w:color="000000"/>
              <w:left w:val="single" w:sz="6" w:space="0" w:color="000000"/>
              <w:bottom w:val="single" w:sz="6" w:space="0" w:color="000000"/>
              <w:right w:val="single" w:sz="6" w:space="0" w:color="000000"/>
            </w:tcBorders>
            <w:hideMark/>
          </w:tcPr>
          <w:p w14:paraId="672A072B" w14:textId="1C740D03" w:rsidR="00F859C7" w:rsidRPr="00F36DFC" w:rsidRDefault="00F859C7">
            <w:pPr>
              <w:widowControl/>
              <w:ind w:left="57"/>
              <w:rPr>
                <w:rFonts w:ascii="Times New Roman" w:hAnsi="Times New Roman" w:cs="Times New Roman"/>
                <w:b/>
                <w:sz w:val="22"/>
                <w:lang w:val="da-DK"/>
              </w:rPr>
            </w:pPr>
            <w:r w:rsidRPr="00F36DFC">
              <w:rPr>
                <w:rFonts w:ascii="Times New Roman" w:hAnsi="Times New Roman" w:cs="Times New Roman"/>
                <w:b/>
                <w:bCs/>
                <w:sz w:val="22"/>
                <w:lang w:val="da-DK"/>
              </w:rPr>
              <w:t>Knogler, led, muskler og bindevæv</w:t>
            </w:r>
          </w:p>
        </w:tc>
        <w:tc>
          <w:tcPr>
            <w:tcW w:w="874" w:type="pct"/>
            <w:tcBorders>
              <w:top w:val="single" w:sz="6" w:space="0" w:color="000000"/>
              <w:left w:val="single" w:sz="6" w:space="0" w:color="000000"/>
              <w:bottom w:val="single" w:sz="6" w:space="0" w:color="000000"/>
              <w:right w:val="single" w:sz="6" w:space="0" w:color="000000"/>
            </w:tcBorders>
          </w:tcPr>
          <w:p w14:paraId="5261F8DA" w14:textId="77777777" w:rsidR="00F859C7" w:rsidRPr="00F36DFC" w:rsidRDefault="00F859C7">
            <w:pPr>
              <w:ind w:left="57"/>
              <w:rPr>
                <w:rFonts w:ascii="Times New Roman" w:hAnsi="Times New Roman" w:cs="Times New Roman"/>
                <w:sz w:val="22"/>
                <w:lang w:val="da-DK"/>
              </w:rPr>
            </w:pPr>
          </w:p>
        </w:tc>
        <w:tc>
          <w:tcPr>
            <w:tcW w:w="1203" w:type="pct"/>
            <w:tcBorders>
              <w:top w:val="single" w:sz="6" w:space="0" w:color="000000"/>
              <w:left w:val="single" w:sz="6" w:space="0" w:color="000000"/>
              <w:bottom w:val="single" w:sz="6" w:space="0" w:color="000000"/>
              <w:right w:val="single" w:sz="8" w:space="0" w:color="000000"/>
            </w:tcBorders>
          </w:tcPr>
          <w:p w14:paraId="1394A32E" w14:textId="77777777" w:rsidR="00F859C7" w:rsidRPr="00F36DFC" w:rsidRDefault="00F859C7">
            <w:pPr>
              <w:ind w:left="57"/>
              <w:rPr>
                <w:rFonts w:ascii="Times New Roman" w:hAnsi="Times New Roman" w:cs="Times New Roman"/>
                <w:sz w:val="22"/>
                <w:lang w:val="da-DK"/>
              </w:rPr>
            </w:pPr>
          </w:p>
        </w:tc>
        <w:tc>
          <w:tcPr>
            <w:tcW w:w="726" w:type="pct"/>
            <w:tcBorders>
              <w:top w:val="single" w:sz="6" w:space="0" w:color="000000"/>
              <w:left w:val="single" w:sz="8" w:space="0" w:color="000000"/>
              <w:bottom w:val="single" w:sz="6" w:space="0" w:color="000000"/>
              <w:right w:val="single" w:sz="6" w:space="0" w:color="000000"/>
            </w:tcBorders>
          </w:tcPr>
          <w:p w14:paraId="4844E956" w14:textId="77777777" w:rsidR="00F859C7" w:rsidRPr="00F36DFC" w:rsidRDefault="00F859C7">
            <w:pPr>
              <w:ind w:left="57"/>
              <w:rPr>
                <w:rFonts w:ascii="Times New Roman" w:hAnsi="Times New Roman" w:cs="Times New Roman"/>
                <w:sz w:val="22"/>
                <w:lang w:val="da-DK"/>
              </w:rPr>
            </w:pPr>
          </w:p>
        </w:tc>
        <w:tc>
          <w:tcPr>
            <w:tcW w:w="1005" w:type="pct"/>
            <w:tcBorders>
              <w:top w:val="single" w:sz="6" w:space="0" w:color="000000"/>
              <w:left w:val="single" w:sz="6" w:space="0" w:color="000000"/>
              <w:bottom w:val="single" w:sz="6" w:space="0" w:color="000000"/>
              <w:right w:val="single" w:sz="6" w:space="0" w:color="000000"/>
            </w:tcBorders>
            <w:hideMark/>
          </w:tcPr>
          <w:p w14:paraId="16B868FA" w14:textId="77777777" w:rsidR="00F859C7" w:rsidRPr="00F36DFC" w:rsidRDefault="00F859C7">
            <w:pPr>
              <w:widowControl/>
              <w:ind w:left="57"/>
              <w:rPr>
                <w:rFonts w:ascii="Times New Roman" w:hAnsi="Times New Roman" w:cs="Times New Roman"/>
                <w:sz w:val="22"/>
                <w:lang w:val="en-GB"/>
              </w:rPr>
            </w:pPr>
            <w:proofErr w:type="spellStart"/>
            <w:r w:rsidRPr="00F36DFC">
              <w:rPr>
                <w:rFonts w:ascii="Times New Roman" w:hAnsi="Times New Roman" w:cs="Times New Roman"/>
                <w:sz w:val="22"/>
                <w:lang w:val="da-DK"/>
              </w:rPr>
              <w:t>Rabdomyolyse</w:t>
            </w:r>
            <w:proofErr w:type="spellEnd"/>
          </w:p>
        </w:tc>
      </w:tr>
      <w:tr w:rsidR="00F859C7" w:rsidRPr="00F36DFC" w14:paraId="55782940" w14:textId="77777777" w:rsidTr="00F36DFC">
        <w:trPr>
          <w:trHeight w:val="20"/>
        </w:trPr>
        <w:tc>
          <w:tcPr>
            <w:tcW w:w="1192" w:type="pct"/>
            <w:tcBorders>
              <w:top w:val="single" w:sz="6" w:space="0" w:color="000000"/>
              <w:left w:val="single" w:sz="6" w:space="0" w:color="000000"/>
              <w:bottom w:val="single" w:sz="6" w:space="0" w:color="000000"/>
              <w:right w:val="single" w:sz="6" w:space="0" w:color="000000"/>
            </w:tcBorders>
            <w:hideMark/>
          </w:tcPr>
          <w:p w14:paraId="04FC1E4F" w14:textId="77777777" w:rsidR="00F859C7" w:rsidRPr="00F36DFC" w:rsidRDefault="00F859C7">
            <w:pPr>
              <w:widowControl/>
              <w:ind w:left="57"/>
              <w:rPr>
                <w:rFonts w:ascii="Times New Roman" w:hAnsi="Times New Roman" w:cs="Times New Roman"/>
                <w:b/>
                <w:sz w:val="22"/>
              </w:rPr>
            </w:pPr>
            <w:r w:rsidRPr="00F36DFC">
              <w:rPr>
                <w:rFonts w:ascii="Times New Roman" w:hAnsi="Times New Roman" w:cs="Times New Roman"/>
                <w:b/>
                <w:bCs/>
                <w:sz w:val="22"/>
                <w:lang w:val="da-DK"/>
              </w:rPr>
              <w:t>Nyrer og urinveje</w:t>
            </w:r>
          </w:p>
        </w:tc>
        <w:tc>
          <w:tcPr>
            <w:tcW w:w="874" w:type="pct"/>
            <w:tcBorders>
              <w:top w:val="single" w:sz="6" w:space="0" w:color="000000"/>
              <w:left w:val="single" w:sz="6" w:space="0" w:color="000000"/>
              <w:bottom w:val="single" w:sz="6" w:space="0" w:color="000000"/>
              <w:right w:val="single" w:sz="6" w:space="0" w:color="000000"/>
            </w:tcBorders>
          </w:tcPr>
          <w:p w14:paraId="572360AA" w14:textId="77777777" w:rsidR="00F859C7" w:rsidRPr="00F36DFC" w:rsidRDefault="00F859C7">
            <w:pPr>
              <w:ind w:left="57"/>
              <w:rPr>
                <w:rFonts w:ascii="Times New Roman" w:hAnsi="Times New Roman" w:cs="Times New Roman"/>
                <w:sz w:val="22"/>
              </w:rPr>
            </w:pPr>
          </w:p>
        </w:tc>
        <w:tc>
          <w:tcPr>
            <w:tcW w:w="1203" w:type="pct"/>
            <w:tcBorders>
              <w:top w:val="single" w:sz="6" w:space="0" w:color="000000"/>
              <w:left w:val="single" w:sz="6" w:space="0" w:color="000000"/>
              <w:bottom w:val="single" w:sz="6" w:space="0" w:color="000000"/>
              <w:right w:val="single" w:sz="8" w:space="0" w:color="000000"/>
            </w:tcBorders>
            <w:hideMark/>
          </w:tcPr>
          <w:p w14:paraId="03403ACB" w14:textId="77777777" w:rsidR="00F859C7" w:rsidRPr="00F36DFC" w:rsidRDefault="00F859C7">
            <w:pPr>
              <w:widowControl/>
              <w:ind w:left="57"/>
              <w:rPr>
                <w:rFonts w:ascii="Times New Roman" w:hAnsi="Times New Roman" w:cs="Times New Roman"/>
                <w:sz w:val="22"/>
              </w:rPr>
            </w:pPr>
            <w:proofErr w:type="spellStart"/>
            <w:r w:rsidRPr="00F36DFC">
              <w:rPr>
                <w:rFonts w:ascii="Times New Roman" w:hAnsi="Times New Roman" w:cs="Times New Roman"/>
                <w:sz w:val="22"/>
                <w:lang w:val="da-DK"/>
              </w:rPr>
              <w:t>Nephrolithiasis</w:t>
            </w:r>
            <w:proofErr w:type="spellEnd"/>
          </w:p>
        </w:tc>
        <w:tc>
          <w:tcPr>
            <w:tcW w:w="726" w:type="pct"/>
            <w:tcBorders>
              <w:top w:val="single" w:sz="6" w:space="0" w:color="000000"/>
              <w:left w:val="single" w:sz="8" w:space="0" w:color="000000"/>
              <w:bottom w:val="single" w:sz="6" w:space="0" w:color="000000"/>
              <w:right w:val="single" w:sz="6" w:space="0" w:color="000000"/>
            </w:tcBorders>
            <w:hideMark/>
          </w:tcPr>
          <w:p w14:paraId="521C39D6" w14:textId="77777777" w:rsidR="00F859C7" w:rsidRPr="00F36DFC" w:rsidRDefault="00F859C7">
            <w:pPr>
              <w:widowControl/>
              <w:ind w:left="57"/>
              <w:rPr>
                <w:rFonts w:ascii="Times New Roman" w:hAnsi="Times New Roman" w:cs="Times New Roman"/>
                <w:sz w:val="22"/>
              </w:rPr>
            </w:pPr>
            <w:r w:rsidRPr="00F36DFC">
              <w:rPr>
                <w:rFonts w:ascii="Times New Roman" w:hAnsi="Times New Roman" w:cs="Times New Roman"/>
                <w:sz w:val="22"/>
                <w:lang w:val="da-DK"/>
              </w:rPr>
              <w:t>Sten i urinvejene</w:t>
            </w:r>
          </w:p>
        </w:tc>
        <w:tc>
          <w:tcPr>
            <w:tcW w:w="1005" w:type="pct"/>
            <w:tcBorders>
              <w:top w:val="single" w:sz="6" w:space="0" w:color="000000"/>
              <w:left w:val="single" w:sz="6" w:space="0" w:color="000000"/>
              <w:bottom w:val="single" w:sz="6" w:space="0" w:color="000000"/>
              <w:right w:val="single" w:sz="6" w:space="0" w:color="000000"/>
            </w:tcBorders>
            <w:hideMark/>
          </w:tcPr>
          <w:p w14:paraId="1FE3BA83" w14:textId="77777777" w:rsidR="00F859C7" w:rsidRPr="00F36DFC" w:rsidRDefault="00F859C7">
            <w:pPr>
              <w:widowControl/>
              <w:ind w:left="57"/>
              <w:rPr>
                <w:rFonts w:ascii="Times New Roman" w:hAnsi="Times New Roman" w:cs="Times New Roman"/>
                <w:sz w:val="22"/>
              </w:rPr>
            </w:pPr>
            <w:proofErr w:type="spellStart"/>
            <w:r w:rsidRPr="00F36DFC">
              <w:rPr>
                <w:rFonts w:ascii="Times New Roman" w:hAnsi="Times New Roman" w:cs="Times New Roman"/>
                <w:sz w:val="22"/>
                <w:lang w:val="da-DK"/>
              </w:rPr>
              <w:t>Hydronephrose</w:t>
            </w:r>
            <w:proofErr w:type="spellEnd"/>
          </w:p>
          <w:p w14:paraId="7E76F00E" w14:textId="77777777" w:rsidR="00F859C7" w:rsidRPr="00F36DFC" w:rsidRDefault="00F859C7">
            <w:pPr>
              <w:widowControl/>
              <w:ind w:left="57"/>
              <w:rPr>
                <w:rFonts w:ascii="Times New Roman" w:hAnsi="Times New Roman" w:cs="Times New Roman"/>
                <w:sz w:val="22"/>
              </w:rPr>
            </w:pPr>
            <w:r w:rsidRPr="00F36DFC">
              <w:rPr>
                <w:rFonts w:ascii="Times New Roman" w:hAnsi="Times New Roman" w:cs="Times New Roman"/>
                <w:sz w:val="22"/>
                <w:lang w:val="da-DK"/>
              </w:rPr>
              <w:t>Nyresvigt</w:t>
            </w:r>
          </w:p>
          <w:p w14:paraId="33E43954" w14:textId="77777777" w:rsidR="00F859C7" w:rsidRPr="00F36DFC" w:rsidRDefault="00F859C7">
            <w:pPr>
              <w:widowControl/>
              <w:ind w:left="57"/>
              <w:rPr>
                <w:rFonts w:ascii="Times New Roman" w:hAnsi="Times New Roman" w:cs="Times New Roman"/>
                <w:sz w:val="22"/>
              </w:rPr>
            </w:pPr>
            <w:r w:rsidRPr="00F36DFC">
              <w:rPr>
                <w:rFonts w:ascii="Times New Roman" w:hAnsi="Times New Roman" w:cs="Times New Roman"/>
                <w:sz w:val="22"/>
                <w:lang w:val="da-DK"/>
              </w:rPr>
              <w:t>Abnorm urinsammensætning</w:t>
            </w:r>
          </w:p>
        </w:tc>
      </w:tr>
      <w:tr w:rsidR="00F859C7" w:rsidRPr="00F36DFC" w14:paraId="69263343" w14:textId="77777777" w:rsidTr="00F36DFC">
        <w:trPr>
          <w:trHeight w:val="20"/>
        </w:trPr>
        <w:tc>
          <w:tcPr>
            <w:tcW w:w="1192" w:type="pct"/>
            <w:tcBorders>
              <w:top w:val="single" w:sz="6" w:space="0" w:color="000000"/>
              <w:left w:val="single" w:sz="6" w:space="0" w:color="000000"/>
              <w:bottom w:val="single" w:sz="6" w:space="0" w:color="000000"/>
              <w:right w:val="single" w:sz="6" w:space="0" w:color="000000"/>
            </w:tcBorders>
            <w:hideMark/>
          </w:tcPr>
          <w:p w14:paraId="7DD35F01" w14:textId="77777777" w:rsidR="00F859C7" w:rsidRPr="00F36DFC" w:rsidRDefault="00F859C7">
            <w:pPr>
              <w:widowControl/>
              <w:ind w:left="57"/>
              <w:rPr>
                <w:rFonts w:ascii="Times New Roman" w:hAnsi="Times New Roman" w:cs="Times New Roman"/>
                <w:sz w:val="22"/>
                <w:lang w:val="da-DK"/>
              </w:rPr>
            </w:pPr>
            <w:r w:rsidRPr="00F36DFC">
              <w:rPr>
                <w:rFonts w:ascii="Times New Roman" w:hAnsi="Times New Roman" w:cs="Times New Roman"/>
                <w:b/>
                <w:bCs/>
                <w:sz w:val="22"/>
                <w:lang w:val="da-DK"/>
              </w:rPr>
              <w:t>Almene symptomer og reaktioner på administrationsstedet</w:t>
            </w:r>
          </w:p>
        </w:tc>
        <w:tc>
          <w:tcPr>
            <w:tcW w:w="874" w:type="pct"/>
            <w:tcBorders>
              <w:top w:val="single" w:sz="6" w:space="0" w:color="000000"/>
              <w:left w:val="single" w:sz="6" w:space="0" w:color="000000"/>
              <w:bottom w:val="single" w:sz="6" w:space="0" w:color="000000"/>
              <w:right w:val="single" w:sz="6" w:space="0" w:color="000000"/>
            </w:tcBorders>
          </w:tcPr>
          <w:p w14:paraId="30F092A4" w14:textId="77777777" w:rsidR="00F859C7" w:rsidRPr="00F36DFC" w:rsidRDefault="00F859C7">
            <w:pPr>
              <w:ind w:left="57"/>
              <w:rPr>
                <w:rFonts w:ascii="Times New Roman" w:hAnsi="Times New Roman" w:cs="Times New Roman"/>
                <w:sz w:val="22"/>
                <w:lang w:val="da-DK"/>
              </w:rPr>
            </w:pPr>
          </w:p>
        </w:tc>
        <w:tc>
          <w:tcPr>
            <w:tcW w:w="1203" w:type="pct"/>
            <w:tcBorders>
              <w:top w:val="single" w:sz="6" w:space="0" w:color="000000"/>
              <w:left w:val="single" w:sz="6" w:space="0" w:color="000000"/>
              <w:bottom w:val="single" w:sz="6" w:space="0" w:color="000000"/>
              <w:right w:val="single" w:sz="8" w:space="0" w:color="000000"/>
            </w:tcBorders>
            <w:hideMark/>
          </w:tcPr>
          <w:p w14:paraId="18365900" w14:textId="77777777" w:rsidR="00F859C7" w:rsidRPr="00F36DFC" w:rsidRDefault="00F859C7">
            <w:pPr>
              <w:widowControl/>
              <w:ind w:left="57"/>
              <w:rPr>
                <w:rFonts w:ascii="Times New Roman" w:hAnsi="Times New Roman" w:cs="Times New Roman"/>
                <w:sz w:val="22"/>
                <w:lang w:val="da-DK"/>
              </w:rPr>
            </w:pPr>
            <w:r w:rsidRPr="00F36DFC">
              <w:rPr>
                <w:rFonts w:ascii="Times New Roman" w:hAnsi="Times New Roman" w:cs="Times New Roman"/>
                <w:sz w:val="22"/>
                <w:lang w:val="da-DK"/>
              </w:rPr>
              <w:t>Træthed</w:t>
            </w:r>
          </w:p>
          <w:p w14:paraId="78010A0C" w14:textId="77777777" w:rsidR="00F859C7" w:rsidRPr="00F36DFC" w:rsidRDefault="00F859C7">
            <w:pPr>
              <w:widowControl/>
              <w:ind w:left="57"/>
              <w:rPr>
                <w:rFonts w:ascii="Times New Roman" w:hAnsi="Times New Roman" w:cs="Times New Roman"/>
                <w:sz w:val="22"/>
                <w:lang w:val="da-DK"/>
              </w:rPr>
            </w:pPr>
            <w:r w:rsidRPr="00F36DFC">
              <w:rPr>
                <w:rFonts w:ascii="Times New Roman" w:hAnsi="Times New Roman" w:cs="Times New Roman"/>
                <w:sz w:val="22"/>
                <w:lang w:val="da-DK"/>
              </w:rPr>
              <w:t>Influenzalignende sygdom</w:t>
            </w:r>
          </w:p>
          <w:p w14:paraId="5AEB5F46" w14:textId="77777777" w:rsidR="00F859C7" w:rsidRPr="00F36DFC" w:rsidRDefault="00F859C7">
            <w:pPr>
              <w:widowControl/>
              <w:ind w:left="57"/>
              <w:rPr>
                <w:rFonts w:ascii="Times New Roman" w:hAnsi="Times New Roman" w:cs="Times New Roman"/>
                <w:sz w:val="22"/>
                <w:lang w:val="da-DK"/>
              </w:rPr>
            </w:pPr>
            <w:proofErr w:type="spellStart"/>
            <w:r w:rsidRPr="00F36DFC">
              <w:rPr>
                <w:rFonts w:ascii="Times New Roman" w:hAnsi="Times New Roman" w:cs="Times New Roman"/>
                <w:sz w:val="22"/>
                <w:lang w:val="da-DK"/>
              </w:rPr>
              <w:t>Pyreksi</w:t>
            </w:r>
            <w:proofErr w:type="spellEnd"/>
          </w:p>
          <w:p w14:paraId="12B2F672" w14:textId="77777777" w:rsidR="00F859C7" w:rsidRPr="00F36DFC" w:rsidRDefault="00F859C7">
            <w:pPr>
              <w:widowControl/>
              <w:ind w:left="57"/>
              <w:rPr>
                <w:rFonts w:ascii="Times New Roman" w:hAnsi="Times New Roman" w:cs="Times New Roman"/>
                <w:sz w:val="22"/>
                <w:lang w:val="da-DK"/>
              </w:rPr>
            </w:pPr>
            <w:r w:rsidRPr="00F36DFC">
              <w:rPr>
                <w:rFonts w:ascii="Times New Roman" w:hAnsi="Times New Roman" w:cs="Times New Roman"/>
                <w:sz w:val="22"/>
                <w:lang w:val="da-DK"/>
              </w:rPr>
              <w:t>Perifert ødem</w:t>
            </w:r>
          </w:p>
        </w:tc>
        <w:tc>
          <w:tcPr>
            <w:tcW w:w="726" w:type="pct"/>
            <w:tcBorders>
              <w:top w:val="single" w:sz="6" w:space="0" w:color="000000"/>
              <w:left w:val="single" w:sz="8" w:space="0" w:color="000000"/>
              <w:bottom w:val="single" w:sz="6" w:space="0" w:color="000000"/>
              <w:right w:val="single" w:sz="6" w:space="0" w:color="000000"/>
            </w:tcBorders>
          </w:tcPr>
          <w:p w14:paraId="76A52A1C" w14:textId="77777777" w:rsidR="00F859C7" w:rsidRPr="00F36DFC" w:rsidRDefault="00F859C7">
            <w:pPr>
              <w:ind w:left="57"/>
              <w:rPr>
                <w:rFonts w:ascii="Times New Roman" w:hAnsi="Times New Roman" w:cs="Times New Roman"/>
                <w:sz w:val="22"/>
                <w:lang w:val="da-DK"/>
              </w:rPr>
            </w:pPr>
          </w:p>
        </w:tc>
        <w:tc>
          <w:tcPr>
            <w:tcW w:w="1005" w:type="pct"/>
            <w:tcBorders>
              <w:top w:val="single" w:sz="6" w:space="0" w:color="000000"/>
              <w:left w:val="single" w:sz="6" w:space="0" w:color="000000"/>
              <w:bottom w:val="single" w:sz="6" w:space="0" w:color="000000"/>
              <w:right w:val="single" w:sz="6" w:space="0" w:color="000000"/>
            </w:tcBorders>
          </w:tcPr>
          <w:p w14:paraId="394D64F1" w14:textId="77777777" w:rsidR="00F859C7" w:rsidRPr="00F36DFC" w:rsidRDefault="00F859C7">
            <w:pPr>
              <w:ind w:left="57"/>
              <w:rPr>
                <w:rFonts w:ascii="Times New Roman" w:hAnsi="Times New Roman" w:cs="Times New Roman"/>
                <w:sz w:val="22"/>
                <w:lang w:val="da-DK"/>
              </w:rPr>
            </w:pPr>
          </w:p>
        </w:tc>
      </w:tr>
      <w:tr w:rsidR="00F859C7" w:rsidRPr="00F36DFC" w14:paraId="3CBFC251" w14:textId="77777777" w:rsidTr="00F36DFC">
        <w:trPr>
          <w:trHeight w:val="20"/>
        </w:trPr>
        <w:tc>
          <w:tcPr>
            <w:tcW w:w="1192" w:type="pct"/>
            <w:tcBorders>
              <w:top w:val="single" w:sz="6" w:space="0" w:color="000000"/>
              <w:left w:val="single" w:sz="6" w:space="0" w:color="000000"/>
              <w:bottom w:val="single" w:sz="6" w:space="0" w:color="000000"/>
              <w:right w:val="single" w:sz="6" w:space="0" w:color="000000"/>
            </w:tcBorders>
            <w:hideMark/>
          </w:tcPr>
          <w:p w14:paraId="798976A4" w14:textId="77777777" w:rsidR="00F859C7" w:rsidRPr="00F36DFC" w:rsidRDefault="00F859C7">
            <w:pPr>
              <w:widowControl/>
              <w:ind w:left="57"/>
              <w:rPr>
                <w:rFonts w:ascii="Times New Roman" w:hAnsi="Times New Roman" w:cs="Times New Roman"/>
                <w:b/>
                <w:sz w:val="22"/>
                <w:lang w:val="en-GB"/>
              </w:rPr>
            </w:pPr>
            <w:r w:rsidRPr="00F36DFC">
              <w:rPr>
                <w:rFonts w:ascii="Times New Roman" w:hAnsi="Times New Roman" w:cs="Times New Roman"/>
                <w:b/>
                <w:bCs/>
                <w:sz w:val="22"/>
                <w:lang w:val="da-DK"/>
              </w:rPr>
              <w:t>Undersøgelser</w:t>
            </w:r>
          </w:p>
        </w:tc>
        <w:tc>
          <w:tcPr>
            <w:tcW w:w="874" w:type="pct"/>
            <w:tcBorders>
              <w:top w:val="single" w:sz="6" w:space="0" w:color="000000"/>
              <w:left w:val="single" w:sz="6" w:space="0" w:color="000000"/>
              <w:bottom w:val="single" w:sz="6" w:space="0" w:color="000000"/>
              <w:right w:val="single" w:sz="6" w:space="0" w:color="000000"/>
            </w:tcBorders>
            <w:hideMark/>
          </w:tcPr>
          <w:p w14:paraId="29996199" w14:textId="77777777" w:rsidR="00F859C7" w:rsidRPr="00F36DFC" w:rsidRDefault="00F859C7">
            <w:pPr>
              <w:widowControl/>
              <w:ind w:left="57"/>
              <w:rPr>
                <w:rFonts w:ascii="Times New Roman" w:hAnsi="Times New Roman" w:cs="Times New Roman"/>
                <w:sz w:val="22"/>
              </w:rPr>
            </w:pPr>
            <w:r w:rsidRPr="00F36DFC">
              <w:rPr>
                <w:rFonts w:ascii="Times New Roman" w:hAnsi="Times New Roman" w:cs="Times New Roman"/>
                <w:sz w:val="22"/>
                <w:lang w:val="da-DK"/>
              </w:rPr>
              <w:t xml:space="preserve">Nedsat </w:t>
            </w:r>
            <w:proofErr w:type="spellStart"/>
            <w:r w:rsidRPr="00F36DFC">
              <w:rPr>
                <w:rFonts w:ascii="Times New Roman" w:hAnsi="Times New Roman" w:cs="Times New Roman"/>
                <w:sz w:val="22"/>
                <w:lang w:val="da-DK"/>
              </w:rPr>
              <w:t>hydrogencarbonat</w:t>
            </w:r>
            <w:proofErr w:type="spellEnd"/>
          </w:p>
        </w:tc>
        <w:tc>
          <w:tcPr>
            <w:tcW w:w="1203" w:type="pct"/>
            <w:tcBorders>
              <w:top w:val="single" w:sz="6" w:space="0" w:color="000000"/>
              <w:left w:val="single" w:sz="6" w:space="0" w:color="000000"/>
              <w:bottom w:val="single" w:sz="6" w:space="0" w:color="000000"/>
              <w:right w:val="single" w:sz="8" w:space="0" w:color="000000"/>
            </w:tcBorders>
            <w:hideMark/>
          </w:tcPr>
          <w:p w14:paraId="7C41F356" w14:textId="77777777" w:rsidR="00F859C7" w:rsidRPr="00F36DFC" w:rsidRDefault="00F859C7">
            <w:pPr>
              <w:widowControl/>
              <w:ind w:left="57"/>
              <w:rPr>
                <w:rFonts w:ascii="Times New Roman" w:hAnsi="Times New Roman" w:cs="Times New Roman"/>
                <w:sz w:val="22"/>
              </w:rPr>
            </w:pPr>
            <w:r w:rsidRPr="00F36DFC">
              <w:rPr>
                <w:rFonts w:ascii="Times New Roman" w:hAnsi="Times New Roman" w:cs="Times New Roman"/>
                <w:sz w:val="22"/>
                <w:lang w:val="da-DK"/>
              </w:rPr>
              <w:t>Vægttab</w:t>
            </w:r>
          </w:p>
        </w:tc>
        <w:tc>
          <w:tcPr>
            <w:tcW w:w="726" w:type="pct"/>
            <w:tcBorders>
              <w:top w:val="single" w:sz="6" w:space="0" w:color="000000"/>
              <w:left w:val="single" w:sz="8" w:space="0" w:color="000000"/>
              <w:bottom w:val="single" w:sz="6" w:space="0" w:color="000000"/>
              <w:right w:val="single" w:sz="6" w:space="0" w:color="000000"/>
            </w:tcBorders>
          </w:tcPr>
          <w:p w14:paraId="09211265" w14:textId="77777777" w:rsidR="00F859C7" w:rsidRPr="00F36DFC" w:rsidRDefault="00F859C7">
            <w:pPr>
              <w:ind w:left="57"/>
              <w:rPr>
                <w:rFonts w:ascii="Times New Roman" w:hAnsi="Times New Roman" w:cs="Times New Roman"/>
                <w:sz w:val="22"/>
              </w:rPr>
            </w:pPr>
          </w:p>
        </w:tc>
        <w:tc>
          <w:tcPr>
            <w:tcW w:w="1005" w:type="pct"/>
            <w:tcBorders>
              <w:top w:val="single" w:sz="6" w:space="0" w:color="000000"/>
              <w:left w:val="single" w:sz="6" w:space="0" w:color="000000"/>
              <w:bottom w:val="single" w:sz="6" w:space="0" w:color="000000"/>
              <w:right w:val="single" w:sz="6" w:space="0" w:color="000000"/>
            </w:tcBorders>
            <w:hideMark/>
          </w:tcPr>
          <w:p w14:paraId="54CB72C0" w14:textId="77777777" w:rsidR="00F859C7" w:rsidRPr="00F36DFC" w:rsidRDefault="00F859C7">
            <w:pPr>
              <w:widowControl/>
              <w:ind w:left="57"/>
              <w:rPr>
                <w:rFonts w:ascii="Times New Roman" w:hAnsi="Times New Roman" w:cs="Times New Roman"/>
                <w:sz w:val="22"/>
                <w:lang w:val="da-DK"/>
              </w:rPr>
            </w:pPr>
            <w:r w:rsidRPr="00F36DFC">
              <w:rPr>
                <w:rFonts w:ascii="Times New Roman" w:hAnsi="Times New Roman" w:cs="Times New Roman"/>
                <w:sz w:val="22"/>
                <w:lang w:val="da-DK"/>
              </w:rPr>
              <w:t xml:space="preserve">Øget </w:t>
            </w:r>
            <w:proofErr w:type="spellStart"/>
            <w:r w:rsidRPr="00F36DFC">
              <w:rPr>
                <w:rFonts w:ascii="Times New Roman" w:hAnsi="Times New Roman" w:cs="Times New Roman"/>
                <w:sz w:val="22"/>
                <w:lang w:val="da-DK"/>
              </w:rPr>
              <w:t>kreatinkinase</w:t>
            </w:r>
            <w:proofErr w:type="spellEnd"/>
            <w:r w:rsidRPr="00F36DFC">
              <w:rPr>
                <w:rFonts w:ascii="Times New Roman" w:hAnsi="Times New Roman" w:cs="Times New Roman"/>
                <w:sz w:val="22"/>
                <w:lang w:val="da-DK"/>
              </w:rPr>
              <w:t xml:space="preserve"> i blodet</w:t>
            </w:r>
          </w:p>
          <w:p w14:paraId="1BFE0339" w14:textId="77777777" w:rsidR="00F859C7" w:rsidRPr="00F36DFC" w:rsidRDefault="00F859C7">
            <w:pPr>
              <w:widowControl/>
              <w:ind w:left="57"/>
              <w:rPr>
                <w:rFonts w:ascii="Times New Roman" w:hAnsi="Times New Roman" w:cs="Times New Roman"/>
                <w:sz w:val="22"/>
                <w:lang w:val="da-DK"/>
              </w:rPr>
            </w:pPr>
            <w:r w:rsidRPr="00F36DFC">
              <w:rPr>
                <w:rFonts w:ascii="Times New Roman" w:hAnsi="Times New Roman" w:cs="Times New Roman"/>
                <w:sz w:val="22"/>
                <w:lang w:val="da-DK"/>
              </w:rPr>
              <w:t xml:space="preserve">Øget </w:t>
            </w:r>
            <w:proofErr w:type="spellStart"/>
            <w:r w:rsidRPr="00F36DFC">
              <w:rPr>
                <w:rFonts w:ascii="Times New Roman" w:hAnsi="Times New Roman" w:cs="Times New Roman"/>
                <w:sz w:val="22"/>
                <w:lang w:val="da-DK"/>
              </w:rPr>
              <w:t>kreatinin</w:t>
            </w:r>
            <w:proofErr w:type="spellEnd"/>
            <w:r w:rsidRPr="00F36DFC">
              <w:rPr>
                <w:rFonts w:ascii="Times New Roman" w:hAnsi="Times New Roman" w:cs="Times New Roman"/>
                <w:sz w:val="22"/>
                <w:lang w:val="da-DK"/>
              </w:rPr>
              <w:t xml:space="preserve"> i blodet</w:t>
            </w:r>
          </w:p>
          <w:p w14:paraId="7ACE6284" w14:textId="77777777" w:rsidR="00F859C7" w:rsidRPr="00F36DFC" w:rsidRDefault="00F859C7">
            <w:pPr>
              <w:widowControl/>
              <w:ind w:left="57"/>
              <w:rPr>
                <w:rFonts w:ascii="Times New Roman" w:hAnsi="Times New Roman" w:cs="Times New Roman"/>
                <w:sz w:val="22"/>
                <w:lang w:val="da-DK"/>
              </w:rPr>
            </w:pPr>
            <w:r w:rsidRPr="00F36DFC">
              <w:rPr>
                <w:rFonts w:ascii="Times New Roman" w:hAnsi="Times New Roman" w:cs="Times New Roman"/>
                <w:sz w:val="22"/>
                <w:lang w:val="da-DK"/>
              </w:rPr>
              <w:t xml:space="preserve">Øget </w:t>
            </w:r>
            <w:proofErr w:type="spellStart"/>
            <w:r w:rsidRPr="00F36DFC">
              <w:rPr>
                <w:rFonts w:ascii="Times New Roman" w:hAnsi="Times New Roman" w:cs="Times New Roman"/>
                <w:sz w:val="22"/>
                <w:lang w:val="da-DK"/>
              </w:rPr>
              <w:t>carbamid</w:t>
            </w:r>
            <w:proofErr w:type="spellEnd"/>
            <w:r w:rsidRPr="00F36DFC">
              <w:rPr>
                <w:rFonts w:ascii="Times New Roman" w:hAnsi="Times New Roman" w:cs="Times New Roman"/>
                <w:sz w:val="22"/>
                <w:lang w:val="da-DK"/>
              </w:rPr>
              <w:t xml:space="preserve"> i blodet</w:t>
            </w:r>
          </w:p>
          <w:p w14:paraId="5AA666BA" w14:textId="77777777" w:rsidR="00F859C7" w:rsidRPr="00F36DFC" w:rsidRDefault="00F859C7">
            <w:pPr>
              <w:widowControl/>
              <w:ind w:left="57"/>
              <w:rPr>
                <w:rFonts w:ascii="Times New Roman" w:hAnsi="Times New Roman" w:cs="Times New Roman"/>
                <w:sz w:val="22"/>
                <w:lang w:val="da-DK"/>
              </w:rPr>
            </w:pPr>
            <w:r w:rsidRPr="00F36DFC">
              <w:rPr>
                <w:rFonts w:ascii="Times New Roman" w:hAnsi="Times New Roman" w:cs="Times New Roman"/>
                <w:sz w:val="22"/>
                <w:lang w:val="da-DK"/>
              </w:rPr>
              <w:t>Abnorme leverfunktionsprøver</w:t>
            </w:r>
          </w:p>
        </w:tc>
      </w:tr>
      <w:tr w:rsidR="00F859C7" w:rsidRPr="00F36DFC" w14:paraId="009CC700" w14:textId="77777777" w:rsidTr="00F36DFC">
        <w:trPr>
          <w:trHeight w:val="20"/>
        </w:trPr>
        <w:tc>
          <w:tcPr>
            <w:tcW w:w="1192" w:type="pct"/>
            <w:tcBorders>
              <w:top w:val="single" w:sz="6" w:space="0" w:color="000000"/>
              <w:left w:val="single" w:sz="6" w:space="0" w:color="000000"/>
              <w:bottom w:val="single" w:sz="6" w:space="0" w:color="000000"/>
              <w:right w:val="single" w:sz="6" w:space="0" w:color="000000"/>
            </w:tcBorders>
            <w:hideMark/>
          </w:tcPr>
          <w:p w14:paraId="238E619D" w14:textId="77777777" w:rsidR="00F859C7" w:rsidRPr="00F36DFC" w:rsidRDefault="00F859C7">
            <w:pPr>
              <w:widowControl/>
              <w:ind w:left="57"/>
              <w:rPr>
                <w:rFonts w:ascii="Times New Roman" w:hAnsi="Times New Roman" w:cs="Times New Roman"/>
                <w:b/>
                <w:sz w:val="22"/>
                <w:lang w:val="en-GB"/>
              </w:rPr>
            </w:pPr>
            <w:r w:rsidRPr="00F36DFC">
              <w:rPr>
                <w:rFonts w:ascii="Times New Roman" w:hAnsi="Times New Roman" w:cs="Times New Roman"/>
                <w:b/>
                <w:bCs/>
                <w:sz w:val="22"/>
                <w:lang w:val="da-DK"/>
              </w:rPr>
              <w:t>Traumer, forgiftninger og behandlingskomplikationer</w:t>
            </w:r>
          </w:p>
        </w:tc>
        <w:tc>
          <w:tcPr>
            <w:tcW w:w="874" w:type="pct"/>
            <w:tcBorders>
              <w:top w:val="single" w:sz="6" w:space="0" w:color="000000"/>
              <w:left w:val="single" w:sz="6" w:space="0" w:color="000000"/>
              <w:bottom w:val="single" w:sz="6" w:space="0" w:color="000000"/>
              <w:right w:val="single" w:sz="6" w:space="0" w:color="000000"/>
            </w:tcBorders>
          </w:tcPr>
          <w:p w14:paraId="284382C0" w14:textId="77777777" w:rsidR="00F859C7" w:rsidRPr="00F36DFC" w:rsidRDefault="00F859C7">
            <w:pPr>
              <w:ind w:left="57"/>
              <w:rPr>
                <w:rFonts w:ascii="Times New Roman" w:hAnsi="Times New Roman" w:cs="Times New Roman"/>
                <w:sz w:val="22"/>
              </w:rPr>
            </w:pPr>
          </w:p>
        </w:tc>
        <w:tc>
          <w:tcPr>
            <w:tcW w:w="1203" w:type="pct"/>
            <w:tcBorders>
              <w:top w:val="single" w:sz="6" w:space="0" w:color="000000"/>
              <w:left w:val="single" w:sz="6" w:space="0" w:color="000000"/>
              <w:bottom w:val="single" w:sz="6" w:space="0" w:color="000000"/>
              <w:right w:val="single" w:sz="8" w:space="0" w:color="000000"/>
            </w:tcBorders>
          </w:tcPr>
          <w:p w14:paraId="40FBDADD" w14:textId="77777777" w:rsidR="00F859C7" w:rsidRPr="00F36DFC" w:rsidRDefault="00F859C7">
            <w:pPr>
              <w:ind w:left="57"/>
              <w:rPr>
                <w:rFonts w:ascii="Times New Roman" w:hAnsi="Times New Roman" w:cs="Times New Roman"/>
                <w:sz w:val="22"/>
              </w:rPr>
            </w:pPr>
          </w:p>
        </w:tc>
        <w:tc>
          <w:tcPr>
            <w:tcW w:w="726" w:type="pct"/>
            <w:tcBorders>
              <w:top w:val="single" w:sz="6" w:space="0" w:color="000000"/>
              <w:left w:val="single" w:sz="8" w:space="0" w:color="000000"/>
              <w:bottom w:val="single" w:sz="6" w:space="0" w:color="000000"/>
              <w:right w:val="single" w:sz="6" w:space="0" w:color="000000"/>
            </w:tcBorders>
          </w:tcPr>
          <w:p w14:paraId="19082555" w14:textId="77777777" w:rsidR="00F859C7" w:rsidRPr="00F36DFC" w:rsidRDefault="00F859C7">
            <w:pPr>
              <w:ind w:left="57"/>
              <w:rPr>
                <w:rFonts w:ascii="Times New Roman" w:hAnsi="Times New Roman" w:cs="Times New Roman"/>
                <w:sz w:val="22"/>
              </w:rPr>
            </w:pPr>
          </w:p>
        </w:tc>
        <w:tc>
          <w:tcPr>
            <w:tcW w:w="1005" w:type="pct"/>
            <w:tcBorders>
              <w:top w:val="single" w:sz="6" w:space="0" w:color="000000"/>
              <w:left w:val="single" w:sz="6" w:space="0" w:color="000000"/>
              <w:bottom w:val="single" w:sz="6" w:space="0" w:color="000000"/>
              <w:right w:val="single" w:sz="6" w:space="0" w:color="000000"/>
            </w:tcBorders>
            <w:hideMark/>
          </w:tcPr>
          <w:p w14:paraId="688CE792" w14:textId="77777777" w:rsidR="00F859C7" w:rsidRPr="00F36DFC" w:rsidRDefault="00F859C7">
            <w:pPr>
              <w:widowControl/>
              <w:ind w:left="57"/>
              <w:rPr>
                <w:rFonts w:ascii="Times New Roman" w:hAnsi="Times New Roman" w:cs="Times New Roman"/>
                <w:sz w:val="22"/>
              </w:rPr>
            </w:pPr>
            <w:r w:rsidRPr="00F36DFC">
              <w:rPr>
                <w:rFonts w:ascii="Times New Roman" w:hAnsi="Times New Roman" w:cs="Times New Roman"/>
                <w:sz w:val="22"/>
                <w:lang w:val="da-DK"/>
              </w:rPr>
              <w:t>Hedeslag</w:t>
            </w:r>
          </w:p>
        </w:tc>
      </w:tr>
    </w:tbl>
    <w:p w14:paraId="198B0140" w14:textId="77777777" w:rsidR="00F859C7" w:rsidRPr="00F36DFC" w:rsidRDefault="00F859C7" w:rsidP="00F859C7">
      <w:pPr>
        <w:rPr>
          <w:sz w:val="24"/>
          <w:szCs w:val="24"/>
          <w:lang w:val="en-GB" w:eastAsia="de-DE"/>
        </w:rPr>
      </w:pPr>
    </w:p>
    <w:p w14:paraId="04BBBB36" w14:textId="77777777" w:rsidR="00F859C7" w:rsidRPr="00F36DFC" w:rsidRDefault="00F859C7" w:rsidP="00E14048">
      <w:pPr>
        <w:ind w:left="851"/>
        <w:rPr>
          <w:sz w:val="24"/>
          <w:szCs w:val="24"/>
        </w:rPr>
      </w:pPr>
      <w:r w:rsidRPr="00F36DFC">
        <w:rPr>
          <w:sz w:val="24"/>
          <w:szCs w:val="24"/>
        </w:rPr>
        <w:t xml:space="preserve">Desuden har der været isolerede tilfælde af pludselig uforklarlig død hos epilepsipatienter (SUDEP), der har fået </w:t>
      </w:r>
      <w:proofErr w:type="spellStart"/>
      <w:r w:rsidRPr="00F36DFC">
        <w:rPr>
          <w:sz w:val="24"/>
          <w:szCs w:val="24"/>
        </w:rPr>
        <w:t>zonisamid</w:t>
      </w:r>
      <w:proofErr w:type="spellEnd"/>
      <w:r w:rsidRPr="00F36DFC">
        <w:rPr>
          <w:sz w:val="24"/>
          <w:szCs w:val="24"/>
        </w:rPr>
        <w:t>.</w:t>
      </w:r>
    </w:p>
    <w:p w14:paraId="3109C61F" w14:textId="77777777" w:rsidR="00F859C7" w:rsidRPr="00F36DFC" w:rsidRDefault="00F859C7" w:rsidP="00F859C7">
      <w:pPr>
        <w:rPr>
          <w:sz w:val="24"/>
          <w:szCs w:val="24"/>
        </w:rPr>
      </w:pPr>
    </w:p>
    <w:p w14:paraId="5F0257A2" w14:textId="7A8B0C95" w:rsidR="00F859C7" w:rsidRPr="00F36DFC" w:rsidRDefault="00F859C7" w:rsidP="00E14048">
      <w:pPr>
        <w:rPr>
          <w:b/>
          <w:sz w:val="24"/>
          <w:szCs w:val="24"/>
          <w:u w:val="single"/>
        </w:rPr>
      </w:pPr>
      <w:r w:rsidRPr="00F36DFC">
        <w:rPr>
          <w:b/>
          <w:bCs/>
          <w:sz w:val="24"/>
          <w:szCs w:val="24"/>
          <w:u w:val="single"/>
        </w:rPr>
        <w:t>Tabel 6</w:t>
      </w:r>
      <w:r w:rsidR="00F36DFC">
        <w:rPr>
          <w:b/>
          <w:bCs/>
          <w:sz w:val="24"/>
          <w:szCs w:val="24"/>
          <w:u w:val="single"/>
        </w:rPr>
        <w:t xml:space="preserve">. </w:t>
      </w:r>
      <w:r w:rsidRPr="00F36DFC">
        <w:rPr>
          <w:b/>
          <w:bCs/>
          <w:sz w:val="24"/>
          <w:szCs w:val="24"/>
          <w:u w:val="single"/>
        </w:rPr>
        <w:t xml:space="preserve">Bivirkninger i et randomiseret, kontrolleret studie med monoterapi, der sammenlignede </w:t>
      </w:r>
      <w:proofErr w:type="spellStart"/>
      <w:r w:rsidRPr="00F36DFC">
        <w:rPr>
          <w:b/>
          <w:bCs/>
          <w:sz w:val="24"/>
          <w:szCs w:val="24"/>
          <w:u w:val="single"/>
        </w:rPr>
        <w:t>zonisamid</w:t>
      </w:r>
      <w:proofErr w:type="spellEnd"/>
      <w:r w:rsidRPr="00F36DFC">
        <w:rPr>
          <w:b/>
          <w:bCs/>
          <w:sz w:val="24"/>
          <w:szCs w:val="24"/>
          <w:u w:val="single"/>
        </w:rPr>
        <w:t xml:space="preserve"> med </w:t>
      </w:r>
      <w:proofErr w:type="spellStart"/>
      <w:r w:rsidRPr="00F36DFC">
        <w:rPr>
          <w:b/>
          <w:bCs/>
          <w:sz w:val="24"/>
          <w:szCs w:val="24"/>
          <w:u w:val="single"/>
        </w:rPr>
        <w:t>carbamazepin</w:t>
      </w:r>
      <w:proofErr w:type="spellEnd"/>
      <w:r w:rsidRPr="00F36DFC">
        <w:rPr>
          <w:b/>
          <w:bCs/>
          <w:sz w:val="24"/>
          <w:szCs w:val="24"/>
          <w:u w:val="single"/>
        </w:rPr>
        <w:t>-depotformulering</w:t>
      </w:r>
    </w:p>
    <w:tbl>
      <w:tblPr>
        <w:tblStyle w:val="TableNormal"/>
        <w:tblW w:w="5000" w:type="pct"/>
        <w:tblInd w:w="0" w:type="dxa"/>
        <w:tblLook w:val="01E0" w:firstRow="1" w:lastRow="1" w:firstColumn="1" w:lastColumn="1" w:noHBand="0" w:noVBand="0"/>
      </w:tblPr>
      <w:tblGrid>
        <w:gridCol w:w="2180"/>
        <w:gridCol w:w="2171"/>
        <w:gridCol w:w="2889"/>
        <w:gridCol w:w="2382"/>
      </w:tblGrid>
      <w:tr w:rsidR="00F859C7" w:rsidRPr="00F36DFC" w14:paraId="16C5F842" w14:textId="77777777" w:rsidTr="00F36DFC">
        <w:trPr>
          <w:trHeight w:val="20"/>
        </w:trPr>
        <w:tc>
          <w:tcPr>
            <w:tcW w:w="1133" w:type="pct"/>
            <w:tcBorders>
              <w:top w:val="single" w:sz="6" w:space="0" w:color="000000"/>
              <w:left w:val="single" w:sz="6" w:space="0" w:color="000000"/>
              <w:bottom w:val="single" w:sz="6" w:space="0" w:color="000000"/>
              <w:right w:val="single" w:sz="6" w:space="0" w:color="000000"/>
            </w:tcBorders>
            <w:hideMark/>
          </w:tcPr>
          <w:p w14:paraId="77E8C52A" w14:textId="77777777" w:rsidR="00F859C7" w:rsidRPr="00F36DFC" w:rsidRDefault="00F859C7">
            <w:pPr>
              <w:widowControl/>
              <w:ind w:left="57"/>
              <w:rPr>
                <w:rFonts w:ascii="Times New Roman" w:hAnsi="Times New Roman" w:cs="Times New Roman"/>
                <w:b/>
                <w:sz w:val="22"/>
                <w:lang w:val="en-GB"/>
              </w:rPr>
            </w:pPr>
            <w:r w:rsidRPr="00F36DFC">
              <w:rPr>
                <w:rFonts w:ascii="Times New Roman" w:hAnsi="Times New Roman" w:cs="Times New Roman"/>
                <w:b/>
                <w:bCs/>
                <w:sz w:val="22"/>
                <w:lang w:val="da-DK"/>
              </w:rPr>
              <w:t>Systemorganklasser</w:t>
            </w:r>
          </w:p>
          <w:p w14:paraId="37E0E694" w14:textId="77777777" w:rsidR="00F859C7" w:rsidRPr="00F36DFC" w:rsidRDefault="00F859C7">
            <w:pPr>
              <w:widowControl/>
              <w:ind w:left="57"/>
              <w:rPr>
                <w:rFonts w:ascii="Times New Roman" w:hAnsi="Times New Roman" w:cs="Times New Roman"/>
                <w:b/>
                <w:sz w:val="22"/>
              </w:rPr>
            </w:pPr>
            <w:r w:rsidRPr="00F36DFC">
              <w:rPr>
                <w:rFonts w:ascii="Times New Roman" w:hAnsi="Times New Roman" w:cs="Times New Roman"/>
                <w:sz w:val="22"/>
                <w:lang w:val="da-DK"/>
              </w:rPr>
              <w:t>(</w:t>
            </w:r>
            <w:proofErr w:type="spellStart"/>
            <w:r w:rsidRPr="00F36DFC">
              <w:rPr>
                <w:rFonts w:ascii="Times New Roman" w:hAnsi="Times New Roman" w:cs="Times New Roman"/>
                <w:sz w:val="22"/>
                <w:lang w:val="da-DK"/>
              </w:rPr>
              <w:t>MedDRA</w:t>
            </w:r>
            <w:proofErr w:type="spellEnd"/>
            <w:r w:rsidRPr="00F36DFC">
              <w:rPr>
                <w:rFonts w:ascii="Times New Roman" w:hAnsi="Times New Roman" w:cs="Times New Roman"/>
                <w:sz w:val="22"/>
                <w:lang w:val="da-DK"/>
              </w:rPr>
              <w:t>-terminologi)</w:t>
            </w:r>
          </w:p>
        </w:tc>
        <w:tc>
          <w:tcPr>
            <w:tcW w:w="1128" w:type="pct"/>
            <w:tcBorders>
              <w:top w:val="single" w:sz="6" w:space="0" w:color="000000"/>
              <w:left w:val="single" w:sz="6" w:space="0" w:color="000000"/>
              <w:bottom w:val="single" w:sz="6" w:space="0" w:color="000000"/>
              <w:right w:val="single" w:sz="6" w:space="0" w:color="000000"/>
            </w:tcBorders>
            <w:hideMark/>
          </w:tcPr>
          <w:p w14:paraId="49FA7B3B" w14:textId="77777777" w:rsidR="00F859C7" w:rsidRPr="00F36DFC" w:rsidRDefault="00F859C7">
            <w:pPr>
              <w:widowControl/>
              <w:ind w:left="57"/>
              <w:rPr>
                <w:rFonts w:ascii="Times New Roman" w:hAnsi="Times New Roman" w:cs="Times New Roman"/>
                <w:b/>
                <w:sz w:val="22"/>
              </w:rPr>
            </w:pPr>
            <w:r w:rsidRPr="00F36DFC">
              <w:rPr>
                <w:rFonts w:ascii="Times New Roman" w:hAnsi="Times New Roman" w:cs="Times New Roman"/>
                <w:b/>
                <w:bCs/>
                <w:sz w:val="22"/>
                <w:lang w:val="da-DK"/>
              </w:rPr>
              <w:t>Meget almindelig</w:t>
            </w:r>
          </w:p>
        </w:tc>
        <w:tc>
          <w:tcPr>
            <w:tcW w:w="1501" w:type="pct"/>
            <w:tcBorders>
              <w:top w:val="single" w:sz="6" w:space="0" w:color="000000"/>
              <w:left w:val="single" w:sz="6" w:space="0" w:color="000000"/>
              <w:bottom w:val="single" w:sz="6" w:space="0" w:color="000000"/>
              <w:right w:val="single" w:sz="6" w:space="0" w:color="000000"/>
            </w:tcBorders>
            <w:hideMark/>
          </w:tcPr>
          <w:p w14:paraId="29565A81" w14:textId="77777777" w:rsidR="00F859C7" w:rsidRPr="00F36DFC" w:rsidRDefault="00F859C7">
            <w:pPr>
              <w:widowControl/>
              <w:ind w:left="57"/>
              <w:rPr>
                <w:rFonts w:ascii="Times New Roman" w:hAnsi="Times New Roman" w:cs="Times New Roman"/>
                <w:b/>
                <w:sz w:val="22"/>
              </w:rPr>
            </w:pPr>
            <w:r w:rsidRPr="00F36DFC">
              <w:rPr>
                <w:rFonts w:ascii="Times New Roman" w:hAnsi="Times New Roman" w:cs="Times New Roman"/>
                <w:b/>
                <w:bCs/>
                <w:sz w:val="22"/>
                <w:lang w:val="da-DK"/>
              </w:rPr>
              <w:t>Almindelig</w:t>
            </w:r>
          </w:p>
        </w:tc>
        <w:tc>
          <w:tcPr>
            <w:tcW w:w="1238" w:type="pct"/>
            <w:tcBorders>
              <w:top w:val="single" w:sz="6" w:space="0" w:color="000000"/>
              <w:left w:val="single" w:sz="6" w:space="0" w:color="000000"/>
              <w:bottom w:val="single" w:sz="6" w:space="0" w:color="000000"/>
              <w:right w:val="single" w:sz="6" w:space="0" w:color="000000"/>
            </w:tcBorders>
            <w:hideMark/>
          </w:tcPr>
          <w:p w14:paraId="70DAD90F" w14:textId="77777777" w:rsidR="00F859C7" w:rsidRPr="00F36DFC" w:rsidRDefault="00F859C7">
            <w:pPr>
              <w:widowControl/>
              <w:ind w:left="57"/>
              <w:rPr>
                <w:rFonts w:ascii="Times New Roman" w:hAnsi="Times New Roman" w:cs="Times New Roman"/>
                <w:b/>
                <w:sz w:val="22"/>
              </w:rPr>
            </w:pPr>
            <w:r w:rsidRPr="00F36DFC">
              <w:rPr>
                <w:rFonts w:ascii="Times New Roman" w:hAnsi="Times New Roman" w:cs="Times New Roman"/>
                <w:b/>
                <w:bCs/>
                <w:sz w:val="22"/>
                <w:lang w:val="da-DK"/>
              </w:rPr>
              <w:t>Ikke almindelig</w:t>
            </w:r>
          </w:p>
        </w:tc>
      </w:tr>
      <w:tr w:rsidR="00F859C7" w:rsidRPr="00F36DFC" w14:paraId="6CFD4203" w14:textId="77777777" w:rsidTr="00F36DFC">
        <w:trPr>
          <w:trHeight w:val="20"/>
        </w:trPr>
        <w:tc>
          <w:tcPr>
            <w:tcW w:w="1133" w:type="pct"/>
            <w:tcBorders>
              <w:top w:val="single" w:sz="6" w:space="0" w:color="000000"/>
              <w:left w:val="single" w:sz="6" w:space="0" w:color="000000"/>
              <w:bottom w:val="single" w:sz="6" w:space="0" w:color="000000"/>
              <w:right w:val="single" w:sz="6" w:space="0" w:color="000000"/>
            </w:tcBorders>
            <w:hideMark/>
          </w:tcPr>
          <w:p w14:paraId="43D1AD5B" w14:textId="77777777" w:rsidR="00F859C7" w:rsidRPr="00F36DFC" w:rsidRDefault="00F859C7">
            <w:pPr>
              <w:widowControl/>
              <w:ind w:left="57"/>
              <w:rPr>
                <w:rFonts w:ascii="Times New Roman" w:hAnsi="Times New Roman" w:cs="Times New Roman"/>
                <w:b/>
                <w:sz w:val="22"/>
              </w:rPr>
            </w:pPr>
            <w:r w:rsidRPr="00F36DFC">
              <w:rPr>
                <w:rFonts w:ascii="Times New Roman" w:hAnsi="Times New Roman" w:cs="Times New Roman"/>
                <w:b/>
                <w:bCs/>
                <w:sz w:val="22"/>
                <w:lang w:val="da-DK"/>
              </w:rPr>
              <w:t>Infektioner og parasitære sygdomme</w:t>
            </w:r>
          </w:p>
        </w:tc>
        <w:tc>
          <w:tcPr>
            <w:tcW w:w="1128" w:type="pct"/>
            <w:tcBorders>
              <w:top w:val="single" w:sz="6" w:space="0" w:color="000000"/>
              <w:left w:val="single" w:sz="6" w:space="0" w:color="000000"/>
              <w:bottom w:val="single" w:sz="6" w:space="0" w:color="000000"/>
              <w:right w:val="single" w:sz="6" w:space="0" w:color="000000"/>
            </w:tcBorders>
          </w:tcPr>
          <w:p w14:paraId="5DF44A6F" w14:textId="77777777" w:rsidR="00F859C7" w:rsidRPr="00F36DFC" w:rsidRDefault="00F859C7">
            <w:pPr>
              <w:ind w:left="57"/>
              <w:rPr>
                <w:rFonts w:ascii="Times New Roman" w:hAnsi="Times New Roman" w:cs="Times New Roman"/>
                <w:sz w:val="22"/>
              </w:rPr>
            </w:pPr>
          </w:p>
        </w:tc>
        <w:tc>
          <w:tcPr>
            <w:tcW w:w="1501" w:type="pct"/>
            <w:tcBorders>
              <w:top w:val="single" w:sz="6" w:space="0" w:color="000000"/>
              <w:left w:val="single" w:sz="6" w:space="0" w:color="000000"/>
              <w:bottom w:val="single" w:sz="6" w:space="0" w:color="000000"/>
              <w:right w:val="single" w:sz="6" w:space="0" w:color="000000"/>
            </w:tcBorders>
          </w:tcPr>
          <w:p w14:paraId="7FD85E03" w14:textId="77777777" w:rsidR="00F859C7" w:rsidRPr="00F36DFC" w:rsidRDefault="00F859C7">
            <w:pPr>
              <w:ind w:left="57"/>
              <w:rPr>
                <w:rFonts w:ascii="Times New Roman" w:hAnsi="Times New Roman" w:cs="Times New Roman"/>
                <w:sz w:val="22"/>
              </w:rPr>
            </w:pPr>
          </w:p>
        </w:tc>
        <w:tc>
          <w:tcPr>
            <w:tcW w:w="1238" w:type="pct"/>
            <w:tcBorders>
              <w:top w:val="single" w:sz="6" w:space="0" w:color="000000"/>
              <w:left w:val="single" w:sz="6" w:space="0" w:color="000000"/>
              <w:bottom w:val="single" w:sz="6" w:space="0" w:color="000000"/>
              <w:right w:val="single" w:sz="6" w:space="0" w:color="000000"/>
            </w:tcBorders>
            <w:hideMark/>
          </w:tcPr>
          <w:p w14:paraId="2A9B8331" w14:textId="77777777" w:rsidR="00F859C7" w:rsidRPr="00F36DFC" w:rsidRDefault="00F859C7">
            <w:pPr>
              <w:widowControl/>
              <w:ind w:left="57"/>
              <w:rPr>
                <w:rFonts w:ascii="Times New Roman" w:hAnsi="Times New Roman" w:cs="Times New Roman"/>
                <w:sz w:val="22"/>
              </w:rPr>
            </w:pPr>
            <w:r w:rsidRPr="00F36DFC">
              <w:rPr>
                <w:rFonts w:ascii="Times New Roman" w:hAnsi="Times New Roman" w:cs="Times New Roman"/>
                <w:sz w:val="22"/>
                <w:lang w:val="da-DK"/>
              </w:rPr>
              <w:t>Urinvejsinfektioner</w:t>
            </w:r>
          </w:p>
          <w:p w14:paraId="2B04AA12" w14:textId="77777777" w:rsidR="00F859C7" w:rsidRPr="00F36DFC" w:rsidRDefault="00F859C7">
            <w:pPr>
              <w:widowControl/>
              <w:ind w:left="57"/>
              <w:rPr>
                <w:rFonts w:ascii="Times New Roman" w:hAnsi="Times New Roman" w:cs="Times New Roman"/>
                <w:sz w:val="22"/>
              </w:rPr>
            </w:pPr>
            <w:r w:rsidRPr="00F36DFC">
              <w:rPr>
                <w:rFonts w:ascii="Times New Roman" w:hAnsi="Times New Roman" w:cs="Times New Roman"/>
                <w:sz w:val="22"/>
                <w:lang w:val="da-DK"/>
              </w:rPr>
              <w:t>Pneumoni</w:t>
            </w:r>
          </w:p>
        </w:tc>
      </w:tr>
      <w:tr w:rsidR="00F859C7" w:rsidRPr="00F36DFC" w14:paraId="56E47D9A" w14:textId="77777777" w:rsidTr="00F36DFC">
        <w:trPr>
          <w:trHeight w:val="20"/>
        </w:trPr>
        <w:tc>
          <w:tcPr>
            <w:tcW w:w="1133" w:type="pct"/>
            <w:tcBorders>
              <w:top w:val="single" w:sz="6" w:space="0" w:color="000000"/>
              <w:left w:val="single" w:sz="6" w:space="0" w:color="000000"/>
              <w:bottom w:val="single" w:sz="6" w:space="0" w:color="000000"/>
              <w:right w:val="single" w:sz="6" w:space="0" w:color="000000"/>
            </w:tcBorders>
            <w:hideMark/>
          </w:tcPr>
          <w:p w14:paraId="4ADA6640" w14:textId="77777777" w:rsidR="00F859C7" w:rsidRPr="00F36DFC" w:rsidRDefault="00F859C7">
            <w:pPr>
              <w:widowControl/>
              <w:ind w:left="57"/>
              <w:rPr>
                <w:rFonts w:ascii="Times New Roman" w:hAnsi="Times New Roman" w:cs="Times New Roman"/>
                <w:b/>
                <w:sz w:val="22"/>
              </w:rPr>
            </w:pPr>
            <w:r w:rsidRPr="00F36DFC">
              <w:rPr>
                <w:rFonts w:ascii="Times New Roman" w:hAnsi="Times New Roman" w:cs="Times New Roman"/>
                <w:b/>
                <w:bCs/>
                <w:sz w:val="22"/>
                <w:lang w:val="da-DK"/>
              </w:rPr>
              <w:t>Blod og lymfesystem</w:t>
            </w:r>
          </w:p>
        </w:tc>
        <w:tc>
          <w:tcPr>
            <w:tcW w:w="1128" w:type="pct"/>
            <w:tcBorders>
              <w:top w:val="single" w:sz="6" w:space="0" w:color="000000"/>
              <w:left w:val="single" w:sz="6" w:space="0" w:color="000000"/>
              <w:bottom w:val="single" w:sz="6" w:space="0" w:color="000000"/>
              <w:right w:val="single" w:sz="6" w:space="0" w:color="000000"/>
            </w:tcBorders>
          </w:tcPr>
          <w:p w14:paraId="37917426" w14:textId="77777777" w:rsidR="00F859C7" w:rsidRPr="00F36DFC" w:rsidRDefault="00F859C7">
            <w:pPr>
              <w:ind w:left="57"/>
              <w:rPr>
                <w:rFonts w:ascii="Times New Roman" w:hAnsi="Times New Roman" w:cs="Times New Roman"/>
                <w:sz w:val="22"/>
              </w:rPr>
            </w:pPr>
          </w:p>
        </w:tc>
        <w:tc>
          <w:tcPr>
            <w:tcW w:w="1501" w:type="pct"/>
            <w:tcBorders>
              <w:top w:val="single" w:sz="6" w:space="0" w:color="000000"/>
              <w:left w:val="single" w:sz="6" w:space="0" w:color="000000"/>
              <w:bottom w:val="single" w:sz="6" w:space="0" w:color="000000"/>
              <w:right w:val="single" w:sz="6" w:space="0" w:color="000000"/>
            </w:tcBorders>
          </w:tcPr>
          <w:p w14:paraId="6221B9E8" w14:textId="77777777" w:rsidR="00F859C7" w:rsidRPr="00F36DFC" w:rsidRDefault="00F859C7">
            <w:pPr>
              <w:ind w:left="57"/>
              <w:rPr>
                <w:rFonts w:ascii="Times New Roman" w:hAnsi="Times New Roman" w:cs="Times New Roman"/>
                <w:sz w:val="22"/>
              </w:rPr>
            </w:pPr>
          </w:p>
        </w:tc>
        <w:tc>
          <w:tcPr>
            <w:tcW w:w="1238" w:type="pct"/>
            <w:tcBorders>
              <w:top w:val="single" w:sz="6" w:space="0" w:color="000000"/>
              <w:left w:val="single" w:sz="6" w:space="0" w:color="000000"/>
              <w:bottom w:val="single" w:sz="6" w:space="0" w:color="000000"/>
              <w:right w:val="single" w:sz="6" w:space="0" w:color="000000"/>
            </w:tcBorders>
            <w:hideMark/>
          </w:tcPr>
          <w:p w14:paraId="42E5ECE5" w14:textId="77777777" w:rsidR="00F859C7" w:rsidRPr="00F36DFC" w:rsidRDefault="00F859C7">
            <w:pPr>
              <w:widowControl/>
              <w:ind w:left="57"/>
              <w:rPr>
                <w:rFonts w:ascii="Times New Roman" w:hAnsi="Times New Roman" w:cs="Times New Roman"/>
                <w:sz w:val="22"/>
              </w:rPr>
            </w:pPr>
            <w:proofErr w:type="spellStart"/>
            <w:r w:rsidRPr="00F36DFC">
              <w:rPr>
                <w:rFonts w:ascii="Times New Roman" w:hAnsi="Times New Roman" w:cs="Times New Roman"/>
                <w:sz w:val="22"/>
                <w:lang w:val="da-DK"/>
              </w:rPr>
              <w:t>Leukopeni</w:t>
            </w:r>
            <w:proofErr w:type="spellEnd"/>
          </w:p>
          <w:p w14:paraId="09BDF173" w14:textId="77777777" w:rsidR="00F859C7" w:rsidRPr="00F36DFC" w:rsidRDefault="00F859C7">
            <w:pPr>
              <w:widowControl/>
              <w:ind w:left="57"/>
              <w:rPr>
                <w:rFonts w:ascii="Times New Roman" w:hAnsi="Times New Roman" w:cs="Times New Roman"/>
                <w:sz w:val="22"/>
              </w:rPr>
            </w:pPr>
            <w:proofErr w:type="spellStart"/>
            <w:r w:rsidRPr="00F36DFC">
              <w:rPr>
                <w:rFonts w:ascii="Times New Roman" w:hAnsi="Times New Roman" w:cs="Times New Roman"/>
                <w:sz w:val="22"/>
                <w:lang w:val="da-DK"/>
              </w:rPr>
              <w:t>Trombocytopeni</w:t>
            </w:r>
            <w:proofErr w:type="spellEnd"/>
          </w:p>
        </w:tc>
      </w:tr>
      <w:tr w:rsidR="00F859C7" w:rsidRPr="00F36DFC" w14:paraId="26872D3D" w14:textId="77777777" w:rsidTr="00F36DFC">
        <w:trPr>
          <w:trHeight w:val="20"/>
        </w:trPr>
        <w:tc>
          <w:tcPr>
            <w:tcW w:w="1133" w:type="pct"/>
            <w:tcBorders>
              <w:top w:val="single" w:sz="6" w:space="0" w:color="000000"/>
              <w:left w:val="single" w:sz="6" w:space="0" w:color="000000"/>
              <w:bottom w:val="single" w:sz="6" w:space="0" w:color="000000"/>
              <w:right w:val="single" w:sz="6" w:space="0" w:color="000000"/>
            </w:tcBorders>
            <w:hideMark/>
          </w:tcPr>
          <w:p w14:paraId="16B358F6" w14:textId="77777777" w:rsidR="00F859C7" w:rsidRPr="00F36DFC" w:rsidRDefault="00F859C7">
            <w:pPr>
              <w:widowControl/>
              <w:ind w:left="57"/>
              <w:rPr>
                <w:rFonts w:ascii="Times New Roman" w:hAnsi="Times New Roman" w:cs="Times New Roman"/>
                <w:b/>
                <w:sz w:val="22"/>
              </w:rPr>
            </w:pPr>
            <w:r w:rsidRPr="00F36DFC">
              <w:rPr>
                <w:rFonts w:ascii="Times New Roman" w:hAnsi="Times New Roman" w:cs="Times New Roman"/>
                <w:b/>
                <w:bCs/>
                <w:sz w:val="22"/>
                <w:lang w:val="da-DK"/>
              </w:rPr>
              <w:t>Metabolisme og ernæring</w:t>
            </w:r>
          </w:p>
        </w:tc>
        <w:tc>
          <w:tcPr>
            <w:tcW w:w="1128" w:type="pct"/>
            <w:tcBorders>
              <w:top w:val="single" w:sz="6" w:space="0" w:color="000000"/>
              <w:left w:val="single" w:sz="6" w:space="0" w:color="000000"/>
              <w:bottom w:val="single" w:sz="6" w:space="0" w:color="000000"/>
              <w:right w:val="single" w:sz="6" w:space="0" w:color="000000"/>
            </w:tcBorders>
          </w:tcPr>
          <w:p w14:paraId="79688AF0" w14:textId="77777777" w:rsidR="00F859C7" w:rsidRPr="00F36DFC" w:rsidRDefault="00F859C7">
            <w:pPr>
              <w:ind w:left="57"/>
              <w:rPr>
                <w:rFonts w:ascii="Times New Roman" w:hAnsi="Times New Roman" w:cs="Times New Roman"/>
                <w:sz w:val="22"/>
              </w:rPr>
            </w:pPr>
          </w:p>
        </w:tc>
        <w:tc>
          <w:tcPr>
            <w:tcW w:w="1501" w:type="pct"/>
            <w:tcBorders>
              <w:top w:val="single" w:sz="6" w:space="0" w:color="000000"/>
              <w:left w:val="single" w:sz="6" w:space="0" w:color="000000"/>
              <w:bottom w:val="single" w:sz="6" w:space="0" w:color="000000"/>
              <w:right w:val="single" w:sz="6" w:space="0" w:color="000000"/>
            </w:tcBorders>
            <w:hideMark/>
          </w:tcPr>
          <w:p w14:paraId="3AA71485" w14:textId="77777777" w:rsidR="00F859C7" w:rsidRPr="00F36DFC" w:rsidRDefault="00F859C7">
            <w:pPr>
              <w:widowControl/>
              <w:ind w:left="57"/>
              <w:rPr>
                <w:rFonts w:ascii="Times New Roman" w:hAnsi="Times New Roman" w:cs="Times New Roman"/>
                <w:sz w:val="22"/>
              </w:rPr>
            </w:pPr>
            <w:r w:rsidRPr="00F36DFC">
              <w:rPr>
                <w:rFonts w:ascii="Times New Roman" w:hAnsi="Times New Roman" w:cs="Times New Roman"/>
                <w:sz w:val="22"/>
                <w:lang w:val="da-DK"/>
              </w:rPr>
              <w:t>Nedsat appetit</w:t>
            </w:r>
          </w:p>
        </w:tc>
        <w:tc>
          <w:tcPr>
            <w:tcW w:w="1238" w:type="pct"/>
            <w:tcBorders>
              <w:top w:val="single" w:sz="6" w:space="0" w:color="000000"/>
              <w:left w:val="single" w:sz="6" w:space="0" w:color="000000"/>
              <w:bottom w:val="single" w:sz="6" w:space="0" w:color="000000"/>
              <w:right w:val="single" w:sz="6" w:space="0" w:color="000000"/>
            </w:tcBorders>
            <w:hideMark/>
          </w:tcPr>
          <w:p w14:paraId="36CB0B8F" w14:textId="77777777" w:rsidR="00F859C7" w:rsidRPr="00F36DFC" w:rsidRDefault="00F859C7">
            <w:pPr>
              <w:widowControl/>
              <w:ind w:left="57"/>
              <w:rPr>
                <w:rFonts w:ascii="Times New Roman" w:hAnsi="Times New Roman" w:cs="Times New Roman"/>
                <w:sz w:val="22"/>
              </w:rPr>
            </w:pPr>
            <w:proofErr w:type="spellStart"/>
            <w:r w:rsidRPr="00F36DFC">
              <w:rPr>
                <w:rFonts w:ascii="Times New Roman" w:hAnsi="Times New Roman" w:cs="Times New Roman"/>
                <w:sz w:val="22"/>
                <w:lang w:val="da-DK"/>
              </w:rPr>
              <w:t>Hypokaliæmi</w:t>
            </w:r>
            <w:proofErr w:type="spellEnd"/>
          </w:p>
        </w:tc>
      </w:tr>
      <w:tr w:rsidR="00F859C7" w:rsidRPr="00F36DFC" w14:paraId="708B897E" w14:textId="77777777" w:rsidTr="00F36DFC">
        <w:trPr>
          <w:trHeight w:val="20"/>
        </w:trPr>
        <w:tc>
          <w:tcPr>
            <w:tcW w:w="1133" w:type="pct"/>
            <w:tcBorders>
              <w:top w:val="single" w:sz="6" w:space="0" w:color="000000"/>
              <w:left w:val="single" w:sz="6" w:space="0" w:color="000000"/>
              <w:bottom w:val="single" w:sz="6" w:space="0" w:color="000000"/>
              <w:right w:val="single" w:sz="6" w:space="0" w:color="000000"/>
            </w:tcBorders>
            <w:hideMark/>
          </w:tcPr>
          <w:p w14:paraId="2ADF5128" w14:textId="77777777" w:rsidR="00F859C7" w:rsidRPr="00F36DFC" w:rsidRDefault="00F859C7">
            <w:pPr>
              <w:widowControl/>
              <w:ind w:left="57"/>
              <w:rPr>
                <w:rFonts w:ascii="Times New Roman" w:hAnsi="Times New Roman" w:cs="Times New Roman"/>
                <w:b/>
                <w:sz w:val="22"/>
              </w:rPr>
            </w:pPr>
            <w:r w:rsidRPr="00F36DFC">
              <w:rPr>
                <w:rFonts w:ascii="Times New Roman" w:hAnsi="Times New Roman" w:cs="Times New Roman"/>
                <w:b/>
                <w:bCs/>
                <w:sz w:val="22"/>
                <w:lang w:val="da-DK"/>
              </w:rPr>
              <w:t>Psykiske forstyrrelser</w:t>
            </w:r>
          </w:p>
        </w:tc>
        <w:tc>
          <w:tcPr>
            <w:tcW w:w="1128" w:type="pct"/>
            <w:tcBorders>
              <w:top w:val="single" w:sz="6" w:space="0" w:color="000000"/>
              <w:left w:val="single" w:sz="6" w:space="0" w:color="000000"/>
              <w:bottom w:val="single" w:sz="6" w:space="0" w:color="000000"/>
              <w:right w:val="single" w:sz="6" w:space="0" w:color="000000"/>
            </w:tcBorders>
          </w:tcPr>
          <w:p w14:paraId="543936C2" w14:textId="77777777" w:rsidR="00F859C7" w:rsidRPr="00F36DFC" w:rsidRDefault="00F859C7">
            <w:pPr>
              <w:ind w:left="57"/>
              <w:rPr>
                <w:rFonts w:ascii="Times New Roman" w:hAnsi="Times New Roman" w:cs="Times New Roman"/>
                <w:sz w:val="22"/>
              </w:rPr>
            </w:pPr>
          </w:p>
        </w:tc>
        <w:tc>
          <w:tcPr>
            <w:tcW w:w="1501" w:type="pct"/>
            <w:tcBorders>
              <w:top w:val="single" w:sz="6" w:space="0" w:color="000000"/>
              <w:left w:val="single" w:sz="6" w:space="0" w:color="000000"/>
              <w:bottom w:val="single" w:sz="6" w:space="0" w:color="000000"/>
              <w:right w:val="single" w:sz="6" w:space="0" w:color="000000"/>
            </w:tcBorders>
            <w:hideMark/>
          </w:tcPr>
          <w:p w14:paraId="31F69867" w14:textId="77777777" w:rsidR="00F859C7" w:rsidRPr="00F36DFC" w:rsidRDefault="00F859C7">
            <w:pPr>
              <w:widowControl/>
              <w:ind w:left="57"/>
              <w:rPr>
                <w:rFonts w:ascii="Times New Roman" w:hAnsi="Times New Roman" w:cs="Times New Roman"/>
                <w:sz w:val="22"/>
                <w:lang w:val="da-DK"/>
              </w:rPr>
            </w:pPr>
            <w:r w:rsidRPr="00F36DFC">
              <w:rPr>
                <w:rFonts w:ascii="Times New Roman" w:hAnsi="Times New Roman" w:cs="Times New Roman"/>
                <w:sz w:val="22"/>
                <w:lang w:val="da-DK"/>
              </w:rPr>
              <w:t>Agitation</w:t>
            </w:r>
          </w:p>
          <w:p w14:paraId="5C417EC8" w14:textId="77777777" w:rsidR="00F859C7" w:rsidRPr="00F36DFC" w:rsidRDefault="00F859C7">
            <w:pPr>
              <w:widowControl/>
              <w:ind w:left="57"/>
              <w:rPr>
                <w:rFonts w:ascii="Times New Roman" w:hAnsi="Times New Roman" w:cs="Times New Roman"/>
                <w:sz w:val="22"/>
                <w:lang w:val="da-DK"/>
              </w:rPr>
            </w:pPr>
            <w:r w:rsidRPr="00F36DFC">
              <w:rPr>
                <w:rFonts w:ascii="Times New Roman" w:hAnsi="Times New Roman" w:cs="Times New Roman"/>
                <w:sz w:val="22"/>
                <w:lang w:val="da-DK"/>
              </w:rPr>
              <w:t xml:space="preserve">Depression </w:t>
            </w:r>
          </w:p>
          <w:p w14:paraId="57A9B6EA" w14:textId="77777777" w:rsidR="00F859C7" w:rsidRPr="00F36DFC" w:rsidRDefault="00F859C7">
            <w:pPr>
              <w:widowControl/>
              <w:ind w:left="57"/>
              <w:rPr>
                <w:rFonts w:ascii="Times New Roman" w:hAnsi="Times New Roman" w:cs="Times New Roman"/>
                <w:sz w:val="22"/>
                <w:lang w:val="da-DK"/>
              </w:rPr>
            </w:pPr>
            <w:r w:rsidRPr="00F36DFC">
              <w:rPr>
                <w:rFonts w:ascii="Times New Roman" w:hAnsi="Times New Roman" w:cs="Times New Roman"/>
                <w:sz w:val="22"/>
                <w:lang w:val="da-DK"/>
              </w:rPr>
              <w:t>Insomni</w:t>
            </w:r>
          </w:p>
          <w:p w14:paraId="24DB1D4E" w14:textId="77777777" w:rsidR="00F859C7" w:rsidRPr="00F36DFC" w:rsidRDefault="00F859C7">
            <w:pPr>
              <w:widowControl/>
              <w:ind w:left="57"/>
              <w:rPr>
                <w:rFonts w:ascii="Times New Roman" w:hAnsi="Times New Roman" w:cs="Times New Roman"/>
                <w:sz w:val="22"/>
                <w:lang w:val="da-DK"/>
              </w:rPr>
            </w:pPr>
            <w:r w:rsidRPr="00F36DFC">
              <w:rPr>
                <w:rFonts w:ascii="Times New Roman" w:hAnsi="Times New Roman" w:cs="Times New Roman"/>
                <w:sz w:val="22"/>
                <w:lang w:val="da-DK"/>
              </w:rPr>
              <w:t xml:space="preserve">Humørsvingninger </w:t>
            </w:r>
          </w:p>
          <w:p w14:paraId="04FFFB34" w14:textId="77777777" w:rsidR="00F859C7" w:rsidRPr="00F36DFC" w:rsidRDefault="00F859C7">
            <w:pPr>
              <w:widowControl/>
              <w:ind w:left="57"/>
              <w:rPr>
                <w:rFonts w:ascii="Times New Roman" w:hAnsi="Times New Roman" w:cs="Times New Roman"/>
                <w:sz w:val="22"/>
                <w:lang w:val="da-DK"/>
              </w:rPr>
            </w:pPr>
            <w:r w:rsidRPr="00F36DFC">
              <w:rPr>
                <w:rFonts w:ascii="Times New Roman" w:hAnsi="Times New Roman" w:cs="Times New Roman"/>
                <w:sz w:val="22"/>
                <w:lang w:val="da-DK"/>
              </w:rPr>
              <w:t>Angst</w:t>
            </w:r>
          </w:p>
        </w:tc>
        <w:tc>
          <w:tcPr>
            <w:tcW w:w="1238" w:type="pct"/>
            <w:tcBorders>
              <w:top w:val="single" w:sz="6" w:space="0" w:color="000000"/>
              <w:left w:val="single" w:sz="6" w:space="0" w:color="000000"/>
              <w:bottom w:val="single" w:sz="6" w:space="0" w:color="000000"/>
              <w:right w:val="single" w:sz="6" w:space="0" w:color="000000"/>
            </w:tcBorders>
            <w:hideMark/>
          </w:tcPr>
          <w:p w14:paraId="6B54A067" w14:textId="77777777" w:rsidR="00F859C7" w:rsidRPr="00F36DFC" w:rsidRDefault="00F859C7">
            <w:pPr>
              <w:widowControl/>
              <w:ind w:left="57"/>
              <w:rPr>
                <w:rFonts w:ascii="Times New Roman" w:hAnsi="Times New Roman" w:cs="Times New Roman"/>
                <w:sz w:val="22"/>
                <w:lang w:val="da-DK"/>
              </w:rPr>
            </w:pPr>
            <w:r w:rsidRPr="00F36DFC">
              <w:rPr>
                <w:rFonts w:ascii="Times New Roman" w:hAnsi="Times New Roman" w:cs="Times New Roman"/>
                <w:sz w:val="22"/>
                <w:lang w:val="da-DK"/>
              </w:rPr>
              <w:t>Konfusion</w:t>
            </w:r>
          </w:p>
          <w:p w14:paraId="289A7732" w14:textId="77777777" w:rsidR="00F859C7" w:rsidRPr="00F36DFC" w:rsidRDefault="00F859C7">
            <w:pPr>
              <w:widowControl/>
              <w:ind w:left="57"/>
              <w:rPr>
                <w:rFonts w:ascii="Times New Roman" w:hAnsi="Times New Roman" w:cs="Times New Roman"/>
                <w:sz w:val="22"/>
                <w:lang w:val="da-DK"/>
              </w:rPr>
            </w:pPr>
            <w:r w:rsidRPr="00F36DFC">
              <w:rPr>
                <w:rFonts w:ascii="Times New Roman" w:hAnsi="Times New Roman" w:cs="Times New Roman"/>
                <w:sz w:val="22"/>
                <w:lang w:val="da-DK"/>
              </w:rPr>
              <w:t>Akut psykose Aggression</w:t>
            </w:r>
          </w:p>
          <w:p w14:paraId="48DB82AB" w14:textId="77777777" w:rsidR="00F859C7" w:rsidRPr="00F36DFC" w:rsidRDefault="00F859C7">
            <w:pPr>
              <w:widowControl/>
              <w:ind w:left="57"/>
              <w:rPr>
                <w:rFonts w:ascii="Times New Roman" w:hAnsi="Times New Roman" w:cs="Times New Roman"/>
                <w:sz w:val="22"/>
                <w:lang w:val="da-DK"/>
              </w:rPr>
            </w:pPr>
            <w:r w:rsidRPr="00F36DFC">
              <w:rPr>
                <w:rFonts w:ascii="Times New Roman" w:hAnsi="Times New Roman" w:cs="Times New Roman"/>
                <w:sz w:val="22"/>
                <w:lang w:val="da-DK"/>
              </w:rPr>
              <w:t xml:space="preserve">Selvmordstanker </w:t>
            </w:r>
          </w:p>
          <w:p w14:paraId="2830BB3B" w14:textId="77777777" w:rsidR="00F859C7" w:rsidRPr="00F36DFC" w:rsidRDefault="00F859C7">
            <w:pPr>
              <w:widowControl/>
              <w:ind w:left="57"/>
              <w:rPr>
                <w:rFonts w:ascii="Times New Roman" w:hAnsi="Times New Roman" w:cs="Times New Roman"/>
                <w:sz w:val="22"/>
                <w:lang w:val="da-DK"/>
              </w:rPr>
            </w:pPr>
            <w:r w:rsidRPr="00F36DFC">
              <w:rPr>
                <w:rFonts w:ascii="Times New Roman" w:hAnsi="Times New Roman" w:cs="Times New Roman"/>
                <w:sz w:val="22"/>
                <w:lang w:val="da-DK"/>
              </w:rPr>
              <w:t>Hallucinationer</w:t>
            </w:r>
          </w:p>
        </w:tc>
      </w:tr>
      <w:tr w:rsidR="00F859C7" w:rsidRPr="00F36DFC" w14:paraId="586B9367" w14:textId="77777777" w:rsidTr="00F36DFC">
        <w:trPr>
          <w:trHeight w:val="20"/>
        </w:trPr>
        <w:tc>
          <w:tcPr>
            <w:tcW w:w="1133" w:type="pct"/>
            <w:tcBorders>
              <w:top w:val="single" w:sz="6" w:space="0" w:color="000000"/>
              <w:left w:val="single" w:sz="6" w:space="0" w:color="000000"/>
              <w:bottom w:val="single" w:sz="6" w:space="0" w:color="000000"/>
              <w:right w:val="single" w:sz="6" w:space="0" w:color="000000"/>
            </w:tcBorders>
            <w:hideMark/>
          </w:tcPr>
          <w:p w14:paraId="3426966B" w14:textId="77777777" w:rsidR="00F859C7" w:rsidRPr="00F36DFC" w:rsidRDefault="00F859C7">
            <w:pPr>
              <w:widowControl/>
              <w:ind w:left="57"/>
              <w:rPr>
                <w:rFonts w:ascii="Times New Roman" w:hAnsi="Times New Roman" w:cs="Times New Roman"/>
                <w:b/>
                <w:sz w:val="22"/>
                <w:lang w:val="en-GB"/>
              </w:rPr>
            </w:pPr>
            <w:r w:rsidRPr="00F36DFC">
              <w:rPr>
                <w:rFonts w:ascii="Times New Roman" w:hAnsi="Times New Roman" w:cs="Times New Roman"/>
                <w:b/>
                <w:bCs/>
                <w:sz w:val="22"/>
                <w:lang w:val="da-DK"/>
              </w:rPr>
              <w:t>Nervesystemet</w:t>
            </w:r>
          </w:p>
        </w:tc>
        <w:tc>
          <w:tcPr>
            <w:tcW w:w="1128" w:type="pct"/>
            <w:tcBorders>
              <w:top w:val="single" w:sz="6" w:space="0" w:color="000000"/>
              <w:left w:val="single" w:sz="6" w:space="0" w:color="000000"/>
              <w:bottom w:val="single" w:sz="6" w:space="0" w:color="000000"/>
              <w:right w:val="single" w:sz="6" w:space="0" w:color="000000"/>
            </w:tcBorders>
          </w:tcPr>
          <w:p w14:paraId="47655339" w14:textId="77777777" w:rsidR="00F859C7" w:rsidRPr="00F36DFC" w:rsidRDefault="00F859C7">
            <w:pPr>
              <w:ind w:left="57"/>
              <w:rPr>
                <w:rFonts w:ascii="Times New Roman" w:hAnsi="Times New Roman" w:cs="Times New Roman"/>
                <w:sz w:val="22"/>
              </w:rPr>
            </w:pPr>
          </w:p>
        </w:tc>
        <w:tc>
          <w:tcPr>
            <w:tcW w:w="1501" w:type="pct"/>
            <w:tcBorders>
              <w:top w:val="single" w:sz="6" w:space="0" w:color="000000"/>
              <w:left w:val="single" w:sz="6" w:space="0" w:color="000000"/>
              <w:bottom w:val="single" w:sz="6" w:space="0" w:color="000000"/>
              <w:right w:val="single" w:sz="6" w:space="0" w:color="000000"/>
            </w:tcBorders>
            <w:hideMark/>
          </w:tcPr>
          <w:p w14:paraId="15368F12" w14:textId="77777777" w:rsidR="00F859C7" w:rsidRPr="00F36DFC" w:rsidRDefault="00F859C7">
            <w:pPr>
              <w:widowControl/>
              <w:ind w:left="57"/>
              <w:rPr>
                <w:rFonts w:ascii="Times New Roman" w:hAnsi="Times New Roman" w:cs="Times New Roman"/>
                <w:sz w:val="22"/>
                <w:lang w:val="da-DK"/>
              </w:rPr>
            </w:pPr>
            <w:proofErr w:type="spellStart"/>
            <w:r w:rsidRPr="00F36DFC">
              <w:rPr>
                <w:rFonts w:ascii="Times New Roman" w:hAnsi="Times New Roman" w:cs="Times New Roman"/>
                <w:sz w:val="22"/>
                <w:lang w:val="da-DK"/>
              </w:rPr>
              <w:t>Ataksi</w:t>
            </w:r>
            <w:proofErr w:type="spellEnd"/>
          </w:p>
          <w:p w14:paraId="691B6573" w14:textId="77777777" w:rsidR="00F859C7" w:rsidRPr="00F36DFC" w:rsidRDefault="00F859C7">
            <w:pPr>
              <w:widowControl/>
              <w:ind w:left="57"/>
              <w:rPr>
                <w:rFonts w:ascii="Times New Roman" w:hAnsi="Times New Roman" w:cs="Times New Roman"/>
                <w:sz w:val="22"/>
                <w:lang w:val="da-DK"/>
              </w:rPr>
            </w:pPr>
            <w:r w:rsidRPr="00F36DFC">
              <w:rPr>
                <w:rFonts w:ascii="Times New Roman" w:hAnsi="Times New Roman" w:cs="Times New Roman"/>
                <w:sz w:val="22"/>
                <w:lang w:val="da-DK"/>
              </w:rPr>
              <w:t>Svimmelhed</w:t>
            </w:r>
          </w:p>
          <w:p w14:paraId="5B0FEAA8" w14:textId="77777777" w:rsidR="00F859C7" w:rsidRPr="00F36DFC" w:rsidRDefault="00F859C7">
            <w:pPr>
              <w:widowControl/>
              <w:ind w:left="57"/>
              <w:rPr>
                <w:rFonts w:ascii="Times New Roman" w:hAnsi="Times New Roman" w:cs="Times New Roman"/>
                <w:sz w:val="22"/>
                <w:lang w:val="da-DK"/>
              </w:rPr>
            </w:pPr>
            <w:r w:rsidRPr="00F36DFC">
              <w:rPr>
                <w:rFonts w:ascii="Times New Roman" w:hAnsi="Times New Roman" w:cs="Times New Roman"/>
                <w:sz w:val="22"/>
                <w:lang w:val="da-DK"/>
              </w:rPr>
              <w:t>Hukommelsesbesvær</w:t>
            </w:r>
          </w:p>
          <w:p w14:paraId="0CAA0EDE" w14:textId="77777777" w:rsidR="00F859C7" w:rsidRPr="00F36DFC" w:rsidRDefault="00F859C7">
            <w:pPr>
              <w:widowControl/>
              <w:ind w:left="57"/>
              <w:rPr>
                <w:rFonts w:ascii="Times New Roman" w:hAnsi="Times New Roman" w:cs="Times New Roman"/>
                <w:sz w:val="22"/>
                <w:lang w:val="da-DK"/>
              </w:rPr>
            </w:pPr>
            <w:r w:rsidRPr="00F36DFC">
              <w:rPr>
                <w:rFonts w:ascii="Times New Roman" w:hAnsi="Times New Roman" w:cs="Times New Roman"/>
                <w:sz w:val="22"/>
                <w:lang w:val="da-DK"/>
              </w:rPr>
              <w:t>Døsighed</w:t>
            </w:r>
          </w:p>
          <w:p w14:paraId="73091A56" w14:textId="77777777" w:rsidR="00F859C7" w:rsidRPr="00F36DFC" w:rsidRDefault="00F859C7">
            <w:pPr>
              <w:widowControl/>
              <w:ind w:left="57"/>
              <w:rPr>
                <w:rFonts w:ascii="Times New Roman" w:hAnsi="Times New Roman" w:cs="Times New Roman"/>
                <w:sz w:val="22"/>
                <w:lang w:val="da-DK"/>
              </w:rPr>
            </w:pPr>
            <w:proofErr w:type="spellStart"/>
            <w:r w:rsidRPr="00F36DFC">
              <w:rPr>
                <w:rFonts w:ascii="Times New Roman" w:hAnsi="Times New Roman" w:cs="Times New Roman"/>
                <w:sz w:val="22"/>
                <w:lang w:val="da-DK"/>
              </w:rPr>
              <w:t>Bradyfreni</w:t>
            </w:r>
            <w:proofErr w:type="spellEnd"/>
          </w:p>
          <w:p w14:paraId="3F443E38" w14:textId="77777777" w:rsidR="00F859C7" w:rsidRPr="00F36DFC" w:rsidRDefault="00F859C7">
            <w:pPr>
              <w:widowControl/>
              <w:ind w:left="57"/>
              <w:rPr>
                <w:rFonts w:ascii="Times New Roman" w:hAnsi="Times New Roman" w:cs="Times New Roman"/>
                <w:sz w:val="22"/>
                <w:lang w:val="da-DK"/>
              </w:rPr>
            </w:pPr>
            <w:r w:rsidRPr="00F36DFC">
              <w:rPr>
                <w:rFonts w:ascii="Times New Roman" w:hAnsi="Times New Roman" w:cs="Times New Roman"/>
                <w:sz w:val="22"/>
                <w:lang w:val="da-DK"/>
              </w:rPr>
              <w:t>Opmærksomhedsforstyrrelser</w:t>
            </w:r>
          </w:p>
          <w:p w14:paraId="3813B041" w14:textId="77777777" w:rsidR="00F859C7" w:rsidRPr="00F36DFC" w:rsidRDefault="00F859C7">
            <w:pPr>
              <w:widowControl/>
              <w:ind w:left="57"/>
              <w:rPr>
                <w:rFonts w:ascii="Times New Roman" w:hAnsi="Times New Roman" w:cs="Times New Roman"/>
                <w:sz w:val="22"/>
                <w:lang w:val="en-GB"/>
              </w:rPr>
            </w:pPr>
            <w:proofErr w:type="spellStart"/>
            <w:r w:rsidRPr="00F36DFC">
              <w:rPr>
                <w:rFonts w:ascii="Times New Roman" w:hAnsi="Times New Roman" w:cs="Times New Roman"/>
                <w:sz w:val="22"/>
                <w:lang w:val="da-DK"/>
              </w:rPr>
              <w:t>Paræstesi</w:t>
            </w:r>
            <w:proofErr w:type="spellEnd"/>
          </w:p>
        </w:tc>
        <w:tc>
          <w:tcPr>
            <w:tcW w:w="1238" w:type="pct"/>
            <w:tcBorders>
              <w:top w:val="single" w:sz="6" w:space="0" w:color="000000"/>
              <w:left w:val="single" w:sz="6" w:space="0" w:color="000000"/>
              <w:bottom w:val="single" w:sz="6" w:space="0" w:color="000000"/>
              <w:right w:val="single" w:sz="6" w:space="0" w:color="000000"/>
            </w:tcBorders>
            <w:hideMark/>
          </w:tcPr>
          <w:p w14:paraId="665D7325" w14:textId="77777777" w:rsidR="00F859C7" w:rsidRPr="00F36DFC" w:rsidRDefault="00F859C7">
            <w:pPr>
              <w:widowControl/>
              <w:ind w:left="57"/>
              <w:rPr>
                <w:rFonts w:ascii="Times New Roman" w:hAnsi="Times New Roman" w:cs="Times New Roman"/>
                <w:sz w:val="22"/>
              </w:rPr>
            </w:pPr>
            <w:r w:rsidRPr="00F36DFC">
              <w:rPr>
                <w:rFonts w:ascii="Times New Roman" w:hAnsi="Times New Roman" w:cs="Times New Roman"/>
                <w:sz w:val="22"/>
                <w:lang w:val="da-DK"/>
              </w:rPr>
              <w:t>Nystagmus</w:t>
            </w:r>
          </w:p>
          <w:p w14:paraId="2A1741DD" w14:textId="77777777" w:rsidR="00F859C7" w:rsidRPr="00F36DFC" w:rsidRDefault="00F859C7">
            <w:pPr>
              <w:widowControl/>
              <w:ind w:left="57"/>
              <w:rPr>
                <w:rFonts w:ascii="Times New Roman" w:hAnsi="Times New Roman" w:cs="Times New Roman"/>
                <w:sz w:val="22"/>
              </w:rPr>
            </w:pPr>
            <w:r w:rsidRPr="00F36DFC">
              <w:rPr>
                <w:rFonts w:ascii="Times New Roman" w:hAnsi="Times New Roman" w:cs="Times New Roman"/>
                <w:sz w:val="22"/>
                <w:lang w:val="da-DK"/>
              </w:rPr>
              <w:t xml:space="preserve">Taleforstyrrelser </w:t>
            </w:r>
          </w:p>
          <w:p w14:paraId="59467295" w14:textId="77777777" w:rsidR="00F859C7" w:rsidRPr="00F36DFC" w:rsidRDefault="00F859C7">
            <w:pPr>
              <w:widowControl/>
              <w:ind w:left="57"/>
              <w:rPr>
                <w:rFonts w:ascii="Times New Roman" w:hAnsi="Times New Roman" w:cs="Times New Roman"/>
                <w:sz w:val="22"/>
              </w:rPr>
            </w:pPr>
            <w:proofErr w:type="spellStart"/>
            <w:r w:rsidRPr="00F36DFC">
              <w:rPr>
                <w:rFonts w:ascii="Times New Roman" w:hAnsi="Times New Roman" w:cs="Times New Roman"/>
                <w:sz w:val="22"/>
                <w:lang w:val="da-DK"/>
              </w:rPr>
              <w:t>Tremor</w:t>
            </w:r>
            <w:proofErr w:type="spellEnd"/>
            <w:r w:rsidRPr="00F36DFC">
              <w:rPr>
                <w:rFonts w:ascii="Times New Roman" w:hAnsi="Times New Roman" w:cs="Times New Roman"/>
                <w:sz w:val="22"/>
                <w:lang w:val="da-DK"/>
              </w:rPr>
              <w:t xml:space="preserve"> </w:t>
            </w:r>
          </w:p>
          <w:p w14:paraId="7EA699EA" w14:textId="77777777" w:rsidR="00F859C7" w:rsidRPr="00F36DFC" w:rsidRDefault="00F859C7">
            <w:pPr>
              <w:widowControl/>
              <w:ind w:left="57"/>
              <w:rPr>
                <w:rFonts w:ascii="Times New Roman" w:hAnsi="Times New Roman" w:cs="Times New Roman"/>
                <w:sz w:val="22"/>
              </w:rPr>
            </w:pPr>
            <w:r w:rsidRPr="00F36DFC">
              <w:rPr>
                <w:rFonts w:ascii="Times New Roman" w:hAnsi="Times New Roman" w:cs="Times New Roman"/>
                <w:sz w:val="22"/>
                <w:lang w:val="da-DK"/>
              </w:rPr>
              <w:t>Krampeanfald</w:t>
            </w:r>
          </w:p>
        </w:tc>
      </w:tr>
      <w:tr w:rsidR="00F859C7" w:rsidRPr="00F36DFC" w14:paraId="7984E37A" w14:textId="77777777" w:rsidTr="00F36DFC">
        <w:trPr>
          <w:trHeight w:val="20"/>
        </w:trPr>
        <w:tc>
          <w:tcPr>
            <w:tcW w:w="1133" w:type="pct"/>
            <w:tcBorders>
              <w:top w:val="single" w:sz="6" w:space="0" w:color="000000"/>
              <w:left w:val="single" w:sz="6" w:space="0" w:color="000000"/>
              <w:bottom w:val="single" w:sz="6" w:space="0" w:color="000000"/>
              <w:right w:val="single" w:sz="6" w:space="0" w:color="000000"/>
            </w:tcBorders>
            <w:hideMark/>
          </w:tcPr>
          <w:p w14:paraId="3202B7C0" w14:textId="77777777" w:rsidR="00F859C7" w:rsidRPr="00F36DFC" w:rsidRDefault="00F859C7">
            <w:pPr>
              <w:widowControl/>
              <w:ind w:left="57"/>
              <w:rPr>
                <w:rFonts w:ascii="Times New Roman" w:hAnsi="Times New Roman" w:cs="Times New Roman"/>
                <w:b/>
                <w:sz w:val="22"/>
              </w:rPr>
            </w:pPr>
            <w:r w:rsidRPr="00F36DFC">
              <w:rPr>
                <w:rFonts w:ascii="Times New Roman" w:hAnsi="Times New Roman" w:cs="Times New Roman"/>
                <w:b/>
                <w:bCs/>
                <w:sz w:val="22"/>
                <w:lang w:val="da-DK"/>
              </w:rPr>
              <w:t>Øjne</w:t>
            </w:r>
          </w:p>
        </w:tc>
        <w:tc>
          <w:tcPr>
            <w:tcW w:w="1128" w:type="pct"/>
            <w:tcBorders>
              <w:top w:val="single" w:sz="6" w:space="0" w:color="000000"/>
              <w:left w:val="single" w:sz="6" w:space="0" w:color="000000"/>
              <w:bottom w:val="single" w:sz="6" w:space="0" w:color="000000"/>
              <w:right w:val="single" w:sz="6" w:space="0" w:color="000000"/>
            </w:tcBorders>
          </w:tcPr>
          <w:p w14:paraId="2D5018B8" w14:textId="77777777" w:rsidR="00F859C7" w:rsidRPr="00F36DFC" w:rsidRDefault="00F859C7">
            <w:pPr>
              <w:ind w:left="57"/>
              <w:rPr>
                <w:rFonts w:ascii="Times New Roman" w:hAnsi="Times New Roman" w:cs="Times New Roman"/>
                <w:sz w:val="22"/>
              </w:rPr>
            </w:pPr>
          </w:p>
        </w:tc>
        <w:tc>
          <w:tcPr>
            <w:tcW w:w="1501" w:type="pct"/>
            <w:tcBorders>
              <w:top w:val="single" w:sz="6" w:space="0" w:color="000000"/>
              <w:left w:val="single" w:sz="6" w:space="0" w:color="000000"/>
              <w:bottom w:val="single" w:sz="6" w:space="0" w:color="000000"/>
              <w:right w:val="single" w:sz="6" w:space="0" w:color="000000"/>
            </w:tcBorders>
            <w:hideMark/>
          </w:tcPr>
          <w:p w14:paraId="74D107C2" w14:textId="77777777" w:rsidR="00F859C7" w:rsidRPr="00F36DFC" w:rsidRDefault="00F859C7">
            <w:pPr>
              <w:widowControl/>
              <w:ind w:left="57"/>
              <w:rPr>
                <w:rFonts w:ascii="Times New Roman" w:hAnsi="Times New Roman" w:cs="Times New Roman"/>
                <w:sz w:val="22"/>
              </w:rPr>
            </w:pPr>
            <w:proofErr w:type="spellStart"/>
            <w:r w:rsidRPr="00F36DFC">
              <w:rPr>
                <w:rFonts w:ascii="Times New Roman" w:hAnsi="Times New Roman" w:cs="Times New Roman"/>
                <w:sz w:val="22"/>
                <w:lang w:val="da-DK"/>
              </w:rPr>
              <w:t>Diplopi</w:t>
            </w:r>
            <w:proofErr w:type="spellEnd"/>
          </w:p>
        </w:tc>
        <w:tc>
          <w:tcPr>
            <w:tcW w:w="1238" w:type="pct"/>
            <w:tcBorders>
              <w:top w:val="single" w:sz="6" w:space="0" w:color="000000"/>
              <w:left w:val="single" w:sz="6" w:space="0" w:color="000000"/>
              <w:bottom w:val="single" w:sz="6" w:space="0" w:color="000000"/>
              <w:right w:val="single" w:sz="6" w:space="0" w:color="000000"/>
            </w:tcBorders>
          </w:tcPr>
          <w:p w14:paraId="1223912B" w14:textId="77777777" w:rsidR="00F859C7" w:rsidRPr="00F36DFC" w:rsidRDefault="00F859C7">
            <w:pPr>
              <w:ind w:left="57"/>
              <w:rPr>
                <w:rFonts w:ascii="Times New Roman" w:hAnsi="Times New Roman" w:cs="Times New Roman"/>
                <w:sz w:val="22"/>
              </w:rPr>
            </w:pPr>
          </w:p>
        </w:tc>
      </w:tr>
      <w:tr w:rsidR="00F859C7" w:rsidRPr="00F36DFC" w14:paraId="1F295E9D" w14:textId="77777777" w:rsidTr="00F36DFC">
        <w:trPr>
          <w:trHeight w:val="20"/>
        </w:trPr>
        <w:tc>
          <w:tcPr>
            <w:tcW w:w="1133" w:type="pct"/>
            <w:tcBorders>
              <w:top w:val="single" w:sz="6" w:space="0" w:color="000000"/>
              <w:left w:val="single" w:sz="6" w:space="0" w:color="000000"/>
              <w:bottom w:val="single" w:sz="6" w:space="0" w:color="000000"/>
              <w:right w:val="single" w:sz="6" w:space="0" w:color="000000"/>
            </w:tcBorders>
            <w:hideMark/>
          </w:tcPr>
          <w:p w14:paraId="7A17BCBF" w14:textId="77777777" w:rsidR="00F859C7" w:rsidRPr="00F36DFC" w:rsidRDefault="00F859C7">
            <w:pPr>
              <w:widowControl/>
              <w:ind w:left="57"/>
              <w:rPr>
                <w:rFonts w:ascii="Times New Roman" w:hAnsi="Times New Roman" w:cs="Times New Roman"/>
                <w:b/>
                <w:sz w:val="22"/>
              </w:rPr>
            </w:pPr>
            <w:r w:rsidRPr="00F36DFC">
              <w:rPr>
                <w:rFonts w:ascii="Times New Roman" w:hAnsi="Times New Roman" w:cs="Times New Roman"/>
                <w:b/>
                <w:bCs/>
                <w:sz w:val="22"/>
                <w:lang w:val="da-DK"/>
              </w:rPr>
              <w:t xml:space="preserve">Luftveje, thorax og </w:t>
            </w:r>
            <w:proofErr w:type="spellStart"/>
            <w:r w:rsidRPr="00F36DFC">
              <w:rPr>
                <w:rFonts w:ascii="Times New Roman" w:hAnsi="Times New Roman" w:cs="Times New Roman"/>
                <w:b/>
                <w:bCs/>
                <w:sz w:val="22"/>
                <w:lang w:val="da-DK"/>
              </w:rPr>
              <w:t>mediastinum</w:t>
            </w:r>
            <w:proofErr w:type="spellEnd"/>
          </w:p>
        </w:tc>
        <w:tc>
          <w:tcPr>
            <w:tcW w:w="1128" w:type="pct"/>
            <w:tcBorders>
              <w:top w:val="single" w:sz="6" w:space="0" w:color="000000"/>
              <w:left w:val="single" w:sz="6" w:space="0" w:color="000000"/>
              <w:bottom w:val="single" w:sz="6" w:space="0" w:color="000000"/>
              <w:right w:val="single" w:sz="6" w:space="0" w:color="000000"/>
            </w:tcBorders>
          </w:tcPr>
          <w:p w14:paraId="7BB0EE48" w14:textId="77777777" w:rsidR="00F859C7" w:rsidRPr="00F36DFC" w:rsidRDefault="00F859C7">
            <w:pPr>
              <w:ind w:left="57"/>
              <w:rPr>
                <w:rFonts w:ascii="Times New Roman" w:hAnsi="Times New Roman" w:cs="Times New Roman"/>
                <w:sz w:val="22"/>
              </w:rPr>
            </w:pPr>
          </w:p>
        </w:tc>
        <w:tc>
          <w:tcPr>
            <w:tcW w:w="1501" w:type="pct"/>
            <w:tcBorders>
              <w:top w:val="single" w:sz="6" w:space="0" w:color="000000"/>
              <w:left w:val="single" w:sz="6" w:space="0" w:color="000000"/>
              <w:bottom w:val="single" w:sz="6" w:space="0" w:color="000000"/>
              <w:right w:val="single" w:sz="6" w:space="0" w:color="000000"/>
            </w:tcBorders>
          </w:tcPr>
          <w:p w14:paraId="4DB24CF2" w14:textId="77777777" w:rsidR="00F859C7" w:rsidRPr="00F36DFC" w:rsidRDefault="00F859C7">
            <w:pPr>
              <w:ind w:left="57"/>
              <w:rPr>
                <w:rFonts w:ascii="Times New Roman" w:hAnsi="Times New Roman" w:cs="Times New Roman"/>
                <w:sz w:val="22"/>
              </w:rPr>
            </w:pPr>
          </w:p>
        </w:tc>
        <w:tc>
          <w:tcPr>
            <w:tcW w:w="1238" w:type="pct"/>
            <w:tcBorders>
              <w:top w:val="single" w:sz="6" w:space="0" w:color="000000"/>
              <w:left w:val="single" w:sz="6" w:space="0" w:color="000000"/>
              <w:bottom w:val="single" w:sz="6" w:space="0" w:color="000000"/>
              <w:right w:val="single" w:sz="6" w:space="0" w:color="000000"/>
            </w:tcBorders>
            <w:hideMark/>
          </w:tcPr>
          <w:p w14:paraId="4C3EC571" w14:textId="77777777" w:rsidR="00F859C7" w:rsidRPr="00F36DFC" w:rsidRDefault="00F859C7">
            <w:pPr>
              <w:widowControl/>
              <w:ind w:left="57"/>
              <w:rPr>
                <w:rFonts w:ascii="Times New Roman" w:hAnsi="Times New Roman" w:cs="Times New Roman"/>
                <w:sz w:val="22"/>
              </w:rPr>
            </w:pPr>
            <w:r w:rsidRPr="00F36DFC">
              <w:rPr>
                <w:rFonts w:ascii="Times New Roman" w:hAnsi="Times New Roman" w:cs="Times New Roman"/>
                <w:sz w:val="22"/>
                <w:lang w:val="da-DK"/>
              </w:rPr>
              <w:t>Respirationsforstyrrelser</w:t>
            </w:r>
          </w:p>
        </w:tc>
      </w:tr>
      <w:tr w:rsidR="00F859C7" w:rsidRPr="00F36DFC" w14:paraId="19F82DDD" w14:textId="77777777" w:rsidTr="00F36DFC">
        <w:trPr>
          <w:trHeight w:val="20"/>
        </w:trPr>
        <w:tc>
          <w:tcPr>
            <w:tcW w:w="1133" w:type="pct"/>
            <w:tcBorders>
              <w:top w:val="single" w:sz="6" w:space="0" w:color="000000"/>
              <w:left w:val="single" w:sz="6" w:space="0" w:color="000000"/>
              <w:bottom w:val="single" w:sz="6" w:space="0" w:color="000000"/>
              <w:right w:val="single" w:sz="6" w:space="0" w:color="000000"/>
            </w:tcBorders>
            <w:hideMark/>
          </w:tcPr>
          <w:p w14:paraId="111F695B" w14:textId="77777777" w:rsidR="00F859C7" w:rsidRPr="00F36DFC" w:rsidRDefault="00F859C7">
            <w:pPr>
              <w:widowControl/>
              <w:ind w:left="57"/>
              <w:rPr>
                <w:rFonts w:ascii="Times New Roman" w:hAnsi="Times New Roman" w:cs="Times New Roman"/>
                <w:b/>
                <w:sz w:val="22"/>
              </w:rPr>
            </w:pPr>
            <w:proofErr w:type="spellStart"/>
            <w:r w:rsidRPr="00F36DFC">
              <w:rPr>
                <w:rFonts w:ascii="Times New Roman" w:hAnsi="Times New Roman" w:cs="Times New Roman"/>
                <w:b/>
                <w:bCs/>
                <w:sz w:val="22"/>
                <w:lang w:val="da-DK"/>
              </w:rPr>
              <w:t>Mave-tarmkanalen</w:t>
            </w:r>
            <w:proofErr w:type="spellEnd"/>
          </w:p>
        </w:tc>
        <w:tc>
          <w:tcPr>
            <w:tcW w:w="1128" w:type="pct"/>
            <w:tcBorders>
              <w:top w:val="single" w:sz="6" w:space="0" w:color="000000"/>
              <w:left w:val="single" w:sz="6" w:space="0" w:color="000000"/>
              <w:bottom w:val="single" w:sz="6" w:space="0" w:color="000000"/>
              <w:right w:val="single" w:sz="6" w:space="0" w:color="000000"/>
            </w:tcBorders>
          </w:tcPr>
          <w:p w14:paraId="7D1983FF" w14:textId="77777777" w:rsidR="00F859C7" w:rsidRPr="00F36DFC" w:rsidRDefault="00F859C7">
            <w:pPr>
              <w:ind w:left="57"/>
              <w:rPr>
                <w:rFonts w:ascii="Times New Roman" w:hAnsi="Times New Roman" w:cs="Times New Roman"/>
                <w:sz w:val="22"/>
              </w:rPr>
            </w:pPr>
          </w:p>
        </w:tc>
        <w:tc>
          <w:tcPr>
            <w:tcW w:w="1501" w:type="pct"/>
            <w:tcBorders>
              <w:top w:val="single" w:sz="6" w:space="0" w:color="000000"/>
              <w:left w:val="single" w:sz="6" w:space="0" w:color="000000"/>
              <w:bottom w:val="single" w:sz="6" w:space="0" w:color="000000"/>
              <w:right w:val="single" w:sz="6" w:space="0" w:color="000000"/>
            </w:tcBorders>
            <w:hideMark/>
          </w:tcPr>
          <w:p w14:paraId="56E9D9D4" w14:textId="77777777" w:rsidR="00F859C7" w:rsidRPr="00F36DFC" w:rsidRDefault="00F859C7">
            <w:pPr>
              <w:widowControl/>
              <w:ind w:left="57"/>
              <w:rPr>
                <w:rFonts w:ascii="Times New Roman" w:hAnsi="Times New Roman" w:cs="Times New Roman"/>
                <w:sz w:val="22"/>
                <w:lang w:val="da-DK"/>
              </w:rPr>
            </w:pPr>
            <w:r w:rsidRPr="00F36DFC">
              <w:rPr>
                <w:rFonts w:ascii="Times New Roman" w:hAnsi="Times New Roman" w:cs="Times New Roman"/>
                <w:sz w:val="22"/>
                <w:lang w:val="da-DK"/>
              </w:rPr>
              <w:t>Obstipation</w:t>
            </w:r>
          </w:p>
          <w:p w14:paraId="64566E29" w14:textId="77777777" w:rsidR="00F859C7" w:rsidRPr="00F36DFC" w:rsidRDefault="00F859C7">
            <w:pPr>
              <w:widowControl/>
              <w:ind w:left="57"/>
              <w:rPr>
                <w:rFonts w:ascii="Times New Roman" w:hAnsi="Times New Roman" w:cs="Times New Roman"/>
                <w:sz w:val="22"/>
                <w:lang w:val="da-DK"/>
              </w:rPr>
            </w:pPr>
            <w:r w:rsidRPr="00F36DFC">
              <w:rPr>
                <w:rFonts w:ascii="Times New Roman" w:hAnsi="Times New Roman" w:cs="Times New Roman"/>
                <w:sz w:val="22"/>
                <w:lang w:val="da-DK"/>
              </w:rPr>
              <w:t xml:space="preserve">Diarré </w:t>
            </w:r>
          </w:p>
          <w:p w14:paraId="62CCF40F" w14:textId="77777777" w:rsidR="00F859C7" w:rsidRPr="00F36DFC" w:rsidRDefault="00F859C7">
            <w:pPr>
              <w:widowControl/>
              <w:ind w:left="57"/>
              <w:rPr>
                <w:rFonts w:ascii="Times New Roman" w:hAnsi="Times New Roman" w:cs="Times New Roman"/>
                <w:sz w:val="22"/>
                <w:lang w:val="da-DK"/>
              </w:rPr>
            </w:pPr>
            <w:r w:rsidRPr="00F36DFC">
              <w:rPr>
                <w:rFonts w:ascii="Times New Roman" w:hAnsi="Times New Roman" w:cs="Times New Roman"/>
                <w:sz w:val="22"/>
                <w:lang w:val="da-DK"/>
              </w:rPr>
              <w:t>Dyspepsi</w:t>
            </w:r>
          </w:p>
          <w:p w14:paraId="6BBBC321" w14:textId="77777777" w:rsidR="00F859C7" w:rsidRPr="00F36DFC" w:rsidRDefault="00F859C7">
            <w:pPr>
              <w:widowControl/>
              <w:ind w:left="57"/>
              <w:rPr>
                <w:rFonts w:ascii="Times New Roman" w:hAnsi="Times New Roman" w:cs="Times New Roman"/>
                <w:sz w:val="22"/>
                <w:lang w:val="da-DK"/>
              </w:rPr>
            </w:pPr>
            <w:r w:rsidRPr="00F36DFC">
              <w:rPr>
                <w:rFonts w:ascii="Times New Roman" w:hAnsi="Times New Roman" w:cs="Times New Roman"/>
                <w:sz w:val="22"/>
                <w:lang w:val="da-DK"/>
              </w:rPr>
              <w:t xml:space="preserve">Kvalme </w:t>
            </w:r>
          </w:p>
          <w:p w14:paraId="1D39C778" w14:textId="77777777" w:rsidR="00F859C7" w:rsidRPr="00F36DFC" w:rsidRDefault="00F859C7">
            <w:pPr>
              <w:widowControl/>
              <w:ind w:left="57"/>
              <w:rPr>
                <w:rFonts w:ascii="Times New Roman" w:hAnsi="Times New Roman" w:cs="Times New Roman"/>
                <w:sz w:val="22"/>
                <w:lang w:val="da-DK"/>
              </w:rPr>
            </w:pPr>
            <w:r w:rsidRPr="00F36DFC">
              <w:rPr>
                <w:rFonts w:ascii="Times New Roman" w:hAnsi="Times New Roman" w:cs="Times New Roman"/>
                <w:sz w:val="22"/>
                <w:lang w:val="da-DK"/>
              </w:rPr>
              <w:t>Opkastning</w:t>
            </w:r>
          </w:p>
        </w:tc>
        <w:tc>
          <w:tcPr>
            <w:tcW w:w="1238" w:type="pct"/>
            <w:tcBorders>
              <w:top w:val="single" w:sz="6" w:space="0" w:color="000000"/>
              <w:left w:val="single" w:sz="6" w:space="0" w:color="000000"/>
              <w:bottom w:val="single" w:sz="6" w:space="0" w:color="000000"/>
              <w:right w:val="single" w:sz="6" w:space="0" w:color="000000"/>
            </w:tcBorders>
            <w:hideMark/>
          </w:tcPr>
          <w:p w14:paraId="4CA61172" w14:textId="77777777" w:rsidR="00F859C7" w:rsidRPr="00F36DFC" w:rsidRDefault="00F859C7">
            <w:pPr>
              <w:widowControl/>
              <w:ind w:left="57"/>
              <w:rPr>
                <w:rFonts w:ascii="Times New Roman" w:hAnsi="Times New Roman" w:cs="Times New Roman"/>
                <w:sz w:val="22"/>
                <w:lang w:val="en-GB"/>
              </w:rPr>
            </w:pPr>
            <w:proofErr w:type="spellStart"/>
            <w:r w:rsidRPr="00F36DFC">
              <w:rPr>
                <w:rFonts w:ascii="Times New Roman" w:hAnsi="Times New Roman" w:cs="Times New Roman"/>
                <w:sz w:val="22"/>
                <w:lang w:val="da-DK"/>
              </w:rPr>
              <w:t>Abdominalsmerter</w:t>
            </w:r>
            <w:proofErr w:type="spellEnd"/>
          </w:p>
        </w:tc>
      </w:tr>
      <w:tr w:rsidR="00F859C7" w:rsidRPr="00F36DFC" w14:paraId="47DE2411" w14:textId="77777777" w:rsidTr="00F36DFC">
        <w:trPr>
          <w:trHeight w:val="20"/>
        </w:trPr>
        <w:tc>
          <w:tcPr>
            <w:tcW w:w="1133" w:type="pct"/>
            <w:tcBorders>
              <w:top w:val="single" w:sz="6" w:space="0" w:color="000000"/>
              <w:left w:val="single" w:sz="6" w:space="0" w:color="000000"/>
              <w:bottom w:val="single" w:sz="6" w:space="0" w:color="000000"/>
              <w:right w:val="single" w:sz="6" w:space="0" w:color="000000"/>
            </w:tcBorders>
            <w:hideMark/>
          </w:tcPr>
          <w:p w14:paraId="61043CE4" w14:textId="77777777" w:rsidR="00F859C7" w:rsidRPr="00F36DFC" w:rsidRDefault="00F859C7">
            <w:pPr>
              <w:widowControl/>
              <w:ind w:left="57"/>
              <w:rPr>
                <w:rFonts w:ascii="Times New Roman" w:hAnsi="Times New Roman" w:cs="Times New Roman"/>
                <w:b/>
                <w:sz w:val="22"/>
              </w:rPr>
            </w:pPr>
            <w:r w:rsidRPr="00F36DFC">
              <w:rPr>
                <w:rFonts w:ascii="Times New Roman" w:hAnsi="Times New Roman" w:cs="Times New Roman"/>
                <w:b/>
                <w:bCs/>
                <w:sz w:val="22"/>
                <w:lang w:val="da-DK"/>
              </w:rPr>
              <w:t>Lever og galdeveje</w:t>
            </w:r>
          </w:p>
        </w:tc>
        <w:tc>
          <w:tcPr>
            <w:tcW w:w="1128" w:type="pct"/>
            <w:tcBorders>
              <w:top w:val="single" w:sz="6" w:space="0" w:color="000000"/>
              <w:left w:val="single" w:sz="6" w:space="0" w:color="000000"/>
              <w:bottom w:val="single" w:sz="6" w:space="0" w:color="000000"/>
              <w:right w:val="single" w:sz="6" w:space="0" w:color="000000"/>
            </w:tcBorders>
          </w:tcPr>
          <w:p w14:paraId="7AA0ED36" w14:textId="77777777" w:rsidR="00F859C7" w:rsidRPr="00F36DFC" w:rsidRDefault="00F859C7">
            <w:pPr>
              <w:ind w:left="57"/>
              <w:rPr>
                <w:rFonts w:ascii="Times New Roman" w:hAnsi="Times New Roman" w:cs="Times New Roman"/>
                <w:sz w:val="22"/>
              </w:rPr>
            </w:pPr>
          </w:p>
        </w:tc>
        <w:tc>
          <w:tcPr>
            <w:tcW w:w="1501" w:type="pct"/>
            <w:tcBorders>
              <w:top w:val="single" w:sz="6" w:space="0" w:color="000000"/>
              <w:left w:val="single" w:sz="6" w:space="0" w:color="000000"/>
              <w:bottom w:val="single" w:sz="6" w:space="0" w:color="000000"/>
              <w:right w:val="single" w:sz="6" w:space="0" w:color="000000"/>
            </w:tcBorders>
          </w:tcPr>
          <w:p w14:paraId="0AB93086" w14:textId="77777777" w:rsidR="00F859C7" w:rsidRPr="00F36DFC" w:rsidRDefault="00F859C7">
            <w:pPr>
              <w:ind w:left="57"/>
              <w:rPr>
                <w:rFonts w:ascii="Times New Roman" w:hAnsi="Times New Roman" w:cs="Times New Roman"/>
                <w:sz w:val="22"/>
              </w:rPr>
            </w:pPr>
          </w:p>
        </w:tc>
        <w:tc>
          <w:tcPr>
            <w:tcW w:w="1238" w:type="pct"/>
            <w:tcBorders>
              <w:top w:val="single" w:sz="6" w:space="0" w:color="000000"/>
              <w:left w:val="single" w:sz="6" w:space="0" w:color="000000"/>
              <w:bottom w:val="single" w:sz="6" w:space="0" w:color="000000"/>
              <w:right w:val="single" w:sz="6" w:space="0" w:color="000000"/>
            </w:tcBorders>
            <w:hideMark/>
          </w:tcPr>
          <w:p w14:paraId="7D873A8D" w14:textId="77777777" w:rsidR="00F859C7" w:rsidRPr="00F36DFC" w:rsidRDefault="00F859C7">
            <w:pPr>
              <w:widowControl/>
              <w:ind w:left="57"/>
              <w:rPr>
                <w:rFonts w:ascii="Times New Roman" w:hAnsi="Times New Roman" w:cs="Times New Roman"/>
                <w:sz w:val="22"/>
              </w:rPr>
            </w:pPr>
            <w:r w:rsidRPr="00F36DFC">
              <w:rPr>
                <w:rFonts w:ascii="Times New Roman" w:hAnsi="Times New Roman" w:cs="Times New Roman"/>
                <w:sz w:val="22"/>
                <w:lang w:val="da-DK"/>
              </w:rPr>
              <w:t xml:space="preserve">Akut </w:t>
            </w:r>
            <w:proofErr w:type="spellStart"/>
            <w:r w:rsidRPr="00F36DFC">
              <w:rPr>
                <w:rFonts w:ascii="Times New Roman" w:hAnsi="Times New Roman" w:cs="Times New Roman"/>
                <w:sz w:val="22"/>
                <w:lang w:val="da-DK"/>
              </w:rPr>
              <w:t>cholecystitis</w:t>
            </w:r>
            <w:proofErr w:type="spellEnd"/>
          </w:p>
        </w:tc>
      </w:tr>
      <w:tr w:rsidR="00F859C7" w:rsidRPr="00F36DFC" w14:paraId="5145CF32" w14:textId="77777777" w:rsidTr="00F36DFC">
        <w:trPr>
          <w:trHeight w:val="20"/>
        </w:trPr>
        <w:tc>
          <w:tcPr>
            <w:tcW w:w="1133" w:type="pct"/>
            <w:tcBorders>
              <w:top w:val="single" w:sz="6" w:space="0" w:color="000000"/>
              <w:left w:val="single" w:sz="6" w:space="0" w:color="000000"/>
              <w:bottom w:val="single" w:sz="6" w:space="0" w:color="000000"/>
              <w:right w:val="single" w:sz="6" w:space="0" w:color="000000"/>
            </w:tcBorders>
            <w:hideMark/>
          </w:tcPr>
          <w:p w14:paraId="301A68EF" w14:textId="77777777" w:rsidR="00F859C7" w:rsidRPr="00F36DFC" w:rsidRDefault="00F859C7">
            <w:pPr>
              <w:widowControl/>
              <w:ind w:left="57"/>
              <w:rPr>
                <w:rFonts w:ascii="Times New Roman" w:hAnsi="Times New Roman" w:cs="Times New Roman"/>
                <w:b/>
                <w:sz w:val="22"/>
              </w:rPr>
            </w:pPr>
            <w:r w:rsidRPr="00F36DFC">
              <w:rPr>
                <w:rFonts w:ascii="Times New Roman" w:hAnsi="Times New Roman" w:cs="Times New Roman"/>
                <w:b/>
                <w:bCs/>
                <w:sz w:val="22"/>
                <w:lang w:val="da-DK"/>
              </w:rPr>
              <w:t>Hud og subkutane væv</w:t>
            </w:r>
          </w:p>
        </w:tc>
        <w:tc>
          <w:tcPr>
            <w:tcW w:w="1128" w:type="pct"/>
            <w:tcBorders>
              <w:top w:val="single" w:sz="6" w:space="0" w:color="000000"/>
              <w:left w:val="single" w:sz="6" w:space="0" w:color="000000"/>
              <w:bottom w:val="single" w:sz="6" w:space="0" w:color="000000"/>
              <w:right w:val="single" w:sz="6" w:space="0" w:color="000000"/>
            </w:tcBorders>
          </w:tcPr>
          <w:p w14:paraId="00385A9E" w14:textId="77777777" w:rsidR="00F859C7" w:rsidRPr="00F36DFC" w:rsidRDefault="00F859C7">
            <w:pPr>
              <w:ind w:left="57"/>
              <w:rPr>
                <w:rFonts w:ascii="Times New Roman" w:hAnsi="Times New Roman" w:cs="Times New Roman"/>
                <w:sz w:val="22"/>
              </w:rPr>
            </w:pPr>
          </w:p>
        </w:tc>
        <w:tc>
          <w:tcPr>
            <w:tcW w:w="1501" w:type="pct"/>
            <w:tcBorders>
              <w:top w:val="single" w:sz="6" w:space="0" w:color="000000"/>
              <w:left w:val="single" w:sz="6" w:space="0" w:color="000000"/>
              <w:bottom w:val="single" w:sz="6" w:space="0" w:color="000000"/>
              <w:right w:val="single" w:sz="6" w:space="0" w:color="000000"/>
            </w:tcBorders>
            <w:hideMark/>
          </w:tcPr>
          <w:p w14:paraId="0CF8FEF2" w14:textId="77777777" w:rsidR="00F859C7" w:rsidRPr="00F36DFC" w:rsidRDefault="00F859C7">
            <w:pPr>
              <w:widowControl/>
              <w:ind w:left="57"/>
              <w:rPr>
                <w:rFonts w:ascii="Times New Roman" w:hAnsi="Times New Roman" w:cs="Times New Roman"/>
                <w:sz w:val="22"/>
              </w:rPr>
            </w:pPr>
            <w:r w:rsidRPr="00F36DFC">
              <w:rPr>
                <w:rFonts w:ascii="Times New Roman" w:hAnsi="Times New Roman" w:cs="Times New Roman"/>
                <w:sz w:val="22"/>
                <w:lang w:val="da-DK"/>
              </w:rPr>
              <w:t>Udslæt</w:t>
            </w:r>
          </w:p>
        </w:tc>
        <w:tc>
          <w:tcPr>
            <w:tcW w:w="1238" w:type="pct"/>
            <w:tcBorders>
              <w:top w:val="single" w:sz="6" w:space="0" w:color="000000"/>
              <w:left w:val="single" w:sz="6" w:space="0" w:color="000000"/>
              <w:bottom w:val="single" w:sz="6" w:space="0" w:color="000000"/>
              <w:right w:val="single" w:sz="6" w:space="0" w:color="000000"/>
            </w:tcBorders>
            <w:hideMark/>
          </w:tcPr>
          <w:p w14:paraId="47594F73" w14:textId="77777777" w:rsidR="00F859C7" w:rsidRPr="00F36DFC" w:rsidRDefault="00F859C7">
            <w:pPr>
              <w:widowControl/>
              <w:ind w:left="57"/>
              <w:rPr>
                <w:rFonts w:ascii="Times New Roman" w:hAnsi="Times New Roman" w:cs="Times New Roman"/>
                <w:sz w:val="22"/>
              </w:rPr>
            </w:pPr>
            <w:proofErr w:type="spellStart"/>
            <w:r w:rsidRPr="00F36DFC">
              <w:rPr>
                <w:rFonts w:ascii="Times New Roman" w:hAnsi="Times New Roman" w:cs="Times New Roman"/>
                <w:sz w:val="22"/>
                <w:lang w:val="da-DK"/>
              </w:rPr>
              <w:t>Pruritus</w:t>
            </w:r>
            <w:proofErr w:type="spellEnd"/>
          </w:p>
          <w:p w14:paraId="4849C636" w14:textId="77777777" w:rsidR="00F859C7" w:rsidRPr="00F36DFC" w:rsidRDefault="00F859C7">
            <w:pPr>
              <w:widowControl/>
              <w:ind w:left="57"/>
              <w:rPr>
                <w:rFonts w:ascii="Times New Roman" w:hAnsi="Times New Roman" w:cs="Times New Roman"/>
                <w:sz w:val="22"/>
              </w:rPr>
            </w:pPr>
            <w:proofErr w:type="spellStart"/>
            <w:r w:rsidRPr="00F36DFC">
              <w:rPr>
                <w:rFonts w:ascii="Times New Roman" w:hAnsi="Times New Roman" w:cs="Times New Roman"/>
                <w:sz w:val="22"/>
                <w:lang w:val="da-DK"/>
              </w:rPr>
              <w:t>Ekkymose</w:t>
            </w:r>
            <w:proofErr w:type="spellEnd"/>
          </w:p>
        </w:tc>
      </w:tr>
      <w:tr w:rsidR="00F859C7" w:rsidRPr="00F36DFC" w14:paraId="6BD708B0" w14:textId="77777777" w:rsidTr="00F36DFC">
        <w:trPr>
          <w:trHeight w:val="20"/>
        </w:trPr>
        <w:tc>
          <w:tcPr>
            <w:tcW w:w="1133" w:type="pct"/>
            <w:tcBorders>
              <w:top w:val="single" w:sz="6" w:space="0" w:color="000000"/>
              <w:left w:val="single" w:sz="6" w:space="0" w:color="000000"/>
              <w:bottom w:val="single" w:sz="6" w:space="0" w:color="000000"/>
              <w:right w:val="single" w:sz="6" w:space="0" w:color="000000"/>
            </w:tcBorders>
            <w:hideMark/>
          </w:tcPr>
          <w:p w14:paraId="7E2A993C" w14:textId="77777777" w:rsidR="00F859C7" w:rsidRPr="00F36DFC" w:rsidRDefault="00F859C7">
            <w:pPr>
              <w:widowControl/>
              <w:ind w:left="57"/>
              <w:rPr>
                <w:rFonts w:ascii="Times New Roman" w:hAnsi="Times New Roman" w:cs="Times New Roman"/>
                <w:b/>
                <w:sz w:val="22"/>
                <w:lang w:val="da-DK"/>
              </w:rPr>
            </w:pPr>
            <w:r w:rsidRPr="00F36DFC">
              <w:rPr>
                <w:rFonts w:ascii="Times New Roman" w:hAnsi="Times New Roman" w:cs="Times New Roman"/>
                <w:b/>
                <w:bCs/>
                <w:sz w:val="22"/>
                <w:lang w:val="da-DK"/>
              </w:rPr>
              <w:t>Almene symptomer og reaktioner på administrationsstedet</w:t>
            </w:r>
          </w:p>
        </w:tc>
        <w:tc>
          <w:tcPr>
            <w:tcW w:w="1128" w:type="pct"/>
            <w:tcBorders>
              <w:top w:val="single" w:sz="6" w:space="0" w:color="000000"/>
              <w:left w:val="single" w:sz="6" w:space="0" w:color="000000"/>
              <w:bottom w:val="single" w:sz="6" w:space="0" w:color="000000"/>
              <w:right w:val="single" w:sz="6" w:space="0" w:color="000000"/>
            </w:tcBorders>
          </w:tcPr>
          <w:p w14:paraId="43459E77" w14:textId="77777777" w:rsidR="00F859C7" w:rsidRPr="00F36DFC" w:rsidRDefault="00F859C7">
            <w:pPr>
              <w:ind w:left="57"/>
              <w:rPr>
                <w:rFonts w:ascii="Times New Roman" w:hAnsi="Times New Roman" w:cs="Times New Roman"/>
                <w:sz w:val="22"/>
                <w:lang w:val="da-DK"/>
              </w:rPr>
            </w:pPr>
          </w:p>
        </w:tc>
        <w:tc>
          <w:tcPr>
            <w:tcW w:w="1501" w:type="pct"/>
            <w:tcBorders>
              <w:top w:val="single" w:sz="6" w:space="0" w:color="000000"/>
              <w:left w:val="single" w:sz="6" w:space="0" w:color="000000"/>
              <w:bottom w:val="single" w:sz="6" w:space="0" w:color="000000"/>
              <w:right w:val="single" w:sz="6" w:space="0" w:color="000000"/>
            </w:tcBorders>
            <w:hideMark/>
          </w:tcPr>
          <w:p w14:paraId="60DD04E2" w14:textId="77777777" w:rsidR="00F859C7" w:rsidRPr="00F36DFC" w:rsidRDefault="00F859C7">
            <w:pPr>
              <w:widowControl/>
              <w:ind w:left="57"/>
              <w:rPr>
                <w:rFonts w:ascii="Times New Roman" w:hAnsi="Times New Roman" w:cs="Times New Roman"/>
                <w:sz w:val="22"/>
                <w:lang w:val="en-GB"/>
              </w:rPr>
            </w:pPr>
            <w:r w:rsidRPr="00F36DFC">
              <w:rPr>
                <w:rFonts w:ascii="Times New Roman" w:hAnsi="Times New Roman" w:cs="Times New Roman"/>
                <w:sz w:val="22"/>
                <w:lang w:val="da-DK"/>
              </w:rPr>
              <w:t>Træthed</w:t>
            </w:r>
          </w:p>
          <w:p w14:paraId="1A114126" w14:textId="77777777" w:rsidR="00F859C7" w:rsidRPr="00F36DFC" w:rsidRDefault="00F859C7">
            <w:pPr>
              <w:widowControl/>
              <w:ind w:left="57"/>
              <w:rPr>
                <w:rFonts w:ascii="Times New Roman" w:hAnsi="Times New Roman" w:cs="Times New Roman"/>
                <w:sz w:val="22"/>
              </w:rPr>
            </w:pPr>
            <w:proofErr w:type="spellStart"/>
            <w:r w:rsidRPr="00F36DFC">
              <w:rPr>
                <w:rFonts w:ascii="Times New Roman" w:hAnsi="Times New Roman" w:cs="Times New Roman"/>
                <w:sz w:val="22"/>
                <w:lang w:val="da-DK"/>
              </w:rPr>
              <w:t>Pyreksi</w:t>
            </w:r>
            <w:proofErr w:type="spellEnd"/>
            <w:r w:rsidRPr="00F36DFC">
              <w:rPr>
                <w:rFonts w:ascii="Times New Roman" w:hAnsi="Times New Roman" w:cs="Times New Roman"/>
                <w:sz w:val="22"/>
                <w:lang w:val="da-DK"/>
              </w:rPr>
              <w:t xml:space="preserve"> </w:t>
            </w:r>
          </w:p>
          <w:p w14:paraId="22FD09A0" w14:textId="77777777" w:rsidR="00F859C7" w:rsidRPr="00F36DFC" w:rsidRDefault="00F859C7">
            <w:pPr>
              <w:widowControl/>
              <w:ind w:left="57"/>
              <w:rPr>
                <w:rFonts w:ascii="Times New Roman" w:hAnsi="Times New Roman" w:cs="Times New Roman"/>
                <w:sz w:val="22"/>
              </w:rPr>
            </w:pPr>
            <w:r w:rsidRPr="00F36DFC">
              <w:rPr>
                <w:rFonts w:ascii="Times New Roman" w:hAnsi="Times New Roman" w:cs="Times New Roman"/>
                <w:sz w:val="22"/>
                <w:lang w:val="da-DK"/>
              </w:rPr>
              <w:t>Irritabilitet</w:t>
            </w:r>
          </w:p>
        </w:tc>
        <w:tc>
          <w:tcPr>
            <w:tcW w:w="1238" w:type="pct"/>
            <w:tcBorders>
              <w:top w:val="single" w:sz="6" w:space="0" w:color="000000"/>
              <w:left w:val="single" w:sz="6" w:space="0" w:color="000000"/>
              <w:bottom w:val="single" w:sz="6" w:space="0" w:color="000000"/>
              <w:right w:val="single" w:sz="6" w:space="0" w:color="000000"/>
            </w:tcBorders>
          </w:tcPr>
          <w:p w14:paraId="60670927" w14:textId="77777777" w:rsidR="00F859C7" w:rsidRPr="00F36DFC" w:rsidRDefault="00F859C7">
            <w:pPr>
              <w:ind w:left="57"/>
              <w:rPr>
                <w:rFonts w:ascii="Times New Roman" w:hAnsi="Times New Roman" w:cs="Times New Roman"/>
                <w:sz w:val="22"/>
              </w:rPr>
            </w:pPr>
          </w:p>
        </w:tc>
      </w:tr>
      <w:tr w:rsidR="00F859C7" w:rsidRPr="00F36DFC" w14:paraId="2A252548" w14:textId="77777777" w:rsidTr="00F36DFC">
        <w:trPr>
          <w:trHeight w:val="20"/>
        </w:trPr>
        <w:tc>
          <w:tcPr>
            <w:tcW w:w="1133" w:type="pct"/>
            <w:tcBorders>
              <w:top w:val="single" w:sz="6" w:space="0" w:color="000000"/>
              <w:left w:val="single" w:sz="6" w:space="0" w:color="000000"/>
              <w:bottom w:val="single" w:sz="6" w:space="0" w:color="000000"/>
              <w:right w:val="single" w:sz="6" w:space="0" w:color="000000"/>
            </w:tcBorders>
            <w:hideMark/>
          </w:tcPr>
          <w:p w14:paraId="33753AE1" w14:textId="77777777" w:rsidR="00F859C7" w:rsidRPr="00F36DFC" w:rsidRDefault="00F859C7">
            <w:pPr>
              <w:widowControl/>
              <w:ind w:left="57"/>
              <w:rPr>
                <w:rFonts w:ascii="Times New Roman" w:hAnsi="Times New Roman" w:cs="Times New Roman"/>
                <w:b/>
                <w:sz w:val="22"/>
              </w:rPr>
            </w:pPr>
            <w:r w:rsidRPr="00F36DFC">
              <w:rPr>
                <w:rFonts w:ascii="Times New Roman" w:hAnsi="Times New Roman" w:cs="Times New Roman"/>
                <w:b/>
                <w:bCs/>
                <w:sz w:val="22"/>
                <w:lang w:val="da-DK"/>
              </w:rPr>
              <w:t>Undersøgelser</w:t>
            </w:r>
          </w:p>
        </w:tc>
        <w:tc>
          <w:tcPr>
            <w:tcW w:w="1128" w:type="pct"/>
            <w:tcBorders>
              <w:top w:val="single" w:sz="6" w:space="0" w:color="000000"/>
              <w:left w:val="single" w:sz="6" w:space="0" w:color="000000"/>
              <w:bottom w:val="single" w:sz="6" w:space="0" w:color="000000"/>
              <w:right w:val="single" w:sz="6" w:space="0" w:color="000000"/>
            </w:tcBorders>
            <w:hideMark/>
          </w:tcPr>
          <w:p w14:paraId="336095CB" w14:textId="77777777" w:rsidR="00F859C7" w:rsidRPr="00F36DFC" w:rsidRDefault="00F859C7">
            <w:pPr>
              <w:widowControl/>
              <w:ind w:left="57"/>
              <w:rPr>
                <w:rFonts w:ascii="Times New Roman" w:hAnsi="Times New Roman" w:cs="Times New Roman"/>
                <w:sz w:val="22"/>
              </w:rPr>
            </w:pPr>
            <w:r w:rsidRPr="00F36DFC">
              <w:rPr>
                <w:rFonts w:ascii="Times New Roman" w:hAnsi="Times New Roman" w:cs="Times New Roman"/>
                <w:sz w:val="22"/>
                <w:lang w:val="da-DK"/>
              </w:rPr>
              <w:t xml:space="preserve">Nedsat </w:t>
            </w:r>
            <w:proofErr w:type="spellStart"/>
            <w:r w:rsidRPr="00F36DFC">
              <w:rPr>
                <w:rFonts w:ascii="Times New Roman" w:hAnsi="Times New Roman" w:cs="Times New Roman"/>
                <w:sz w:val="22"/>
                <w:lang w:val="da-DK"/>
              </w:rPr>
              <w:t>hydrogencarbonat</w:t>
            </w:r>
            <w:proofErr w:type="spellEnd"/>
          </w:p>
        </w:tc>
        <w:tc>
          <w:tcPr>
            <w:tcW w:w="1501" w:type="pct"/>
            <w:tcBorders>
              <w:top w:val="single" w:sz="6" w:space="0" w:color="000000"/>
              <w:left w:val="single" w:sz="6" w:space="0" w:color="000000"/>
              <w:bottom w:val="single" w:sz="6" w:space="0" w:color="000000"/>
              <w:right w:val="single" w:sz="6" w:space="0" w:color="000000"/>
            </w:tcBorders>
            <w:hideMark/>
          </w:tcPr>
          <w:p w14:paraId="1B5F4E3C" w14:textId="77777777" w:rsidR="00F859C7" w:rsidRPr="00F36DFC" w:rsidRDefault="00F859C7">
            <w:pPr>
              <w:widowControl/>
              <w:ind w:left="57"/>
              <w:rPr>
                <w:rFonts w:ascii="Times New Roman" w:hAnsi="Times New Roman" w:cs="Times New Roman"/>
                <w:sz w:val="22"/>
                <w:lang w:val="da-DK"/>
              </w:rPr>
            </w:pPr>
            <w:r w:rsidRPr="00F36DFC">
              <w:rPr>
                <w:rFonts w:ascii="Times New Roman" w:hAnsi="Times New Roman" w:cs="Times New Roman"/>
                <w:sz w:val="22"/>
                <w:lang w:val="da-DK"/>
              </w:rPr>
              <w:t>Vægttab</w:t>
            </w:r>
          </w:p>
          <w:p w14:paraId="32492432" w14:textId="77777777" w:rsidR="00F859C7" w:rsidRPr="00F36DFC" w:rsidRDefault="00F859C7">
            <w:pPr>
              <w:widowControl/>
              <w:ind w:left="57"/>
              <w:rPr>
                <w:rFonts w:ascii="Times New Roman" w:hAnsi="Times New Roman" w:cs="Times New Roman"/>
                <w:sz w:val="22"/>
                <w:lang w:val="da-DK"/>
              </w:rPr>
            </w:pPr>
            <w:r w:rsidRPr="00F36DFC">
              <w:rPr>
                <w:rFonts w:ascii="Times New Roman" w:hAnsi="Times New Roman" w:cs="Times New Roman"/>
                <w:sz w:val="22"/>
                <w:lang w:val="da-DK"/>
              </w:rPr>
              <w:t xml:space="preserve">Forhøjet </w:t>
            </w:r>
            <w:proofErr w:type="spellStart"/>
            <w:r w:rsidRPr="00F36DFC">
              <w:rPr>
                <w:rFonts w:ascii="Times New Roman" w:hAnsi="Times New Roman" w:cs="Times New Roman"/>
                <w:sz w:val="22"/>
                <w:lang w:val="da-DK"/>
              </w:rPr>
              <w:t>kreatininkinase</w:t>
            </w:r>
            <w:proofErr w:type="spellEnd"/>
            <w:r w:rsidRPr="00F36DFC">
              <w:rPr>
                <w:rFonts w:ascii="Times New Roman" w:hAnsi="Times New Roman" w:cs="Times New Roman"/>
                <w:sz w:val="22"/>
                <w:lang w:val="da-DK"/>
              </w:rPr>
              <w:t xml:space="preserve"> i blodet</w:t>
            </w:r>
          </w:p>
          <w:p w14:paraId="3AFE682F" w14:textId="77777777" w:rsidR="00F859C7" w:rsidRPr="00F36DFC" w:rsidRDefault="00F859C7">
            <w:pPr>
              <w:widowControl/>
              <w:ind w:left="57"/>
              <w:rPr>
                <w:rFonts w:ascii="Times New Roman" w:hAnsi="Times New Roman" w:cs="Times New Roman"/>
                <w:sz w:val="22"/>
                <w:lang w:val="da-DK"/>
              </w:rPr>
            </w:pPr>
            <w:r w:rsidRPr="00F36DFC">
              <w:rPr>
                <w:rFonts w:ascii="Times New Roman" w:hAnsi="Times New Roman" w:cs="Times New Roman"/>
                <w:sz w:val="22"/>
                <w:lang w:val="da-DK"/>
              </w:rPr>
              <w:t xml:space="preserve">Forhøjet </w:t>
            </w:r>
            <w:proofErr w:type="spellStart"/>
            <w:r w:rsidRPr="00F36DFC">
              <w:rPr>
                <w:rFonts w:ascii="Times New Roman" w:hAnsi="Times New Roman" w:cs="Times New Roman"/>
                <w:sz w:val="22"/>
                <w:lang w:val="da-DK"/>
              </w:rPr>
              <w:t>alaninaminotransferase</w:t>
            </w:r>
            <w:proofErr w:type="spellEnd"/>
          </w:p>
          <w:p w14:paraId="4CEF9AA1" w14:textId="77777777" w:rsidR="00F859C7" w:rsidRPr="00F36DFC" w:rsidRDefault="00F859C7">
            <w:pPr>
              <w:widowControl/>
              <w:ind w:left="57"/>
              <w:rPr>
                <w:rFonts w:ascii="Times New Roman" w:hAnsi="Times New Roman" w:cs="Times New Roman"/>
                <w:sz w:val="22"/>
                <w:lang w:val="en-GB"/>
              </w:rPr>
            </w:pPr>
            <w:r w:rsidRPr="00F36DFC">
              <w:rPr>
                <w:rFonts w:ascii="Times New Roman" w:hAnsi="Times New Roman" w:cs="Times New Roman"/>
                <w:sz w:val="22"/>
                <w:lang w:val="da-DK"/>
              </w:rPr>
              <w:t xml:space="preserve">Forhøjet </w:t>
            </w:r>
            <w:proofErr w:type="spellStart"/>
            <w:r w:rsidRPr="00F36DFC">
              <w:rPr>
                <w:rFonts w:ascii="Times New Roman" w:hAnsi="Times New Roman" w:cs="Times New Roman"/>
                <w:sz w:val="22"/>
                <w:lang w:val="da-DK"/>
              </w:rPr>
              <w:t>aspartataminotransferase</w:t>
            </w:r>
            <w:proofErr w:type="spellEnd"/>
          </w:p>
        </w:tc>
        <w:tc>
          <w:tcPr>
            <w:tcW w:w="1238" w:type="pct"/>
            <w:tcBorders>
              <w:top w:val="single" w:sz="6" w:space="0" w:color="000000"/>
              <w:left w:val="single" w:sz="6" w:space="0" w:color="000000"/>
              <w:bottom w:val="single" w:sz="6" w:space="0" w:color="000000"/>
              <w:right w:val="single" w:sz="6" w:space="0" w:color="000000"/>
            </w:tcBorders>
            <w:hideMark/>
          </w:tcPr>
          <w:p w14:paraId="1F0BFE3D" w14:textId="77777777" w:rsidR="00F859C7" w:rsidRPr="00F36DFC" w:rsidRDefault="00F859C7">
            <w:pPr>
              <w:widowControl/>
              <w:ind w:left="57"/>
              <w:rPr>
                <w:rFonts w:ascii="Times New Roman" w:hAnsi="Times New Roman" w:cs="Times New Roman"/>
                <w:sz w:val="22"/>
              </w:rPr>
            </w:pPr>
            <w:r w:rsidRPr="00F36DFC">
              <w:rPr>
                <w:rFonts w:ascii="Times New Roman" w:hAnsi="Times New Roman" w:cs="Times New Roman"/>
                <w:sz w:val="22"/>
                <w:lang w:val="da-DK"/>
              </w:rPr>
              <w:t>Unormale urinanalyser</w:t>
            </w:r>
          </w:p>
        </w:tc>
      </w:tr>
    </w:tbl>
    <w:p w14:paraId="6E13FAB1" w14:textId="77777777" w:rsidR="00F859C7" w:rsidRPr="00F36DFC" w:rsidRDefault="00F859C7" w:rsidP="00F859C7">
      <w:pPr>
        <w:rPr>
          <w:sz w:val="24"/>
          <w:szCs w:val="24"/>
          <w:lang w:val="en-GB" w:eastAsia="de-DE"/>
        </w:rPr>
      </w:pPr>
    </w:p>
    <w:p w14:paraId="0F8559B5" w14:textId="77777777" w:rsidR="00F859C7" w:rsidRPr="00F36DFC" w:rsidRDefault="00F859C7" w:rsidP="00E14048">
      <w:pPr>
        <w:ind w:left="851"/>
        <w:rPr>
          <w:sz w:val="24"/>
          <w:szCs w:val="24"/>
          <w:u w:val="single"/>
        </w:rPr>
      </w:pPr>
      <w:r w:rsidRPr="00F36DFC">
        <w:rPr>
          <w:sz w:val="24"/>
          <w:szCs w:val="24"/>
          <w:u w:val="single"/>
        </w:rPr>
        <w:t>Yderligere information om specielle populationer</w:t>
      </w:r>
    </w:p>
    <w:p w14:paraId="09CF1C8B" w14:textId="77777777" w:rsidR="00F859C7" w:rsidRPr="00F36DFC" w:rsidRDefault="00F859C7" w:rsidP="00E14048">
      <w:pPr>
        <w:ind w:left="851"/>
        <w:rPr>
          <w:sz w:val="24"/>
          <w:szCs w:val="24"/>
        </w:rPr>
      </w:pPr>
    </w:p>
    <w:p w14:paraId="6986C547" w14:textId="77777777" w:rsidR="00F859C7" w:rsidRPr="00F36DFC" w:rsidRDefault="00F859C7" w:rsidP="00E14048">
      <w:pPr>
        <w:ind w:left="851"/>
        <w:rPr>
          <w:i/>
          <w:sz w:val="24"/>
          <w:szCs w:val="24"/>
        </w:rPr>
      </w:pPr>
      <w:r w:rsidRPr="00F36DFC">
        <w:rPr>
          <w:i/>
          <w:iCs/>
          <w:sz w:val="24"/>
          <w:szCs w:val="24"/>
        </w:rPr>
        <w:t>Ældre</w:t>
      </w:r>
    </w:p>
    <w:p w14:paraId="724B2B40" w14:textId="77777777" w:rsidR="00F859C7" w:rsidRPr="00F36DFC" w:rsidRDefault="00F859C7" w:rsidP="00E14048">
      <w:pPr>
        <w:ind w:left="851"/>
        <w:rPr>
          <w:sz w:val="24"/>
          <w:szCs w:val="24"/>
        </w:rPr>
      </w:pPr>
      <w:r w:rsidRPr="00F36DFC">
        <w:rPr>
          <w:sz w:val="24"/>
          <w:szCs w:val="24"/>
        </w:rPr>
        <w:t xml:space="preserve">En samlet analyse af sikkerhedsdata for 95 ældre personer har vist en relativt højere rapporteringshyppighed af perifert ødem og </w:t>
      </w:r>
      <w:proofErr w:type="spellStart"/>
      <w:r w:rsidRPr="00F36DFC">
        <w:rPr>
          <w:sz w:val="24"/>
          <w:szCs w:val="24"/>
        </w:rPr>
        <w:t>pruritus</w:t>
      </w:r>
      <w:proofErr w:type="spellEnd"/>
      <w:r w:rsidRPr="00F36DFC">
        <w:rPr>
          <w:sz w:val="24"/>
          <w:szCs w:val="24"/>
        </w:rPr>
        <w:t xml:space="preserve"> sammenlignet med den voksne population.</w:t>
      </w:r>
    </w:p>
    <w:p w14:paraId="48C73D1F" w14:textId="77777777" w:rsidR="00F859C7" w:rsidRPr="00F36DFC" w:rsidRDefault="00F859C7" w:rsidP="00E14048">
      <w:pPr>
        <w:ind w:left="851"/>
        <w:rPr>
          <w:sz w:val="24"/>
          <w:szCs w:val="24"/>
        </w:rPr>
      </w:pPr>
    </w:p>
    <w:p w14:paraId="1E80A64E" w14:textId="77777777" w:rsidR="00F859C7" w:rsidRPr="00F36DFC" w:rsidRDefault="00F859C7" w:rsidP="00E14048">
      <w:pPr>
        <w:ind w:left="851"/>
        <w:rPr>
          <w:sz w:val="24"/>
          <w:szCs w:val="24"/>
        </w:rPr>
      </w:pPr>
      <w:r w:rsidRPr="00F36DFC">
        <w:rPr>
          <w:sz w:val="24"/>
          <w:szCs w:val="24"/>
        </w:rPr>
        <w:t xml:space="preserve">Gennemgang af data efter markedsføringen tyder på, at patienter på 65 år og derover har en højere hyppighed end den generelle befolkning af følgende bivirkninger: Stevens-Johnsons syndrom (SJS) og lægemiddelinduceret overfølsomhedssyndrom (Drug </w:t>
      </w:r>
      <w:proofErr w:type="spellStart"/>
      <w:r w:rsidRPr="00F36DFC">
        <w:rPr>
          <w:sz w:val="24"/>
          <w:szCs w:val="24"/>
        </w:rPr>
        <w:t>Induced</w:t>
      </w:r>
      <w:proofErr w:type="spellEnd"/>
      <w:r w:rsidRPr="00F36DFC">
        <w:rPr>
          <w:sz w:val="24"/>
          <w:szCs w:val="24"/>
        </w:rPr>
        <w:t xml:space="preserve"> </w:t>
      </w:r>
      <w:proofErr w:type="spellStart"/>
      <w:r w:rsidRPr="00F36DFC">
        <w:rPr>
          <w:sz w:val="24"/>
          <w:szCs w:val="24"/>
        </w:rPr>
        <w:t>Hypersensitivity</w:t>
      </w:r>
      <w:proofErr w:type="spellEnd"/>
      <w:r w:rsidRPr="00F36DFC">
        <w:rPr>
          <w:sz w:val="24"/>
          <w:szCs w:val="24"/>
        </w:rPr>
        <w:t xml:space="preserve"> </w:t>
      </w:r>
      <w:proofErr w:type="spellStart"/>
      <w:r w:rsidRPr="00F36DFC">
        <w:rPr>
          <w:sz w:val="24"/>
          <w:szCs w:val="24"/>
        </w:rPr>
        <w:t>Syndrome</w:t>
      </w:r>
      <w:proofErr w:type="spellEnd"/>
      <w:r w:rsidRPr="00F36DFC">
        <w:rPr>
          <w:sz w:val="24"/>
          <w:szCs w:val="24"/>
        </w:rPr>
        <w:t>, DIHS).</w:t>
      </w:r>
    </w:p>
    <w:p w14:paraId="4878C239" w14:textId="77777777" w:rsidR="00F859C7" w:rsidRPr="00F36DFC" w:rsidRDefault="00F859C7" w:rsidP="00E14048">
      <w:pPr>
        <w:ind w:left="851"/>
        <w:rPr>
          <w:sz w:val="24"/>
          <w:szCs w:val="24"/>
        </w:rPr>
      </w:pPr>
    </w:p>
    <w:p w14:paraId="5BBFCDE9" w14:textId="77777777" w:rsidR="00F859C7" w:rsidRPr="00F36DFC" w:rsidRDefault="00F859C7" w:rsidP="00E14048">
      <w:pPr>
        <w:ind w:left="851"/>
        <w:rPr>
          <w:i/>
          <w:sz w:val="24"/>
          <w:szCs w:val="24"/>
        </w:rPr>
      </w:pPr>
      <w:r w:rsidRPr="00F36DFC">
        <w:rPr>
          <w:i/>
          <w:iCs/>
          <w:sz w:val="24"/>
          <w:szCs w:val="24"/>
        </w:rPr>
        <w:t>Pædiatrisk population</w:t>
      </w:r>
    </w:p>
    <w:p w14:paraId="684B4F3D" w14:textId="77777777" w:rsidR="00F859C7" w:rsidRPr="00F36DFC" w:rsidRDefault="00F859C7" w:rsidP="00E14048">
      <w:pPr>
        <w:ind w:left="851"/>
        <w:rPr>
          <w:sz w:val="24"/>
          <w:szCs w:val="24"/>
        </w:rPr>
      </w:pPr>
      <w:proofErr w:type="spellStart"/>
      <w:r w:rsidRPr="00F36DFC">
        <w:rPr>
          <w:sz w:val="24"/>
          <w:szCs w:val="24"/>
        </w:rPr>
        <w:t>Zonisamids</w:t>
      </w:r>
      <w:proofErr w:type="spellEnd"/>
      <w:r w:rsidRPr="00F36DFC">
        <w:rPr>
          <w:sz w:val="24"/>
          <w:szCs w:val="24"/>
        </w:rPr>
        <w:t xml:space="preserve"> bivirkningsprofil hos pædiatriske patienter i alderen 6 til 17 år var i placebo-kontrollerede kliniske studier i overensstemmelse med bivirkningsprofilen hos voksne. Blandt de 465 patienter i den pædiatriske sikkerhedsdatabase (inkl. yderligere 67 patienter fra det kontrollerede kliniske studies forlængelsesfase) var der 7 dødsfald (1,5 %; 14,6/1.000 </w:t>
      </w:r>
      <w:proofErr w:type="spellStart"/>
      <w:r w:rsidRPr="00F36DFC">
        <w:rPr>
          <w:sz w:val="24"/>
          <w:szCs w:val="24"/>
        </w:rPr>
        <w:t>personår</w:t>
      </w:r>
      <w:proofErr w:type="spellEnd"/>
      <w:r w:rsidRPr="00F36DFC">
        <w:rPr>
          <w:sz w:val="24"/>
          <w:szCs w:val="24"/>
        </w:rPr>
        <w:t xml:space="preserve">): 2 tilfælde af status </w:t>
      </w:r>
      <w:proofErr w:type="spellStart"/>
      <w:r w:rsidRPr="00F36DFC">
        <w:rPr>
          <w:sz w:val="24"/>
          <w:szCs w:val="24"/>
        </w:rPr>
        <w:t>epilepticus</w:t>
      </w:r>
      <w:proofErr w:type="spellEnd"/>
      <w:r w:rsidRPr="00F36DFC">
        <w:rPr>
          <w:sz w:val="24"/>
          <w:szCs w:val="24"/>
        </w:rPr>
        <w:t>, hvoraf den ene var forbundet med kraftigt vægttab (10 % i løbet af 3 måneder) hos en undervægtig person og efterfølgende undladelse af at tage medicin, 1 tilfælde af hovedtraume/</w:t>
      </w:r>
      <w:proofErr w:type="spellStart"/>
      <w:r w:rsidRPr="00F36DFC">
        <w:rPr>
          <w:sz w:val="24"/>
          <w:szCs w:val="24"/>
        </w:rPr>
        <w:t>hæmatom</w:t>
      </w:r>
      <w:proofErr w:type="spellEnd"/>
      <w:r w:rsidRPr="00F36DFC">
        <w:rPr>
          <w:sz w:val="24"/>
          <w:szCs w:val="24"/>
        </w:rPr>
        <w:t xml:space="preserve"> og 4 dødsfald hos patienter med eksisterende svigt i neurologisk funktion af forskellige årsager (2 tilfælde af pneumoni-induceret sepsis/organsvigt, 1 tilfælde af pludselig og uforklarlig død ved epilepsi og 1 hovedtraume). I alt 70,4 % af de pædiatriske patienter, som fik </w:t>
      </w:r>
      <w:proofErr w:type="spellStart"/>
      <w:r w:rsidRPr="00F36DFC">
        <w:rPr>
          <w:sz w:val="24"/>
          <w:szCs w:val="24"/>
        </w:rPr>
        <w:t>zonisamid</w:t>
      </w:r>
      <w:proofErr w:type="spellEnd"/>
      <w:r w:rsidRPr="00F36DFC">
        <w:rPr>
          <w:sz w:val="24"/>
          <w:szCs w:val="24"/>
        </w:rPr>
        <w:t xml:space="preserve"> i det kontrollerede studie eller dets åbne forlængelse, havde mindst én </w:t>
      </w:r>
      <w:proofErr w:type="spellStart"/>
      <w:r w:rsidRPr="00F36DFC">
        <w:rPr>
          <w:sz w:val="24"/>
          <w:szCs w:val="24"/>
        </w:rPr>
        <w:t>hydrogencarbonatmåling</w:t>
      </w:r>
      <w:proofErr w:type="spellEnd"/>
      <w:r w:rsidRPr="00F36DFC">
        <w:rPr>
          <w:sz w:val="24"/>
          <w:szCs w:val="24"/>
        </w:rPr>
        <w:t xml:space="preserve"> under 22 mmol/l, som opstod under behandlingen. De lave </w:t>
      </w:r>
      <w:proofErr w:type="spellStart"/>
      <w:r w:rsidRPr="00F36DFC">
        <w:rPr>
          <w:sz w:val="24"/>
          <w:szCs w:val="24"/>
        </w:rPr>
        <w:t>hydrogencarbonatmålinger</w:t>
      </w:r>
      <w:proofErr w:type="spellEnd"/>
      <w:r w:rsidRPr="00F36DFC">
        <w:rPr>
          <w:sz w:val="24"/>
          <w:szCs w:val="24"/>
        </w:rPr>
        <w:t xml:space="preserve"> varede også længe (median 188 dage). En samlet analyse af sikkerhedsdata for 420 pædiatriske patienter (183 patienter i alderen 6 til 11 år og 237 patienter i alderen 12 til 16 år med en gennemsnitlig eksponeringsvarighed på ca. 12 måneder) har vist en forholdsvis højere indberetningshyppighed af pneumoni, dehydrering, nedsat svedproduktion, unormale leverfunktionsprøver, </w:t>
      </w:r>
      <w:proofErr w:type="spellStart"/>
      <w:r w:rsidRPr="00F36DFC">
        <w:rPr>
          <w:sz w:val="24"/>
          <w:szCs w:val="24"/>
        </w:rPr>
        <w:t>otitis</w:t>
      </w:r>
      <w:proofErr w:type="spellEnd"/>
      <w:r w:rsidRPr="00F36DFC">
        <w:rPr>
          <w:sz w:val="24"/>
          <w:szCs w:val="24"/>
        </w:rPr>
        <w:t xml:space="preserve"> media, </w:t>
      </w:r>
      <w:proofErr w:type="spellStart"/>
      <w:r w:rsidRPr="00F36DFC">
        <w:rPr>
          <w:sz w:val="24"/>
          <w:szCs w:val="24"/>
        </w:rPr>
        <w:t>faryngitis</w:t>
      </w:r>
      <w:proofErr w:type="spellEnd"/>
      <w:r w:rsidRPr="00F36DFC">
        <w:rPr>
          <w:sz w:val="24"/>
          <w:szCs w:val="24"/>
        </w:rPr>
        <w:t xml:space="preserve">, </w:t>
      </w:r>
      <w:proofErr w:type="spellStart"/>
      <w:r w:rsidRPr="00F36DFC">
        <w:rPr>
          <w:sz w:val="24"/>
          <w:szCs w:val="24"/>
        </w:rPr>
        <w:t>sinuitis</w:t>
      </w:r>
      <w:proofErr w:type="spellEnd"/>
      <w:r w:rsidRPr="00F36DFC">
        <w:rPr>
          <w:sz w:val="24"/>
          <w:szCs w:val="24"/>
        </w:rPr>
        <w:t xml:space="preserve"> og infektion i de øvre luftveje, hoste, </w:t>
      </w:r>
      <w:proofErr w:type="spellStart"/>
      <w:r w:rsidRPr="00F36DFC">
        <w:rPr>
          <w:sz w:val="24"/>
          <w:szCs w:val="24"/>
        </w:rPr>
        <w:t>epistaxis</w:t>
      </w:r>
      <w:proofErr w:type="spellEnd"/>
      <w:r w:rsidRPr="00F36DFC">
        <w:rPr>
          <w:sz w:val="24"/>
          <w:szCs w:val="24"/>
        </w:rPr>
        <w:t xml:space="preserve"> og </w:t>
      </w:r>
      <w:proofErr w:type="spellStart"/>
      <w:r w:rsidRPr="00F36DFC">
        <w:rPr>
          <w:sz w:val="24"/>
          <w:szCs w:val="24"/>
        </w:rPr>
        <w:t>rhinitis</w:t>
      </w:r>
      <w:proofErr w:type="spellEnd"/>
      <w:r w:rsidRPr="00F36DFC">
        <w:rPr>
          <w:sz w:val="24"/>
          <w:szCs w:val="24"/>
        </w:rPr>
        <w:t xml:space="preserve">, </w:t>
      </w:r>
      <w:proofErr w:type="spellStart"/>
      <w:r w:rsidRPr="00F36DFC">
        <w:rPr>
          <w:sz w:val="24"/>
          <w:szCs w:val="24"/>
        </w:rPr>
        <w:t>abdominalsmerter</w:t>
      </w:r>
      <w:proofErr w:type="spellEnd"/>
      <w:r w:rsidRPr="00F36DFC">
        <w:rPr>
          <w:sz w:val="24"/>
          <w:szCs w:val="24"/>
        </w:rPr>
        <w:t xml:space="preserve">, opkastning, udslæt og eksem samt feber i forhold til den voksne population (navnlig hos personer under 12 år) og en lav forekomst af amnesi, forhøjet </w:t>
      </w:r>
      <w:proofErr w:type="spellStart"/>
      <w:r w:rsidRPr="00F36DFC">
        <w:rPr>
          <w:sz w:val="24"/>
          <w:szCs w:val="24"/>
        </w:rPr>
        <w:t>kreatinin</w:t>
      </w:r>
      <w:proofErr w:type="spellEnd"/>
      <w:r w:rsidRPr="00F36DFC">
        <w:rPr>
          <w:sz w:val="24"/>
          <w:szCs w:val="24"/>
        </w:rPr>
        <w:t xml:space="preserve">, </w:t>
      </w:r>
      <w:proofErr w:type="spellStart"/>
      <w:r w:rsidRPr="00F36DFC">
        <w:rPr>
          <w:sz w:val="24"/>
          <w:szCs w:val="24"/>
        </w:rPr>
        <w:t>lymfadenopati</w:t>
      </w:r>
      <w:proofErr w:type="spellEnd"/>
      <w:r w:rsidRPr="00F36DFC">
        <w:rPr>
          <w:sz w:val="24"/>
          <w:szCs w:val="24"/>
        </w:rPr>
        <w:t xml:space="preserve"> og </w:t>
      </w:r>
      <w:proofErr w:type="spellStart"/>
      <w:r w:rsidRPr="00F36DFC">
        <w:rPr>
          <w:sz w:val="24"/>
          <w:szCs w:val="24"/>
        </w:rPr>
        <w:t>trombocytopeni</w:t>
      </w:r>
      <w:proofErr w:type="spellEnd"/>
      <w:r w:rsidRPr="00F36DFC">
        <w:rPr>
          <w:sz w:val="24"/>
          <w:szCs w:val="24"/>
        </w:rPr>
        <w:t xml:space="preserve">. Vægttab på 10 % eller derover forekom hos 10,7 % (se pkt. 4.4).  I nogle tilfælde af vægttab var der en forsinkelse i overgangen til næste </w:t>
      </w:r>
      <w:proofErr w:type="spellStart"/>
      <w:r w:rsidRPr="00F36DFC">
        <w:rPr>
          <w:sz w:val="24"/>
          <w:szCs w:val="24"/>
        </w:rPr>
        <w:t>Tanner</w:t>
      </w:r>
      <w:proofErr w:type="spellEnd"/>
      <w:r w:rsidRPr="00F36DFC">
        <w:rPr>
          <w:sz w:val="24"/>
          <w:szCs w:val="24"/>
        </w:rPr>
        <w:t>-stadie og i skeletmodningen.</w:t>
      </w:r>
    </w:p>
    <w:p w14:paraId="28006752" w14:textId="2B23FE4A" w:rsidR="00C26C40" w:rsidRDefault="00C26C40">
      <w:pPr>
        <w:rPr>
          <w:sz w:val="24"/>
          <w:szCs w:val="24"/>
        </w:rPr>
      </w:pPr>
      <w:r>
        <w:rPr>
          <w:sz w:val="24"/>
          <w:szCs w:val="24"/>
        </w:rPr>
        <w:br w:type="page"/>
      </w:r>
    </w:p>
    <w:p w14:paraId="1EDF1A54" w14:textId="77777777" w:rsidR="00F859C7" w:rsidRPr="00F36DFC" w:rsidRDefault="00F859C7" w:rsidP="00E14048">
      <w:pPr>
        <w:ind w:left="851"/>
        <w:rPr>
          <w:sz w:val="24"/>
          <w:szCs w:val="24"/>
        </w:rPr>
      </w:pPr>
    </w:p>
    <w:p w14:paraId="08E0DCC6" w14:textId="77777777" w:rsidR="00D16F2D" w:rsidRPr="00F36DFC" w:rsidRDefault="00D16F2D" w:rsidP="00E14048">
      <w:pPr>
        <w:autoSpaceDE w:val="0"/>
        <w:autoSpaceDN w:val="0"/>
        <w:ind w:left="851"/>
        <w:rPr>
          <w:sz w:val="24"/>
          <w:szCs w:val="24"/>
          <w:u w:val="single"/>
        </w:rPr>
      </w:pPr>
      <w:r w:rsidRPr="00F36DFC">
        <w:rPr>
          <w:sz w:val="24"/>
          <w:szCs w:val="24"/>
          <w:u w:val="single"/>
        </w:rPr>
        <w:t>Indberetning af formodede bivirkninger</w:t>
      </w:r>
    </w:p>
    <w:p w14:paraId="3582444A" w14:textId="77777777" w:rsidR="00D16F2D" w:rsidRPr="00F36DFC" w:rsidRDefault="00D16F2D" w:rsidP="00E14048">
      <w:pPr>
        <w:ind w:left="851"/>
        <w:rPr>
          <w:sz w:val="24"/>
          <w:szCs w:val="24"/>
        </w:rPr>
      </w:pPr>
      <w:r w:rsidRPr="00F36DFC">
        <w:rPr>
          <w:sz w:val="24"/>
          <w:szCs w:val="24"/>
        </w:rPr>
        <w:t>Når lægemidlet er godkendt, er indberetning af formodede bivirkninger vigtig. Det muliggør løbende overvågning af benefit/</w:t>
      </w:r>
      <w:proofErr w:type="spellStart"/>
      <w:r w:rsidRPr="00F36DFC">
        <w:rPr>
          <w:sz w:val="24"/>
          <w:szCs w:val="24"/>
        </w:rPr>
        <w:t>risk</w:t>
      </w:r>
      <w:proofErr w:type="spellEnd"/>
      <w:r w:rsidRPr="00F36DFC">
        <w:rPr>
          <w:sz w:val="24"/>
          <w:szCs w:val="24"/>
        </w:rPr>
        <w:t>-forholdet for lægemidlet. Sundhedspersoner anmodes om at indberette alle formodede bivirkninger via:</w:t>
      </w:r>
    </w:p>
    <w:p w14:paraId="618292BD" w14:textId="77777777" w:rsidR="00D16F2D" w:rsidRPr="00F36DFC" w:rsidRDefault="00D16F2D" w:rsidP="00E14048">
      <w:pPr>
        <w:tabs>
          <w:tab w:val="left" w:pos="2440"/>
        </w:tabs>
        <w:ind w:left="851"/>
        <w:rPr>
          <w:sz w:val="24"/>
          <w:szCs w:val="24"/>
        </w:rPr>
      </w:pPr>
    </w:p>
    <w:p w14:paraId="69443DEA" w14:textId="77777777" w:rsidR="00D16F2D" w:rsidRPr="00F36DFC" w:rsidRDefault="00D16F2D" w:rsidP="00E14048">
      <w:pPr>
        <w:ind w:left="851"/>
        <w:rPr>
          <w:sz w:val="24"/>
          <w:szCs w:val="24"/>
        </w:rPr>
      </w:pPr>
      <w:r w:rsidRPr="00F36DFC">
        <w:rPr>
          <w:sz w:val="24"/>
          <w:szCs w:val="24"/>
        </w:rPr>
        <w:t>Lægemiddelstyrelsen</w:t>
      </w:r>
    </w:p>
    <w:p w14:paraId="7A08315E" w14:textId="77777777" w:rsidR="00D16F2D" w:rsidRPr="00F36DFC" w:rsidRDefault="00D16F2D" w:rsidP="00E14048">
      <w:pPr>
        <w:ind w:left="851"/>
        <w:rPr>
          <w:sz w:val="24"/>
          <w:szCs w:val="24"/>
        </w:rPr>
      </w:pPr>
      <w:r w:rsidRPr="00F36DFC">
        <w:rPr>
          <w:sz w:val="24"/>
          <w:szCs w:val="24"/>
        </w:rPr>
        <w:t>Axel Heides Gade 1</w:t>
      </w:r>
    </w:p>
    <w:p w14:paraId="275ACA8D" w14:textId="77777777" w:rsidR="00D16F2D" w:rsidRPr="00F36DFC" w:rsidRDefault="00D16F2D" w:rsidP="00E14048">
      <w:pPr>
        <w:ind w:left="851"/>
        <w:rPr>
          <w:sz w:val="24"/>
          <w:szCs w:val="24"/>
        </w:rPr>
      </w:pPr>
      <w:r w:rsidRPr="00F36DFC">
        <w:rPr>
          <w:sz w:val="24"/>
          <w:szCs w:val="24"/>
        </w:rPr>
        <w:t>DK-2300 København S</w:t>
      </w:r>
    </w:p>
    <w:p w14:paraId="6119502C" w14:textId="77777777" w:rsidR="00D16F2D" w:rsidRPr="00F36DFC" w:rsidRDefault="00D16F2D" w:rsidP="00E14048">
      <w:pPr>
        <w:ind w:left="851"/>
        <w:rPr>
          <w:sz w:val="24"/>
          <w:szCs w:val="24"/>
        </w:rPr>
      </w:pPr>
      <w:r w:rsidRPr="00F36DFC">
        <w:rPr>
          <w:sz w:val="24"/>
          <w:szCs w:val="24"/>
        </w:rPr>
        <w:t xml:space="preserve">Websted: </w:t>
      </w:r>
      <w:hyperlink r:id="rId8" w:history="1">
        <w:r w:rsidRPr="00F36DFC">
          <w:rPr>
            <w:rStyle w:val="Hyperlink"/>
            <w:sz w:val="24"/>
            <w:szCs w:val="24"/>
          </w:rPr>
          <w:t>www.meldenbivirkning.dk</w:t>
        </w:r>
      </w:hyperlink>
    </w:p>
    <w:p w14:paraId="69D59089" w14:textId="77777777" w:rsidR="009260DE" w:rsidRPr="00F36DFC" w:rsidRDefault="009260DE" w:rsidP="00A10294">
      <w:pPr>
        <w:tabs>
          <w:tab w:val="left" w:pos="851"/>
        </w:tabs>
        <w:ind w:left="851"/>
        <w:rPr>
          <w:sz w:val="24"/>
          <w:szCs w:val="24"/>
        </w:rPr>
      </w:pPr>
    </w:p>
    <w:p w14:paraId="4116C863" w14:textId="77777777" w:rsidR="009260DE" w:rsidRPr="00F36DFC" w:rsidRDefault="009260DE" w:rsidP="009260DE">
      <w:pPr>
        <w:tabs>
          <w:tab w:val="left" w:pos="851"/>
        </w:tabs>
        <w:ind w:left="851" w:hanging="851"/>
        <w:rPr>
          <w:b/>
          <w:sz w:val="24"/>
          <w:szCs w:val="24"/>
        </w:rPr>
      </w:pPr>
      <w:r w:rsidRPr="00F36DFC">
        <w:rPr>
          <w:b/>
          <w:sz w:val="24"/>
          <w:szCs w:val="24"/>
        </w:rPr>
        <w:t>4.9</w:t>
      </w:r>
      <w:r w:rsidRPr="00F36DFC">
        <w:rPr>
          <w:b/>
          <w:sz w:val="24"/>
          <w:szCs w:val="24"/>
        </w:rPr>
        <w:tab/>
        <w:t>Overdosering</w:t>
      </w:r>
    </w:p>
    <w:p w14:paraId="0573CFC6" w14:textId="77777777" w:rsidR="00F859C7" w:rsidRPr="00F36DFC" w:rsidRDefault="00F859C7" w:rsidP="00E14048">
      <w:pPr>
        <w:ind w:left="851"/>
        <w:rPr>
          <w:sz w:val="24"/>
          <w:szCs w:val="24"/>
          <w:lang w:eastAsia="de-DE"/>
        </w:rPr>
      </w:pPr>
      <w:r w:rsidRPr="00F36DFC">
        <w:rPr>
          <w:sz w:val="24"/>
          <w:szCs w:val="24"/>
        </w:rPr>
        <w:t xml:space="preserve">Der har været tilfælde med utilsigtet og forsætlig overdosering hos voksne og pædiatriske patienter. I nogle tilfælde var overdoseringen asymptomatisk, specielt hvor opkastning og ventrikelskylning skete omgående. I andre tilfælde blev overdoseringen efterfulgt af symptomer som døsighed, kvalme, gastritis, nystagmus, </w:t>
      </w:r>
      <w:proofErr w:type="spellStart"/>
      <w:r w:rsidRPr="00F36DFC">
        <w:rPr>
          <w:sz w:val="24"/>
          <w:szCs w:val="24"/>
        </w:rPr>
        <w:t>myoklonier</w:t>
      </w:r>
      <w:proofErr w:type="spellEnd"/>
      <w:r w:rsidRPr="00F36DFC">
        <w:rPr>
          <w:sz w:val="24"/>
          <w:szCs w:val="24"/>
        </w:rPr>
        <w:t xml:space="preserve">, koma, </w:t>
      </w:r>
      <w:proofErr w:type="spellStart"/>
      <w:r w:rsidRPr="00F36DFC">
        <w:rPr>
          <w:sz w:val="24"/>
          <w:szCs w:val="24"/>
        </w:rPr>
        <w:t>bradycardi</w:t>
      </w:r>
      <w:proofErr w:type="spellEnd"/>
      <w:r w:rsidRPr="00F36DFC">
        <w:rPr>
          <w:sz w:val="24"/>
          <w:szCs w:val="24"/>
        </w:rPr>
        <w:t xml:space="preserve">, nedsat nyrefunktion, hypotension og respirationsdepression. En meget høj plasmakoncentration på 100,1 </w:t>
      </w:r>
      <w:proofErr w:type="spellStart"/>
      <w:r w:rsidRPr="00F36DFC">
        <w:rPr>
          <w:sz w:val="24"/>
          <w:szCs w:val="24"/>
        </w:rPr>
        <w:t>μg</w:t>
      </w:r>
      <w:proofErr w:type="spellEnd"/>
      <w:r w:rsidRPr="00F36DFC">
        <w:rPr>
          <w:sz w:val="24"/>
          <w:szCs w:val="24"/>
        </w:rPr>
        <w:t xml:space="preserve">/ml </w:t>
      </w:r>
      <w:proofErr w:type="spellStart"/>
      <w:r w:rsidRPr="00F36DFC">
        <w:rPr>
          <w:sz w:val="24"/>
          <w:szCs w:val="24"/>
        </w:rPr>
        <w:t>zonisamid</w:t>
      </w:r>
      <w:proofErr w:type="spellEnd"/>
      <w:r w:rsidRPr="00F36DFC">
        <w:rPr>
          <w:sz w:val="24"/>
          <w:szCs w:val="24"/>
        </w:rPr>
        <w:t xml:space="preserve"> blev registreret ca. 31 timer efter, at en patient tog en overdosis af </w:t>
      </w:r>
      <w:proofErr w:type="spellStart"/>
      <w:r w:rsidRPr="00F36DFC">
        <w:rPr>
          <w:sz w:val="24"/>
          <w:szCs w:val="24"/>
        </w:rPr>
        <w:t>zonisamid</w:t>
      </w:r>
      <w:proofErr w:type="spellEnd"/>
      <w:r w:rsidRPr="00F36DFC">
        <w:rPr>
          <w:sz w:val="24"/>
          <w:szCs w:val="24"/>
        </w:rPr>
        <w:t xml:space="preserve"> og </w:t>
      </w:r>
      <w:proofErr w:type="spellStart"/>
      <w:r w:rsidRPr="00F36DFC">
        <w:rPr>
          <w:sz w:val="24"/>
          <w:szCs w:val="24"/>
        </w:rPr>
        <w:t>clonazepam</w:t>
      </w:r>
      <w:proofErr w:type="spellEnd"/>
      <w:r w:rsidRPr="00F36DFC">
        <w:rPr>
          <w:sz w:val="24"/>
          <w:szCs w:val="24"/>
        </w:rPr>
        <w:t>. Patienten blev komatøs og havde respirationsdepression, men kom til bevidsthed fem dage senere og havde ingen følgevirkninger.</w:t>
      </w:r>
    </w:p>
    <w:p w14:paraId="46F6A211" w14:textId="77777777" w:rsidR="00F859C7" w:rsidRPr="00F36DFC" w:rsidRDefault="00F859C7" w:rsidP="00E14048">
      <w:pPr>
        <w:ind w:left="851"/>
        <w:rPr>
          <w:sz w:val="24"/>
          <w:szCs w:val="24"/>
        </w:rPr>
      </w:pPr>
    </w:p>
    <w:p w14:paraId="7EB4366C" w14:textId="77777777" w:rsidR="00F859C7" w:rsidRPr="00F36DFC" w:rsidRDefault="00F859C7" w:rsidP="00E14048">
      <w:pPr>
        <w:ind w:left="851"/>
        <w:rPr>
          <w:i/>
          <w:sz w:val="24"/>
          <w:szCs w:val="24"/>
          <w:u w:val="single"/>
        </w:rPr>
      </w:pPr>
      <w:r w:rsidRPr="00F36DFC">
        <w:rPr>
          <w:i/>
          <w:iCs/>
          <w:sz w:val="24"/>
          <w:szCs w:val="24"/>
          <w:u w:val="single"/>
        </w:rPr>
        <w:t>Behandling</w:t>
      </w:r>
    </w:p>
    <w:p w14:paraId="6298BBAD" w14:textId="77777777" w:rsidR="00F859C7" w:rsidRPr="00F36DFC" w:rsidRDefault="00F859C7" w:rsidP="00E14048">
      <w:pPr>
        <w:ind w:left="851"/>
        <w:rPr>
          <w:sz w:val="24"/>
          <w:szCs w:val="24"/>
          <w:u w:val="single"/>
        </w:rPr>
      </w:pPr>
    </w:p>
    <w:p w14:paraId="1864D22A" w14:textId="71A3CA89" w:rsidR="00F859C7" w:rsidRPr="00F36DFC" w:rsidRDefault="00F859C7" w:rsidP="00E14048">
      <w:pPr>
        <w:ind w:left="851"/>
        <w:rPr>
          <w:sz w:val="24"/>
          <w:szCs w:val="24"/>
        </w:rPr>
      </w:pPr>
      <w:r w:rsidRPr="00F36DFC">
        <w:rPr>
          <w:sz w:val="24"/>
          <w:szCs w:val="24"/>
        </w:rPr>
        <w:t xml:space="preserve">Der findes ingen specifikke </w:t>
      </w:r>
      <w:proofErr w:type="spellStart"/>
      <w:r w:rsidRPr="00F36DFC">
        <w:rPr>
          <w:sz w:val="24"/>
          <w:szCs w:val="24"/>
        </w:rPr>
        <w:t>antidoter</w:t>
      </w:r>
      <w:proofErr w:type="spellEnd"/>
      <w:r w:rsidRPr="00F36DFC">
        <w:rPr>
          <w:sz w:val="24"/>
          <w:szCs w:val="24"/>
        </w:rPr>
        <w:t xml:space="preserve"> til </w:t>
      </w:r>
      <w:proofErr w:type="spellStart"/>
      <w:r w:rsidRPr="00F36DFC">
        <w:rPr>
          <w:sz w:val="24"/>
          <w:szCs w:val="24"/>
        </w:rPr>
        <w:t>Zonisamid</w:t>
      </w:r>
      <w:proofErr w:type="spellEnd"/>
      <w:r w:rsidRPr="00F36DFC">
        <w:rPr>
          <w:sz w:val="24"/>
          <w:szCs w:val="24"/>
        </w:rPr>
        <w:t xml:space="preserve"> </w:t>
      </w:r>
      <w:r w:rsidR="00C26C40">
        <w:rPr>
          <w:sz w:val="24"/>
          <w:szCs w:val="24"/>
        </w:rPr>
        <w:t>"</w:t>
      </w:r>
      <w:proofErr w:type="spellStart"/>
      <w:r w:rsidR="00C26C40">
        <w:rPr>
          <w:sz w:val="24"/>
          <w:szCs w:val="24"/>
        </w:rPr>
        <w:t>Desitin</w:t>
      </w:r>
      <w:proofErr w:type="spellEnd"/>
      <w:r w:rsidR="00C26C40">
        <w:rPr>
          <w:sz w:val="24"/>
          <w:szCs w:val="24"/>
        </w:rPr>
        <w:t>"</w:t>
      </w:r>
      <w:r w:rsidR="00F36DFC">
        <w:rPr>
          <w:sz w:val="24"/>
          <w:szCs w:val="24"/>
        </w:rPr>
        <w:t xml:space="preserve"> </w:t>
      </w:r>
      <w:r w:rsidRPr="00F36DFC">
        <w:rPr>
          <w:sz w:val="24"/>
          <w:szCs w:val="24"/>
        </w:rPr>
        <w:t xml:space="preserve">overdosering. Efter en formodet nylig overdosis kan tømning af maven ved ventrikelskylning eller fremkaldelse af opkastning være indiceret med de sædvanlige forholdsregler til at sikre luftvejen. Almindelig understøttende behandling er indiceret herunder hyppig kontrol af vitale funktioner og tæt observation. </w:t>
      </w:r>
      <w:proofErr w:type="spellStart"/>
      <w:r w:rsidRPr="00F36DFC">
        <w:rPr>
          <w:sz w:val="24"/>
          <w:szCs w:val="24"/>
        </w:rPr>
        <w:t>Zonisamid</w:t>
      </w:r>
      <w:proofErr w:type="spellEnd"/>
      <w:r w:rsidRPr="00F36DFC">
        <w:rPr>
          <w:sz w:val="24"/>
          <w:szCs w:val="24"/>
        </w:rPr>
        <w:t xml:space="preserve"> har en lang eliminationshalveringstid, så dets virkninger kan være langvarige. Selvom det ikke er undersøgt på formaliseret måde til behandling af overdosering, reducerede </w:t>
      </w:r>
      <w:proofErr w:type="gramStart"/>
      <w:r w:rsidRPr="00F36DFC">
        <w:rPr>
          <w:sz w:val="24"/>
          <w:szCs w:val="24"/>
        </w:rPr>
        <w:t>hæmodialyse plasmakoncentrationen</w:t>
      </w:r>
      <w:proofErr w:type="gramEnd"/>
      <w:r w:rsidRPr="00F36DFC">
        <w:rPr>
          <w:sz w:val="24"/>
          <w:szCs w:val="24"/>
        </w:rPr>
        <w:t xml:space="preserve"> af </w:t>
      </w:r>
      <w:proofErr w:type="spellStart"/>
      <w:r w:rsidRPr="00F36DFC">
        <w:rPr>
          <w:sz w:val="24"/>
          <w:szCs w:val="24"/>
        </w:rPr>
        <w:t>zonisamid</w:t>
      </w:r>
      <w:proofErr w:type="spellEnd"/>
      <w:r w:rsidRPr="00F36DFC">
        <w:rPr>
          <w:sz w:val="24"/>
          <w:szCs w:val="24"/>
        </w:rPr>
        <w:t xml:space="preserve"> hos en patient med nedsat nyrefunktion og det kan måske overvejes som behandling af overdosering, hvis det klinisk er indiceret.</w:t>
      </w:r>
    </w:p>
    <w:p w14:paraId="34C7EB1F" w14:textId="77777777" w:rsidR="009260DE" w:rsidRPr="00F36DFC" w:rsidRDefault="009260DE" w:rsidP="009260DE">
      <w:pPr>
        <w:tabs>
          <w:tab w:val="left" w:pos="851"/>
        </w:tabs>
        <w:ind w:left="851"/>
        <w:rPr>
          <w:sz w:val="24"/>
          <w:szCs w:val="24"/>
        </w:rPr>
      </w:pPr>
    </w:p>
    <w:p w14:paraId="7493D149" w14:textId="77777777" w:rsidR="009260DE" w:rsidRPr="00F36DFC" w:rsidRDefault="009260DE" w:rsidP="009260DE">
      <w:pPr>
        <w:tabs>
          <w:tab w:val="left" w:pos="851"/>
        </w:tabs>
        <w:ind w:left="851" w:hanging="851"/>
        <w:rPr>
          <w:b/>
          <w:sz w:val="24"/>
          <w:szCs w:val="24"/>
        </w:rPr>
      </w:pPr>
      <w:r w:rsidRPr="00F36DFC">
        <w:rPr>
          <w:b/>
          <w:sz w:val="24"/>
          <w:szCs w:val="24"/>
        </w:rPr>
        <w:t>4.10</w:t>
      </w:r>
      <w:r w:rsidRPr="00F36DFC">
        <w:rPr>
          <w:b/>
          <w:sz w:val="24"/>
          <w:szCs w:val="24"/>
        </w:rPr>
        <w:tab/>
        <w:t>Udlevering</w:t>
      </w:r>
    </w:p>
    <w:p w14:paraId="65D0D33B" w14:textId="49BABBE0" w:rsidR="009260DE" w:rsidRPr="00F36DFC" w:rsidRDefault="00D16F2D" w:rsidP="009260DE">
      <w:pPr>
        <w:tabs>
          <w:tab w:val="left" w:pos="851"/>
        </w:tabs>
        <w:ind w:left="851"/>
        <w:rPr>
          <w:sz w:val="24"/>
          <w:szCs w:val="24"/>
        </w:rPr>
      </w:pPr>
      <w:r w:rsidRPr="00F36DFC">
        <w:rPr>
          <w:sz w:val="24"/>
          <w:szCs w:val="24"/>
        </w:rPr>
        <w:t>B</w:t>
      </w:r>
    </w:p>
    <w:p w14:paraId="17446610" w14:textId="77777777" w:rsidR="009260DE" w:rsidRPr="00F36DFC" w:rsidRDefault="009260DE" w:rsidP="009260DE">
      <w:pPr>
        <w:tabs>
          <w:tab w:val="left" w:pos="851"/>
        </w:tabs>
        <w:ind w:left="851"/>
        <w:rPr>
          <w:sz w:val="24"/>
          <w:szCs w:val="24"/>
        </w:rPr>
      </w:pPr>
    </w:p>
    <w:p w14:paraId="360C2F4E" w14:textId="77777777" w:rsidR="009260DE" w:rsidRPr="00F36DFC" w:rsidRDefault="009260DE" w:rsidP="009260DE">
      <w:pPr>
        <w:tabs>
          <w:tab w:val="left" w:pos="851"/>
        </w:tabs>
        <w:ind w:left="851"/>
        <w:rPr>
          <w:sz w:val="24"/>
          <w:szCs w:val="24"/>
        </w:rPr>
      </w:pPr>
    </w:p>
    <w:p w14:paraId="0C7FA5B8" w14:textId="77777777" w:rsidR="009260DE" w:rsidRPr="00F36DFC" w:rsidRDefault="009260DE" w:rsidP="009260DE">
      <w:pPr>
        <w:tabs>
          <w:tab w:val="left" w:pos="851"/>
        </w:tabs>
        <w:ind w:left="851" w:hanging="851"/>
        <w:rPr>
          <w:b/>
          <w:sz w:val="24"/>
          <w:szCs w:val="24"/>
        </w:rPr>
      </w:pPr>
      <w:r w:rsidRPr="00F36DFC">
        <w:rPr>
          <w:b/>
          <w:sz w:val="24"/>
          <w:szCs w:val="24"/>
        </w:rPr>
        <w:t>5.</w:t>
      </w:r>
      <w:r w:rsidRPr="00F36DFC">
        <w:rPr>
          <w:b/>
          <w:sz w:val="24"/>
          <w:szCs w:val="24"/>
        </w:rPr>
        <w:tab/>
        <w:t>FARMAKOLOGISKE EGENSKABER</w:t>
      </w:r>
    </w:p>
    <w:p w14:paraId="18054A47" w14:textId="77777777" w:rsidR="009260DE" w:rsidRPr="00F36DFC" w:rsidRDefault="009260DE" w:rsidP="009260DE">
      <w:pPr>
        <w:tabs>
          <w:tab w:val="left" w:pos="851"/>
        </w:tabs>
        <w:ind w:left="851"/>
        <w:rPr>
          <w:sz w:val="24"/>
          <w:szCs w:val="24"/>
        </w:rPr>
      </w:pPr>
    </w:p>
    <w:p w14:paraId="1DFF55BE" w14:textId="77777777" w:rsidR="009260DE" w:rsidRPr="00F36DFC" w:rsidRDefault="009260DE" w:rsidP="009260DE">
      <w:pPr>
        <w:tabs>
          <w:tab w:val="num" w:pos="851"/>
        </w:tabs>
        <w:ind w:left="851" w:hanging="851"/>
        <w:rPr>
          <w:b/>
          <w:sz w:val="24"/>
          <w:szCs w:val="24"/>
        </w:rPr>
      </w:pPr>
      <w:r w:rsidRPr="00F36DFC">
        <w:rPr>
          <w:b/>
          <w:sz w:val="24"/>
          <w:szCs w:val="24"/>
        </w:rPr>
        <w:t>5.1</w:t>
      </w:r>
      <w:r w:rsidRPr="00F36DFC">
        <w:rPr>
          <w:b/>
          <w:sz w:val="24"/>
          <w:szCs w:val="24"/>
        </w:rPr>
        <w:tab/>
      </w:r>
      <w:proofErr w:type="spellStart"/>
      <w:r w:rsidRPr="00F36DFC">
        <w:rPr>
          <w:b/>
          <w:sz w:val="24"/>
          <w:szCs w:val="24"/>
        </w:rPr>
        <w:t>Farmakodynamiske</w:t>
      </w:r>
      <w:proofErr w:type="spellEnd"/>
      <w:r w:rsidRPr="00F36DFC">
        <w:rPr>
          <w:b/>
          <w:sz w:val="24"/>
          <w:szCs w:val="24"/>
        </w:rPr>
        <w:t xml:space="preserve"> egenskaber</w:t>
      </w:r>
    </w:p>
    <w:p w14:paraId="0CAF371C" w14:textId="7001B9E4" w:rsidR="00F859C7" w:rsidRPr="00F36DFC" w:rsidRDefault="00F859C7" w:rsidP="00E14048">
      <w:pPr>
        <w:ind w:left="851"/>
        <w:rPr>
          <w:sz w:val="24"/>
          <w:szCs w:val="24"/>
        </w:rPr>
      </w:pPr>
      <w:proofErr w:type="spellStart"/>
      <w:r w:rsidRPr="00F36DFC">
        <w:rPr>
          <w:sz w:val="24"/>
          <w:szCs w:val="24"/>
        </w:rPr>
        <w:t>Farmakoterapeutisk</w:t>
      </w:r>
      <w:proofErr w:type="spellEnd"/>
      <w:r w:rsidRPr="00F36DFC">
        <w:rPr>
          <w:sz w:val="24"/>
          <w:szCs w:val="24"/>
        </w:rPr>
        <w:t xml:space="preserve"> klassifikation: </w:t>
      </w:r>
      <w:proofErr w:type="spellStart"/>
      <w:r w:rsidRPr="00F36DFC">
        <w:rPr>
          <w:sz w:val="24"/>
          <w:szCs w:val="24"/>
        </w:rPr>
        <w:t>Antiepileptika</w:t>
      </w:r>
      <w:proofErr w:type="spellEnd"/>
      <w:r w:rsidRPr="00F36DFC">
        <w:rPr>
          <w:sz w:val="24"/>
          <w:szCs w:val="24"/>
        </w:rPr>
        <w:t xml:space="preserve">, andre </w:t>
      </w:r>
      <w:proofErr w:type="spellStart"/>
      <w:r w:rsidRPr="00F36DFC">
        <w:rPr>
          <w:sz w:val="24"/>
          <w:szCs w:val="24"/>
        </w:rPr>
        <w:t>antiepileptika</w:t>
      </w:r>
      <w:proofErr w:type="spellEnd"/>
      <w:r w:rsidR="00D16F2D" w:rsidRPr="00F36DFC">
        <w:rPr>
          <w:sz w:val="24"/>
          <w:szCs w:val="24"/>
        </w:rPr>
        <w:t xml:space="preserve">, </w:t>
      </w:r>
      <w:r w:rsidRPr="00F36DFC">
        <w:rPr>
          <w:sz w:val="24"/>
          <w:szCs w:val="24"/>
        </w:rPr>
        <w:t>ATC-kode: N03AX15</w:t>
      </w:r>
    </w:p>
    <w:p w14:paraId="38E1F541" w14:textId="77777777" w:rsidR="00F859C7" w:rsidRPr="00F36DFC" w:rsidRDefault="00F859C7" w:rsidP="00E14048">
      <w:pPr>
        <w:ind w:left="851"/>
        <w:rPr>
          <w:sz w:val="24"/>
          <w:szCs w:val="24"/>
        </w:rPr>
      </w:pPr>
    </w:p>
    <w:p w14:paraId="4F8A8E69" w14:textId="77777777" w:rsidR="00F859C7" w:rsidRPr="00F36DFC" w:rsidRDefault="00F859C7" w:rsidP="00E14048">
      <w:pPr>
        <w:ind w:left="851"/>
        <w:rPr>
          <w:sz w:val="24"/>
          <w:szCs w:val="24"/>
        </w:rPr>
      </w:pPr>
      <w:proofErr w:type="spellStart"/>
      <w:r w:rsidRPr="00F36DFC">
        <w:rPr>
          <w:sz w:val="24"/>
          <w:szCs w:val="24"/>
        </w:rPr>
        <w:t>Zonisamid</w:t>
      </w:r>
      <w:proofErr w:type="spellEnd"/>
      <w:r w:rsidRPr="00F36DFC">
        <w:rPr>
          <w:sz w:val="24"/>
          <w:szCs w:val="24"/>
        </w:rPr>
        <w:t xml:space="preserve"> er et </w:t>
      </w:r>
      <w:proofErr w:type="spellStart"/>
      <w:r w:rsidRPr="00F36DFC">
        <w:rPr>
          <w:sz w:val="24"/>
          <w:szCs w:val="24"/>
        </w:rPr>
        <w:t>benzisoxazolderivat</w:t>
      </w:r>
      <w:proofErr w:type="spellEnd"/>
      <w:r w:rsidRPr="00F36DFC">
        <w:rPr>
          <w:sz w:val="24"/>
          <w:szCs w:val="24"/>
        </w:rPr>
        <w:t xml:space="preserve">. Det er et </w:t>
      </w:r>
      <w:proofErr w:type="spellStart"/>
      <w:r w:rsidRPr="00F36DFC">
        <w:rPr>
          <w:sz w:val="24"/>
          <w:szCs w:val="24"/>
        </w:rPr>
        <w:t>antiepileptikum</w:t>
      </w:r>
      <w:proofErr w:type="spellEnd"/>
      <w:r w:rsidRPr="00F36DFC">
        <w:rPr>
          <w:sz w:val="24"/>
          <w:szCs w:val="24"/>
        </w:rPr>
        <w:t xml:space="preserve"> med en svag </w:t>
      </w:r>
      <w:proofErr w:type="spellStart"/>
      <w:r w:rsidRPr="00F36DFC">
        <w:rPr>
          <w:sz w:val="24"/>
          <w:szCs w:val="24"/>
        </w:rPr>
        <w:t>kulsyreanhydrasevirkning</w:t>
      </w:r>
      <w:proofErr w:type="spellEnd"/>
      <w:r w:rsidRPr="00F36DFC">
        <w:rPr>
          <w:sz w:val="24"/>
          <w:szCs w:val="24"/>
        </w:rPr>
        <w:t xml:space="preserve"> </w:t>
      </w:r>
      <w:r w:rsidRPr="00F36DFC">
        <w:rPr>
          <w:i/>
          <w:iCs/>
          <w:sz w:val="24"/>
          <w:szCs w:val="24"/>
        </w:rPr>
        <w:t xml:space="preserve">in </w:t>
      </w:r>
      <w:proofErr w:type="spellStart"/>
      <w:r w:rsidRPr="00F36DFC">
        <w:rPr>
          <w:i/>
          <w:iCs/>
          <w:sz w:val="24"/>
          <w:szCs w:val="24"/>
        </w:rPr>
        <w:t>vitro</w:t>
      </w:r>
      <w:proofErr w:type="spellEnd"/>
      <w:r w:rsidRPr="00F36DFC">
        <w:rPr>
          <w:sz w:val="24"/>
          <w:szCs w:val="24"/>
        </w:rPr>
        <w:t xml:space="preserve">. Kemisk er det ikke i familie med andre </w:t>
      </w:r>
      <w:proofErr w:type="spellStart"/>
      <w:r w:rsidRPr="00F36DFC">
        <w:rPr>
          <w:sz w:val="24"/>
          <w:szCs w:val="24"/>
        </w:rPr>
        <w:t>antiepileptika</w:t>
      </w:r>
      <w:proofErr w:type="spellEnd"/>
      <w:r w:rsidRPr="00F36DFC">
        <w:rPr>
          <w:sz w:val="24"/>
          <w:szCs w:val="24"/>
        </w:rPr>
        <w:t>.</w:t>
      </w:r>
    </w:p>
    <w:p w14:paraId="11863D25" w14:textId="77777777" w:rsidR="00F859C7" w:rsidRPr="00F36DFC" w:rsidRDefault="00F859C7" w:rsidP="00E14048">
      <w:pPr>
        <w:ind w:left="851"/>
        <w:rPr>
          <w:sz w:val="24"/>
          <w:szCs w:val="24"/>
        </w:rPr>
      </w:pPr>
    </w:p>
    <w:p w14:paraId="65E4769A" w14:textId="77777777" w:rsidR="00F859C7" w:rsidRPr="00F36DFC" w:rsidRDefault="00F859C7" w:rsidP="00E14048">
      <w:pPr>
        <w:ind w:left="851"/>
        <w:rPr>
          <w:sz w:val="24"/>
          <w:szCs w:val="24"/>
          <w:u w:val="single"/>
        </w:rPr>
      </w:pPr>
      <w:r w:rsidRPr="00F36DFC">
        <w:rPr>
          <w:sz w:val="24"/>
          <w:szCs w:val="24"/>
          <w:u w:val="single"/>
        </w:rPr>
        <w:t>Virkningsmekanisme</w:t>
      </w:r>
    </w:p>
    <w:p w14:paraId="08A6DAB3" w14:textId="77777777" w:rsidR="00F859C7" w:rsidRPr="00F36DFC" w:rsidRDefault="00F859C7" w:rsidP="00E14048">
      <w:pPr>
        <w:ind w:left="851"/>
        <w:rPr>
          <w:sz w:val="24"/>
          <w:szCs w:val="24"/>
        </w:rPr>
      </w:pPr>
      <w:proofErr w:type="spellStart"/>
      <w:r w:rsidRPr="00F36DFC">
        <w:rPr>
          <w:sz w:val="24"/>
          <w:szCs w:val="24"/>
        </w:rPr>
        <w:t>Zonisamids</w:t>
      </w:r>
      <w:proofErr w:type="spellEnd"/>
      <w:r w:rsidRPr="00F36DFC">
        <w:rPr>
          <w:sz w:val="24"/>
          <w:szCs w:val="24"/>
        </w:rPr>
        <w:t xml:space="preserve"> virkningsmekanisme er ikke fuldt ud klarlagt, men det synes at virke på spændingsfølsomme natrium- og calciumkanaler, hvorved det afbryder synkroniseret neuronfyring, reducerer spredningen af krampeudladninger og afbryder den efterfølgende epileptiske aktivitet. </w:t>
      </w:r>
      <w:proofErr w:type="spellStart"/>
      <w:r w:rsidRPr="00F36DFC">
        <w:rPr>
          <w:sz w:val="24"/>
          <w:szCs w:val="24"/>
        </w:rPr>
        <w:t>Zonisamid</w:t>
      </w:r>
      <w:proofErr w:type="spellEnd"/>
      <w:r w:rsidRPr="00F36DFC">
        <w:rPr>
          <w:sz w:val="24"/>
          <w:szCs w:val="24"/>
        </w:rPr>
        <w:t xml:space="preserve"> har også en modulerende virkning på GABA-medieret neuronhæmning.</w:t>
      </w:r>
    </w:p>
    <w:p w14:paraId="0420B5F6" w14:textId="77777777" w:rsidR="00F859C7" w:rsidRPr="00F36DFC" w:rsidRDefault="00F859C7" w:rsidP="00E14048">
      <w:pPr>
        <w:ind w:left="851"/>
        <w:rPr>
          <w:sz w:val="24"/>
          <w:szCs w:val="24"/>
        </w:rPr>
      </w:pPr>
    </w:p>
    <w:p w14:paraId="75F142EE" w14:textId="77777777" w:rsidR="00F859C7" w:rsidRPr="00F36DFC" w:rsidRDefault="00F859C7" w:rsidP="00E14048">
      <w:pPr>
        <w:ind w:left="851"/>
        <w:rPr>
          <w:sz w:val="24"/>
          <w:szCs w:val="24"/>
          <w:u w:val="single"/>
        </w:rPr>
      </w:pPr>
      <w:proofErr w:type="spellStart"/>
      <w:r w:rsidRPr="00F36DFC">
        <w:rPr>
          <w:sz w:val="24"/>
          <w:szCs w:val="24"/>
          <w:u w:val="single"/>
        </w:rPr>
        <w:t>Farmakodynamisk</w:t>
      </w:r>
      <w:proofErr w:type="spellEnd"/>
      <w:r w:rsidRPr="00F36DFC">
        <w:rPr>
          <w:sz w:val="24"/>
          <w:szCs w:val="24"/>
          <w:u w:val="single"/>
        </w:rPr>
        <w:t xml:space="preserve"> virkning</w:t>
      </w:r>
    </w:p>
    <w:p w14:paraId="43A196E0" w14:textId="77777777" w:rsidR="00F859C7" w:rsidRPr="00F36DFC" w:rsidRDefault="00F859C7" w:rsidP="00F36DFC">
      <w:pPr>
        <w:ind w:left="851"/>
        <w:rPr>
          <w:sz w:val="24"/>
          <w:szCs w:val="24"/>
        </w:rPr>
      </w:pPr>
      <w:proofErr w:type="spellStart"/>
      <w:r w:rsidRPr="00F36DFC">
        <w:rPr>
          <w:sz w:val="24"/>
          <w:szCs w:val="24"/>
        </w:rPr>
        <w:t>Zonisamids</w:t>
      </w:r>
      <w:proofErr w:type="spellEnd"/>
      <w:r w:rsidRPr="00F36DFC">
        <w:rPr>
          <w:sz w:val="24"/>
          <w:szCs w:val="24"/>
        </w:rPr>
        <w:t xml:space="preserve"> </w:t>
      </w:r>
      <w:proofErr w:type="spellStart"/>
      <w:r w:rsidRPr="00F36DFC">
        <w:rPr>
          <w:sz w:val="24"/>
          <w:szCs w:val="24"/>
        </w:rPr>
        <w:t>antikonvulsive</w:t>
      </w:r>
      <w:proofErr w:type="spellEnd"/>
      <w:r w:rsidRPr="00F36DFC">
        <w:rPr>
          <w:sz w:val="24"/>
          <w:szCs w:val="24"/>
        </w:rPr>
        <w:t xml:space="preserve"> virkning er blevet vurderet i forskellige modeller, og hos flere arter med inducerede eller medfødte krampeanfald; </w:t>
      </w:r>
      <w:proofErr w:type="spellStart"/>
      <w:r w:rsidRPr="00F36DFC">
        <w:rPr>
          <w:sz w:val="24"/>
          <w:szCs w:val="24"/>
        </w:rPr>
        <w:t>zonisamid</w:t>
      </w:r>
      <w:proofErr w:type="spellEnd"/>
      <w:r w:rsidRPr="00F36DFC">
        <w:rPr>
          <w:sz w:val="24"/>
          <w:szCs w:val="24"/>
        </w:rPr>
        <w:t xml:space="preserve"> ser ud til at virke som et bredspektret </w:t>
      </w:r>
      <w:proofErr w:type="spellStart"/>
      <w:r w:rsidRPr="00F36DFC">
        <w:rPr>
          <w:sz w:val="24"/>
          <w:szCs w:val="24"/>
        </w:rPr>
        <w:t>antiepileptikum</w:t>
      </w:r>
      <w:proofErr w:type="spellEnd"/>
      <w:r w:rsidRPr="00F36DFC">
        <w:rPr>
          <w:sz w:val="24"/>
          <w:szCs w:val="24"/>
        </w:rPr>
        <w:t xml:space="preserve"> i disse modeller. </w:t>
      </w:r>
      <w:proofErr w:type="spellStart"/>
      <w:r w:rsidRPr="00F36DFC">
        <w:rPr>
          <w:sz w:val="24"/>
          <w:szCs w:val="24"/>
        </w:rPr>
        <w:t>Zonisamid</w:t>
      </w:r>
      <w:proofErr w:type="spellEnd"/>
      <w:r w:rsidRPr="00F36DFC">
        <w:rPr>
          <w:sz w:val="24"/>
          <w:szCs w:val="24"/>
        </w:rPr>
        <w:t xml:space="preserve"> forebygger maksimale </w:t>
      </w:r>
      <w:proofErr w:type="spellStart"/>
      <w:r w:rsidRPr="00F36DFC">
        <w:rPr>
          <w:sz w:val="24"/>
          <w:szCs w:val="24"/>
        </w:rPr>
        <w:t>elektroshockkramper</w:t>
      </w:r>
      <w:proofErr w:type="spellEnd"/>
      <w:r w:rsidRPr="00F36DFC">
        <w:rPr>
          <w:sz w:val="24"/>
          <w:szCs w:val="24"/>
        </w:rPr>
        <w:t xml:space="preserve"> og begrænser spredningen af anfald, herunder udbredelsen af anfald fra cortex til </w:t>
      </w:r>
      <w:proofErr w:type="spellStart"/>
      <w:r w:rsidRPr="00F36DFC">
        <w:rPr>
          <w:sz w:val="24"/>
          <w:szCs w:val="24"/>
        </w:rPr>
        <w:t>subkortikale</w:t>
      </w:r>
      <w:proofErr w:type="spellEnd"/>
      <w:r w:rsidRPr="00F36DFC">
        <w:rPr>
          <w:sz w:val="24"/>
          <w:szCs w:val="24"/>
        </w:rPr>
        <w:t xml:space="preserve"> strukturer, og undertrykker aktiviteten i et epileptisk fokus.  I modsætning til </w:t>
      </w:r>
      <w:proofErr w:type="spellStart"/>
      <w:r w:rsidRPr="00F36DFC">
        <w:rPr>
          <w:sz w:val="24"/>
          <w:szCs w:val="24"/>
        </w:rPr>
        <w:t>phenytoin</w:t>
      </w:r>
      <w:proofErr w:type="spellEnd"/>
      <w:r w:rsidRPr="00F36DFC">
        <w:rPr>
          <w:sz w:val="24"/>
          <w:szCs w:val="24"/>
        </w:rPr>
        <w:t xml:space="preserve"> og </w:t>
      </w:r>
      <w:proofErr w:type="spellStart"/>
      <w:r w:rsidRPr="00F36DFC">
        <w:rPr>
          <w:sz w:val="24"/>
          <w:szCs w:val="24"/>
        </w:rPr>
        <w:t>carbamazepin</w:t>
      </w:r>
      <w:proofErr w:type="spellEnd"/>
      <w:r w:rsidRPr="00F36DFC">
        <w:rPr>
          <w:sz w:val="24"/>
          <w:szCs w:val="24"/>
        </w:rPr>
        <w:t xml:space="preserve"> virker </w:t>
      </w:r>
      <w:proofErr w:type="spellStart"/>
      <w:r w:rsidRPr="00F36DFC">
        <w:rPr>
          <w:sz w:val="24"/>
          <w:szCs w:val="24"/>
        </w:rPr>
        <w:t>zonisamid</w:t>
      </w:r>
      <w:proofErr w:type="spellEnd"/>
      <w:r w:rsidRPr="00F36DFC">
        <w:rPr>
          <w:sz w:val="24"/>
          <w:szCs w:val="24"/>
        </w:rPr>
        <w:t xml:space="preserve"> imidlertid fortrinsvis på anfald, der udgår fra cortex.</w:t>
      </w:r>
    </w:p>
    <w:p w14:paraId="2925F74D" w14:textId="77777777" w:rsidR="00F859C7" w:rsidRPr="00F36DFC" w:rsidRDefault="00F859C7" w:rsidP="00F36DFC">
      <w:pPr>
        <w:ind w:left="851"/>
        <w:rPr>
          <w:sz w:val="24"/>
          <w:szCs w:val="24"/>
        </w:rPr>
      </w:pPr>
    </w:p>
    <w:p w14:paraId="308D1C57" w14:textId="77777777" w:rsidR="00F859C7" w:rsidRPr="00F36DFC" w:rsidRDefault="00F859C7" w:rsidP="00E14048">
      <w:pPr>
        <w:ind w:left="851"/>
        <w:rPr>
          <w:sz w:val="24"/>
          <w:szCs w:val="24"/>
          <w:u w:val="single"/>
        </w:rPr>
      </w:pPr>
      <w:r w:rsidRPr="00F36DFC">
        <w:rPr>
          <w:sz w:val="24"/>
          <w:szCs w:val="24"/>
          <w:u w:val="single"/>
        </w:rPr>
        <w:t>Klinisk virkning og sikkerhed</w:t>
      </w:r>
    </w:p>
    <w:p w14:paraId="30850781" w14:textId="77777777" w:rsidR="00F859C7" w:rsidRPr="00F36DFC" w:rsidRDefault="00F859C7" w:rsidP="00E14048">
      <w:pPr>
        <w:ind w:left="851"/>
        <w:rPr>
          <w:sz w:val="24"/>
          <w:szCs w:val="24"/>
        </w:rPr>
      </w:pPr>
    </w:p>
    <w:p w14:paraId="7A7DA7CB" w14:textId="77777777" w:rsidR="00F859C7" w:rsidRPr="00F36DFC" w:rsidRDefault="00F859C7" w:rsidP="00E14048">
      <w:pPr>
        <w:ind w:left="851"/>
        <w:rPr>
          <w:i/>
          <w:sz w:val="24"/>
          <w:szCs w:val="24"/>
        </w:rPr>
      </w:pPr>
      <w:r w:rsidRPr="00F36DFC">
        <w:rPr>
          <w:i/>
          <w:iCs/>
          <w:sz w:val="24"/>
          <w:szCs w:val="24"/>
        </w:rPr>
        <w:t>Monoterapi til partielle anfald med eller uden sekundær generalisering</w:t>
      </w:r>
    </w:p>
    <w:p w14:paraId="419AFEF9" w14:textId="77777777" w:rsidR="00F859C7" w:rsidRPr="00F36DFC" w:rsidRDefault="00F859C7" w:rsidP="00E14048">
      <w:pPr>
        <w:ind w:left="851"/>
        <w:rPr>
          <w:sz w:val="24"/>
          <w:szCs w:val="24"/>
        </w:rPr>
      </w:pPr>
    </w:p>
    <w:p w14:paraId="72346368" w14:textId="77777777" w:rsidR="00F859C7" w:rsidRPr="00F36DFC" w:rsidRDefault="00F859C7" w:rsidP="00E14048">
      <w:pPr>
        <w:ind w:left="851"/>
        <w:rPr>
          <w:sz w:val="24"/>
          <w:szCs w:val="24"/>
        </w:rPr>
      </w:pPr>
      <w:r w:rsidRPr="00F36DFC">
        <w:rPr>
          <w:sz w:val="24"/>
          <w:szCs w:val="24"/>
        </w:rPr>
        <w:t xml:space="preserve">Virkningen af </w:t>
      </w:r>
      <w:proofErr w:type="spellStart"/>
      <w:r w:rsidRPr="00F36DFC">
        <w:rPr>
          <w:sz w:val="24"/>
          <w:szCs w:val="24"/>
        </w:rPr>
        <w:t>zonisamid</w:t>
      </w:r>
      <w:proofErr w:type="spellEnd"/>
      <w:r w:rsidRPr="00F36DFC">
        <w:rPr>
          <w:sz w:val="24"/>
          <w:szCs w:val="24"/>
        </w:rPr>
        <w:t xml:space="preserve"> som monoterapi blev klarlagt i en dobbeltblindet, parallelgruppe non inferioritets-sammenligning versus </w:t>
      </w:r>
      <w:proofErr w:type="spellStart"/>
      <w:r w:rsidRPr="00F36DFC">
        <w:rPr>
          <w:sz w:val="24"/>
          <w:szCs w:val="24"/>
        </w:rPr>
        <w:t>carbamazepin</w:t>
      </w:r>
      <w:proofErr w:type="spellEnd"/>
      <w:r w:rsidRPr="00F36DFC">
        <w:rPr>
          <w:sz w:val="24"/>
          <w:szCs w:val="24"/>
        </w:rPr>
        <w:t xml:space="preserve">-depotformulering (PR) hos 583 </w:t>
      </w:r>
      <w:proofErr w:type="spellStart"/>
      <w:r w:rsidRPr="00F36DFC">
        <w:rPr>
          <w:sz w:val="24"/>
          <w:szCs w:val="24"/>
        </w:rPr>
        <w:t>nydiagnosticerede</w:t>
      </w:r>
      <w:proofErr w:type="spellEnd"/>
      <w:r w:rsidRPr="00F36DFC">
        <w:rPr>
          <w:sz w:val="24"/>
          <w:szCs w:val="24"/>
        </w:rPr>
        <w:t xml:space="preserve"> voksne personer med partielle anfald med eller uden sekundært generaliserede tonisk-kloniske kramper. Personerne blev randomiseret til </w:t>
      </w:r>
      <w:proofErr w:type="spellStart"/>
      <w:r w:rsidRPr="00F36DFC">
        <w:rPr>
          <w:sz w:val="24"/>
          <w:szCs w:val="24"/>
        </w:rPr>
        <w:t>carbamazepin</w:t>
      </w:r>
      <w:proofErr w:type="spellEnd"/>
      <w:r w:rsidRPr="00F36DFC">
        <w:rPr>
          <w:sz w:val="24"/>
          <w:szCs w:val="24"/>
        </w:rPr>
        <w:t xml:space="preserve"> eller </w:t>
      </w:r>
      <w:proofErr w:type="spellStart"/>
      <w:r w:rsidRPr="00F36DFC">
        <w:rPr>
          <w:sz w:val="24"/>
          <w:szCs w:val="24"/>
        </w:rPr>
        <w:t>zonisamid</w:t>
      </w:r>
      <w:proofErr w:type="spellEnd"/>
      <w:r w:rsidRPr="00F36DFC">
        <w:rPr>
          <w:sz w:val="24"/>
          <w:szCs w:val="24"/>
        </w:rPr>
        <w:t xml:space="preserve"> og fik behandling i op til 24 måneder afhængigt af respons. Personerne blev titreret til den initiale måldosis på 600 mg </w:t>
      </w:r>
      <w:proofErr w:type="spellStart"/>
      <w:r w:rsidRPr="00F36DFC">
        <w:rPr>
          <w:sz w:val="24"/>
          <w:szCs w:val="24"/>
        </w:rPr>
        <w:t>carbamazepin</w:t>
      </w:r>
      <w:proofErr w:type="spellEnd"/>
      <w:r w:rsidRPr="00F36DFC">
        <w:rPr>
          <w:sz w:val="24"/>
          <w:szCs w:val="24"/>
        </w:rPr>
        <w:t xml:space="preserve"> eller 300 mg </w:t>
      </w:r>
      <w:proofErr w:type="spellStart"/>
      <w:r w:rsidRPr="00F36DFC">
        <w:rPr>
          <w:sz w:val="24"/>
          <w:szCs w:val="24"/>
        </w:rPr>
        <w:t>zonisamid</w:t>
      </w:r>
      <w:proofErr w:type="spellEnd"/>
      <w:r w:rsidRPr="00F36DFC">
        <w:rPr>
          <w:sz w:val="24"/>
          <w:szCs w:val="24"/>
        </w:rPr>
        <w:t xml:space="preserve">. Personer, som fik et anfald, blev titreret til den næste måldosis, dvs. 800 mg </w:t>
      </w:r>
      <w:proofErr w:type="spellStart"/>
      <w:r w:rsidRPr="00F36DFC">
        <w:rPr>
          <w:sz w:val="24"/>
          <w:szCs w:val="24"/>
        </w:rPr>
        <w:t>carbamazepin</w:t>
      </w:r>
      <w:proofErr w:type="spellEnd"/>
      <w:r w:rsidRPr="00F36DFC">
        <w:rPr>
          <w:sz w:val="24"/>
          <w:szCs w:val="24"/>
        </w:rPr>
        <w:t xml:space="preserve"> eller 400 mg </w:t>
      </w:r>
      <w:proofErr w:type="spellStart"/>
      <w:r w:rsidRPr="00F36DFC">
        <w:rPr>
          <w:sz w:val="24"/>
          <w:szCs w:val="24"/>
        </w:rPr>
        <w:t>zonisamid</w:t>
      </w:r>
      <w:proofErr w:type="spellEnd"/>
      <w:r w:rsidRPr="00F36DFC">
        <w:rPr>
          <w:sz w:val="24"/>
          <w:szCs w:val="24"/>
        </w:rPr>
        <w:t xml:space="preserve">. Personer, som fik flere anfald, blev titreret til den maksimale måldosis på 1.200 mg </w:t>
      </w:r>
      <w:proofErr w:type="spellStart"/>
      <w:r w:rsidRPr="00F36DFC">
        <w:rPr>
          <w:sz w:val="24"/>
          <w:szCs w:val="24"/>
        </w:rPr>
        <w:t>carbamazepin</w:t>
      </w:r>
      <w:proofErr w:type="spellEnd"/>
      <w:r w:rsidRPr="00F36DFC">
        <w:rPr>
          <w:sz w:val="24"/>
          <w:szCs w:val="24"/>
        </w:rPr>
        <w:t xml:space="preserve"> eller 500 mg </w:t>
      </w:r>
      <w:proofErr w:type="spellStart"/>
      <w:r w:rsidRPr="00F36DFC">
        <w:rPr>
          <w:sz w:val="24"/>
          <w:szCs w:val="24"/>
        </w:rPr>
        <w:t>zonisamid</w:t>
      </w:r>
      <w:proofErr w:type="spellEnd"/>
      <w:r w:rsidRPr="00F36DFC">
        <w:rPr>
          <w:sz w:val="24"/>
          <w:szCs w:val="24"/>
        </w:rPr>
        <w:t>. Personer, som ikke havde anfald i 26 uger på et måldosisniveau, fortsatte med denne dosis i endnu 26 uger. De vigtigste resultater fra dette studie vises i denne tabel:</w:t>
      </w:r>
    </w:p>
    <w:p w14:paraId="5ED67B86" w14:textId="77777777" w:rsidR="00F859C7" w:rsidRPr="00F36DFC" w:rsidRDefault="00F859C7" w:rsidP="00F859C7">
      <w:pPr>
        <w:rPr>
          <w:sz w:val="24"/>
          <w:szCs w:val="24"/>
        </w:rPr>
      </w:pPr>
    </w:p>
    <w:p w14:paraId="654DAF80" w14:textId="5953F584" w:rsidR="00F859C7" w:rsidRPr="00F36DFC" w:rsidRDefault="00F859C7" w:rsidP="00F859C7">
      <w:pPr>
        <w:rPr>
          <w:b/>
          <w:sz w:val="24"/>
          <w:szCs w:val="24"/>
          <w:u w:val="single"/>
        </w:rPr>
      </w:pPr>
      <w:r w:rsidRPr="00F36DFC">
        <w:rPr>
          <w:b/>
          <w:bCs/>
          <w:sz w:val="24"/>
          <w:szCs w:val="24"/>
          <w:u w:val="single"/>
        </w:rPr>
        <w:t>Tabel 7</w:t>
      </w:r>
      <w:r w:rsidR="00F36DFC">
        <w:rPr>
          <w:b/>
          <w:bCs/>
          <w:sz w:val="24"/>
          <w:szCs w:val="24"/>
          <w:u w:val="single"/>
        </w:rPr>
        <w:t xml:space="preserve">. </w:t>
      </w:r>
      <w:r w:rsidRPr="00F36DFC">
        <w:rPr>
          <w:b/>
          <w:bCs/>
          <w:sz w:val="24"/>
          <w:szCs w:val="24"/>
          <w:u w:val="single"/>
        </w:rPr>
        <w:t>Resultater for virkning i monoterapistudie</w:t>
      </w:r>
    </w:p>
    <w:tbl>
      <w:tblPr>
        <w:tblStyle w:val="TableNormal"/>
        <w:tblW w:w="5000" w:type="pct"/>
        <w:tblInd w:w="0" w:type="dxa"/>
        <w:tblLook w:val="01E0" w:firstRow="1" w:lastRow="1" w:firstColumn="1" w:lastColumn="1" w:noHBand="0" w:noVBand="0"/>
      </w:tblPr>
      <w:tblGrid>
        <w:gridCol w:w="3494"/>
        <w:gridCol w:w="1403"/>
        <w:gridCol w:w="1809"/>
        <w:gridCol w:w="1053"/>
        <w:gridCol w:w="1863"/>
      </w:tblGrid>
      <w:tr w:rsidR="00F859C7" w:rsidRPr="00F36DFC" w14:paraId="496F9892" w14:textId="77777777" w:rsidTr="00F36DFC">
        <w:trPr>
          <w:trHeight w:val="20"/>
        </w:trPr>
        <w:tc>
          <w:tcPr>
            <w:tcW w:w="1816" w:type="pct"/>
            <w:tcBorders>
              <w:top w:val="single" w:sz="12" w:space="0" w:color="000000"/>
              <w:left w:val="single" w:sz="6" w:space="0" w:color="000000"/>
              <w:bottom w:val="single" w:sz="12" w:space="0" w:color="000000"/>
              <w:right w:val="single" w:sz="6" w:space="0" w:color="000000"/>
            </w:tcBorders>
          </w:tcPr>
          <w:p w14:paraId="7052A9F3" w14:textId="77777777" w:rsidR="00F859C7" w:rsidRPr="00F36DFC" w:rsidRDefault="00F859C7">
            <w:pPr>
              <w:ind w:left="57"/>
              <w:rPr>
                <w:rFonts w:ascii="Times New Roman" w:hAnsi="Times New Roman" w:cs="Times New Roman"/>
                <w:sz w:val="22"/>
                <w:lang w:val="da-DK"/>
              </w:rPr>
            </w:pPr>
          </w:p>
        </w:tc>
        <w:tc>
          <w:tcPr>
            <w:tcW w:w="729" w:type="pct"/>
            <w:tcBorders>
              <w:top w:val="single" w:sz="12" w:space="0" w:color="000000"/>
              <w:left w:val="single" w:sz="6" w:space="0" w:color="000000"/>
              <w:bottom w:val="single" w:sz="12" w:space="0" w:color="000000"/>
              <w:right w:val="single" w:sz="6" w:space="0" w:color="000000"/>
            </w:tcBorders>
            <w:hideMark/>
          </w:tcPr>
          <w:p w14:paraId="2E4EB10F" w14:textId="77777777" w:rsidR="00F859C7" w:rsidRPr="00F36DFC" w:rsidRDefault="00F859C7">
            <w:pPr>
              <w:widowControl/>
              <w:ind w:left="57"/>
              <w:jc w:val="center"/>
              <w:rPr>
                <w:rFonts w:ascii="Times New Roman" w:hAnsi="Times New Roman" w:cs="Times New Roman"/>
                <w:b/>
                <w:sz w:val="22"/>
                <w:lang w:val="en-GB"/>
              </w:rPr>
            </w:pPr>
            <w:proofErr w:type="spellStart"/>
            <w:r w:rsidRPr="00F36DFC">
              <w:rPr>
                <w:rFonts w:ascii="Times New Roman" w:hAnsi="Times New Roman" w:cs="Times New Roman"/>
                <w:b/>
                <w:bCs/>
                <w:sz w:val="22"/>
                <w:lang w:val="da-DK"/>
              </w:rPr>
              <w:t>Zonisamid</w:t>
            </w:r>
            <w:proofErr w:type="spellEnd"/>
          </w:p>
        </w:tc>
        <w:tc>
          <w:tcPr>
            <w:tcW w:w="940" w:type="pct"/>
            <w:tcBorders>
              <w:top w:val="single" w:sz="12" w:space="0" w:color="000000"/>
              <w:left w:val="single" w:sz="6" w:space="0" w:color="000000"/>
              <w:bottom w:val="single" w:sz="12" w:space="0" w:color="000000"/>
              <w:right w:val="single" w:sz="6" w:space="0" w:color="000000"/>
            </w:tcBorders>
            <w:hideMark/>
          </w:tcPr>
          <w:p w14:paraId="1BEB67F0" w14:textId="77777777" w:rsidR="00F859C7" w:rsidRPr="00F36DFC" w:rsidRDefault="00F859C7">
            <w:pPr>
              <w:widowControl/>
              <w:ind w:left="57"/>
              <w:jc w:val="center"/>
              <w:rPr>
                <w:rFonts w:ascii="Times New Roman" w:hAnsi="Times New Roman" w:cs="Times New Roman"/>
                <w:b/>
                <w:sz w:val="22"/>
              </w:rPr>
            </w:pPr>
            <w:proofErr w:type="spellStart"/>
            <w:r w:rsidRPr="00F36DFC">
              <w:rPr>
                <w:rFonts w:ascii="Times New Roman" w:hAnsi="Times New Roman" w:cs="Times New Roman"/>
                <w:b/>
                <w:bCs/>
                <w:sz w:val="22"/>
                <w:lang w:val="da-DK"/>
              </w:rPr>
              <w:t>Carbamazepin</w:t>
            </w:r>
            <w:proofErr w:type="spellEnd"/>
          </w:p>
        </w:tc>
        <w:tc>
          <w:tcPr>
            <w:tcW w:w="1515" w:type="pct"/>
            <w:gridSpan w:val="2"/>
            <w:tcBorders>
              <w:top w:val="single" w:sz="6" w:space="0" w:color="000000"/>
              <w:left w:val="single" w:sz="6" w:space="0" w:color="000000"/>
              <w:bottom w:val="nil"/>
              <w:right w:val="single" w:sz="6" w:space="0" w:color="000000"/>
            </w:tcBorders>
          </w:tcPr>
          <w:p w14:paraId="30FF33B6" w14:textId="77777777" w:rsidR="00F859C7" w:rsidRPr="00F36DFC" w:rsidRDefault="00F859C7">
            <w:pPr>
              <w:ind w:left="57"/>
              <w:jc w:val="center"/>
              <w:rPr>
                <w:rFonts w:ascii="Times New Roman" w:hAnsi="Times New Roman" w:cs="Times New Roman"/>
                <w:sz w:val="22"/>
              </w:rPr>
            </w:pPr>
          </w:p>
        </w:tc>
      </w:tr>
      <w:tr w:rsidR="00F859C7" w:rsidRPr="00F36DFC" w14:paraId="6131F706" w14:textId="77777777" w:rsidTr="00F36DFC">
        <w:trPr>
          <w:trHeight w:val="20"/>
        </w:trPr>
        <w:tc>
          <w:tcPr>
            <w:tcW w:w="1816" w:type="pct"/>
            <w:tcBorders>
              <w:top w:val="single" w:sz="12" w:space="0" w:color="000000"/>
              <w:left w:val="single" w:sz="6" w:space="0" w:color="000000"/>
              <w:bottom w:val="single" w:sz="6" w:space="0" w:color="000000"/>
              <w:right w:val="single" w:sz="6" w:space="0" w:color="000000"/>
            </w:tcBorders>
            <w:hideMark/>
          </w:tcPr>
          <w:p w14:paraId="593CEF81" w14:textId="77777777" w:rsidR="00F859C7" w:rsidRPr="00F36DFC" w:rsidRDefault="00F859C7">
            <w:pPr>
              <w:widowControl/>
              <w:ind w:left="57"/>
              <w:jc w:val="right"/>
              <w:rPr>
                <w:rFonts w:ascii="Times New Roman" w:hAnsi="Times New Roman" w:cs="Times New Roman"/>
                <w:sz w:val="22"/>
                <w:lang w:val="da-DK"/>
              </w:rPr>
            </w:pPr>
            <w:r w:rsidRPr="00F36DFC">
              <w:rPr>
                <w:rFonts w:ascii="Times New Roman" w:hAnsi="Times New Roman" w:cs="Times New Roman"/>
                <w:sz w:val="22"/>
                <w:lang w:val="da-DK"/>
              </w:rPr>
              <w:t>n (ITT-population)</w:t>
            </w:r>
          </w:p>
          <w:p w14:paraId="11BD193C" w14:textId="77777777" w:rsidR="00F859C7" w:rsidRPr="00F36DFC" w:rsidRDefault="00F859C7">
            <w:pPr>
              <w:widowControl/>
              <w:ind w:left="57"/>
              <w:rPr>
                <w:rFonts w:ascii="Times New Roman" w:hAnsi="Times New Roman" w:cs="Times New Roman"/>
                <w:b/>
                <w:sz w:val="22"/>
                <w:lang w:val="da-DK"/>
              </w:rPr>
            </w:pPr>
            <w:r w:rsidRPr="00F36DFC">
              <w:rPr>
                <w:rFonts w:ascii="Times New Roman" w:hAnsi="Times New Roman" w:cs="Times New Roman"/>
                <w:b/>
                <w:bCs/>
                <w:sz w:val="22"/>
                <w:lang w:val="da-DK"/>
              </w:rPr>
              <w:t>Seks måneder uden anfald</w:t>
            </w:r>
          </w:p>
        </w:tc>
        <w:tc>
          <w:tcPr>
            <w:tcW w:w="729" w:type="pct"/>
            <w:tcBorders>
              <w:top w:val="single" w:sz="12" w:space="0" w:color="000000"/>
              <w:left w:val="single" w:sz="6" w:space="0" w:color="000000"/>
              <w:bottom w:val="single" w:sz="6" w:space="0" w:color="000000"/>
              <w:right w:val="single" w:sz="6" w:space="0" w:color="000000"/>
            </w:tcBorders>
            <w:hideMark/>
          </w:tcPr>
          <w:p w14:paraId="1E7DBF75" w14:textId="77777777" w:rsidR="00F859C7" w:rsidRPr="00F36DFC" w:rsidRDefault="00F859C7">
            <w:pPr>
              <w:widowControl/>
              <w:ind w:left="57"/>
              <w:jc w:val="center"/>
              <w:rPr>
                <w:rFonts w:ascii="Times New Roman" w:hAnsi="Times New Roman" w:cs="Times New Roman"/>
                <w:sz w:val="22"/>
                <w:lang w:val="en-GB"/>
              </w:rPr>
            </w:pPr>
            <w:r w:rsidRPr="00F36DFC">
              <w:rPr>
                <w:rFonts w:ascii="Times New Roman" w:hAnsi="Times New Roman" w:cs="Times New Roman"/>
                <w:sz w:val="22"/>
                <w:lang w:val="da-DK"/>
              </w:rPr>
              <w:t>281</w:t>
            </w:r>
          </w:p>
        </w:tc>
        <w:tc>
          <w:tcPr>
            <w:tcW w:w="940" w:type="pct"/>
            <w:tcBorders>
              <w:top w:val="single" w:sz="12" w:space="0" w:color="000000"/>
              <w:left w:val="single" w:sz="6" w:space="0" w:color="000000"/>
              <w:bottom w:val="single" w:sz="6" w:space="0" w:color="000000"/>
              <w:right w:val="single" w:sz="6" w:space="0" w:color="000000"/>
            </w:tcBorders>
            <w:hideMark/>
          </w:tcPr>
          <w:p w14:paraId="5926A8DE" w14:textId="77777777" w:rsidR="00F859C7" w:rsidRPr="00F36DFC" w:rsidRDefault="00F859C7">
            <w:pPr>
              <w:widowControl/>
              <w:ind w:left="57"/>
              <w:jc w:val="center"/>
              <w:rPr>
                <w:rFonts w:ascii="Times New Roman" w:hAnsi="Times New Roman" w:cs="Times New Roman"/>
                <w:sz w:val="22"/>
              </w:rPr>
            </w:pPr>
            <w:r w:rsidRPr="00F36DFC">
              <w:rPr>
                <w:rFonts w:ascii="Times New Roman" w:hAnsi="Times New Roman" w:cs="Times New Roman"/>
                <w:sz w:val="22"/>
                <w:lang w:val="da-DK"/>
              </w:rPr>
              <w:t>300</w:t>
            </w:r>
          </w:p>
        </w:tc>
        <w:tc>
          <w:tcPr>
            <w:tcW w:w="547" w:type="pct"/>
            <w:tcBorders>
              <w:top w:val="single" w:sz="12" w:space="0" w:color="000000"/>
              <w:left w:val="single" w:sz="6" w:space="0" w:color="000000"/>
              <w:bottom w:val="single" w:sz="6" w:space="0" w:color="000000"/>
              <w:right w:val="single" w:sz="6" w:space="0" w:color="000000"/>
            </w:tcBorders>
          </w:tcPr>
          <w:p w14:paraId="3B2943C9" w14:textId="77777777" w:rsidR="00F859C7" w:rsidRPr="00F36DFC" w:rsidRDefault="00F859C7">
            <w:pPr>
              <w:ind w:left="57"/>
              <w:jc w:val="center"/>
              <w:rPr>
                <w:rFonts w:ascii="Times New Roman" w:hAnsi="Times New Roman" w:cs="Times New Roman"/>
                <w:sz w:val="22"/>
              </w:rPr>
            </w:pPr>
          </w:p>
          <w:p w14:paraId="391A4884" w14:textId="77777777" w:rsidR="00F859C7" w:rsidRPr="00F36DFC" w:rsidRDefault="00F859C7">
            <w:pPr>
              <w:widowControl/>
              <w:ind w:left="57"/>
              <w:jc w:val="center"/>
              <w:rPr>
                <w:rFonts w:ascii="Times New Roman" w:hAnsi="Times New Roman" w:cs="Times New Roman"/>
                <w:sz w:val="22"/>
              </w:rPr>
            </w:pPr>
            <w:proofErr w:type="spellStart"/>
            <w:r w:rsidRPr="00F36DFC">
              <w:rPr>
                <w:rFonts w:ascii="Times New Roman" w:hAnsi="Times New Roman" w:cs="Times New Roman"/>
                <w:sz w:val="22"/>
                <w:lang w:val="da-DK"/>
              </w:rPr>
              <w:t>Diff</w:t>
            </w:r>
            <w:proofErr w:type="spellEnd"/>
          </w:p>
        </w:tc>
        <w:tc>
          <w:tcPr>
            <w:tcW w:w="968" w:type="pct"/>
            <w:tcBorders>
              <w:top w:val="single" w:sz="6" w:space="0" w:color="000000"/>
              <w:left w:val="single" w:sz="6" w:space="0" w:color="000000"/>
              <w:bottom w:val="single" w:sz="6" w:space="0" w:color="000000"/>
              <w:right w:val="single" w:sz="6" w:space="0" w:color="000000"/>
            </w:tcBorders>
          </w:tcPr>
          <w:p w14:paraId="405CC945" w14:textId="77777777" w:rsidR="00F859C7" w:rsidRPr="00F36DFC" w:rsidRDefault="00F859C7">
            <w:pPr>
              <w:ind w:left="57"/>
              <w:jc w:val="center"/>
              <w:rPr>
                <w:rFonts w:ascii="Times New Roman" w:hAnsi="Times New Roman" w:cs="Times New Roman"/>
                <w:sz w:val="22"/>
              </w:rPr>
            </w:pPr>
          </w:p>
          <w:p w14:paraId="42A22353" w14:textId="77777777" w:rsidR="00F859C7" w:rsidRPr="00F36DFC" w:rsidRDefault="00F859C7">
            <w:pPr>
              <w:widowControl/>
              <w:ind w:left="57"/>
              <w:jc w:val="center"/>
              <w:rPr>
                <w:rFonts w:ascii="Times New Roman" w:hAnsi="Times New Roman" w:cs="Times New Roman"/>
                <w:sz w:val="22"/>
              </w:rPr>
            </w:pPr>
            <w:r w:rsidRPr="00F36DFC">
              <w:rPr>
                <w:rFonts w:ascii="Times New Roman" w:hAnsi="Times New Roman" w:cs="Times New Roman"/>
                <w:sz w:val="22"/>
                <w:lang w:val="da-DK"/>
              </w:rPr>
              <w:t>CI</w:t>
            </w:r>
            <w:r w:rsidRPr="00F36DFC">
              <w:rPr>
                <w:rFonts w:ascii="Times New Roman" w:hAnsi="Times New Roman" w:cs="Times New Roman"/>
                <w:sz w:val="22"/>
                <w:vertAlign w:val="subscript"/>
                <w:lang w:val="da-DK"/>
              </w:rPr>
              <w:t>95 %</w:t>
            </w:r>
          </w:p>
        </w:tc>
      </w:tr>
      <w:tr w:rsidR="00F859C7" w:rsidRPr="00F36DFC" w14:paraId="32F81666" w14:textId="77777777" w:rsidTr="00F36DFC">
        <w:trPr>
          <w:trHeight w:val="20"/>
        </w:trPr>
        <w:tc>
          <w:tcPr>
            <w:tcW w:w="1816" w:type="pct"/>
            <w:tcBorders>
              <w:top w:val="single" w:sz="6" w:space="0" w:color="000000"/>
              <w:left w:val="single" w:sz="6" w:space="0" w:color="000000"/>
              <w:bottom w:val="single" w:sz="6" w:space="0" w:color="000000"/>
              <w:right w:val="single" w:sz="6" w:space="0" w:color="000000"/>
            </w:tcBorders>
            <w:hideMark/>
          </w:tcPr>
          <w:p w14:paraId="54DE9325" w14:textId="77777777" w:rsidR="00F859C7" w:rsidRPr="00F36DFC" w:rsidRDefault="00F859C7">
            <w:pPr>
              <w:widowControl/>
              <w:ind w:left="57"/>
              <w:rPr>
                <w:rFonts w:ascii="Times New Roman" w:hAnsi="Times New Roman" w:cs="Times New Roman"/>
                <w:sz w:val="22"/>
              </w:rPr>
            </w:pPr>
            <w:r w:rsidRPr="00F36DFC">
              <w:rPr>
                <w:rFonts w:ascii="Times New Roman" w:hAnsi="Times New Roman" w:cs="Times New Roman"/>
                <w:sz w:val="22"/>
                <w:lang w:val="da-DK"/>
              </w:rPr>
              <w:t>PP-population*</w:t>
            </w:r>
          </w:p>
        </w:tc>
        <w:tc>
          <w:tcPr>
            <w:tcW w:w="729" w:type="pct"/>
            <w:tcBorders>
              <w:top w:val="single" w:sz="6" w:space="0" w:color="000000"/>
              <w:left w:val="single" w:sz="6" w:space="0" w:color="000000"/>
              <w:bottom w:val="single" w:sz="6" w:space="0" w:color="000000"/>
              <w:right w:val="single" w:sz="6" w:space="0" w:color="000000"/>
            </w:tcBorders>
            <w:hideMark/>
          </w:tcPr>
          <w:p w14:paraId="79BFD6D8" w14:textId="77777777" w:rsidR="00F859C7" w:rsidRPr="00F36DFC" w:rsidRDefault="00F859C7">
            <w:pPr>
              <w:widowControl/>
              <w:ind w:left="57"/>
              <w:jc w:val="center"/>
              <w:rPr>
                <w:rFonts w:ascii="Times New Roman" w:hAnsi="Times New Roman" w:cs="Times New Roman"/>
                <w:sz w:val="22"/>
              </w:rPr>
            </w:pPr>
            <w:r w:rsidRPr="00F36DFC">
              <w:rPr>
                <w:rFonts w:ascii="Times New Roman" w:hAnsi="Times New Roman" w:cs="Times New Roman"/>
                <w:sz w:val="22"/>
                <w:lang w:val="da-DK"/>
              </w:rPr>
              <w:t>79,4 %</w:t>
            </w:r>
          </w:p>
        </w:tc>
        <w:tc>
          <w:tcPr>
            <w:tcW w:w="940" w:type="pct"/>
            <w:tcBorders>
              <w:top w:val="single" w:sz="6" w:space="0" w:color="000000"/>
              <w:left w:val="single" w:sz="6" w:space="0" w:color="000000"/>
              <w:bottom w:val="single" w:sz="6" w:space="0" w:color="000000"/>
              <w:right w:val="single" w:sz="6" w:space="0" w:color="000000"/>
            </w:tcBorders>
            <w:hideMark/>
          </w:tcPr>
          <w:p w14:paraId="4FA20598" w14:textId="77777777" w:rsidR="00F859C7" w:rsidRPr="00F36DFC" w:rsidRDefault="00F859C7">
            <w:pPr>
              <w:widowControl/>
              <w:ind w:left="57"/>
              <w:jc w:val="center"/>
              <w:rPr>
                <w:rFonts w:ascii="Times New Roman" w:hAnsi="Times New Roman" w:cs="Times New Roman"/>
                <w:sz w:val="22"/>
              </w:rPr>
            </w:pPr>
            <w:r w:rsidRPr="00F36DFC">
              <w:rPr>
                <w:rFonts w:ascii="Times New Roman" w:hAnsi="Times New Roman" w:cs="Times New Roman"/>
                <w:sz w:val="22"/>
                <w:lang w:val="da-DK"/>
              </w:rPr>
              <w:t>83,7 %</w:t>
            </w:r>
          </w:p>
        </w:tc>
        <w:tc>
          <w:tcPr>
            <w:tcW w:w="547" w:type="pct"/>
            <w:tcBorders>
              <w:top w:val="single" w:sz="6" w:space="0" w:color="000000"/>
              <w:left w:val="single" w:sz="6" w:space="0" w:color="000000"/>
              <w:bottom w:val="single" w:sz="6" w:space="0" w:color="000000"/>
              <w:right w:val="single" w:sz="6" w:space="0" w:color="000000"/>
            </w:tcBorders>
            <w:hideMark/>
          </w:tcPr>
          <w:p w14:paraId="15BD6C11" w14:textId="77777777" w:rsidR="00F859C7" w:rsidRPr="00F36DFC" w:rsidRDefault="00F859C7">
            <w:pPr>
              <w:widowControl/>
              <w:ind w:left="57"/>
              <w:jc w:val="center"/>
              <w:rPr>
                <w:rFonts w:ascii="Times New Roman" w:hAnsi="Times New Roman" w:cs="Times New Roman"/>
                <w:sz w:val="22"/>
              </w:rPr>
            </w:pPr>
            <w:r w:rsidRPr="00F36DFC">
              <w:rPr>
                <w:rFonts w:ascii="Times New Roman" w:hAnsi="Times New Roman" w:cs="Times New Roman"/>
                <w:sz w:val="22"/>
                <w:lang w:val="da-DK"/>
              </w:rPr>
              <w:t>-4,5 %</w:t>
            </w:r>
          </w:p>
        </w:tc>
        <w:tc>
          <w:tcPr>
            <w:tcW w:w="968" w:type="pct"/>
            <w:tcBorders>
              <w:top w:val="single" w:sz="6" w:space="0" w:color="000000"/>
              <w:left w:val="single" w:sz="6" w:space="0" w:color="000000"/>
              <w:bottom w:val="single" w:sz="6" w:space="0" w:color="000000"/>
              <w:right w:val="single" w:sz="6" w:space="0" w:color="000000"/>
            </w:tcBorders>
            <w:hideMark/>
          </w:tcPr>
          <w:p w14:paraId="1EE78578" w14:textId="77777777" w:rsidR="00F859C7" w:rsidRPr="00F36DFC" w:rsidRDefault="00F859C7">
            <w:pPr>
              <w:widowControl/>
              <w:ind w:left="57"/>
              <w:jc w:val="center"/>
              <w:rPr>
                <w:rFonts w:ascii="Times New Roman" w:hAnsi="Times New Roman" w:cs="Times New Roman"/>
                <w:sz w:val="22"/>
              </w:rPr>
            </w:pPr>
            <w:r w:rsidRPr="00F36DFC">
              <w:rPr>
                <w:rFonts w:ascii="Times New Roman" w:hAnsi="Times New Roman" w:cs="Times New Roman"/>
                <w:sz w:val="22"/>
                <w:lang w:val="da-DK"/>
              </w:rPr>
              <w:t>-12,2 % - 3,1 %</w:t>
            </w:r>
          </w:p>
        </w:tc>
      </w:tr>
      <w:tr w:rsidR="00F859C7" w:rsidRPr="00F36DFC" w14:paraId="50E7A84F" w14:textId="77777777" w:rsidTr="00F36DFC">
        <w:trPr>
          <w:trHeight w:val="20"/>
        </w:trPr>
        <w:tc>
          <w:tcPr>
            <w:tcW w:w="1816" w:type="pct"/>
            <w:tcBorders>
              <w:top w:val="single" w:sz="6" w:space="0" w:color="000000"/>
              <w:left w:val="single" w:sz="6" w:space="0" w:color="000000"/>
              <w:bottom w:val="nil"/>
              <w:right w:val="single" w:sz="6" w:space="0" w:color="000000"/>
            </w:tcBorders>
            <w:hideMark/>
          </w:tcPr>
          <w:p w14:paraId="72801DAB" w14:textId="77777777" w:rsidR="00F859C7" w:rsidRPr="00F36DFC" w:rsidRDefault="00F859C7">
            <w:pPr>
              <w:widowControl/>
              <w:ind w:left="57"/>
              <w:rPr>
                <w:rFonts w:ascii="Times New Roman" w:hAnsi="Times New Roman" w:cs="Times New Roman"/>
                <w:sz w:val="22"/>
              </w:rPr>
            </w:pPr>
            <w:r w:rsidRPr="00F36DFC">
              <w:rPr>
                <w:rFonts w:ascii="Times New Roman" w:hAnsi="Times New Roman" w:cs="Times New Roman"/>
                <w:sz w:val="22"/>
                <w:lang w:val="da-DK"/>
              </w:rPr>
              <w:t>ITT-population</w:t>
            </w:r>
          </w:p>
        </w:tc>
        <w:tc>
          <w:tcPr>
            <w:tcW w:w="729" w:type="pct"/>
            <w:tcBorders>
              <w:top w:val="single" w:sz="6" w:space="0" w:color="000000"/>
              <w:left w:val="single" w:sz="6" w:space="0" w:color="000000"/>
              <w:bottom w:val="nil"/>
              <w:right w:val="single" w:sz="6" w:space="0" w:color="000000"/>
            </w:tcBorders>
            <w:hideMark/>
          </w:tcPr>
          <w:p w14:paraId="37FF286D" w14:textId="77777777" w:rsidR="00F859C7" w:rsidRPr="00F36DFC" w:rsidRDefault="00F859C7">
            <w:pPr>
              <w:widowControl/>
              <w:ind w:left="57"/>
              <w:jc w:val="center"/>
              <w:rPr>
                <w:rFonts w:ascii="Times New Roman" w:hAnsi="Times New Roman" w:cs="Times New Roman"/>
                <w:sz w:val="22"/>
              </w:rPr>
            </w:pPr>
            <w:r w:rsidRPr="00F36DFC">
              <w:rPr>
                <w:rFonts w:ascii="Times New Roman" w:hAnsi="Times New Roman" w:cs="Times New Roman"/>
                <w:sz w:val="22"/>
                <w:lang w:val="da-DK"/>
              </w:rPr>
              <w:t>69,4 %</w:t>
            </w:r>
          </w:p>
        </w:tc>
        <w:tc>
          <w:tcPr>
            <w:tcW w:w="940" w:type="pct"/>
            <w:tcBorders>
              <w:top w:val="single" w:sz="6" w:space="0" w:color="000000"/>
              <w:left w:val="single" w:sz="6" w:space="0" w:color="000000"/>
              <w:bottom w:val="nil"/>
              <w:right w:val="single" w:sz="6" w:space="0" w:color="000000"/>
            </w:tcBorders>
            <w:hideMark/>
          </w:tcPr>
          <w:p w14:paraId="52BEA873" w14:textId="77777777" w:rsidR="00F859C7" w:rsidRPr="00F36DFC" w:rsidRDefault="00F859C7">
            <w:pPr>
              <w:widowControl/>
              <w:ind w:left="57"/>
              <w:jc w:val="center"/>
              <w:rPr>
                <w:rFonts w:ascii="Times New Roman" w:hAnsi="Times New Roman" w:cs="Times New Roman"/>
                <w:sz w:val="22"/>
              </w:rPr>
            </w:pPr>
            <w:r w:rsidRPr="00F36DFC">
              <w:rPr>
                <w:rFonts w:ascii="Times New Roman" w:hAnsi="Times New Roman" w:cs="Times New Roman"/>
                <w:sz w:val="22"/>
                <w:lang w:val="da-DK"/>
              </w:rPr>
              <w:t>74,7 %</w:t>
            </w:r>
          </w:p>
        </w:tc>
        <w:tc>
          <w:tcPr>
            <w:tcW w:w="547" w:type="pct"/>
            <w:tcBorders>
              <w:top w:val="single" w:sz="6" w:space="0" w:color="000000"/>
              <w:left w:val="single" w:sz="6" w:space="0" w:color="000000"/>
              <w:bottom w:val="nil"/>
              <w:right w:val="single" w:sz="6" w:space="0" w:color="000000"/>
            </w:tcBorders>
            <w:hideMark/>
          </w:tcPr>
          <w:p w14:paraId="77512F39" w14:textId="77777777" w:rsidR="00F859C7" w:rsidRPr="00F36DFC" w:rsidRDefault="00F859C7">
            <w:pPr>
              <w:widowControl/>
              <w:ind w:left="57"/>
              <w:jc w:val="center"/>
              <w:rPr>
                <w:rFonts w:ascii="Times New Roman" w:hAnsi="Times New Roman" w:cs="Times New Roman"/>
                <w:sz w:val="22"/>
              </w:rPr>
            </w:pPr>
            <w:r w:rsidRPr="00F36DFC">
              <w:rPr>
                <w:rFonts w:ascii="Times New Roman" w:hAnsi="Times New Roman" w:cs="Times New Roman"/>
                <w:sz w:val="22"/>
                <w:lang w:val="da-DK"/>
              </w:rPr>
              <w:t>-6,1 %</w:t>
            </w:r>
          </w:p>
        </w:tc>
        <w:tc>
          <w:tcPr>
            <w:tcW w:w="968" w:type="pct"/>
            <w:tcBorders>
              <w:top w:val="single" w:sz="6" w:space="0" w:color="000000"/>
              <w:left w:val="single" w:sz="6" w:space="0" w:color="000000"/>
              <w:bottom w:val="nil"/>
              <w:right w:val="single" w:sz="6" w:space="0" w:color="000000"/>
            </w:tcBorders>
            <w:hideMark/>
          </w:tcPr>
          <w:p w14:paraId="008D89AF" w14:textId="77777777" w:rsidR="00F859C7" w:rsidRPr="00F36DFC" w:rsidRDefault="00F859C7">
            <w:pPr>
              <w:widowControl/>
              <w:ind w:left="57"/>
              <w:jc w:val="center"/>
              <w:rPr>
                <w:rFonts w:ascii="Times New Roman" w:hAnsi="Times New Roman" w:cs="Times New Roman"/>
                <w:sz w:val="22"/>
              </w:rPr>
            </w:pPr>
            <w:r w:rsidRPr="00F36DFC">
              <w:rPr>
                <w:rFonts w:ascii="Times New Roman" w:hAnsi="Times New Roman" w:cs="Times New Roman"/>
                <w:sz w:val="22"/>
                <w:lang w:val="da-DK"/>
              </w:rPr>
              <w:t>-13,6 </w:t>
            </w:r>
            <w:proofErr w:type="gramStart"/>
            <w:r w:rsidRPr="00F36DFC">
              <w:rPr>
                <w:rFonts w:ascii="Times New Roman" w:hAnsi="Times New Roman" w:cs="Times New Roman"/>
                <w:sz w:val="22"/>
                <w:lang w:val="da-DK"/>
              </w:rPr>
              <w:t>% ;</w:t>
            </w:r>
            <w:proofErr w:type="gramEnd"/>
            <w:r w:rsidRPr="00F36DFC">
              <w:rPr>
                <w:rFonts w:ascii="Times New Roman" w:hAnsi="Times New Roman" w:cs="Times New Roman"/>
                <w:sz w:val="22"/>
                <w:lang w:val="da-DK"/>
              </w:rPr>
              <w:t xml:space="preserve"> 1,4 %</w:t>
            </w:r>
          </w:p>
        </w:tc>
      </w:tr>
      <w:tr w:rsidR="00F859C7" w:rsidRPr="00F36DFC" w14:paraId="28E89731" w14:textId="77777777" w:rsidTr="00F36DFC">
        <w:trPr>
          <w:trHeight w:val="20"/>
        </w:trPr>
        <w:tc>
          <w:tcPr>
            <w:tcW w:w="1816" w:type="pct"/>
            <w:tcBorders>
              <w:top w:val="nil"/>
              <w:left w:val="single" w:sz="6" w:space="0" w:color="000000"/>
              <w:bottom w:val="nil"/>
              <w:right w:val="single" w:sz="6" w:space="0" w:color="000000"/>
            </w:tcBorders>
            <w:hideMark/>
          </w:tcPr>
          <w:p w14:paraId="6230BF35" w14:textId="77777777" w:rsidR="00F859C7" w:rsidRPr="00F36DFC" w:rsidRDefault="00F859C7">
            <w:pPr>
              <w:ind w:left="57"/>
              <w:rPr>
                <w:rFonts w:ascii="Times New Roman" w:hAnsi="Times New Roman" w:cs="Times New Roman"/>
                <w:sz w:val="22"/>
                <w:lang w:val="da-DK"/>
              </w:rPr>
            </w:pPr>
            <w:r w:rsidRPr="00F36DFC">
              <w:rPr>
                <w:rFonts w:ascii="Times New Roman" w:hAnsi="Times New Roman" w:cs="Times New Roman"/>
                <w:sz w:val="22"/>
                <w:lang w:val="da-DK"/>
              </w:rPr>
              <w:t>≤ 4 anfald i løbet af 3 måneders</w:t>
            </w:r>
          </w:p>
        </w:tc>
        <w:tc>
          <w:tcPr>
            <w:tcW w:w="729" w:type="pct"/>
            <w:tcBorders>
              <w:top w:val="nil"/>
              <w:left w:val="single" w:sz="6" w:space="0" w:color="000000"/>
              <w:bottom w:val="nil"/>
              <w:right w:val="single" w:sz="6" w:space="0" w:color="000000"/>
            </w:tcBorders>
            <w:hideMark/>
          </w:tcPr>
          <w:p w14:paraId="032437C3" w14:textId="77777777" w:rsidR="00F859C7" w:rsidRPr="00F36DFC" w:rsidRDefault="00F859C7">
            <w:pPr>
              <w:widowControl/>
              <w:ind w:left="57"/>
              <w:jc w:val="center"/>
              <w:rPr>
                <w:rFonts w:ascii="Times New Roman" w:hAnsi="Times New Roman" w:cs="Times New Roman"/>
                <w:sz w:val="22"/>
                <w:lang w:val="en-GB"/>
              </w:rPr>
            </w:pPr>
            <w:r w:rsidRPr="00F36DFC">
              <w:rPr>
                <w:rFonts w:ascii="Times New Roman" w:hAnsi="Times New Roman" w:cs="Times New Roman"/>
                <w:sz w:val="22"/>
                <w:lang w:val="da-DK"/>
              </w:rPr>
              <w:t>71,7 %</w:t>
            </w:r>
          </w:p>
        </w:tc>
        <w:tc>
          <w:tcPr>
            <w:tcW w:w="940" w:type="pct"/>
            <w:tcBorders>
              <w:top w:val="nil"/>
              <w:left w:val="single" w:sz="6" w:space="0" w:color="000000"/>
              <w:bottom w:val="nil"/>
              <w:right w:val="single" w:sz="6" w:space="0" w:color="000000"/>
            </w:tcBorders>
            <w:hideMark/>
          </w:tcPr>
          <w:p w14:paraId="1F7BEFB6" w14:textId="77777777" w:rsidR="00F859C7" w:rsidRPr="00F36DFC" w:rsidRDefault="00F859C7">
            <w:pPr>
              <w:widowControl/>
              <w:ind w:left="57"/>
              <w:jc w:val="center"/>
              <w:rPr>
                <w:rFonts w:ascii="Times New Roman" w:hAnsi="Times New Roman" w:cs="Times New Roman"/>
                <w:sz w:val="22"/>
              </w:rPr>
            </w:pPr>
            <w:r w:rsidRPr="00F36DFC">
              <w:rPr>
                <w:rFonts w:ascii="Times New Roman" w:hAnsi="Times New Roman" w:cs="Times New Roman"/>
                <w:sz w:val="22"/>
                <w:lang w:val="da-DK"/>
              </w:rPr>
              <w:t>75,7 %</w:t>
            </w:r>
          </w:p>
        </w:tc>
        <w:tc>
          <w:tcPr>
            <w:tcW w:w="547" w:type="pct"/>
            <w:tcBorders>
              <w:top w:val="nil"/>
              <w:left w:val="single" w:sz="6" w:space="0" w:color="000000"/>
              <w:bottom w:val="nil"/>
              <w:right w:val="single" w:sz="6" w:space="0" w:color="000000"/>
            </w:tcBorders>
            <w:hideMark/>
          </w:tcPr>
          <w:p w14:paraId="70A7D19D" w14:textId="77777777" w:rsidR="00F859C7" w:rsidRPr="00F36DFC" w:rsidRDefault="00F859C7">
            <w:pPr>
              <w:widowControl/>
              <w:ind w:left="57"/>
              <w:jc w:val="center"/>
              <w:rPr>
                <w:rFonts w:ascii="Times New Roman" w:hAnsi="Times New Roman" w:cs="Times New Roman"/>
                <w:sz w:val="22"/>
              </w:rPr>
            </w:pPr>
            <w:r w:rsidRPr="00F36DFC">
              <w:rPr>
                <w:rFonts w:ascii="Times New Roman" w:hAnsi="Times New Roman" w:cs="Times New Roman"/>
                <w:sz w:val="22"/>
                <w:lang w:val="da-DK"/>
              </w:rPr>
              <w:t>-4,0 %</w:t>
            </w:r>
          </w:p>
        </w:tc>
        <w:tc>
          <w:tcPr>
            <w:tcW w:w="968" w:type="pct"/>
            <w:tcBorders>
              <w:top w:val="nil"/>
              <w:left w:val="single" w:sz="6" w:space="0" w:color="000000"/>
              <w:bottom w:val="nil"/>
              <w:right w:val="single" w:sz="6" w:space="0" w:color="000000"/>
            </w:tcBorders>
            <w:hideMark/>
          </w:tcPr>
          <w:p w14:paraId="7121633A" w14:textId="77777777" w:rsidR="00F859C7" w:rsidRPr="00F36DFC" w:rsidRDefault="00F859C7">
            <w:pPr>
              <w:widowControl/>
              <w:ind w:left="57"/>
              <w:jc w:val="center"/>
              <w:rPr>
                <w:rFonts w:ascii="Times New Roman" w:hAnsi="Times New Roman" w:cs="Times New Roman"/>
                <w:sz w:val="22"/>
              </w:rPr>
            </w:pPr>
            <w:r w:rsidRPr="00F36DFC">
              <w:rPr>
                <w:rFonts w:ascii="Times New Roman" w:hAnsi="Times New Roman" w:cs="Times New Roman"/>
                <w:sz w:val="22"/>
                <w:lang w:val="da-DK"/>
              </w:rPr>
              <w:t>-11,7 </w:t>
            </w:r>
            <w:proofErr w:type="gramStart"/>
            <w:r w:rsidRPr="00F36DFC">
              <w:rPr>
                <w:rFonts w:ascii="Times New Roman" w:hAnsi="Times New Roman" w:cs="Times New Roman"/>
                <w:sz w:val="22"/>
                <w:lang w:val="da-DK"/>
              </w:rPr>
              <w:t>% ;</w:t>
            </w:r>
            <w:proofErr w:type="gramEnd"/>
            <w:r w:rsidRPr="00F36DFC">
              <w:rPr>
                <w:rFonts w:ascii="Times New Roman" w:hAnsi="Times New Roman" w:cs="Times New Roman"/>
                <w:sz w:val="22"/>
                <w:lang w:val="da-DK"/>
              </w:rPr>
              <w:t xml:space="preserve"> 3,7 %</w:t>
            </w:r>
          </w:p>
        </w:tc>
      </w:tr>
      <w:tr w:rsidR="00F859C7" w:rsidRPr="00F36DFC" w14:paraId="066C8139" w14:textId="77777777" w:rsidTr="00F36DFC">
        <w:trPr>
          <w:trHeight w:val="20"/>
        </w:trPr>
        <w:tc>
          <w:tcPr>
            <w:tcW w:w="1816" w:type="pct"/>
            <w:tcBorders>
              <w:top w:val="nil"/>
              <w:left w:val="single" w:sz="6" w:space="0" w:color="000000"/>
              <w:bottom w:val="nil"/>
              <w:right w:val="single" w:sz="6" w:space="0" w:color="000000"/>
            </w:tcBorders>
            <w:hideMark/>
          </w:tcPr>
          <w:p w14:paraId="7DFCF4A9" w14:textId="77777777" w:rsidR="00F859C7" w:rsidRPr="00F36DFC" w:rsidRDefault="00F859C7">
            <w:pPr>
              <w:widowControl/>
              <w:ind w:left="57"/>
              <w:rPr>
                <w:rFonts w:ascii="Times New Roman" w:hAnsi="Times New Roman" w:cs="Times New Roman"/>
                <w:sz w:val="22"/>
              </w:rPr>
            </w:pPr>
            <w:r w:rsidRPr="00F36DFC">
              <w:rPr>
                <w:rFonts w:ascii="Times New Roman" w:hAnsi="Times New Roman" w:cs="Times New Roman"/>
                <w:sz w:val="22"/>
                <w:lang w:val="da-DK"/>
              </w:rPr>
              <w:t>baselineperioden</w:t>
            </w:r>
          </w:p>
        </w:tc>
        <w:tc>
          <w:tcPr>
            <w:tcW w:w="729" w:type="pct"/>
            <w:tcBorders>
              <w:top w:val="nil"/>
              <w:left w:val="single" w:sz="6" w:space="0" w:color="000000"/>
              <w:bottom w:val="nil"/>
              <w:right w:val="single" w:sz="6" w:space="0" w:color="000000"/>
            </w:tcBorders>
          </w:tcPr>
          <w:p w14:paraId="6C42EAA2" w14:textId="77777777" w:rsidR="00F859C7" w:rsidRPr="00F36DFC" w:rsidRDefault="00F859C7">
            <w:pPr>
              <w:ind w:left="57"/>
              <w:jc w:val="center"/>
              <w:rPr>
                <w:rFonts w:ascii="Times New Roman" w:hAnsi="Times New Roman" w:cs="Times New Roman"/>
                <w:sz w:val="22"/>
              </w:rPr>
            </w:pPr>
          </w:p>
        </w:tc>
        <w:tc>
          <w:tcPr>
            <w:tcW w:w="940" w:type="pct"/>
            <w:tcBorders>
              <w:top w:val="nil"/>
              <w:left w:val="single" w:sz="6" w:space="0" w:color="000000"/>
              <w:bottom w:val="nil"/>
              <w:right w:val="single" w:sz="6" w:space="0" w:color="000000"/>
            </w:tcBorders>
          </w:tcPr>
          <w:p w14:paraId="5E3030C7" w14:textId="77777777" w:rsidR="00F859C7" w:rsidRPr="00F36DFC" w:rsidRDefault="00F859C7">
            <w:pPr>
              <w:ind w:left="57"/>
              <w:jc w:val="center"/>
              <w:rPr>
                <w:rFonts w:ascii="Times New Roman" w:hAnsi="Times New Roman" w:cs="Times New Roman"/>
                <w:sz w:val="22"/>
              </w:rPr>
            </w:pPr>
          </w:p>
        </w:tc>
        <w:tc>
          <w:tcPr>
            <w:tcW w:w="547" w:type="pct"/>
            <w:tcBorders>
              <w:top w:val="nil"/>
              <w:left w:val="single" w:sz="6" w:space="0" w:color="000000"/>
              <w:bottom w:val="nil"/>
              <w:right w:val="single" w:sz="6" w:space="0" w:color="000000"/>
            </w:tcBorders>
          </w:tcPr>
          <w:p w14:paraId="79CC19BB" w14:textId="77777777" w:rsidR="00F859C7" w:rsidRPr="00F36DFC" w:rsidRDefault="00F859C7">
            <w:pPr>
              <w:ind w:left="57"/>
              <w:jc w:val="center"/>
              <w:rPr>
                <w:rFonts w:ascii="Times New Roman" w:hAnsi="Times New Roman" w:cs="Times New Roman"/>
                <w:sz w:val="22"/>
              </w:rPr>
            </w:pPr>
          </w:p>
        </w:tc>
        <w:tc>
          <w:tcPr>
            <w:tcW w:w="968" w:type="pct"/>
            <w:tcBorders>
              <w:top w:val="nil"/>
              <w:left w:val="single" w:sz="6" w:space="0" w:color="000000"/>
              <w:bottom w:val="nil"/>
              <w:right w:val="single" w:sz="6" w:space="0" w:color="000000"/>
            </w:tcBorders>
          </w:tcPr>
          <w:p w14:paraId="26041A2A" w14:textId="77777777" w:rsidR="00F859C7" w:rsidRPr="00F36DFC" w:rsidRDefault="00F859C7">
            <w:pPr>
              <w:ind w:left="57"/>
              <w:jc w:val="center"/>
              <w:rPr>
                <w:rFonts w:ascii="Times New Roman" w:hAnsi="Times New Roman" w:cs="Times New Roman"/>
                <w:sz w:val="22"/>
              </w:rPr>
            </w:pPr>
          </w:p>
        </w:tc>
      </w:tr>
      <w:tr w:rsidR="00F859C7" w:rsidRPr="00F36DFC" w14:paraId="0F83EC97" w14:textId="77777777" w:rsidTr="00F36DFC">
        <w:trPr>
          <w:trHeight w:val="20"/>
        </w:trPr>
        <w:tc>
          <w:tcPr>
            <w:tcW w:w="1816" w:type="pct"/>
            <w:tcBorders>
              <w:top w:val="nil"/>
              <w:left w:val="single" w:sz="6" w:space="0" w:color="000000"/>
              <w:bottom w:val="nil"/>
              <w:right w:val="single" w:sz="6" w:space="0" w:color="000000"/>
            </w:tcBorders>
            <w:hideMark/>
          </w:tcPr>
          <w:p w14:paraId="0BA61185" w14:textId="77777777" w:rsidR="00F859C7" w:rsidRPr="00F36DFC" w:rsidRDefault="00F859C7">
            <w:pPr>
              <w:widowControl/>
              <w:ind w:left="57"/>
              <w:rPr>
                <w:rFonts w:ascii="Times New Roman" w:hAnsi="Times New Roman" w:cs="Times New Roman"/>
                <w:sz w:val="22"/>
                <w:lang w:val="da-DK"/>
              </w:rPr>
            </w:pPr>
            <w:r w:rsidRPr="00F36DFC">
              <w:rPr>
                <w:rFonts w:ascii="Times New Roman" w:hAnsi="Times New Roman" w:cs="Times New Roman"/>
                <w:sz w:val="22"/>
                <w:lang w:val="da-DK"/>
              </w:rPr>
              <w:t>&gt; 4 anfald i løbet af 3 måneders</w:t>
            </w:r>
          </w:p>
        </w:tc>
        <w:tc>
          <w:tcPr>
            <w:tcW w:w="729" w:type="pct"/>
            <w:vMerge w:val="restart"/>
            <w:tcBorders>
              <w:top w:val="nil"/>
              <w:left w:val="single" w:sz="6" w:space="0" w:color="000000"/>
              <w:bottom w:val="single" w:sz="6" w:space="0" w:color="000000"/>
              <w:right w:val="single" w:sz="6" w:space="0" w:color="000000"/>
            </w:tcBorders>
            <w:hideMark/>
          </w:tcPr>
          <w:p w14:paraId="7CFADC6D" w14:textId="77777777" w:rsidR="00F859C7" w:rsidRPr="00F36DFC" w:rsidRDefault="00F859C7">
            <w:pPr>
              <w:widowControl/>
              <w:ind w:left="57"/>
              <w:jc w:val="center"/>
              <w:rPr>
                <w:rFonts w:ascii="Times New Roman" w:hAnsi="Times New Roman" w:cs="Times New Roman"/>
                <w:sz w:val="22"/>
                <w:lang w:val="en-GB"/>
              </w:rPr>
            </w:pPr>
            <w:r w:rsidRPr="00F36DFC">
              <w:rPr>
                <w:rFonts w:ascii="Times New Roman" w:hAnsi="Times New Roman" w:cs="Times New Roman"/>
                <w:sz w:val="22"/>
                <w:lang w:val="da-DK"/>
              </w:rPr>
              <w:t>52,9 %</w:t>
            </w:r>
          </w:p>
        </w:tc>
        <w:tc>
          <w:tcPr>
            <w:tcW w:w="940" w:type="pct"/>
            <w:vMerge w:val="restart"/>
            <w:tcBorders>
              <w:top w:val="nil"/>
              <w:left w:val="single" w:sz="6" w:space="0" w:color="000000"/>
              <w:bottom w:val="single" w:sz="6" w:space="0" w:color="000000"/>
              <w:right w:val="single" w:sz="6" w:space="0" w:color="000000"/>
            </w:tcBorders>
            <w:hideMark/>
          </w:tcPr>
          <w:p w14:paraId="3EE73BE2" w14:textId="77777777" w:rsidR="00F859C7" w:rsidRPr="00F36DFC" w:rsidRDefault="00F859C7">
            <w:pPr>
              <w:widowControl/>
              <w:ind w:left="57"/>
              <w:jc w:val="center"/>
              <w:rPr>
                <w:rFonts w:ascii="Times New Roman" w:hAnsi="Times New Roman" w:cs="Times New Roman"/>
                <w:sz w:val="22"/>
              </w:rPr>
            </w:pPr>
            <w:r w:rsidRPr="00F36DFC">
              <w:rPr>
                <w:rFonts w:ascii="Times New Roman" w:hAnsi="Times New Roman" w:cs="Times New Roman"/>
                <w:sz w:val="22"/>
                <w:lang w:val="da-DK"/>
              </w:rPr>
              <w:t>68,9 %</w:t>
            </w:r>
          </w:p>
        </w:tc>
        <w:tc>
          <w:tcPr>
            <w:tcW w:w="547" w:type="pct"/>
            <w:vMerge w:val="restart"/>
            <w:tcBorders>
              <w:top w:val="nil"/>
              <w:left w:val="single" w:sz="6" w:space="0" w:color="000000"/>
              <w:bottom w:val="single" w:sz="6" w:space="0" w:color="000000"/>
              <w:right w:val="single" w:sz="6" w:space="0" w:color="000000"/>
            </w:tcBorders>
            <w:hideMark/>
          </w:tcPr>
          <w:p w14:paraId="47F1115C" w14:textId="77777777" w:rsidR="00F859C7" w:rsidRPr="00F36DFC" w:rsidRDefault="00F859C7">
            <w:pPr>
              <w:widowControl/>
              <w:ind w:left="57"/>
              <w:jc w:val="center"/>
              <w:rPr>
                <w:rFonts w:ascii="Times New Roman" w:hAnsi="Times New Roman" w:cs="Times New Roman"/>
                <w:sz w:val="22"/>
              </w:rPr>
            </w:pPr>
            <w:r w:rsidRPr="00F36DFC">
              <w:rPr>
                <w:rFonts w:ascii="Times New Roman" w:hAnsi="Times New Roman" w:cs="Times New Roman"/>
                <w:sz w:val="22"/>
                <w:lang w:val="da-DK"/>
              </w:rPr>
              <w:t>-15,9 %</w:t>
            </w:r>
          </w:p>
        </w:tc>
        <w:tc>
          <w:tcPr>
            <w:tcW w:w="968" w:type="pct"/>
            <w:vMerge w:val="restart"/>
            <w:tcBorders>
              <w:top w:val="nil"/>
              <w:left w:val="single" w:sz="6" w:space="0" w:color="000000"/>
              <w:bottom w:val="single" w:sz="6" w:space="0" w:color="000000"/>
              <w:right w:val="single" w:sz="6" w:space="0" w:color="000000"/>
            </w:tcBorders>
            <w:hideMark/>
          </w:tcPr>
          <w:p w14:paraId="0633E279" w14:textId="77777777" w:rsidR="00F859C7" w:rsidRPr="00F36DFC" w:rsidRDefault="00F859C7">
            <w:pPr>
              <w:widowControl/>
              <w:ind w:left="57"/>
              <w:jc w:val="center"/>
              <w:rPr>
                <w:rFonts w:ascii="Times New Roman" w:hAnsi="Times New Roman" w:cs="Times New Roman"/>
                <w:sz w:val="22"/>
              </w:rPr>
            </w:pPr>
            <w:r w:rsidRPr="00F36DFC">
              <w:rPr>
                <w:rFonts w:ascii="Times New Roman" w:hAnsi="Times New Roman" w:cs="Times New Roman"/>
                <w:sz w:val="22"/>
                <w:lang w:val="da-DK"/>
              </w:rPr>
              <w:t>-37,5 </w:t>
            </w:r>
            <w:proofErr w:type="gramStart"/>
            <w:r w:rsidRPr="00F36DFC">
              <w:rPr>
                <w:rFonts w:ascii="Times New Roman" w:hAnsi="Times New Roman" w:cs="Times New Roman"/>
                <w:sz w:val="22"/>
                <w:lang w:val="da-DK"/>
              </w:rPr>
              <w:t>% ;</w:t>
            </w:r>
            <w:proofErr w:type="gramEnd"/>
            <w:r w:rsidRPr="00F36DFC">
              <w:rPr>
                <w:rFonts w:ascii="Times New Roman" w:hAnsi="Times New Roman" w:cs="Times New Roman"/>
                <w:sz w:val="22"/>
                <w:lang w:val="da-DK"/>
              </w:rPr>
              <w:t xml:space="preserve"> 5,6 %</w:t>
            </w:r>
          </w:p>
        </w:tc>
      </w:tr>
      <w:tr w:rsidR="00F859C7" w:rsidRPr="00F36DFC" w14:paraId="75D61437" w14:textId="77777777" w:rsidTr="00F36DFC">
        <w:trPr>
          <w:trHeight w:val="20"/>
        </w:trPr>
        <w:tc>
          <w:tcPr>
            <w:tcW w:w="1816" w:type="pct"/>
            <w:tcBorders>
              <w:top w:val="nil"/>
              <w:left w:val="single" w:sz="6" w:space="0" w:color="000000"/>
              <w:bottom w:val="single" w:sz="6" w:space="0" w:color="000000"/>
              <w:right w:val="single" w:sz="6" w:space="0" w:color="000000"/>
            </w:tcBorders>
            <w:hideMark/>
          </w:tcPr>
          <w:p w14:paraId="53180BE9" w14:textId="77777777" w:rsidR="00F859C7" w:rsidRPr="00F36DFC" w:rsidRDefault="00F859C7">
            <w:pPr>
              <w:widowControl/>
              <w:ind w:left="57"/>
              <w:rPr>
                <w:rFonts w:ascii="Times New Roman" w:hAnsi="Times New Roman" w:cs="Times New Roman"/>
                <w:sz w:val="22"/>
              </w:rPr>
            </w:pPr>
            <w:r w:rsidRPr="00F36DFC">
              <w:rPr>
                <w:rFonts w:ascii="Times New Roman" w:hAnsi="Times New Roman" w:cs="Times New Roman"/>
                <w:sz w:val="22"/>
                <w:lang w:val="da-DK"/>
              </w:rPr>
              <w:t>baselineperioden</w:t>
            </w:r>
          </w:p>
        </w:tc>
        <w:tc>
          <w:tcPr>
            <w:tcW w:w="729" w:type="pct"/>
            <w:vMerge/>
            <w:tcBorders>
              <w:top w:val="nil"/>
              <w:left w:val="single" w:sz="6" w:space="0" w:color="000000"/>
              <w:bottom w:val="single" w:sz="6" w:space="0" w:color="000000"/>
              <w:right w:val="single" w:sz="6" w:space="0" w:color="000000"/>
            </w:tcBorders>
            <w:vAlign w:val="center"/>
            <w:hideMark/>
          </w:tcPr>
          <w:p w14:paraId="5C8DC62E" w14:textId="77777777" w:rsidR="00F859C7" w:rsidRPr="00F36DFC" w:rsidRDefault="00F859C7">
            <w:pPr>
              <w:rPr>
                <w:rFonts w:ascii="Times New Roman" w:eastAsia="Times New Roman" w:hAnsi="Times New Roman" w:cs="Times New Roman"/>
                <w:sz w:val="22"/>
                <w:lang w:val="en-GB" w:eastAsia="de-DE"/>
              </w:rPr>
            </w:pPr>
          </w:p>
        </w:tc>
        <w:tc>
          <w:tcPr>
            <w:tcW w:w="940" w:type="pct"/>
            <w:vMerge/>
            <w:tcBorders>
              <w:top w:val="nil"/>
              <w:left w:val="single" w:sz="6" w:space="0" w:color="000000"/>
              <w:bottom w:val="single" w:sz="6" w:space="0" w:color="000000"/>
              <w:right w:val="single" w:sz="6" w:space="0" w:color="000000"/>
            </w:tcBorders>
            <w:vAlign w:val="center"/>
            <w:hideMark/>
          </w:tcPr>
          <w:p w14:paraId="45F8B910" w14:textId="77777777" w:rsidR="00F859C7" w:rsidRPr="00F36DFC" w:rsidRDefault="00F859C7">
            <w:pPr>
              <w:rPr>
                <w:rFonts w:ascii="Times New Roman" w:eastAsia="Times New Roman" w:hAnsi="Times New Roman" w:cs="Times New Roman"/>
                <w:sz w:val="22"/>
                <w:lang w:val="en-GB" w:eastAsia="de-DE"/>
              </w:rPr>
            </w:pPr>
          </w:p>
        </w:tc>
        <w:tc>
          <w:tcPr>
            <w:tcW w:w="547" w:type="pct"/>
            <w:vMerge/>
            <w:tcBorders>
              <w:top w:val="nil"/>
              <w:left w:val="single" w:sz="6" w:space="0" w:color="000000"/>
              <w:bottom w:val="single" w:sz="6" w:space="0" w:color="000000"/>
              <w:right w:val="single" w:sz="6" w:space="0" w:color="000000"/>
            </w:tcBorders>
            <w:vAlign w:val="center"/>
            <w:hideMark/>
          </w:tcPr>
          <w:p w14:paraId="71E0794B" w14:textId="77777777" w:rsidR="00F859C7" w:rsidRPr="00F36DFC" w:rsidRDefault="00F859C7">
            <w:pPr>
              <w:rPr>
                <w:rFonts w:ascii="Times New Roman" w:eastAsia="Times New Roman" w:hAnsi="Times New Roman" w:cs="Times New Roman"/>
                <w:sz w:val="22"/>
                <w:lang w:val="en-GB" w:eastAsia="de-DE"/>
              </w:rPr>
            </w:pPr>
          </w:p>
        </w:tc>
        <w:tc>
          <w:tcPr>
            <w:tcW w:w="968" w:type="pct"/>
            <w:vMerge/>
            <w:tcBorders>
              <w:top w:val="nil"/>
              <w:left w:val="single" w:sz="6" w:space="0" w:color="000000"/>
              <w:bottom w:val="single" w:sz="6" w:space="0" w:color="000000"/>
              <w:right w:val="single" w:sz="6" w:space="0" w:color="000000"/>
            </w:tcBorders>
            <w:vAlign w:val="center"/>
            <w:hideMark/>
          </w:tcPr>
          <w:p w14:paraId="4B9A3452" w14:textId="77777777" w:rsidR="00F859C7" w:rsidRPr="00F36DFC" w:rsidRDefault="00F859C7">
            <w:pPr>
              <w:rPr>
                <w:rFonts w:ascii="Times New Roman" w:eastAsia="Times New Roman" w:hAnsi="Times New Roman" w:cs="Times New Roman"/>
                <w:sz w:val="22"/>
                <w:lang w:val="en-GB" w:eastAsia="de-DE"/>
              </w:rPr>
            </w:pPr>
          </w:p>
        </w:tc>
      </w:tr>
      <w:tr w:rsidR="00F859C7" w:rsidRPr="00F36DFC" w14:paraId="29715FA8" w14:textId="77777777" w:rsidTr="00F36DFC">
        <w:trPr>
          <w:trHeight w:val="20"/>
        </w:trPr>
        <w:tc>
          <w:tcPr>
            <w:tcW w:w="1816" w:type="pct"/>
            <w:tcBorders>
              <w:top w:val="single" w:sz="6" w:space="0" w:color="000000"/>
              <w:left w:val="single" w:sz="6" w:space="0" w:color="000000"/>
              <w:bottom w:val="single" w:sz="6" w:space="0" w:color="000000"/>
              <w:right w:val="single" w:sz="6" w:space="0" w:color="000000"/>
            </w:tcBorders>
            <w:hideMark/>
          </w:tcPr>
          <w:p w14:paraId="30D2676F" w14:textId="77777777" w:rsidR="00F859C7" w:rsidRPr="00F36DFC" w:rsidRDefault="00F859C7">
            <w:pPr>
              <w:widowControl/>
              <w:ind w:left="57"/>
              <w:rPr>
                <w:rFonts w:ascii="Times New Roman" w:hAnsi="Times New Roman" w:cs="Times New Roman"/>
                <w:b/>
                <w:sz w:val="22"/>
              </w:rPr>
            </w:pPr>
            <w:r w:rsidRPr="00F36DFC">
              <w:rPr>
                <w:rFonts w:ascii="Times New Roman" w:hAnsi="Times New Roman" w:cs="Times New Roman"/>
                <w:b/>
                <w:bCs/>
                <w:sz w:val="22"/>
                <w:lang w:val="da-DK"/>
              </w:rPr>
              <w:t>Tolv måneder uden anfald</w:t>
            </w:r>
          </w:p>
        </w:tc>
        <w:tc>
          <w:tcPr>
            <w:tcW w:w="729" w:type="pct"/>
            <w:tcBorders>
              <w:top w:val="single" w:sz="6" w:space="0" w:color="000000"/>
              <w:left w:val="single" w:sz="6" w:space="0" w:color="000000"/>
              <w:bottom w:val="single" w:sz="6" w:space="0" w:color="000000"/>
              <w:right w:val="single" w:sz="6" w:space="0" w:color="000000"/>
            </w:tcBorders>
          </w:tcPr>
          <w:p w14:paraId="12D6E511" w14:textId="77777777" w:rsidR="00F859C7" w:rsidRPr="00F36DFC" w:rsidRDefault="00F859C7">
            <w:pPr>
              <w:ind w:left="57"/>
              <w:jc w:val="center"/>
              <w:rPr>
                <w:rFonts w:ascii="Times New Roman" w:hAnsi="Times New Roman" w:cs="Times New Roman"/>
                <w:sz w:val="22"/>
              </w:rPr>
            </w:pPr>
          </w:p>
        </w:tc>
        <w:tc>
          <w:tcPr>
            <w:tcW w:w="940" w:type="pct"/>
            <w:tcBorders>
              <w:top w:val="single" w:sz="6" w:space="0" w:color="000000"/>
              <w:left w:val="single" w:sz="6" w:space="0" w:color="000000"/>
              <w:bottom w:val="single" w:sz="6" w:space="0" w:color="000000"/>
              <w:right w:val="single" w:sz="6" w:space="0" w:color="000000"/>
            </w:tcBorders>
          </w:tcPr>
          <w:p w14:paraId="591E8B8D" w14:textId="77777777" w:rsidR="00F859C7" w:rsidRPr="00F36DFC" w:rsidRDefault="00F859C7">
            <w:pPr>
              <w:ind w:left="57"/>
              <w:jc w:val="center"/>
              <w:rPr>
                <w:rFonts w:ascii="Times New Roman" w:hAnsi="Times New Roman" w:cs="Times New Roman"/>
                <w:sz w:val="22"/>
              </w:rPr>
            </w:pPr>
          </w:p>
        </w:tc>
        <w:tc>
          <w:tcPr>
            <w:tcW w:w="547" w:type="pct"/>
            <w:tcBorders>
              <w:top w:val="single" w:sz="6" w:space="0" w:color="000000"/>
              <w:left w:val="single" w:sz="6" w:space="0" w:color="000000"/>
              <w:bottom w:val="single" w:sz="6" w:space="0" w:color="000000"/>
              <w:right w:val="single" w:sz="6" w:space="0" w:color="000000"/>
            </w:tcBorders>
          </w:tcPr>
          <w:p w14:paraId="03DC79EA" w14:textId="77777777" w:rsidR="00F859C7" w:rsidRPr="00F36DFC" w:rsidRDefault="00F859C7">
            <w:pPr>
              <w:ind w:left="57"/>
              <w:jc w:val="center"/>
              <w:rPr>
                <w:rFonts w:ascii="Times New Roman" w:hAnsi="Times New Roman" w:cs="Times New Roman"/>
                <w:sz w:val="22"/>
              </w:rPr>
            </w:pPr>
          </w:p>
        </w:tc>
        <w:tc>
          <w:tcPr>
            <w:tcW w:w="968" w:type="pct"/>
            <w:tcBorders>
              <w:top w:val="single" w:sz="6" w:space="0" w:color="000000"/>
              <w:left w:val="single" w:sz="6" w:space="0" w:color="000000"/>
              <w:bottom w:val="single" w:sz="6" w:space="0" w:color="000000"/>
              <w:right w:val="single" w:sz="6" w:space="0" w:color="000000"/>
            </w:tcBorders>
          </w:tcPr>
          <w:p w14:paraId="3C3DC9BE" w14:textId="77777777" w:rsidR="00F859C7" w:rsidRPr="00F36DFC" w:rsidRDefault="00F859C7">
            <w:pPr>
              <w:ind w:left="57"/>
              <w:jc w:val="center"/>
              <w:rPr>
                <w:rFonts w:ascii="Times New Roman" w:hAnsi="Times New Roman" w:cs="Times New Roman"/>
                <w:sz w:val="22"/>
              </w:rPr>
            </w:pPr>
          </w:p>
        </w:tc>
      </w:tr>
      <w:tr w:rsidR="00F859C7" w:rsidRPr="00F36DFC" w14:paraId="14D38D19" w14:textId="77777777" w:rsidTr="00F36DFC">
        <w:trPr>
          <w:trHeight w:val="20"/>
        </w:trPr>
        <w:tc>
          <w:tcPr>
            <w:tcW w:w="1816" w:type="pct"/>
            <w:tcBorders>
              <w:top w:val="single" w:sz="6" w:space="0" w:color="000000"/>
              <w:left w:val="single" w:sz="6" w:space="0" w:color="000000"/>
              <w:bottom w:val="single" w:sz="6" w:space="0" w:color="000000"/>
              <w:right w:val="single" w:sz="6" w:space="0" w:color="000000"/>
            </w:tcBorders>
            <w:hideMark/>
          </w:tcPr>
          <w:p w14:paraId="7D6F7D81" w14:textId="77777777" w:rsidR="00F859C7" w:rsidRPr="00F36DFC" w:rsidRDefault="00F859C7">
            <w:pPr>
              <w:widowControl/>
              <w:ind w:left="57"/>
              <w:rPr>
                <w:rFonts w:ascii="Times New Roman" w:hAnsi="Times New Roman" w:cs="Times New Roman"/>
                <w:sz w:val="22"/>
              </w:rPr>
            </w:pPr>
            <w:r w:rsidRPr="00F36DFC">
              <w:rPr>
                <w:rFonts w:ascii="Times New Roman" w:hAnsi="Times New Roman" w:cs="Times New Roman"/>
                <w:sz w:val="22"/>
                <w:lang w:val="da-DK"/>
              </w:rPr>
              <w:t>PP-population</w:t>
            </w:r>
          </w:p>
        </w:tc>
        <w:tc>
          <w:tcPr>
            <w:tcW w:w="729" w:type="pct"/>
            <w:tcBorders>
              <w:top w:val="single" w:sz="6" w:space="0" w:color="000000"/>
              <w:left w:val="single" w:sz="6" w:space="0" w:color="000000"/>
              <w:bottom w:val="single" w:sz="6" w:space="0" w:color="000000"/>
              <w:right w:val="single" w:sz="6" w:space="0" w:color="000000"/>
            </w:tcBorders>
            <w:hideMark/>
          </w:tcPr>
          <w:p w14:paraId="392EB706" w14:textId="77777777" w:rsidR="00F859C7" w:rsidRPr="00F36DFC" w:rsidRDefault="00F859C7">
            <w:pPr>
              <w:widowControl/>
              <w:ind w:left="57"/>
              <w:jc w:val="center"/>
              <w:rPr>
                <w:rFonts w:ascii="Times New Roman" w:hAnsi="Times New Roman" w:cs="Times New Roman"/>
                <w:sz w:val="22"/>
              </w:rPr>
            </w:pPr>
            <w:r w:rsidRPr="00F36DFC">
              <w:rPr>
                <w:rFonts w:ascii="Times New Roman" w:hAnsi="Times New Roman" w:cs="Times New Roman"/>
                <w:sz w:val="22"/>
                <w:lang w:val="da-DK"/>
              </w:rPr>
              <w:t>67,6 %</w:t>
            </w:r>
          </w:p>
        </w:tc>
        <w:tc>
          <w:tcPr>
            <w:tcW w:w="940" w:type="pct"/>
            <w:tcBorders>
              <w:top w:val="single" w:sz="6" w:space="0" w:color="000000"/>
              <w:left w:val="single" w:sz="6" w:space="0" w:color="000000"/>
              <w:bottom w:val="single" w:sz="6" w:space="0" w:color="000000"/>
              <w:right w:val="single" w:sz="6" w:space="0" w:color="000000"/>
            </w:tcBorders>
            <w:hideMark/>
          </w:tcPr>
          <w:p w14:paraId="50303014" w14:textId="77777777" w:rsidR="00F859C7" w:rsidRPr="00F36DFC" w:rsidRDefault="00F859C7">
            <w:pPr>
              <w:widowControl/>
              <w:ind w:left="57"/>
              <w:jc w:val="center"/>
              <w:rPr>
                <w:rFonts w:ascii="Times New Roman" w:hAnsi="Times New Roman" w:cs="Times New Roman"/>
                <w:sz w:val="22"/>
              </w:rPr>
            </w:pPr>
            <w:r w:rsidRPr="00F36DFC">
              <w:rPr>
                <w:rFonts w:ascii="Times New Roman" w:hAnsi="Times New Roman" w:cs="Times New Roman"/>
                <w:sz w:val="22"/>
                <w:lang w:val="da-DK"/>
              </w:rPr>
              <w:t>74,7 %</w:t>
            </w:r>
          </w:p>
        </w:tc>
        <w:tc>
          <w:tcPr>
            <w:tcW w:w="547" w:type="pct"/>
            <w:tcBorders>
              <w:top w:val="single" w:sz="6" w:space="0" w:color="000000"/>
              <w:left w:val="single" w:sz="6" w:space="0" w:color="000000"/>
              <w:bottom w:val="single" w:sz="6" w:space="0" w:color="000000"/>
              <w:right w:val="single" w:sz="6" w:space="0" w:color="000000"/>
            </w:tcBorders>
            <w:hideMark/>
          </w:tcPr>
          <w:p w14:paraId="63B1535E" w14:textId="77777777" w:rsidR="00F859C7" w:rsidRPr="00F36DFC" w:rsidRDefault="00F859C7">
            <w:pPr>
              <w:widowControl/>
              <w:ind w:left="57"/>
              <w:jc w:val="center"/>
              <w:rPr>
                <w:rFonts w:ascii="Times New Roman" w:hAnsi="Times New Roman" w:cs="Times New Roman"/>
                <w:sz w:val="22"/>
              </w:rPr>
            </w:pPr>
            <w:r w:rsidRPr="00F36DFC">
              <w:rPr>
                <w:rFonts w:ascii="Times New Roman" w:hAnsi="Times New Roman" w:cs="Times New Roman"/>
                <w:sz w:val="22"/>
                <w:lang w:val="da-DK"/>
              </w:rPr>
              <w:t>-7,9 %</w:t>
            </w:r>
          </w:p>
        </w:tc>
        <w:tc>
          <w:tcPr>
            <w:tcW w:w="968" w:type="pct"/>
            <w:tcBorders>
              <w:top w:val="single" w:sz="6" w:space="0" w:color="000000"/>
              <w:left w:val="single" w:sz="6" w:space="0" w:color="000000"/>
              <w:bottom w:val="single" w:sz="6" w:space="0" w:color="000000"/>
              <w:right w:val="single" w:sz="6" w:space="0" w:color="000000"/>
            </w:tcBorders>
            <w:hideMark/>
          </w:tcPr>
          <w:p w14:paraId="24D830C4" w14:textId="77777777" w:rsidR="00F859C7" w:rsidRPr="00F36DFC" w:rsidRDefault="00F859C7">
            <w:pPr>
              <w:widowControl/>
              <w:ind w:left="57"/>
              <w:jc w:val="center"/>
              <w:rPr>
                <w:rFonts w:ascii="Times New Roman" w:hAnsi="Times New Roman" w:cs="Times New Roman"/>
                <w:sz w:val="22"/>
              </w:rPr>
            </w:pPr>
            <w:r w:rsidRPr="00F36DFC">
              <w:rPr>
                <w:rFonts w:ascii="Times New Roman" w:hAnsi="Times New Roman" w:cs="Times New Roman"/>
                <w:sz w:val="22"/>
                <w:lang w:val="da-DK"/>
              </w:rPr>
              <w:t>- 17,2 </w:t>
            </w:r>
            <w:proofErr w:type="gramStart"/>
            <w:r w:rsidRPr="00F36DFC">
              <w:rPr>
                <w:rFonts w:ascii="Times New Roman" w:hAnsi="Times New Roman" w:cs="Times New Roman"/>
                <w:sz w:val="22"/>
                <w:lang w:val="da-DK"/>
              </w:rPr>
              <w:t>% ;</w:t>
            </w:r>
            <w:proofErr w:type="gramEnd"/>
            <w:r w:rsidRPr="00F36DFC">
              <w:rPr>
                <w:rFonts w:ascii="Times New Roman" w:hAnsi="Times New Roman" w:cs="Times New Roman"/>
                <w:sz w:val="22"/>
                <w:lang w:val="da-DK"/>
              </w:rPr>
              <w:t xml:space="preserve"> 1,5 %</w:t>
            </w:r>
          </w:p>
        </w:tc>
      </w:tr>
      <w:tr w:rsidR="00F859C7" w:rsidRPr="00F36DFC" w14:paraId="6F5280B4" w14:textId="77777777" w:rsidTr="00F36DFC">
        <w:trPr>
          <w:trHeight w:val="20"/>
        </w:trPr>
        <w:tc>
          <w:tcPr>
            <w:tcW w:w="1816" w:type="pct"/>
            <w:tcBorders>
              <w:top w:val="single" w:sz="6" w:space="0" w:color="000000"/>
              <w:left w:val="single" w:sz="6" w:space="0" w:color="000000"/>
              <w:bottom w:val="nil"/>
              <w:right w:val="single" w:sz="6" w:space="0" w:color="000000"/>
            </w:tcBorders>
            <w:hideMark/>
          </w:tcPr>
          <w:p w14:paraId="12D8ACE9" w14:textId="77777777" w:rsidR="00F859C7" w:rsidRPr="00F36DFC" w:rsidRDefault="00F859C7">
            <w:pPr>
              <w:widowControl/>
              <w:ind w:left="57"/>
              <w:rPr>
                <w:rFonts w:ascii="Times New Roman" w:hAnsi="Times New Roman" w:cs="Times New Roman"/>
                <w:sz w:val="22"/>
              </w:rPr>
            </w:pPr>
            <w:r w:rsidRPr="00F36DFC">
              <w:rPr>
                <w:rFonts w:ascii="Times New Roman" w:hAnsi="Times New Roman" w:cs="Times New Roman"/>
                <w:sz w:val="22"/>
                <w:lang w:val="da-DK"/>
              </w:rPr>
              <w:t>ITT-population</w:t>
            </w:r>
          </w:p>
        </w:tc>
        <w:tc>
          <w:tcPr>
            <w:tcW w:w="729" w:type="pct"/>
            <w:tcBorders>
              <w:top w:val="single" w:sz="6" w:space="0" w:color="000000"/>
              <w:left w:val="single" w:sz="6" w:space="0" w:color="000000"/>
              <w:bottom w:val="nil"/>
              <w:right w:val="single" w:sz="6" w:space="0" w:color="000000"/>
            </w:tcBorders>
            <w:hideMark/>
          </w:tcPr>
          <w:p w14:paraId="1D6E1C4C" w14:textId="77777777" w:rsidR="00F859C7" w:rsidRPr="00F36DFC" w:rsidRDefault="00F859C7">
            <w:pPr>
              <w:widowControl/>
              <w:ind w:left="57"/>
              <w:jc w:val="center"/>
              <w:rPr>
                <w:rFonts w:ascii="Times New Roman" w:hAnsi="Times New Roman" w:cs="Times New Roman"/>
                <w:sz w:val="22"/>
              </w:rPr>
            </w:pPr>
            <w:r w:rsidRPr="00F36DFC">
              <w:rPr>
                <w:rFonts w:ascii="Times New Roman" w:hAnsi="Times New Roman" w:cs="Times New Roman"/>
                <w:sz w:val="22"/>
                <w:lang w:val="da-DK"/>
              </w:rPr>
              <w:t>55,9 %</w:t>
            </w:r>
          </w:p>
        </w:tc>
        <w:tc>
          <w:tcPr>
            <w:tcW w:w="940" w:type="pct"/>
            <w:tcBorders>
              <w:top w:val="single" w:sz="6" w:space="0" w:color="000000"/>
              <w:left w:val="single" w:sz="6" w:space="0" w:color="000000"/>
              <w:bottom w:val="nil"/>
              <w:right w:val="single" w:sz="6" w:space="0" w:color="000000"/>
            </w:tcBorders>
            <w:hideMark/>
          </w:tcPr>
          <w:p w14:paraId="2440452F" w14:textId="77777777" w:rsidR="00F859C7" w:rsidRPr="00F36DFC" w:rsidRDefault="00F859C7">
            <w:pPr>
              <w:widowControl/>
              <w:ind w:left="57"/>
              <w:jc w:val="center"/>
              <w:rPr>
                <w:rFonts w:ascii="Times New Roman" w:hAnsi="Times New Roman" w:cs="Times New Roman"/>
                <w:sz w:val="22"/>
              </w:rPr>
            </w:pPr>
            <w:r w:rsidRPr="00F36DFC">
              <w:rPr>
                <w:rFonts w:ascii="Times New Roman" w:hAnsi="Times New Roman" w:cs="Times New Roman"/>
                <w:sz w:val="22"/>
                <w:lang w:val="da-DK"/>
              </w:rPr>
              <w:t>62,3 %</w:t>
            </w:r>
          </w:p>
        </w:tc>
        <w:tc>
          <w:tcPr>
            <w:tcW w:w="547" w:type="pct"/>
            <w:tcBorders>
              <w:top w:val="single" w:sz="6" w:space="0" w:color="000000"/>
              <w:left w:val="single" w:sz="6" w:space="0" w:color="000000"/>
              <w:bottom w:val="nil"/>
              <w:right w:val="single" w:sz="6" w:space="0" w:color="000000"/>
            </w:tcBorders>
            <w:hideMark/>
          </w:tcPr>
          <w:p w14:paraId="50AAF10B" w14:textId="77777777" w:rsidR="00F859C7" w:rsidRPr="00F36DFC" w:rsidRDefault="00F859C7">
            <w:pPr>
              <w:widowControl/>
              <w:ind w:left="57"/>
              <w:jc w:val="center"/>
              <w:rPr>
                <w:rFonts w:ascii="Times New Roman" w:hAnsi="Times New Roman" w:cs="Times New Roman"/>
                <w:sz w:val="22"/>
              </w:rPr>
            </w:pPr>
            <w:r w:rsidRPr="00F36DFC">
              <w:rPr>
                <w:rFonts w:ascii="Times New Roman" w:hAnsi="Times New Roman" w:cs="Times New Roman"/>
                <w:sz w:val="22"/>
                <w:lang w:val="da-DK"/>
              </w:rPr>
              <w:t>-7,7 %</w:t>
            </w:r>
          </w:p>
        </w:tc>
        <w:tc>
          <w:tcPr>
            <w:tcW w:w="968" w:type="pct"/>
            <w:tcBorders>
              <w:top w:val="single" w:sz="6" w:space="0" w:color="000000"/>
              <w:left w:val="single" w:sz="6" w:space="0" w:color="000000"/>
              <w:bottom w:val="nil"/>
              <w:right w:val="single" w:sz="6" w:space="0" w:color="000000"/>
            </w:tcBorders>
            <w:hideMark/>
          </w:tcPr>
          <w:p w14:paraId="48EE0C16" w14:textId="77777777" w:rsidR="00F859C7" w:rsidRPr="00F36DFC" w:rsidRDefault="00F859C7">
            <w:pPr>
              <w:widowControl/>
              <w:ind w:left="57"/>
              <w:jc w:val="center"/>
              <w:rPr>
                <w:rFonts w:ascii="Times New Roman" w:hAnsi="Times New Roman" w:cs="Times New Roman"/>
                <w:sz w:val="22"/>
              </w:rPr>
            </w:pPr>
            <w:r w:rsidRPr="00F36DFC">
              <w:rPr>
                <w:rFonts w:ascii="Times New Roman" w:hAnsi="Times New Roman" w:cs="Times New Roman"/>
                <w:sz w:val="22"/>
                <w:lang w:val="da-DK"/>
              </w:rPr>
              <w:t>- 16,1 </w:t>
            </w:r>
            <w:proofErr w:type="gramStart"/>
            <w:r w:rsidRPr="00F36DFC">
              <w:rPr>
                <w:rFonts w:ascii="Times New Roman" w:hAnsi="Times New Roman" w:cs="Times New Roman"/>
                <w:sz w:val="22"/>
                <w:lang w:val="da-DK"/>
              </w:rPr>
              <w:t>% ;</w:t>
            </w:r>
            <w:proofErr w:type="gramEnd"/>
            <w:r w:rsidRPr="00F36DFC">
              <w:rPr>
                <w:rFonts w:ascii="Times New Roman" w:hAnsi="Times New Roman" w:cs="Times New Roman"/>
                <w:sz w:val="22"/>
                <w:lang w:val="da-DK"/>
              </w:rPr>
              <w:t xml:space="preserve"> 0,7 %</w:t>
            </w:r>
          </w:p>
        </w:tc>
      </w:tr>
      <w:tr w:rsidR="00F859C7" w:rsidRPr="00F36DFC" w14:paraId="14715B1A" w14:textId="77777777" w:rsidTr="00F36DFC">
        <w:trPr>
          <w:trHeight w:val="20"/>
        </w:trPr>
        <w:tc>
          <w:tcPr>
            <w:tcW w:w="1816" w:type="pct"/>
            <w:tcBorders>
              <w:top w:val="nil"/>
              <w:left w:val="single" w:sz="6" w:space="0" w:color="000000"/>
              <w:bottom w:val="nil"/>
              <w:right w:val="single" w:sz="6" w:space="0" w:color="000000"/>
            </w:tcBorders>
            <w:hideMark/>
          </w:tcPr>
          <w:p w14:paraId="4B207BFE" w14:textId="77777777" w:rsidR="00F859C7" w:rsidRPr="00F36DFC" w:rsidRDefault="00F859C7">
            <w:pPr>
              <w:ind w:left="57"/>
              <w:rPr>
                <w:rFonts w:ascii="Times New Roman" w:hAnsi="Times New Roman" w:cs="Times New Roman"/>
                <w:sz w:val="22"/>
                <w:lang w:val="da-DK"/>
              </w:rPr>
            </w:pPr>
            <w:r w:rsidRPr="00F36DFC">
              <w:rPr>
                <w:rFonts w:ascii="Times New Roman" w:hAnsi="Times New Roman" w:cs="Times New Roman"/>
                <w:sz w:val="22"/>
                <w:lang w:val="da-DK"/>
              </w:rPr>
              <w:t>≤ 4 anfald i løbet af 3 måneders</w:t>
            </w:r>
          </w:p>
        </w:tc>
        <w:tc>
          <w:tcPr>
            <w:tcW w:w="729" w:type="pct"/>
            <w:tcBorders>
              <w:top w:val="nil"/>
              <w:left w:val="single" w:sz="6" w:space="0" w:color="000000"/>
              <w:bottom w:val="nil"/>
              <w:right w:val="single" w:sz="6" w:space="0" w:color="000000"/>
            </w:tcBorders>
            <w:hideMark/>
          </w:tcPr>
          <w:p w14:paraId="384189D4" w14:textId="77777777" w:rsidR="00F859C7" w:rsidRPr="00F36DFC" w:rsidRDefault="00F859C7">
            <w:pPr>
              <w:widowControl/>
              <w:ind w:left="57"/>
              <w:jc w:val="center"/>
              <w:rPr>
                <w:rFonts w:ascii="Times New Roman" w:hAnsi="Times New Roman" w:cs="Times New Roman"/>
                <w:sz w:val="22"/>
                <w:lang w:val="en-GB"/>
              </w:rPr>
            </w:pPr>
            <w:r w:rsidRPr="00F36DFC">
              <w:rPr>
                <w:rFonts w:ascii="Times New Roman" w:hAnsi="Times New Roman" w:cs="Times New Roman"/>
                <w:sz w:val="22"/>
                <w:lang w:val="da-DK"/>
              </w:rPr>
              <w:t>57,4 %</w:t>
            </w:r>
          </w:p>
        </w:tc>
        <w:tc>
          <w:tcPr>
            <w:tcW w:w="940" w:type="pct"/>
            <w:tcBorders>
              <w:top w:val="nil"/>
              <w:left w:val="single" w:sz="6" w:space="0" w:color="000000"/>
              <w:bottom w:val="nil"/>
              <w:right w:val="single" w:sz="6" w:space="0" w:color="000000"/>
            </w:tcBorders>
            <w:hideMark/>
          </w:tcPr>
          <w:p w14:paraId="45515997" w14:textId="77777777" w:rsidR="00F859C7" w:rsidRPr="00F36DFC" w:rsidRDefault="00F859C7">
            <w:pPr>
              <w:widowControl/>
              <w:ind w:left="57"/>
              <w:jc w:val="center"/>
              <w:rPr>
                <w:rFonts w:ascii="Times New Roman" w:hAnsi="Times New Roman" w:cs="Times New Roman"/>
                <w:sz w:val="22"/>
              </w:rPr>
            </w:pPr>
            <w:r w:rsidRPr="00F36DFC">
              <w:rPr>
                <w:rFonts w:ascii="Times New Roman" w:hAnsi="Times New Roman" w:cs="Times New Roman"/>
                <w:sz w:val="22"/>
                <w:lang w:val="da-DK"/>
              </w:rPr>
              <w:t>64,7 %</w:t>
            </w:r>
          </w:p>
        </w:tc>
        <w:tc>
          <w:tcPr>
            <w:tcW w:w="547" w:type="pct"/>
            <w:tcBorders>
              <w:top w:val="nil"/>
              <w:left w:val="single" w:sz="6" w:space="0" w:color="000000"/>
              <w:bottom w:val="nil"/>
              <w:right w:val="single" w:sz="6" w:space="0" w:color="000000"/>
            </w:tcBorders>
            <w:hideMark/>
          </w:tcPr>
          <w:p w14:paraId="5CE6CBF2" w14:textId="77777777" w:rsidR="00F859C7" w:rsidRPr="00F36DFC" w:rsidRDefault="00F859C7">
            <w:pPr>
              <w:widowControl/>
              <w:ind w:left="57"/>
              <w:jc w:val="center"/>
              <w:rPr>
                <w:rFonts w:ascii="Times New Roman" w:hAnsi="Times New Roman" w:cs="Times New Roman"/>
                <w:sz w:val="22"/>
              </w:rPr>
            </w:pPr>
            <w:r w:rsidRPr="00F36DFC">
              <w:rPr>
                <w:rFonts w:ascii="Times New Roman" w:hAnsi="Times New Roman" w:cs="Times New Roman"/>
                <w:sz w:val="22"/>
                <w:lang w:val="da-DK"/>
              </w:rPr>
              <w:t>-7,2 %</w:t>
            </w:r>
          </w:p>
        </w:tc>
        <w:tc>
          <w:tcPr>
            <w:tcW w:w="968" w:type="pct"/>
            <w:tcBorders>
              <w:top w:val="nil"/>
              <w:left w:val="single" w:sz="6" w:space="0" w:color="000000"/>
              <w:bottom w:val="nil"/>
              <w:right w:val="single" w:sz="6" w:space="0" w:color="000000"/>
            </w:tcBorders>
            <w:hideMark/>
          </w:tcPr>
          <w:p w14:paraId="1D2AF7CE" w14:textId="77777777" w:rsidR="00F859C7" w:rsidRPr="00F36DFC" w:rsidRDefault="00F859C7">
            <w:pPr>
              <w:widowControl/>
              <w:ind w:left="57"/>
              <w:jc w:val="center"/>
              <w:rPr>
                <w:rFonts w:ascii="Times New Roman" w:hAnsi="Times New Roman" w:cs="Times New Roman"/>
                <w:sz w:val="22"/>
              </w:rPr>
            </w:pPr>
            <w:r w:rsidRPr="00F36DFC">
              <w:rPr>
                <w:rFonts w:ascii="Times New Roman" w:hAnsi="Times New Roman" w:cs="Times New Roman"/>
                <w:sz w:val="22"/>
                <w:lang w:val="da-DK"/>
              </w:rPr>
              <w:t>-15,7 </w:t>
            </w:r>
            <w:proofErr w:type="gramStart"/>
            <w:r w:rsidRPr="00F36DFC">
              <w:rPr>
                <w:rFonts w:ascii="Times New Roman" w:hAnsi="Times New Roman" w:cs="Times New Roman"/>
                <w:sz w:val="22"/>
                <w:lang w:val="da-DK"/>
              </w:rPr>
              <w:t>% ;</w:t>
            </w:r>
            <w:proofErr w:type="gramEnd"/>
            <w:r w:rsidRPr="00F36DFC">
              <w:rPr>
                <w:rFonts w:ascii="Times New Roman" w:hAnsi="Times New Roman" w:cs="Times New Roman"/>
                <w:sz w:val="22"/>
                <w:lang w:val="da-DK"/>
              </w:rPr>
              <w:t xml:space="preserve"> 1,3 %</w:t>
            </w:r>
          </w:p>
        </w:tc>
      </w:tr>
      <w:tr w:rsidR="00F859C7" w:rsidRPr="00F36DFC" w14:paraId="1B2EB1A1" w14:textId="77777777" w:rsidTr="00F36DFC">
        <w:trPr>
          <w:trHeight w:val="20"/>
        </w:trPr>
        <w:tc>
          <w:tcPr>
            <w:tcW w:w="1816" w:type="pct"/>
            <w:tcBorders>
              <w:top w:val="nil"/>
              <w:left w:val="single" w:sz="6" w:space="0" w:color="000000"/>
              <w:bottom w:val="nil"/>
              <w:right w:val="single" w:sz="6" w:space="0" w:color="000000"/>
            </w:tcBorders>
            <w:hideMark/>
          </w:tcPr>
          <w:p w14:paraId="5BC0AFF0" w14:textId="77777777" w:rsidR="00F859C7" w:rsidRPr="00F36DFC" w:rsidRDefault="00F859C7">
            <w:pPr>
              <w:widowControl/>
              <w:ind w:left="57"/>
              <w:rPr>
                <w:rFonts w:ascii="Times New Roman" w:hAnsi="Times New Roman" w:cs="Times New Roman"/>
                <w:sz w:val="22"/>
              </w:rPr>
            </w:pPr>
            <w:r w:rsidRPr="00F36DFC">
              <w:rPr>
                <w:rFonts w:ascii="Times New Roman" w:hAnsi="Times New Roman" w:cs="Times New Roman"/>
                <w:sz w:val="22"/>
                <w:lang w:val="da-DK"/>
              </w:rPr>
              <w:t>baselineperioden</w:t>
            </w:r>
          </w:p>
        </w:tc>
        <w:tc>
          <w:tcPr>
            <w:tcW w:w="729" w:type="pct"/>
            <w:tcBorders>
              <w:top w:val="nil"/>
              <w:left w:val="single" w:sz="6" w:space="0" w:color="000000"/>
              <w:bottom w:val="nil"/>
              <w:right w:val="single" w:sz="6" w:space="0" w:color="000000"/>
            </w:tcBorders>
          </w:tcPr>
          <w:p w14:paraId="0A2A6C92" w14:textId="77777777" w:rsidR="00F859C7" w:rsidRPr="00F36DFC" w:rsidRDefault="00F859C7">
            <w:pPr>
              <w:ind w:left="57"/>
              <w:jc w:val="center"/>
              <w:rPr>
                <w:rFonts w:ascii="Times New Roman" w:hAnsi="Times New Roman" w:cs="Times New Roman"/>
                <w:sz w:val="22"/>
              </w:rPr>
            </w:pPr>
          </w:p>
        </w:tc>
        <w:tc>
          <w:tcPr>
            <w:tcW w:w="940" w:type="pct"/>
            <w:tcBorders>
              <w:top w:val="nil"/>
              <w:left w:val="single" w:sz="6" w:space="0" w:color="000000"/>
              <w:bottom w:val="nil"/>
              <w:right w:val="single" w:sz="6" w:space="0" w:color="000000"/>
            </w:tcBorders>
          </w:tcPr>
          <w:p w14:paraId="1893E379" w14:textId="77777777" w:rsidR="00F859C7" w:rsidRPr="00F36DFC" w:rsidRDefault="00F859C7">
            <w:pPr>
              <w:ind w:left="57"/>
              <w:jc w:val="center"/>
              <w:rPr>
                <w:rFonts w:ascii="Times New Roman" w:hAnsi="Times New Roman" w:cs="Times New Roman"/>
                <w:sz w:val="22"/>
              </w:rPr>
            </w:pPr>
          </w:p>
        </w:tc>
        <w:tc>
          <w:tcPr>
            <w:tcW w:w="547" w:type="pct"/>
            <w:tcBorders>
              <w:top w:val="nil"/>
              <w:left w:val="single" w:sz="6" w:space="0" w:color="000000"/>
              <w:bottom w:val="nil"/>
              <w:right w:val="single" w:sz="6" w:space="0" w:color="000000"/>
            </w:tcBorders>
          </w:tcPr>
          <w:p w14:paraId="7C8A68E7" w14:textId="77777777" w:rsidR="00F859C7" w:rsidRPr="00F36DFC" w:rsidRDefault="00F859C7">
            <w:pPr>
              <w:ind w:left="57"/>
              <w:jc w:val="center"/>
              <w:rPr>
                <w:rFonts w:ascii="Times New Roman" w:hAnsi="Times New Roman" w:cs="Times New Roman"/>
                <w:sz w:val="22"/>
              </w:rPr>
            </w:pPr>
          </w:p>
        </w:tc>
        <w:tc>
          <w:tcPr>
            <w:tcW w:w="968" w:type="pct"/>
            <w:tcBorders>
              <w:top w:val="nil"/>
              <w:left w:val="single" w:sz="6" w:space="0" w:color="000000"/>
              <w:bottom w:val="nil"/>
              <w:right w:val="single" w:sz="6" w:space="0" w:color="000000"/>
            </w:tcBorders>
          </w:tcPr>
          <w:p w14:paraId="64E75EDA" w14:textId="77777777" w:rsidR="00F859C7" w:rsidRPr="00F36DFC" w:rsidRDefault="00F859C7">
            <w:pPr>
              <w:ind w:left="57"/>
              <w:jc w:val="center"/>
              <w:rPr>
                <w:rFonts w:ascii="Times New Roman" w:hAnsi="Times New Roman" w:cs="Times New Roman"/>
                <w:sz w:val="22"/>
              </w:rPr>
            </w:pPr>
          </w:p>
        </w:tc>
      </w:tr>
      <w:tr w:rsidR="00F859C7" w:rsidRPr="00F36DFC" w14:paraId="152819B8" w14:textId="77777777" w:rsidTr="00F36DFC">
        <w:trPr>
          <w:trHeight w:val="20"/>
        </w:trPr>
        <w:tc>
          <w:tcPr>
            <w:tcW w:w="1816" w:type="pct"/>
            <w:tcBorders>
              <w:top w:val="nil"/>
              <w:left w:val="single" w:sz="6" w:space="0" w:color="000000"/>
              <w:bottom w:val="nil"/>
              <w:right w:val="single" w:sz="6" w:space="0" w:color="000000"/>
            </w:tcBorders>
            <w:hideMark/>
          </w:tcPr>
          <w:p w14:paraId="69613E8F" w14:textId="77777777" w:rsidR="00F859C7" w:rsidRPr="00F36DFC" w:rsidRDefault="00F859C7">
            <w:pPr>
              <w:widowControl/>
              <w:ind w:left="57"/>
              <w:rPr>
                <w:rFonts w:ascii="Times New Roman" w:hAnsi="Times New Roman" w:cs="Times New Roman"/>
                <w:sz w:val="22"/>
                <w:lang w:val="da-DK"/>
              </w:rPr>
            </w:pPr>
            <w:r w:rsidRPr="00F36DFC">
              <w:rPr>
                <w:rFonts w:ascii="Times New Roman" w:hAnsi="Times New Roman" w:cs="Times New Roman"/>
                <w:sz w:val="22"/>
                <w:lang w:val="da-DK"/>
              </w:rPr>
              <w:t>&gt; 4 anfald i løbet af 3 måneders</w:t>
            </w:r>
          </w:p>
        </w:tc>
        <w:tc>
          <w:tcPr>
            <w:tcW w:w="729" w:type="pct"/>
            <w:vMerge w:val="restart"/>
            <w:tcBorders>
              <w:top w:val="nil"/>
              <w:left w:val="single" w:sz="6" w:space="0" w:color="000000"/>
              <w:bottom w:val="single" w:sz="6" w:space="0" w:color="000000"/>
              <w:right w:val="single" w:sz="6" w:space="0" w:color="000000"/>
            </w:tcBorders>
            <w:hideMark/>
          </w:tcPr>
          <w:p w14:paraId="52A9E251" w14:textId="77777777" w:rsidR="00F859C7" w:rsidRPr="00F36DFC" w:rsidRDefault="00F859C7">
            <w:pPr>
              <w:widowControl/>
              <w:ind w:left="57"/>
              <w:jc w:val="center"/>
              <w:rPr>
                <w:rFonts w:ascii="Times New Roman" w:hAnsi="Times New Roman" w:cs="Times New Roman"/>
                <w:sz w:val="22"/>
                <w:lang w:val="en-GB"/>
              </w:rPr>
            </w:pPr>
            <w:r w:rsidRPr="00F36DFC">
              <w:rPr>
                <w:rFonts w:ascii="Times New Roman" w:hAnsi="Times New Roman" w:cs="Times New Roman"/>
                <w:sz w:val="22"/>
                <w:lang w:val="da-DK"/>
              </w:rPr>
              <w:t>44,1 %</w:t>
            </w:r>
          </w:p>
        </w:tc>
        <w:tc>
          <w:tcPr>
            <w:tcW w:w="940" w:type="pct"/>
            <w:vMerge w:val="restart"/>
            <w:tcBorders>
              <w:top w:val="nil"/>
              <w:left w:val="single" w:sz="6" w:space="0" w:color="000000"/>
              <w:bottom w:val="single" w:sz="6" w:space="0" w:color="000000"/>
              <w:right w:val="single" w:sz="6" w:space="0" w:color="000000"/>
            </w:tcBorders>
            <w:hideMark/>
          </w:tcPr>
          <w:p w14:paraId="5A5C2C9E" w14:textId="77777777" w:rsidR="00F859C7" w:rsidRPr="00F36DFC" w:rsidRDefault="00F859C7">
            <w:pPr>
              <w:widowControl/>
              <w:ind w:left="57"/>
              <w:jc w:val="center"/>
              <w:rPr>
                <w:rFonts w:ascii="Times New Roman" w:hAnsi="Times New Roman" w:cs="Times New Roman"/>
                <w:sz w:val="22"/>
              </w:rPr>
            </w:pPr>
            <w:r w:rsidRPr="00F36DFC">
              <w:rPr>
                <w:rFonts w:ascii="Times New Roman" w:hAnsi="Times New Roman" w:cs="Times New Roman"/>
                <w:sz w:val="22"/>
                <w:lang w:val="da-DK"/>
              </w:rPr>
              <w:t>48,9 %</w:t>
            </w:r>
          </w:p>
        </w:tc>
        <w:tc>
          <w:tcPr>
            <w:tcW w:w="547" w:type="pct"/>
            <w:vMerge w:val="restart"/>
            <w:tcBorders>
              <w:top w:val="nil"/>
              <w:left w:val="single" w:sz="6" w:space="0" w:color="000000"/>
              <w:bottom w:val="single" w:sz="6" w:space="0" w:color="000000"/>
              <w:right w:val="single" w:sz="6" w:space="0" w:color="000000"/>
            </w:tcBorders>
            <w:hideMark/>
          </w:tcPr>
          <w:p w14:paraId="1D289885" w14:textId="77777777" w:rsidR="00F859C7" w:rsidRPr="00F36DFC" w:rsidRDefault="00F859C7">
            <w:pPr>
              <w:widowControl/>
              <w:ind w:left="57"/>
              <w:jc w:val="center"/>
              <w:rPr>
                <w:rFonts w:ascii="Times New Roman" w:hAnsi="Times New Roman" w:cs="Times New Roman"/>
                <w:sz w:val="22"/>
              </w:rPr>
            </w:pPr>
            <w:r w:rsidRPr="00F36DFC">
              <w:rPr>
                <w:rFonts w:ascii="Times New Roman" w:hAnsi="Times New Roman" w:cs="Times New Roman"/>
                <w:sz w:val="22"/>
                <w:lang w:val="da-DK"/>
              </w:rPr>
              <w:t>-4,8 %</w:t>
            </w:r>
          </w:p>
        </w:tc>
        <w:tc>
          <w:tcPr>
            <w:tcW w:w="968" w:type="pct"/>
            <w:vMerge w:val="restart"/>
            <w:tcBorders>
              <w:top w:val="nil"/>
              <w:left w:val="single" w:sz="6" w:space="0" w:color="000000"/>
              <w:bottom w:val="single" w:sz="6" w:space="0" w:color="000000"/>
              <w:right w:val="single" w:sz="6" w:space="0" w:color="000000"/>
            </w:tcBorders>
            <w:hideMark/>
          </w:tcPr>
          <w:p w14:paraId="396FE81B" w14:textId="77777777" w:rsidR="00F859C7" w:rsidRPr="00F36DFC" w:rsidRDefault="00F859C7">
            <w:pPr>
              <w:widowControl/>
              <w:ind w:left="57"/>
              <w:jc w:val="center"/>
              <w:rPr>
                <w:rFonts w:ascii="Times New Roman" w:hAnsi="Times New Roman" w:cs="Times New Roman"/>
                <w:sz w:val="22"/>
              </w:rPr>
            </w:pPr>
            <w:r w:rsidRPr="00F36DFC">
              <w:rPr>
                <w:rFonts w:ascii="Times New Roman" w:hAnsi="Times New Roman" w:cs="Times New Roman"/>
                <w:sz w:val="22"/>
                <w:lang w:val="da-DK"/>
              </w:rPr>
              <w:t>-26,9 </w:t>
            </w:r>
            <w:proofErr w:type="gramStart"/>
            <w:r w:rsidRPr="00F36DFC">
              <w:rPr>
                <w:rFonts w:ascii="Times New Roman" w:hAnsi="Times New Roman" w:cs="Times New Roman"/>
                <w:sz w:val="22"/>
                <w:lang w:val="da-DK"/>
              </w:rPr>
              <w:t>% ;</w:t>
            </w:r>
            <w:proofErr w:type="gramEnd"/>
            <w:r w:rsidRPr="00F36DFC">
              <w:rPr>
                <w:rFonts w:ascii="Times New Roman" w:hAnsi="Times New Roman" w:cs="Times New Roman"/>
                <w:sz w:val="22"/>
                <w:lang w:val="da-DK"/>
              </w:rPr>
              <w:t xml:space="preserve"> 17,4 %</w:t>
            </w:r>
          </w:p>
        </w:tc>
      </w:tr>
      <w:tr w:rsidR="00F859C7" w:rsidRPr="00F36DFC" w14:paraId="7D84B45E" w14:textId="77777777" w:rsidTr="00F36DFC">
        <w:trPr>
          <w:trHeight w:val="20"/>
        </w:trPr>
        <w:tc>
          <w:tcPr>
            <w:tcW w:w="1816" w:type="pct"/>
            <w:tcBorders>
              <w:top w:val="nil"/>
              <w:left w:val="single" w:sz="6" w:space="0" w:color="000000"/>
              <w:bottom w:val="single" w:sz="6" w:space="0" w:color="000000"/>
              <w:right w:val="single" w:sz="6" w:space="0" w:color="000000"/>
            </w:tcBorders>
            <w:hideMark/>
          </w:tcPr>
          <w:p w14:paraId="3E6F6D61" w14:textId="77777777" w:rsidR="00F859C7" w:rsidRPr="00F36DFC" w:rsidRDefault="00F859C7">
            <w:pPr>
              <w:widowControl/>
              <w:ind w:left="57"/>
              <w:rPr>
                <w:rFonts w:ascii="Times New Roman" w:hAnsi="Times New Roman" w:cs="Times New Roman"/>
                <w:sz w:val="22"/>
              </w:rPr>
            </w:pPr>
            <w:r w:rsidRPr="00F36DFC">
              <w:rPr>
                <w:rFonts w:ascii="Times New Roman" w:hAnsi="Times New Roman" w:cs="Times New Roman"/>
                <w:sz w:val="22"/>
                <w:lang w:val="da-DK"/>
              </w:rPr>
              <w:t>baselineperioden</w:t>
            </w:r>
          </w:p>
        </w:tc>
        <w:tc>
          <w:tcPr>
            <w:tcW w:w="729" w:type="pct"/>
            <w:vMerge/>
            <w:tcBorders>
              <w:top w:val="nil"/>
              <w:left w:val="single" w:sz="6" w:space="0" w:color="000000"/>
              <w:bottom w:val="single" w:sz="6" w:space="0" w:color="000000"/>
              <w:right w:val="single" w:sz="6" w:space="0" w:color="000000"/>
            </w:tcBorders>
            <w:vAlign w:val="center"/>
            <w:hideMark/>
          </w:tcPr>
          <w:p w14:paraId="53C3EB4B" w14:textId="77777777" w:rsidR="00F859C7" w:rsidRPr="00F36DFC" w:rsidRDefault="00F859C7">
            <w:pPr>
              <w:rPr>
                <w:rFonts w:ascii="Times New Roman" w:eastAsia="Times New Roman" w:hAnsi="Times New Roman" w:cs="Times New Roman"/>
                <w:sz w:val="22"/>
                <w:lang w:val="en-GB" w:eastAsia="de-DE"/>
              </w:rPr>
            </w:pPr>
          </w:p>
        </w:tc>
        <w:tc>
          <w:tcPr>
            <w:tcW w:w="940" w:type="pct"/>
            <w:vMerge/>
            <w:tcBorders>
              <w:top w:val="nil"/>
              <w:left w:val="single" w:sz="6" w:space="0" w:color="000000"/>
              <w:bottom w:val="single" w:sz="6" w:space="0" w:color="000000"/>
              <w:right w:val="single" w:sz="6" w:space="0" w:color="000000"/>
            </w:tcBorders>
            <w:vAlign w:val="center"/>
            <w:hideMark/>
          </w:tcPr>
          <w:p w14:paraId="1E2679E9" w14:textId="77777777" w:rsidR="00F859C7" w:rsidRPr="00F36DFC" w:rsidRDefault="00F859C7">
            <w:pPr>
              <w:rPr>
                <w:rFonts w:ascii="Times New Roman" w:eastAsia="Times New Roman" w:hAnsi="Times New Roman" w:cs="Times New Roman"/>
                <w:sz w:val="22"/>
                <w:lang w:val="en-GB" w:eastAsia="de-DE"/>
              </w:rPr>
            </w:pPr>
          </w:p>
        </w:tc>
        <w:tc>
          <w:tcPr>
            <w:tcW w:w="547" w:type="pct"/>
            <w:vMerge/>
            <w:tcBorders>
              <w:top w:val="nil"/>
              <w:left w:val="single" w:sz="6" w:space="0" w:color="000000"/>
              <w:bottom w:val="single" w:sz="6" w:space="0" w:color="000000"/>
              <w:right w:val="single" w:sz="6" w:space="0" w:color="000000"/>
            </w:tcBorders>
            <w:vAlign w:val="center"/>
            <w:hideMark/>
          </w:tcPr>
          <w:p w14:paraId="451F9512" w14:textId="77777777" w:rsidR="00F859C7" w:rsidRPr="00F36DFC" w:rsidRDefault="00F859C7">
            <w:pPr>
              <w:rPr>
                <w:rFonts w:ascii="Times New Roman" w:eastAsia="Times New Roman" w:hAnsi="Times New Roman" w:cs="Times New Roman"/>
                <w:sz w:val="22"/>
                <w:lang w:val="en-GB" w:eastAsia="de-DE"/>
              </w:rPr>
            </w:pPr>
          </w:p>
        </w:tc>
        <w:tc>
          <w:tcPr>
            <w:tcW w:w="968" w:type="pct"/>
            <w:vMerge/>
            <w:tcBorders>
              <w:top w:val="nil"/>
              <w:left w:val="single" w:sz="6" w:space="0" w:color="000000"/>
              <w:bottom w:val="single" w:sz="6" w:space="0" w:color="000000"/>
              <w:right w:val="single" w:sz="6" w:space="0" w:color="000000"/>
            </w:tcBorders>
            <w:vAlign w:val="center"/>
            <w:hideMark/>
          </w:tcPr>
          <w:p w14:paraId="67A69A92" w14:textId="77777777" w:rsidR="00F859C7" w:rsidRPr="00F36DFC" w:rsidRDefault="00F859C7">
            <w:pPr>
              <w:rPr>
                <w:rFonts w:ascii="Times New Roman" w:eastAsia="Times New Roman" w:hAnsi="Times New Roman" w:cs="Times New Roman"/>
                <w:sz w:val="22"/>
                <w:lang w:val="en-GB" w:eastAsia="de-DE"/>
              </w:rPr>
            </w:pPr>
          </w:p>
        </w:tc>
      </w:tr>
      <w:tr w:rsidR="00F859C7" w:rsidRPr="00F36DFC" w14:paraId="78807866" w14:textId="77777777" w:rsidTr="00F36DFC">
        <w:trPr>
          <w:trHeight w:val="20"/>
        </w:trPr>
        <w:tc>
          <w:tcPr>
            <w:tcW w:w="1816" w:type="pct"/>
            <w:tcBorders>
              <w:top w:val="single" w:sz="6" w:space="0" w:color="000000"/>
              <w:left w:val="single" w:sz="6" w:space="0" w:color="000000"/>
              <w:bottom w:val="single" w:sz="6" w:space="0" w:color="000000"/>
              <w:right w:val="single" w:sz="6" w:space="0" w:color="000000"/>
            </w:tcBorders>
            <w:hideMark/>
          </w:tcPr>
          <w:p w14:paraId="6708787A" w14:textId="77777777" w:rsidR="00F859C7" w:rsidRPr="00F36DFC" w:rsidRDefault="00F859C7">
            <w:pPr>
              <w:widowControl/>
              <w:ind w:left="57"/>
              <w:rPr>
                <w:rFonts w:ascii="Times New Roman" w:hAnsi="Times New Roman" w:cs="Times New Roman"/>
                <w:b/>
                <w:sz w:val="22"/>
                <w:lang w:val="da-DK"/>
              </w:rPr>
            </w:pPr>
            <w:r w:rsidRPr="00F36DFC">
              <w:rPr>
                <w:rFonts w:ascii="Times New Roman" w:hAnsi="Times New Roman" w:cs="Times New Roman"/>
                <w:b/>
                <w:bCs/>
                <w:sz w:val="22"/>
                <w:lang w:val="da-DK"/>
              </w:rPr>
              <w:t xml:space="preserve">Undertype af anfald (6 måneders </w:t>
            </w:r>
            <w:proofErr w:type="spellStart"/>
            <w:r w:rsidRPr="00F36DFC">
              <w:rPr>
                <w:rFonts w:ascii="Times New Roman" w:hAnsi="Times New Roman" w:cs="Times New Roman"/>
                <w:b/>
                <w:bCs/>
                <w:sz w:val="22"/>
                <w:lang w:val="da-DK"/>
              </w:rPr>
              <w:t>anfaldsfri</w:t>
            </w:r>
            <w:proofErr w:type="spellEnd"/>
            <w:r w:rsidRPr="00F36DFC">
              <w:rPr>
                <w:rFonts w:ascii="Times New Roman" w:hAnsi="Times New Roman" w:cs="Times New Roman"/>
                <w:b/>
                <w:bCs/>
                <w:sz w:val="22"/>
                <w:lang w:val="da-DK"/>
              </w:rPr>
              <w:t xml:space="preserve"> PP-population)</w:t>
            </w:r>
          </w:p>
        </w:tc>
        <w:tc>
          <w:tcPr>
            <w:tcW w:w="729" w:type="pct"/>
            <w:tcBorders>
              <w:top w:val="single" w:sz="6" w:space="0" w:color="000000"/>
              <w:left w:val="single" w:sz="6" w:space="0" w:color="000000"/>
              <w:bottom w:val="single" w:sz="6" w:space="0" w:color="000000"/>
              <w:right w:val="single" w:sz="6" w:space="0" w:color="000000"/>
            </w:tcBorders>
          </w:tcPr>
          <w:p w14:paraId="4B02C3C0" w14:textId="77777777" w:rsidR="00F859C7" w:rsidRPr="00F36DFC" w:rsidRDefault="00F859C7">
            <w:pPr>
              <w:ind w:left="57"/>
              <w:jc w:val="center"/>
              <w:rPr>
                <w:rFonts w:ascii="Times New Roman" w:hAnsi="Times New Roman" w:cs="Times New Roman"/>
                <w:sz w:val="22"/>
                <w:lang w:val="da-DK"/>
              </w:rPr>
            </w:pPr>
          </w:p>
        </w:tc>
        <w:tc>
          <w:tcPr>
            <w:tcW w:w="940" w:type="pct"/>
            <w:tcBorders>
              <w:top w:val="single" w:sz="6" w:space="0" w:color="000000"/>
              <w:left w:val="single" w:sz="6" w:space="0" w:color="000000"/>
              <w:bottom w:val="single" w:sz="6" w:space="0" w:color="000000"/>
              <w:right w:val="single" w:sz="6" w:space="0" w:color="000000"/>
            </w:tcBorders>
          </w:tcPr>
          <w:p w14:paraId="441C7803" w14:textId="77777777" w:rsidR="00F859C7" w:rsidRPr="00F36DFC" w:rsidRDefault="00F859C7">
            <w:pPr>
              <w:ind w:left="57"/>
              <w:jc w:val="center"/>
              <w:rPr>
                <w:rFonts w:ascii="Times New Roman" w:hAnsi="Times New Roman" w:cs="Times New Roman"/>
                <w:sz w:val="22"/>
                <w:lang w:val="da-DK"/>
              </w:rPr>
            </w:pPr>
          </w:p>
        </w:tc>
        <w:tc>
          <w:tcPr>
            <w:tcW w:w="547" w:type="pct"/>
            <w:tcBorders>
              <w:top w:val="single" w:sz="6" w:space="0" w:color="000000"/>
              <w:left w:val="single" w:sz="6" w:space="0" w:color="000000"/>
              <w:bottom w:val="single" w:sz="6" w:space="0" w:color="000000"/>
              <w:right w:val="single" w:sz="6" w:space="0" w:color="000000"/>
            </w:tcBorders>
          </w:tcPr>
          <w:p w14:paraId="1334EE13" w14:textId="77777777" w:rsidR="00F859C7" w:rsidRPr="00F36DFC" w:rsidRDefault="00F859C7">
            <w:pPr>
              <w:ind w:left="57"/>
              <w:jc w:val="center"/>
              <w:rPr>
                <w:rFonts w:ascii="Times New Roman" w:hAnsi="Times New Roman" w:cs="Times New Roman"/>
                <w:sz w:val="22"/>
                <w:lang w:val="da-DK"/>
              </w:rPr>
            </w:pPr>
          </w:p>
        </w:tc>
        <w:tc>
          <w:tcPr>
            <w:tcW w:w="968" w:type="pct"/>
            <w:tcBorders>
              <w:top w:val="single" w:sz="6" w:space="0" w:color="000000"/>
              <w:left w:val="single" w:sz="6" w:space="0" w:color="000000"/>
              <w:bottom w:val="single" w:sz="6" w:space="0" w:color="000000"/>
              <w:right w:val="single" w:sz="6" w:space="0" w:color="000000"/>
            </w:tcBorders>
          </w:tcPr>
          <w:p w14:paraId="709E005A" w14:textId="77777777" w:rsidR="00F859C7" w:rsidRPr="00F36DFC" w:rsidRDefault="00F859C7">
            <w:pPr>
              <w:ind w:left="57"/>
              <w:jc w:val="center"/>
              <w:rPr>
                <w:rFonts w:ascii="Times New Roman" w:hAnsi="Times New Roman" w:cs="Times New Roman"/>
                <w:sz w:val="22"/>
                <w:lang w:val="da-DK"/>
              </w:rPr>
            </w:pPr>
          </w:p>
        </w:tc>
      </w:tr>
      <w:tr w:rsidR="00F859C7" w:rsidRPr="00F36DFC" w14:paraId="7AD43BA8" w14:textId="77777777" w:rsidTr="00F36DFC">
        <w:trPr>
          <w:trHeight w:val="20"/>
        </w:trPr>
        <w:tc>
          <w:tcPr>
            <w:tcW w:w="1816" w:type="pct"/>
            <w:tcBorders>
              <w:top w:val="single" w:sz="6" w:space="0" w:color="000000"/>
              <w:left w:val="single" w:sz="6" w:space="0" w:color="000000"/>
              <w:bottom w:val="nil"/>
              <w:right w:val="single" w:sz="6" w:space="0" w:color="000000"/>
            </w:tcBorders>
            <w:hideMark/>
          </w:tcPr>
          <w:p w14:paraId="7397DD0F" w14:textId="77777777" w:rsidR="00F859C7" w:rsidRPr="00F36DFC" w:rsidRDefault="00F859C7">
            <w:pPr>
              <w:widowControl/>
              <w:ind w:left="57"/>
              <w:rPr>
                <w:rFonts w:ascii="Times New Roman" w:hAnsi="Times New Roman" w:cs="Times New Roman"/>
                <w:sz w:val="22"/>
                <w:lang w:val="en-GB"/>
              </w:rPr>
            </w:pPr>
            <w:r w:rsidRPr="00F36DFC">
              <w:rPr>
                <w:rFonts w:ascii="Times New Roman" w:hAnsi="Times New Roman" w:cs="Times New Roman"/>
                <w:sz w:val="22"/>
                <w:lang w:val="da-DK"/>
              </w:rPr>
              <w:t>Alle partielle</w:t>
            </w:r>
          </w:p>
        </w:tc>
        <w:tc>
          <w:tcPr>
            <w:tcW w:w="729" w:type="pct"/>
            <w:tcBorders>
              <w:top w:val="single" w:sz="6" w:space="0" w:color="000000"/>
              <w:left w:val="single" w:sz="6" w:space="0" w:color="000000"/>
              <w:bottom w:val="nil"/>
              <w:right w:val="single" w:sz="6" w:space="0" w:color="000000"/>
            </w:tcBorders>
            <w:hideMark/>
          </w:tcPr>
          <w:p w14:paraId="240879F8" w14:textId="77777777" w:rsidR="00F859C7" w:rsidRPr="00F36DFC" w:rsidRDefault="00F859C7">
            <w:pPr>
              <w:widowControl/>
              <w:ind w:left="57"/>
              <w:jc w:val="center"/>
              <w:rPr>
                <w:rFonts w:ascii="Times New Roman" w:hAnsi="Times New Roman" w:cs="Times New Roman"/>
                <w:sz w:val="22"/>
              </w:rPr>
            </w:pPr>
            <w:r w:rsidRPr="00F36DFC">
              <w:rPr>
                <w:rFonts w:ascii="Times New Roman" w:hAnsi="Times New Roman" w:cs="Times New Roman"/>
                <w:sz w:val="22"/>
                <w:lang w:val="da-DK"/>
              </w:rPr>
              <w:t>76,4 %</w:t>
            </w:r>
          </w:p>
        </w:tc>
        <w:tc>
          <w:tcPr>
            <w:tcW w:w="940" w:type="pct"/>
            <w:tcBorders>
              <w:top w:val="single" w:sz="6" w:space="0" w:color="000000"/>
              <w:left w:val="single" w:sz="6" w:space="0" w:color="000000"/>
              <w:bottom w:val="nil"/>
              <w:right w:val="single" w:sz="6" w:space="0" w:color="000000"/>
            </w:tcBorders>
            <w:hideMark/>
          </w:tcPr>
          <w:p w14:paraId="743BD9C2" w14:textId="77777777" w:rsidR="00F859C7" w:rsidRPr="00F36DFC" w:rsidRDefault="00F859C7">
            <w:pPr>
              <w:widowControl/>
              <w:ind w:left="57"/>
              <w:jc w:val="center"/>
              <w:rPr>
                <w:rFonts w:ascii="Times New Roman" w:hAnsi="Times New Roman" w:cs="Times New Roman"/>
                <w:sz w:val="22"/>
              </w:rPr>
            </w:pPr>
            <w:r w:rsidRPr="00F36DFC">
              <w:rPr>
                <w:rFonts w:ascii="Times New Roman" w:hAnsi="Times New Roman" w:cs="Times New Roman"/>
                <w:sz w:val="22"/>
                <w:lang w:val="da-DK"/>
              </w:rPr>
              <w:t>86,0 %</w:t>
            </w:r>
          </w:p>
        </w:tc>
        <w:tc>
          <w:tcPr>
            <w:tcW w:w="547" w:type="pct"/>
            <w:tcBorders>
              <w:top w:val="single" w:sz="6" w:space="0" w:color="000000"/>
              <w:left w:val="single" w:sz="6" w:space="0" w:color="000000"/>
              <w:bottom w:val="nil"/>
              <w:right w:val="single" w:sz="6" w:space="0" w:color="000000"/>
            </w:tcBorders>
            <w:hideMark/>
          </w:tcPr>
          <w:p w14:paraId="371DF04C" w14:textId="77777777" w:rsidR="00F859C7" w:rsidRPr="00F36DFC" w:rsidRDefault="00F859C7">
            <w:pPr>
              <w:widowControl/>
              <w:ind w:left="57"/>
              <w:jc w:val="center"/>
              <w:rPr>
                <w:rFonts w:ascii="Times New Roman" w:hAnsi="Times New Roman" w:cs="Times New Roman"/>
                <w:sz w:val="22"/>
              </w:rPr>
            </w:pPr>
            <w:r w:rsidRPr="00F36DFC">
              <w:rPr>
                <w:rFonts w:ascii="Times New Roman" w:hAnsi="Times New Roman" w:cs="Times New Roman"/>
                <w:sz w:val="22"/>
                <w:lang w:val="da-DK"/>
              </w:rPr>
              <w:t>-9,6 %</w:t>
            </w:r>
          </w:p>
        </w:tc>
        <w:tc>
          <w:tcPr>
            <w:tcW w:w="968" w:type="pct"/>
            <w:tcBorders>
              <w:top w:val="single" w:sz="6" w:space="0" w:color="000000"/>
              <w:left w:val="single" w:sz="6" w:space="0" w:color="000000"/>
              <w:bottom w:val="nil"/>
              <w:right w:val="single" w:sz="6" w:space="0" w:color="000000"/>
            </w:tcBorders>
            <w:hideMark/>
          </w:tcPr>
          <w:p w14:paraId="1298612A" w14:textId="77777777" w:rsidR="00F859C7" w:rsidRPr="00F36DFC" w:rsidRDefault="00F859C7">
            <w:pPr>
              <w:widowControl/>
              <w:ind w:left="57"/>
              <w:jc w:val="center"/>
              <w:rPr>
                <w:rFonts w:ascii="Times New Roman" w:hAnsi="Times New Roman" w:cs="Times New Roman"/>
                <w:sz w:val="22"/>
              </w:rPr>
            </w:pPr>
            <w:r w:rsidRPr="00F36DFC">
              <w:rPr>
                <w:rFonts w:ascii="Times New Roman" w:hAnsi="Times New Roman" w:cs="Times New Roman"/>
                <w:sz w:val="22"/>
                <w:lang w:val="da-DK"/>
              </w:rPr>
              <w:t>-19,2 </w:t>
            </w:r>
            <w:proofErr w:type="gramStart"/>
            <w:r w:rsidRPr="00F36DFC">
              <w:rPr>
                <w:rFonts w:ascii="Times New Roman" w:hAnsi="Times New Roman" w:cs="Times New Roman"/>
                <w:sz w:val="22"/>
                <w:lang w:val="da-DK"/>
              </w:rPr>
              <w:t>% ;</w:t>
            </w:r>
            <w:proofErr w:type="gramEnd"/>
            <w:r w:rsidRPr="00F36DFC">
              <w:rPr>
                <w:rFonts w:ascii="Times New Roman" w:hAnsi="Times New Roman" w:cs="Times New Roman"/>
                <w:sz w:val="22"/>
                <w:lang w:val="da-DK"/>
              </w:rPr>
              <w:t xml:space="preserve"> 0,0 %</w:t>
            </w:r>
          </w:p>
        </w:tc>
      </w:tr>
      <w:tr w:rsidR="00F859C7" w:rsidRPr="00F36DFC" w14:paraId="7F4DB4D1" w14:textId="77777777" w:rsidTr="00F36DFC">
        <w:trPr>
          <w:trHeight w:val="20"/>
        </w:trPr>
        <w:tc>
          <w:tcPr>
            <w:tcW w:w="1816" w:type="pct"/>
            <w:tcBorders>
              <w:top w:val="nil"/>
              <w:left w:val="single" w:sz="6" w:space="0" w:color="000000"/>
              <w:bottom w:val="nil"/>
              <w:right w:val="single" w:sz="6" w:space="0" w:color="000000"/>
            </w:tcBorders>
            <w:hideMark/>
          </w:tcPr>
          <w:p w14:paraId="3B018D19" w14:textId="77777777" w:rsidR="00F859C7" w:rsidRPr="00F36DFC" w:rsidRDefault="00F859C7">
            <w:pPr>
              <w:widowControl/>
              <w:ind w:left="57"/>
              <w:rPr>
                <w:rFonts w:ascii="Times New Roman" w:hAnsi="Times New Roman" w:cs="Times New Roman"/>
                <w:sz w:val="22"/>
              </w:rPr>
            </w:pPr>
            <w:r w:rsidRPr="00F36DFC">
              <w:rPr>
                <w:rFonts w:ascii="Times New Roman" w:hAnsi="Times New Roman" w:cs="Times New Roman"/>
                <w:sz w:val="22"/>
                <w:lang w:val="da-DK"/>
              </w:rPr>
              <w:t>Simple partielle</w:t>
            </w:r>
          </w:p>
        </w:tc>
        <w:tc>
          <w:tcPr>
            <w:tcW w:w="729" w:type="pct"/>
            <w:tcBorders>
              <w:top w:val="nil"/>
              <w:left w:val="single" w:sz="6" w:space="0" w:color="000000"/>
              <w:bottom w:val="nil"/>
              <w:right w:val="single" w:sz="6" w:space="0" w:color="000000"/>
            </w:tcBorders>
            <w:hideMark/>
          </w:tcPr>
          <w:p w14:paraId="458ED5AB" w14:textId="77777777" w:rsidR="00F859C7" w:rsidRPr="00F36DFC" w:rsidRDefault="00F859C7">
            <w:pPr>
              <w:widowControl/>
              <w:ind w:left="57"/>
              <w:jc w:val="center"/>
              <w:rPr>
                <w:rFonts w:ascii="Times New Roman" w:hAnsi="Times New Roman" w:cs="Times New Roman"/>
                <w:sz w:val="22"/>
              </w:rPr>
            </w:pPr>
            <w:r w:rsidRPr="00F36DFC">
              <w:rPr>
                <w:rFonts w:ascii="Times New Roman" w:hAnsi="Times New Roman" w:cs="Times New Roman"/>
                <w:sz w:val="22"/>
                <w:lang w:val="da-DK"/>
              </w:rPr>
              <w:t>72,3 %</w:t>
            </w:r>
          </w:p>
        </w:tc>
        <w:tc>
          <w:tcPr>
            <w:tcW w:w="940" w:type="pct"/>
            <w:tcBorders>
              <w:top w:val="nil"/>
              <w:left w:val="single" w:sz="6" w:space="0" w:color="000000"/>
              <w:bottom w:val="nil"/>
              <w:right w:val="single" w:sz="6" w:space="0" w:color="000000"/>
            </w:tcBorders>
            <w:hideMark/>
          </w:tcPr>
          <w:p w14:paraId="13A7D5F1" w14:textId="77777777" w:rsidR="00F859C7" w:rsidRPr="00F36DFC" w:rsidRDefault="00F859C7">
            <w:pPr>
              <w:widowControl/>
              <w:ind w:left="57"/>
              <w:jc w:val="center"/>
              <w:rPr>
                <w:rFonts w:ascii="Times New Roman" w:hAnsi="Times New Roman" w:cs="Times New Roman"/>
                <w:sz w:val="22"/>
              </w:rPr>
            </w:pPr>
            <w:r w:rsidRPr="00F36DFC">
              <w:rPr>
                <w:rFonts w:ascii="Times New Roman" w:hAnsi="Times New Roman" w:cs="Times New Roman"/>
                <w:sz w:val="22"/>
                <w:lang w:val="da-DK"/>
              </w:rPr>
              <w:t>75,0 %</w:t>
            </w:r>
          </w:p>
        </w:tc>
        <w:tc>
          <w:tcPr>
            <w:tcW w:w="547" w:type="pct"/>
            <w:tcBorders>
              <w:top w:val="nil"/>
              <w:left w:val="single" w:sz="6" w:space="0" w:color="000000"/>
              <w:bottom w:val="nil"/>
              <w:right w:val="single" w:sz="6" w:space="0" w:color="000000"/>
            </w:tcBorders>
            <w:hideMark/>
          </w:tcPr>
          <w:p w14:paraId="28C749B5" w14:textId="77777777" w:rsidR="00F859C7" w:rsidRPr="00F36DFC" w:rsidRDefault="00F859C7">
            <w:pPr>
              <w:widowControl/>
              <w:ind w:left="57"/>
              <w:jc w:val="center"/>
              <w:rPr>
                <w:rFonts w:ascii="Times New Roman" w:hAnsi="Times New Roman" w:cs="Times New Roman"/>
                <w:sz w:val="22"/>
              </w:rPr>
            </w:pPr>
            <w:r w:rsidRPr="00F36DFC">
              <w:rPr>
                <w:rFonts w:ascii="Times New Roman" w:hAnsi="Times New Roman" w:cs="Times New Roman"/>
                <w:sz w:val="22"/>
                <w:lang w:val="da-DK"/>
              </w:rPr>
              <w:t>-2,7 %</w:t>
            </w:r>
          </w:p>
        </w:tc>
        <w:tc>
          <w:tcPr>
            <w:tcW w:w="968" w:type="pct"/>
            <w:tcBorders>
              <w:top w:val="nil"/>
              <w:left w:val="single" w:sz="6" w:space="0" w:color="000000"/>
              <w:bottom w:val="nil"/>
              <w:right w:val="single" w:sz="6" w:space="0" w:color="000000"/>
            </w:tcBorders>
            <w:hideMark/>
          </w:tcPr>
          <w:p w14:paraId="00635F5A" w14:textId="77777777" w:rsidR="00F859C7" w:rsidRPr="00F36DFC" w:rsidRDefault="00F859C7">
            <w:pPr>
              <w:widowControl/>
              <w:ind w:left="57"/>
              <w:jc w:val="center"/>
              <w:rPr>
                <w:rFonts w:ascii="Times New Roman" w:hAnsi="Times New Roman" w:cs="Times New Roman"/>
                <w:sz w:val="22"/>
              </w:rPr>
            </w:pPr>
            <w:r w:rsidRPr="00F36DFC">
              <w:rPr>
                <w:rFonts w:ascii="Times New Roman" w:hAnsi="Times New Roman" w:cs="Times New Roman"/>
                <w:sz w:val="22"/>
                <w:lang w:val="da-DK"/>
              </w:rPr>
              <w:t>-20,0 </w:t>
            </w:r>
            <w:proofErr w:type="gramStart"/>
            <w:r w:rsidRPr="00F36DFC">
              <w:rPr>
                <w:rFonts w:ascii="Times New Roman" w:hAnsi="Times New Roman" w:cs="Times New Roman"/>
                <w:sz w:val="22"/>
                <w:lang w:val="da-DK"/>
              </w:rPr>
              <w:t>% ;</w:t>
            </w:r>
            <w:proofErr w:type="gramEnd"/>
            <w:r w:rsidRPr="00F36DFC">
              <w:rPr>
                <w:rFonts w:ascii="Times New Roman" w:hAnsi="Times New Roman" w:cs="Times New Roman"/>
                <w:sz w:val="22"/>
                <w:lang w:val="da-DK"/>
              </w:rPr>
              <w:t xml:space="preserve"> 14,7 %</w:t>
            </w:r>
          </w:p>
        </w:tc>
      </w:tr>
      <w:tr w:rsidR="00F859C7" w:rsidRPr="00F36DFC" w14:paraId="6E4351C9" w14:textId="77777777" w:rsidTr="00F36DFC">
        <w:trPr>
          <w:trHeight w:val="20"/>
        </w:trPr>
        <w:tc>
          <w:tcPr>
            <w:tcW w:w="1816" w:type="pct"/>
            <w:tcBorders>
              <w:top w:val="nil"/>
              <w:left w:val="single" w:sz="6" w:space="0" w:color="000000"/>
              <w:bottom w:val="nil"/>
              <w:right w:val="single" w:sz="6" w:space="0" w:color="000000"/>
            </w:tcBorders>
            <w:hideMark/>
          </w:tcPr>
          <w:p w14:paraId="631EADD0" w14:textId="77777777" w:rsidR="00F859C7" w:rsidRPr="00F36DFC" w:rsidRDefault="00F859C7">
            <w:pPr>
              <w:widowControl/>
              <w:ind w:left="57"/>
              <w:rPr>
                <w:rFonts w:ascii="Times New Roman" w:hAnsi="Times New Roman" w:cs="Times New Roman"/>
                <w:sz w:val="22"/>
              </w:rPr>
            </w:pPr>
            <w:r w:rsidRPr="00F36DFC">
              <w:rPr>
                <w:rFonts w:ascii="Times New Roman" w:hAnsi="Times New Roman" w:cs="Times New Roman"/>
                <w:sz w:val="22"/>
                <w:lang w:val="da-DK"/>
              </w:rPr>
              <w:t>Komplekse partielle</w:t>
            </w:r>
          </w:p>
        </w:tc>
        <w:tc>
          <w:tcPr>
            <w:tcW w:w="729" w:type="pct"/>
            <w:tcBorders>
              <w:top w:val="nil"/>
              <w:left w:val="single" w:sz="6" w:space="0" w:color="000000"/>
              <w:bottom w:val="nil"/>
              <w:right w:val="single" w:sz="6" w:space="0" w:color="000000"/>
            </w:tcBorders>
            <w:hideMark/>
          </w:tcPr>
          <w:p w14:paraId="2AFEDE67" w14:textId="77777777" w:rsidR="00F859C7" w:rsidRPr="00F36DFC" w:rsidRDefault="00F859C7">
            <w:pPr>
              <w:widowControl/>
              <w:ind w:left="57"/>
              <w:jc w:val="center"/>
              <w:rPr>
                <w:rFonts w:ascii="Times New Roman" w:hAnsi="Times New Roman" w:cs="Times New Roman"/>
                <w:sz w:val="22"/>
              </w:rPr>
            </w:pPr>
            <w:r w:rsidRPr="00F36DFC">
              <w:rPr>
                <w:rFonts w:ascii="Times New Roman" w:hAnsi="Times New Roman" w:cs="Times New Roman"/>
                <w:sz w:val="22"/>
                <w:lang w:val="da-DK"/>
              </w:rPr>
              <w:t>76,9 %</w:t>
            </w:r>
          </w:p>
        </w:tc>
        <w:tc>
          <w:tcPr>
            <w:tcW w:w="940" w:type="pct"/>
            <w:tcBorders>
              <w:top w:val="nil"/>
              <w:left w:val="single" w:sz="6" w:space="0" w:color="000000"/>
              <w:bottom w:val="nil"/>
              <w:right w:val="single" w:sz="6" w:space="0" w:color="000000"/>
            </w:tcBorders>
            <w:hideMark/>
          </w:tcPr>
          <w:p w14:paraId="0EA6E718" w14:textId="77777777" w:rsidR="00F859C7" w:rsidRPr="00F36DFC" w:rsidRDefault="00F859C7">
            <w:pPr>
              <w:widowControl/>
              <w:ind w:left="57"/>
              <w:jc w:val="center"/>
              <w:rPr>
                <w:rFonts w:ascii="Times New Roman" w:hAnsi="Times New Roman" w:cs="Times New Roman"/>
                <w:sz w:val="22"/>
              </w:rPr>
            </w:pPr>
            <w:r w:rsidRPr="00F36DFC">
              <w:rPr>
                <w:rFonts w:ascii="Times New Roman" w:hAnsi="Times New Roman" w:cs="Times New Roman"/>
                <w:sz w:val="22"/>
                <w:lang w:val="da-DK"/>
              </w:rPr>
              <w:t>93,0 %</w:t>
            </w:r>
          </w:p>
        </w:tc>
        <w:tc>
          <w:tcPr>
            <w:tcW w:w="547" w:type="pct"/>
            <w:tcBorders>
              <w:top w:val="nil"/>
              <w:left w:val="single" w:sz="6" w:space="0" w:color="000000"/>
              <w:bottom w:val="nil"/>
              <w:right w:val="single" w:sz="6" w:space="0" w:color="000000"/>
            </w:tcBorders>
            <w:hideMark/>
          </w:tcPr>
          <w:p w14:paraId="33FC36BF" w14:textId="77777777" w:rsidR="00F859C7" w:rsidRPr="00F36DFC" w:rsidRDefault="00F859C7">
            <w:pPr>
              <w:widowControl/>
              <w:ind w:left="57"/>
              <w:jc w:val="center"/>
              <w:rPr>
                <w:rFonts w:ascii="Times New Roman" w:hAnsi="Times New Roman" w:cs="Times New Roman"/>
                <w:sz w:val="22"/>
              </w:rPr>
            </w:pPr>
            <w:r w:rsidRPr="00F36DFC">
              <w:rPr>
                <w:rFonts w:ascii="Times New Roman" w:hAnsi="Times New Roman" w:cs="Times New Roman"/>
                <w:sz w:val="22"/>
                <w:lang w:val="da-DK"/>
              </w:rPr>
              <w:t>-16,1 %</w:t>
            </w:r>
          </w:p>
        </w:tc>
        <w:tc>
          <w:tcPr>
            <w:tcW w:w="968" w:type="pct"/>
            <w:tcBorders>
              <w:top w:val="nil"/>
              <w:left w:val="single" w:sz="6" w:space="0" w:color="000000"/>
              <w:bottom w:val="nil"/>
              <w:right w:val="single" w:sz="6" w:space="0" w:color="000000"/>
            </w:tcBorders>
            <w:hideMark/>
          </w:tcPr>
          <w:p w14:paraId="6DCD0B9C" w14:textId="77777777" w:rsidR="00F859C7" w:rsidRPr="00F36DFC" w:rsidRDefault="00F859C7">
            <w:pPr>
              <w:widowControl/>
              <w:ind w:left="57"/>
              <w:jc w:val="center"/>
              <w:rPr>
                <w:rFonts w:ascii="Times New Roman" w:hAnsi="Times New Roman" w:cs="Times New Roman"/>
                <w:sz w:val="22"/>
              </w:rPr>
            </w:pPr>
            <w:r w:rsidRPr="00F36DFC">
              <w:rPr>
                <w:rFonts w:ascii="Times New Roman" w:hAnsi="Times New Roman" w:cs="Times New Roman"/>
                <w:sz w:val="22"/>
                <w:lang w:val="da-DK"/>
              </w:rPr>
              <w:t>-26,3 </w:t>
            </w:r>
            <w:proofErr w:type="gramStart"/>
            <w:r w:rsidRPr="00F36DFC">
              <w:rPr>
                <w:rFonts w:ascii="Times New Roman" w:hAnsi="Times New Roman" w:cs="Times New Roman"/>
                <w:sz w:val="22"/>
                <w:lang w:val="da-DK"/>
              </w:rPr>
              <w:t>% ;</w:t>
            </w:r>
            <w:proofErr w:type="gramEnd"/>
            <w:r w:rsidRPr="00F36DFC">
              <w:rPr>
                <w:rFonts w:ascii="Times New Roman" w:hAnsi="Times New Roman" w:cs="Times New Roman"/>
                <w:sz w:val="22"/>
                <w:lang w:val="da-DK"/>
              </w:rPr>
              <w:t xml:space="preserve"> -5,9 %</w:t>
            </w:r>
          </w:p>
        </w:tc>
      </w:tr>
      <w:tr w:rsidR="00F859C7" w:rsidRPr="00F36DFC" w14:paraId="6977625B" w14:textId="77777777" w:rsidTr="00F36DFC">
        <w:trPr>
          <w:trHeight w:val="20"/>
        </w:trPr>
        <w:tc>
          <w:tcPr>
            <w:tcW w:w="1816" w:type="pct"/>
            <w:tcBorders>
              <w:top w:val="nil"/>
              <w:left w:val="single" w:sz="6" w:space="0" w:color="000000"/>
              <w:bottom w:val="nil"/>
              <w:right w:val="single" w:sz="6" w:space="0" w:color="000000"/>
            </w:tcBorders>
            <w:hideMark/>
          </w:tcPr>
          <w:p w14:paraId="27A57E70" w14:textId="77777777" w:rsidR="00F859C7" w:rsidRPr="00F36DFC" w:rsidRDefault="00F859C7">
            <w:pPr>
              <w:widowControl/>
              <w:ind w:left="57"/>
              <w:rPr>
                <w:rFonts w:ascii="Times New Roman" w:hAnsi="Times New Roman" w:cs="Times New Roman"/>
                <w:sz w:val="22"/>
              </w:rPr>
            </w:pPr>
            <w:r w:rsidRPr="00F36DFC">
              <w:rPr>
                <w:rFonts w:ascii="Times New Roman" w:hAnsi="Times New Roman" w:cs="Times New Roman"/>
                <w:sz w:val="22"/>
                <w:lang w:val="da-DK"/>
              </w:rPr>
              <w:t>Alle generaliserede tonisk-kloniske</w:t>
            </w:r>
          </w:p>
        </w:tc>
        <w:tc>
          <w:tcPr>
            <w:tcW w:w="729" w:type="pct"/>
            <w:tcBorders>
              <w:top w:val="nil"/>
              <w:left w:val="single" w:sz="6" w:space="0" w:color="000000"/>
              <w:bottom w:val="nil"/>
              <w:right w:val="single" w:sz="6" w:space="0" w:color="000000"/>
            </w:tcBorders>
            <w:hideMark/>
          </w:tcPr>
          <w:p w14:paraId="12F05041" w14:textId="77777777" w:rsidR="00F859C7" w:rsidRPr="00F36DFC" w:rsidRDefault="00F859C7">
            <w:pPr>
              <w:widowControl/>
              <w:ind w:left="57"/>
              <w:jc w:val="center"/>
              <w:rPr>
                <w:rFonts w:ascii="Times New Roman" w:hAnsi="Times New Roman" w:cs="Times New Roman"/>
                <w:sz w:val="22"/>
              </w:rPr>
            </w:pPr>
            <w:r w:rsidRPr="00F36DFC">
              <w:rPr>
                <w:rFonts w:ascii="Times New Roman" w:hAnsi="Times New Roman" w:cs="Times New Roman"/>
                <w:sz w:val="22"/>
                <w:lang w:val="da-DK"/>
              </w:rPr>
              <w:t>78,9 %</w:t>
            </w:r>
          </w:p>
        </w:tc>
        <w:tc>
          <w:tcPr>
            <w:tcW w:w="940" w:type="pct"/>
            <w:tcBorders>
              <w:top w:val="nil"/>
              <w:left w:val="single" w:sz="6" w:space="0" w:color="000000"/>
              <w:bottom w:val="nil"/>
              <w:right w:val="single" w:sz="6" w:space="0" w:color="000000"/>
            </w:tcBorders>
            <w:hideMark/>
          </w:tcPr>
          <w:p w14:paraId="28437E9E" w14:textId="77777777" w:rsidR="00F859C7" w:rsidRPr="00F36DFC" w:rsidRDefault="00F859C7">
            <w:pPr>
              <w:widowControl/>
              <w:ind w:left="57"/>
              <w:jc w:val="center"/>
              <w:rPr>
                <w:rFonts w:ascii="Times New Roman" w:hAnsi="Times New Roman" w:cs="Times New Roman"/>
                <w:sz w:val="22"/>
              </w:rPr>
            </w:pPr>
            <w:r w:rsidRPr="00F36DFC">
              <w:rPr>
                <w:rFonts w:ascii="Times New Roman" w:hAnsi="Times New Roman" w:cs="Times New Roman"/>
                <w:sz w:val="22"/>
                <w:lang w:val="da-DK"/>
              </w:rPr>
              <w:t>81,6 %</w:t>
            </w:r>
          </w:p>
        </w:tc>
        <w:tc>
          <w:tcPr>
            <w:tcW w:w="547" w:type="pct"/>
            <w:tcBorders>
              <w:top w:val="nil"/>
              <w:left w:val="single" w:sz="6" w:space="0" w:color="000000"/>
              <w:bottom w:val="nil"/>
              <w:right w:val="single" w:sz="6" w:space="0" w:color="000000"/>
            </w:tcBorders>
            <w:hideMark/>
          </w:tcPr>
          <w:p w14:paraId="405D454C" w14:textId="77777777" w:rsidR="00F859C7" w:rsidRPr="00F36DFC" w:rsidRDefault="00F859C7">
            <w:pPr>
              <w:widowControl/>
              <w:ind w:left="57"/>
              <w:jc w:val="center"/>
              <w:rPr>
                <w:rFonts w:ascii="Times New Roman" w:hAnsi="Times New Roman" w:cs="Times New Roman"/>
                <w:sz w:val="22"/>
              </w:rPr>
            </w:pPr>
            <w:r w:rsidRPr="00F36DFC">
              <w:rPr>
                <w:rFonts w:ascii="Times New Roman" w:hAnsi="Times New Roman" w:cs="Times New Roman"/>
                <w:sz w:val="22"/>
                <w:lang w:val="da-DK"/>
              </w:rPr>
              <w:t>-2,8 %</w:t>
            </w:r>
          </w:p>
        </w:tc>
        <w:tc>
          <w:tcPr>
            <w:tcW w:w="968" w:type="pct"/>
            <w:tcBorders>
              <w:top w:val="nil"/>
              <w:left w:val="single" w:sz="6" w:space="0" w:color="000000"/>
              <w:bottom w:val="nil"/>
              <w:right w:val="single" w:sz="6" w:space="0" w:color="000000"/>
            </w:tcBorders>
            <w:hideMark/>
          </w:tcPr>
          <w:p w14:paraId="55383C8A" w14:textId="77777777" w:rsidR="00F859C7" w:rsidRPr="00F36DFC" w:rsidRDefault="00F859C7">
            <w:pPr>
              <w:widowControl/>
              <w:ind w:left="57"/>
              <w:jc w:val="center"/>
              <w:rPr>
                <w:rFonts w:ascii="Times New Roman" w:hAnsi="Times New Roman" w:cs="Times New Roman"/>
                <w:sz w:val="22"/>
              </w:rPr>
            </w:pPr>
            <w:r w:rsidRPr="00F36DFC">
              <w:rPr>
                <w:rFonts w:ascii="Times New Roman" w:hAnsi="Times New Roman" w:cs="Times New Roman"/>
                <w:sz w:val="22"/>
                <w:lang w:val="da-DK"/>
              </w:rPr>
              <w:t>-11,5 </w:t>
            </w:r>
            <w:proofErr w:type="gramStart"/>
            <w:r w:rsidRPr="00F36DFC">
              <w:rPr>
                <w:rFonts w:ascii="Times New Roman" w:hAnsi="Times New Roman" w:cs="Times New Roman"/>
                <w:sz w:val="22"/>
                <w:lang w:val="da-DK"/>
              </w:rPr>
              <w:t>% ;</w:t>
            </w:r>
            <w:proofErr w:type="gramEnd"/>
            <w:r w:rsidRPr="00F36DFC">
              <w:rPr>
                <w:rFonts w:ascii="Times New Roman" w:hAnsi="Times New Roman" w:cs="Times New Roman"/>
                <w:sz w:val="22"/>
                <w:lang w:val="da-DK"/>
              </w:rPr>
              <w:t xml:space="preserve"> 6,0 %</w:t>
            </w:r>
          </w:p>
        </w:tc>
      </w:tr>
      <w:tr w:rsidR="00F859C7" w:rsidRPr="00F36DFC" w14:paraId="48A48917" w14:textId="77777777" w:rsidTr="00F36DFC">
        <w:trPr>
          <w:trHeight w:val="20"/>
        </w:trPr>
        <w:tc>
          <w:tcPr>
            <w:tcW w:w="1816" w:type="pct"/>
            <w:tcBorders>
              <w:top w:val="nil"/>
              <w:left w:val="single" w:sz="6" w:space="0" w:color="000000"/>
              <w:bottom w:val="nil"/>
              <w:right w:val="single" w:sz="6" w:space="0" w:color="000000"/>
            </w:tcBorders>
            <w:hideMark/>
          </w:tcPr>
          <w:p w14:paraId="2405304D" w14:textId="77777777" w:rsidR="00F859C7" w:rsidRPr="00F36DFC" w:rsidRDefault="00F859C7">
            <w:pPr>
              <w:widowControl/>
              <w:ind w:left="57"/>
              <w:rPr>
                <w:rFonts w:ascii="Times New Roman" w:hAnsi="Times New Roman" w:cs="Times New Roman"/>
                <w:sz w:val="22"/>
              </w:rPr>
            </w:pPr>
            <w:r w:rsidRPr="00F36DFC">
              <w:rPr>
                <w:rFonts w:ascii="Times New Roman" w:hAnsi="Times New Roman" w:cs="Times New Roman"/>
                <w:sz w:val="22"/>
                <w:lang w:val="da-DK"/>
              </w:rPr>
              <w:t>Sekundære tonisk-kloniske</w:t>
            </w:r>
          </w:p>
        </w:tc>
        <w:tc>
          <w:tcPr>
            <w:tcW w:w="729" w:type="pct"/>
            <w:tcBorders>
              <w:top w:val="nil"/>
              <w:left w:val="single" w:sz="6" w:space="0" w:color="000000"/>
              <w:bottom w:val="nil"/>
              <w:right w:val="single" w:sz="6" w:space="0" w:color="000000"/>
            </w:tcBorders>
            <w:hideMark/>
          </w:tcPr>
          <w:p w14:paraId="761ABB62" w14:textId="77777777" w:rsidR="00F859C7" w:rsidRPr="00F36DFC" w:rsidRDefault="00F859C7">
            <w:pPr>
              <w:widowControl/>
              <w:ind w:left="57"/>
              <w:jc w:val="center"/>
              <w:rPr>
                <w:rFonts w:ascii="Times New Roman" w:hAnsi="Times New Roman" w:cs="Times New Roman"/>
                <w:sz w:val="22"/>
              </w:rPr>
            </w:pPr>
            <w:r w:rsidRPr="00F36DFC">
              <w:rPr>
                <w:rFonts w:ascii="Times New Roman" w:hAnsi="Times New Roman" w:cs="Times New Roman"/>
                <w:sz w:val="22"/>
                <w:lang w:val="da-DK"/>
              </w:rPr>
              <w:t>77,4 %</w:t>
            </w:r>
          </w:p>
        </w:tc>
        <w:tc>
          <w:tcPr>
            <w:tcW w:w="940" w:type="pct"/>
            <w:tcBorders>
              <w:top w:val="nil"/>
              <w:left w:val="single" w:sz="6" w:space="0" w:color="000000"/>
              <w:bottom w:val="nil"/>
              <w:right w:val="single" w:sz="6" w:space="0" w:color="000000"/>
            </w:tcBorders>
            <w:hideMark/>
          </w:tcPr>
          <w:p w14:paraId="7A938E64" w14:textId="77777777" w:rsidR="00F859C7" w:rsidRPr="00F36DFC" w:rsidRDefault="00F859C7">
            <w:pPr>
              <w:widowControl/>
              <w:ind w:left="57"/>
              <w:jc w:val="center"/>
              <w:rPr>
                <w:rFonts w:ascii="Times New Roman" w:hAnsi="Times New Roman" w:cs="Times New Roman"/>
                <w:sz w:val="22"/>
              </w:rPr>
            </w:pPr>
            <w:r w:rsidRPr="00F36DFC">
              <w:rPr>
                <w:rFonts w:ascii="Times New Roman" w:hAnsi="Times New Roman" w:cs="Times New Roman"/>
                <w:sz w:val="22"/>
                <w:lang w:val="da-DK"/>
              </w:rPr>
              <w:t>80,0 %</w:t>
            </w:r>
          </w:p>
        </w:tc>
        <w:tc>
          <w:tcPr>
            <w:tcW w:w="547" w:type="pct"/>
            <w:tcBorders>
              <w:top w:val="nil"/>
              <w:left w:val="single" w:sz="6" w:space="0" w:color="000000"/>
              <w:bottom w:val="nil"/>
              <w:right w:val="single" w:sz="6" w:space="0" w:color="000000"/>
            </w:tcBorders>
            <w:hideMark/>
          </w:tcPr>
          <w:p w14:paraId="09CA92D5" w14:textId="77777777" w:rsidR="00F859C7" w:rsidRPr="00F36DFC" w:rsidRDefault="00F859C7">
            <w:pPr>
              <w:widowControl/>
              <w:ind w:left="57"/>
              <w:jc w:val="center"/>
              <w:rPr>
                <w:rFonts w:ascii="Times New Roman" w:hAnsi="Times New Roman" w:cs="Times New Roman"/>
                <w:sz w:val="22"/>
              </w:rPr>
            </w:pPr>
            <w:r w:rsidRPr="00F36DFC">
              <w:rPr>
                <w:rFonts w:ascii="Times New Roman" w:hAnsi="Times New Roman" w:cs="Times New Roman"/>
                <w:sz w:val="22"/>
                <w:lang w:val="da-DK"/>
              </w:rPr>
              <w:t>-2,6 %</w:t>
            </w:r>
          </w:p>
        </w:tc>
        <w:tc>
          <w:tcPr>
            <w:tcW w:w="968" w:type="pct"/>
            <w:tcBorders>
              <w:top w:val="nil"/>
              <w:left w:val="single" w:sz="6" w:space="0" w:color="000000"/>
              <w:bottom w:val="nil"/>
              <w:right w:val="single" w:sz="6" w:space="0" w:color="000000"/>
            </w:tcBorders>
            <w:hideMark/>
          </w:tcPr>
          <w:p w14:paraId="3B6FBCA3" w14:textId="77777777" w:rsidR="00F859C7" w:rsidRPr="00F36DFC" w:rsidRDefault="00F859C7">
            <w:pPr>
              <w:widowControl/>
              <w:ind w:left="57"/>
              <w:jc w:val="center"/>
              <w:rPr>
                <w:rFonts w:ascii="Times New Roman" w:hAnsi="Times New Roman" w:cs="Times New Roman"/>
                <w:sz w:val="22"/>
              </w:rPr>
            </w:pPr>
            <w:r w:rsidRPr="00F36DFC">
              <w:rPr>
                <w:rFonts w:ascii="Times New Roman" w:hAnsi="Times New Roman" w:cs="Times New Roman"/>
                <w:sz w:val="22"/>
                <w:lang w:val="da-DK"/>
              </w:rPr>
              <w:t>-12,4 </w:t>
            </w:r>
            <w:proofErr w:type="gramStart"/>
            <w:r w:rsidRPr="00F36DFC">
              <w:rPr>
                <w:rFonts w:ascii="Times New Roman" w:hAnsi="Times New Roman" w:cs="Times New Roman"/>
                <w:sz w:val="22"/>
                <w:lang w:val="da-DK"/>
              </w:rPr>
              <w:t>% ;</w:t>
            </w:r>
            <w:proofErr w:type="gramEnd"/>
            <w:r w:rsidRPr="00F36DFC">
              <w:rPr>
                <w:rFonts w:ascii="Times New Roman" w:hAnsi="Times New Roman" w:cs="Times New Roman"/>
                <w:sz w:val="22"/>
                <w:lang w:val="da-DK"/>
              </w:rPr>
              <w:t xml:space="preserve"> 7,1 %</w:t>
            </w:r>
          </w:p>
        </w:tc>
      </w:tr>
      <w:tr w:rsidR="00F859C7" w:rsidRPr="00F36DFC" w14:paraId="17E4AFE4" w14:textId="77777777" w:rsidTr="00F36DFC">
        <w:trPr>
          <w:trHeight w:val="20"/>
        </w:trPr>
        <w:tc>
          <w:tcPr>
            <w:tcW w:w="1816" w:type="pct"/>
            <w:tcBorders>
              <w:top w:val="nil"/>
              <w:left w:val="single" w:sz="6" w:space="0" w:color="000000"/>
              <w:bottom w:val="single" w:sz="6" w:space="0" w:color="000000"/>
              <w:right w:val="single" w:sz="6" w:space="0" w:color="000000"/>
            </w:tcBorders>
            <w:hideMark/>
          </w:tcPr>
          <w:p w14:paraId="6B2C02F5" w14:textId="77777777" w:rsidR="00F859C7" w:rsidRPr="00F36DFC" w:rsidRDefault="00F859C7">
            <w:pPr>
              <w:widowControl/>
              <w:ind w:left="57"/>
              <w:rPr>
                <w:rFonts w:ascii="Times New Roman" w:hAnsi="Times New Roman" w:cs="Times New Roman"/>
                <w:sz w:val="22"/>
              </w:rPr>
            </w:pPr>
            <w:r w:rsidRPr="00F36DFC">
              <w:rPr>
                <w:rFonts w:ascii="Times New Roman" w:hAnsi="Times New Roman" w:cs="Times New Roman"/>
                <w:sz w:val="22"/>
                <w:lang w:val="da-DK"/>
              </w:rPr>
              <w:t>Generaliserede tonisk-kloniske</w:t>
            </w:r>
          </w:p>
        </w:tc>
        <w:tc>
          <w:tcPr>
            <w:tcW w:w="729" w:type="pct"/>
            <w:tcBorders>
              <w:top w:val="nil"/>
              <w:left w:val="single" w:sz="6" w:space="0" w:color="000000"/>
              <w:bottom w:val="single" w:sz="6" w:space="0" w:color="000000"/>
              <w:right w:val="single" w:sz="6" w:space="0" w:color="000000"/>
            </w:tcBorders>
            <w:hideMark/>
          </w:tcPr>
          <w:p w14:paraId="127A5569" w14:textId="77777777" w:rsidR="00F859C7" w:rsidRPr="00F36DFC" w:rsidRDefault="00F859C7">
            <w:pPr>
              <w:widowControl/>
              <w:ind w:left="57"/>
              <w:jc w:val="center"/>
              <w:rPr>
                <w:rFonts w:ascii="Times New Roman" w:hAnsi="Times New Roman" w:cs="Times New Roman"/>
                <w:sz w:val="22"/>
              </w:rPr>
            </w:pPr>
            <w:r w:rsidRPr="00F36DFC">
              <w:rPr>
                <w:rFonts w:ascii="Times New Roman" w:hAnsi="Times New Roman" w:cs="Times New Roman"/>
                <w:sz w:val="22"/>
                <w:lang w:val="da-DK"/>
              </w:rPr>
              <w:t>85,7 %</w:t>
            </w:r>
          </w:p>
        </w:tc>
        <w:tc>
          <w:tcPr>
            <w:tcW w:w="940" w:type="pct"/>
            <w:tcBorders>
              <w:top w:val="nil"/>
              <w:left w:val="single" w:sz="6" w:space="0" w:color="000000"/>
              <w:bottom w:val="single" w:sz="6" w:space="0" w:color="000000"/>
              <w:right w:val="single" w:sz="6" w:space="0" w:color="000000"/>
            </w:tcBorders>
            <w:hideMark/>
          </w:tcPr>
          <w:p w14:paraId="7A2B5FE7" w14:textId="77777777" w:rsidR="00F859C7" w:rsidRPr="00F36DFC" w:rsidRDefault="00F859C7">
            <w:pPr>
              <w:widowControl/>
              <w:ind w:left="57"/>
              <w:jc w:val="center"/>
              <w:rPr>
                <w:rFonts w:ascii="Times New Roman" w:hAnsi="Times New Roman" w:cs="Times New Roman"/>
                <w:sz w:val="22"/>
              </w:rPr>
            </w:pPr>
            <w:r w:rsidRPr="00F36DFC">
              <w:rPr>
                <w:rFonts w:ascii="Times New Roman" w:hAnsi="Times New Roman" w:cs="Times New Roman"/>
                <w:sz w:val="22"/>
                <w:lang w:val="da-DK"/>
              </w:rPr>
              <w:t>92,0 %</w:t>
            </w:r>
          </w:p>
        </w:tc>
        <w:tc>
          <w:tcPr>
            <w:tcW w:w="547" w:type="pct"/>
            <w:tcBorders>
              <w:top w:val="nil"/>
              <w:left w:val="single" w:sz="6" w:space="0" w:color="000000"/>
              <w:bottom w:val="single" w:sz="6" w:space="0" w:color="000000"/>
              <w:right w:val="single" w:sz="6" w:space="0" w:color="000000"/>
            </w:tcBorders>
            <w:hideMark/>
          </w:tcPr>
          <w:p w14:paraId="6D0B1B0C" w14:textId="77777777" w:rsidR="00F859C7" w:rsidRPr="00F36DFC" w:rsidRDefault="00F859C7">
            <w:pPr>
              <w:widowControl/>
              <w:ind w:left="57"/>
              <w:jc w:val="center"/>
              <w:rPr>
                <w:rFonts w:ascii="Times New Roman" w:hAnsi="Times New Roman" w:cs="Times New Roman"/>
                <w:sz w:val="22"/>
              </w:rPr>
            </w:pPr>
            <w:r w:rsidRPr="00F36DFC">
              <w:rPr>
                <w:rFonts w:ascii="Times New Roman" w:hAnsi="Times New Roman" w:cs="Times New Roman"/>
                <w:sz w:val="22"/>
                <w:lang w:val="da-DK"/>
              </w:rPr>
              <w:t>-6,3 %</w:t>
            </w:r>
          </w:p>
        </w:tc>
        <w:tc>
          <w:tcPr>
            <w:tcW w:w="968" w:type="pct"/>
            <w:tcBorders>
              <w:top w:val="nil"/>
              <w:left w:val="single" w:sz="6" w:space="0" w:color="000000"/>
              <w:bottom w:val="single" w:sz="6" w:space="0" w:color="000000"/>
              <w:right w:val="single" w:sz="6" w:space="0" w:color="000000"/>
            </w:tcBorders>
            <w:hideMark/>
          </w:tcPr>
          <w:p w14:paraId="5E199E8F" w14:textId="77777777" w:rsidR="00F859C7" w:rsidRPr="00F36DFC" w:rsidRDefault="00F859C7">
            <w:pPr>
              <w:widowControl/>
              <w:ind w:left="57"/>
              <w:jc w:val="center"/>
              <w:rPr>
                <w:rFonts w:ascii="Times New Roman" w:hAnsi="Times New Roman" w:cs="Times New Roman"/>
                <w:sz w:val="22"/>
              </w:rPr>
            </w:pPr>
            <w:r w:rsidRPr="00F36DFC">
              <w:rPr>
                <w:rFonts w:ascii="Times New Roman" w:hAnsi="Times New Roman" w:cs="Times New Roman"/>
                <w:sz w:val="22"/>
                <w:lang w:val="da-DK"/>
              </w:rPr>
              <w:t>-23,1 </w:t>
            </w:r>
            <w:proofErr w:type="gramStart"/>
            <w:r w:rsidRPr="00F36DFC">
              <w:rPr>
                <w:rFonts w:ascii="Times New Roman" w:hAnsi="Times New Roman" w:cs="Times New Roman"/>
                <w:sz w:val="22"/>
                <w:lang w:val="da-DK"/>
              </w:rPr>
              <w:t>% ;</w:t>
            </w:r>
            <w:proofErr w:type="gramEnd"/>
            <w:r w:rsidRPr="00F36DFC">
              <w:rPr>
                <w:rFonts w:ascii="Times New Roman" w:hAnsi="Times New Roman" w:cs="Times New Roman"/>
                <w:sz w:val="22"/>
                <w:lang w:val="da-DK"/>
              </w:rPr>
              <w:t xml:space="preserve"> 10,5 %</w:t>
            </w:r>
          </w:p>
        </w:tc>
      </w:tr>
    </w:tbl>
    <w:p w14:paraId="3B3C6C6F" w14:textId="77777777" w:rsidR="00F859C7" w:rsidRPr="00F36DFC" w:rsidRDefault="00F859C7" w:rsidP="00F859C7">
      <w:pPr>
        <w:rPr>
          <w:sz w:val="24"/>
          <w:szCs w:val="24"/>
          <w:lang w:val="en-GB" w:eastAsia="de-DE"/>
        </w:rPr>
      </w:pPr>
      <w:r w:rsidRPr="00F36DFC">
        <w:rPr>
          <w:sz w:val="24"/>
          <w:szCs w:val="24"/>
          <w:lang w:val="en-US"/>
        </w:rPr>
        <w:t xml:space="preserve">PP = pr. </w:t>
      </w:r>
      <w:proofErr w:type="spellStart"/>
      <w:r w:rsidRPr="00F36DFC">
        <w:rPr>
          <w:sz w:val="24"/>
          <w:szCs w:val="24"/>
          <w:lang w:val="en-US"/>
        </w:rPr>
        <w:t>protokol</w:t>
      </w:r>
      <w:proofErr w:type="spellEnd"/>
      <w:r w:rsidRPr="00F36DFC">
        <w:rPr>
          <w:sz w:val="24"/>
          <w:szCs w:val="24"/>
          <w:lang w:val="en-US"/>
        </w:rPr>
        <w:t xml:space="preserve">-population, ITT = Intent </w:t>
      </w:r>
      <w:proofErr w:type="gramStart"/>
      <w:r w:rsidRPr="00F36DFC">
        <w:rPr>
          <w:sz w:val="24"/>
          <w:szCs w:val="24"/>
          <w:lang w:val="en-US"/>
        </w:rPr>
        <w:t>To</w:t>
      </w:r>
      <w:proofErr w:type="gramEnd"/>
      <w:r w:rsidRPr="00F36DFC">
        <w:rPr>
          <w:sz w:val="24"/>
          <w:szCs w:val="24"/>
          <w:lang w:val="en-US"/>
        </w:rPr>
        <w:t xml:space="preserve"> Treat-population</w:t>
      </w:r>
    </w:p>
    <w:p w14:paraId="1818B76B" w14:textId="77777777" w:rsidR="00F859C7" w:rsidRPr="00F36DFC" w:rsidRDefault="00F859C7" w:rsidP="00F859C7">
      <w:pPr>
        <w:rPr>
          <w:sz w:val="24"/>
          <w:szCs w:val="24"/>
        </w:rPr>
      </w:pPr>
      <w:r w:rsidRPr="00F36DFC">
        <w:rPr>
          <w:sz w:val="24"/>
          <w:szCs w:val="24"/>
        </w:rPr>
        <w:t>*Primært endepunkt</w:t>
      </w:r>
    </w:p>
    <w:p w14:paraId="0741363A" w14:textId="77777777" w:rsidR="00F859C7" w:rsidRPr="00F36DFC" w:rsidRDefault="00F859C7" w:rsidP="00F859C7">
      <w:pPr>
        <w:rPr>
          <w:sz w:val="24"/>
          <w:szCs w:val="24"/>
        </w:rPr>
      </w:pPr>
    </w:p>
    <w:p w14:paraId="6BCA04F1" w14:textId="77777777" w:rsidR="00F859C7" w:rsidRPr="00F36DFC" w:rsidRDefault="00F859C7" w:rsidP="00E14048">
      <w:pPr>
        <w:ind w:left="851"/>
        <w:rPr>
          <w:i/>
          <w:sz w:val="24"/>
          <w:szCs w:val="24"/>
        </w:rPr>
      </w:pPr>
      <w:r w:rsidRPr="00F36DFC">
        <w:rPr>
          <w:i/>
          <w:iCs/>
          <w:sz w:val="24"/>
          <w:szCs w:val="24"/>
        </w:rPr>
        <w:t>Supplerende terapi til behandling af partielle anfald med eller uden sekundær generalisering hos voksne</w:t>
      </w:r>
    </w:p>
    <w:p w14:paraId="402C8265" w14:textId="77777777" w:rsidR="00F859C7" w:rsidRPr="00F36DFC" w:rsidRDefault="00F859C7" w:rsidP="00E14048">
      <w:pPr>
        <w:ind w:left="851"/>
        <w:rPr>
          <w:sz w:val="24"/>
          <w:szCs w:val="24"/>
        </w:rPr>
      </w:pPr>
    </w:p>
    <w:p w14:paraId="06932573" w14:textId="77777777" w:rsidR="00F859C7" w:rsidRPr="00F36DFC" w:rsidRDefault="00F859C7" w:rsidP="00E14048">
      <w:pPr>
        <w:ind w:left="851"/>
        <w:rPr>
          <w:sz w:val="24"/>
          <w:szCs w:val="24"/>
        </w:rPr>
      </w:pPr>
      <w:r w:rsidRPr="00F36DFC">
        <w:rPr>
          <w:sz w:val="24"/>
          <w:szCs w:val="24"/>
        </w:rPr>
        <w:t xml:space="preserve">Hos voksne er effekten af </w:t>
      </w:r>
      <w:proofErr w:type="spellStart"/>
      <w:r w:rsidRPr="00F36DFC">
        <w:rPr>
          <w:sz w:val="24"/>
          <w:szCs w:val="24"/>
        </w:rPr>
        <w:t>zonisamid</w:t>
      </w:r>
      <w:proofErr w:type="spellEnd"/>
      <w:r w:rsidRPr="00F36DFC">
        <w:rPr>
          <w:sz w:val="24"/>
          <w:szCs w:val="24"/>
        </w:rPr>
        <w:t xml:space="preserve"> blevet påvist i 4 dobbeltblindede, placebo-kontrollerede studier i perioder på op til 24 uger med dosering enten én eller 2 gange dagligt. Disse studier viser, at den </w:t>
      </w:r>
      <w:proofErr w:type="spellStart"/>
      <w:r w:rsidRPr="00F36DFC">
        <w:rPr>
          <w:sz w:val="24"/>
          <w:szCs w:val="24"/>
        </w:rPr>
        <w:t>mediane</w:t>
      </w:r>
      <w:proofErr w:type="spellEnd"/>
      <w:r w:rsidRPr="00F36DFC">
        <w:rPr>
          <w:sz w:val="24"/>
          <w:szCs w:val="24"/>
        </w:rPr>
        <w:t xml:space="preserve"> reduktion i partiel krampefrekvens er relateret til </w:t>
      </w:r>
      <w:proofErr w:type="spellStart"/>
      <w:r w:rsidRPr="00F36DFC">
        <w:rPr>
          <w:sz w:val="24"/>
          <w:szCs w:val="24"/>
        </w:rPr>
        <w:t>zonisamiddosis</w:t>
      </w:r>
      <w:proofErr w:type="spellEnd"/>
      <w:r w:rsidRPr="00F36DFC">
        <w:rPr>
          <w:sz w:val="24"/>
          <w:szCs w:val="24"/>
        </w:rPr>
        <w:t xml:space="preserve"> med vedvarende effekt i doser på 300-500 mg dagligt.</w:t>
      </w:r>
    </w:p>
    <w:p w14:paraId="56106E90" w14:textId="77777777" w:rsidR="00F859C7" w:rsidRPr="00F36DFC" w:rsidRDefault="00F859C7" w:rsidP="00E14048">
      <w:pPr>
        <w:ind w:left="851"/>
        <w:rPr>
          <w:sz w:val="24"/>
          <w:szCs w:val="24"/>
        </w:rPr>
      </w:pPr>
    </w:p>
    <w:p w14:paraId="4F6E7695" w14:textId="77777777" w:rsidR="00F859C7" w:rsidRPr="00F36DFC" w:rsidRDefault="00F859C7" w:rsidP="00E14048">
      <w:pPr>
        <w:ind w:left="851"/>
        <w:rPr>
          <w:sz w:val="24"/>
          <w:szCs w:val="24"/>
          <w:u w:val="single"/>
        </w:rPr>
      </w:pPr>
      <w:r w:rsidRPr="00F36DFC">
        <w:rPr>
          <w:sz w:val="24"/>
          <w:szCs w:val="24"/>
          <w:u w:val="single"/>
        </w:rPr>
        <w:t>Pædiatrisk population</w:t>
      </w:r>
    </w:p>
    <w:p w14:paraId="5BC81E06" w14:textId="77777777" w:rsidR="00F859C7" w:rsidRPr="00F36DFC" w:rsidRDefault="00F859C7" w:rsidP="00E14048">
      <w:pPr>
        <w:ind w:left="851"/>
        <w:rPr>
          <w:sz w:val="24"/>
          <w:szCs w:val="24"/>
        </w:rPr>
      </w:pPr>
    </w:p>
    <w:p w14:paraId="2734BB9A" w14:textId="77777777" w:rsidR="00F859C7" w:rsidRPr="00F36DFC" w:rsidRDefault="00F859C7" w:rsidP="00E14048">
      <w:pPr>
        <w:ind w:left="851"/>
        <w:rPr>
          <w:i/>
          <w:sz w:val="24"/>
          <w:szCs w:val="24"/>
        </w:rPr>
      </w:pPr>
      <w:r w:rsidRPr="00F36DFC">
        <w:rPr>
          <w:i/>
          <w:iCs/>
          <w:sz w:val="24"/>
          <w:szCs w:val="24"/>
        </w:rPr>
        <w:t>Supplerende terapi til behandling af partielle anfald med eller uden sekundær generalisering hos unge og pædiatriske patienter (6 år og derover)</w:t>
      </w:r>
    </w:p>
    <w:p w14:paraId="2D0DBA3E" w14:textId="77777777" w:rsidR="00F859C7" w:rsidRPr="00F36DFC" w:rsidRDefault="00F859C7" w:rsidP="00E14048">
      <w:pPr>
        <w:ind w:left="851"/>
        <w:rPr>
          <w:sz w:val="24"/>
          <w:szCs w:val="24"/>
        </w:rPr>
      </w:pPr>
    </w:p>
    <w:p w14:paraId="02AEB851" w14:textId="77777777" w:rsidR="00F859C7" w:rsidRPr="00F36DFC" w:rsidRDefault="00F859C7" w:rsidP="00E14048">
      <w:pPr>
        <w:ind w:left="851"/>
        <w:rPr>
          <w:sz w:val="24"/>
          <w:szCs w:val="24"/>
        </w:rPr>
      </w:pPr>
      <w:r w:rsidRPr="00F36DFC">
        <w:rPr>
          <w:sz w:val="24"/>
          <w:szCs w:val="24"/>
        </w:rPr>
        <w:t xml:space="preserve">Hos pædiatriske patienter (på 6 år og derover) er der vist virkning af </w:t>
      </w:r>
      <w:proofErr w:type="spellStart"/>
      <w:r w:rsidRPr="00F36DFC">
        <w:rPr>
          <w:sz w:val="24"/>
          <w:szCs w:val="24"/>
        </w:rPr>
        <w:t>zonisamid</w:t>
      </w:r>
      <w:proofErr w:type="spellEnd"/>
      <w:r w:rsidRPr="00F36DFC">
        <w:rPr>
          <w:sz w:val="24"/>
          <w:szCs w:val="24"/>
        </w:rPr>
        <w:t xml:space="preserve"> i et dobbeltblindt, placebokontrolleret studie, der omfattede 207 personer og havde en behandlingsvarighed på op til 24 uger. Der sås en reduktion på 50 % eller derover i forhold til baseline i frekvensen af krampeanfald i perioden på 12 uger med stabil dosis hos 50 % af de </w:t>
      </w:r>
      <w:proofErr w:type="spellStart"/>
      <w:r w:rsidRPr="00F36DFC">
        <w:rPr>
          <w:sz w:val="24"/>
          <w:szCs w:val="24"/>
        </w:rPr>
        <w:t>zonisamidbehandlede</w:t>
      </w:r>
      <w:proofErr w:type="spellEnd"/>
      <w:r w:rsidRPr="00F36DFC">
        <w:rPr>
          <w:sz w:val="24"/>
          <w:szCs w:val="24"/>
        </w:rPr>
        <w:t xml:space="preserve"> patienter og hos 31 % af de patienter, som fik placebo.</w:t>
      </w:r>
    </w:p>
    <w:p w14:paraId="03E19C19" w14:textId="77777777" w:rsidR="00F859C7" w:rsidRPr="00F36DFC" w:rsidRDefault="00F859C7" w:rsidP="00E14048">
      <w:pPr>
        <w:ind w:left="851"/>
        <w:rPr>
          <w:sz w:val="24"/>
          <w:szCs w:val="24"/>
        </w:rPr>
      </w:pPr>
    </w:p>
    <w:p w14:paraId="012E260F" w14:textId="77777777" w:rsidR="00F859C7" w:rsidRPr="00F36DFC" w:rsidRDefault="00F859C7" w:rsidP="00E14048">
      <w:pPr>
        <w:ind w:left="851"/>
        <w:rPr>
          <w:sz w:val="24"/>
          <w:szCs w:val="24"/>
        </w:rPr>
      </w:pPr>
      <w:r w:rsidRPr="00F36DFC">
        <w:rPr>
          <w:sz w:val="24"/>
          <w:szCs w:val="24"/>
        </w:rPr>
        <w:t xml:space="preserve">Særlige sikkerhedsmæssige forhold, der forekom i de pædiatriske studier, var: Nedsat appetit og vægttab, lave </w:t>
      </w:r>
      <w:proofErr w:type="spellStart"/>
      <w:r w:rsidRPr="00F36DFC">
        <w:rPr>
          <w:sz w:val="24"/>
          <w:szCs w:val="24"/>
        </w:rPr>
        <w:t>hydrogencarbonatniveauer</w:t>
      </w:r>
      <w:proofErr w:type="spellEnd"/>
      <w:r w:rsidRPr="00F36DFC">
        <w:rPr>
          <w:sz w:val="24"/>
          <w:szCs w:val="24"/>
        </w:rPr>
        <w:t>, øget risiko for nyresten og dehydrering. Alle disse bivirkninger og specifikt vægttabet kan have skadelige konsekvenser for vækst og udvikling og kan medføre generel forringelse af helbredstilstanden. Der foreligger dog kun begrænsede data om virkningerne på vækst og udvikling på længere sigt.</w:t>
      </w:r>
    </w:p>
    <w:p w14:paraId="1480A381" w14:textId="77777777" w:rsidR="009260DE" w:rsidRPr="00F36DFC" w:rsidRDefault="009260DE" w:rsidP="009260DE">
      <w:pPr>
        <w:tabs>
          <w:tab w:val="left" w:pos="851"/>
        </w:tabs>
        <w:ind w:left="851"/>
        <w:rPr>
          <w:sz w:val="24"/>
          <w:szCs w:val="24"/>
        </w:rPr>
      </w:pPr>
    </w:p>
    <w:p w14:paraId="260D4F00" w14:textId="77777777" w:rsidR="009260DE" w:rsidRPr="00F36DFC" w:rsidRDefault="009260DE" w:rsidP="009260DE">
      <w:pPr>
        <w:tabs>
          <w:tab w:val="left" w:pos="851"/>
        </w:tabs>
        <w:ind w:left="851" w:hanging="851"/>
        <w:rPr>
          <w:b/>
          <w:sz w:val="24"/>
          <w:szCs w:val="24"/>
        </w:rPr>
      </w:pPr>
      <w:r w:rsidRPr="00F36DFC">
        <w:rPr>
          <w:b/>
          <w:sz w:val="24"/>
          <w:szCs w:val="24"/>
        </w:rPr>
        <w:t>5.2</w:t>
      </w:r>
      <w:r w:rsidRPr="00F36DFC">
        <w:rPr>
          <w:b/>
          <w:sz w:val="24"/>
          <w:szCs w:val="24"/>
        </w:rPr>
        <w:tab/>
      </w:r>
      <w:proofErr w:type="spellStart"/>
      <w:r w:rsidRPr="00F36DFC">
        <w:rPr>
          <w:b/>
          <w:sz w:val="24"/>
          <w:szCs w:val="24"/>
        </w:rPr>
        <w:t>Farmakokinetiske</w:t>
      </w:r>
      <w:proofErr w:type="spellEnd"/>
      <w:r w:rsidRPr="00F36DFC">
        <w:rPr>
          <w:b/>
          <w:sz w:val="24"/>
          <w:szCs w:val="24"/>
        </w:rPr>
        <w:t xml:space="preserve"> egenskaber</w:t>
      </w:r>
    </w:p>
    <w:p w14:paraId="2A5778B8" w14:textId="77777777" w:rsidR="00F36DFC" w:rsidRDefault="00F36DFC" w:rsidP="00E14048">
      <w:pPr>
        <w:ind w:left="851"/>
        <w:rPr>
          <w:sz w:val="24"/>
          <w:szCs w:val="24"/>
          <w:u w:val="single"/>
        </w:rPr>
      </w:pPr>
    </w:p>
    <w:p w14:paraId="0D4BA051" w14:textId="5E16C384" w:rsidR="0047634C" w:rsidRPr="00F36DFC" w:rsidRDefault="0047634C" w:rsidP="00E14048">
      <w:pPr>
        <w:ind w:left="851"/>
        <w:rPr>
          <w:sz w:val="24"/>
          <w:szCs w:val="24"/>
          <w:u w:val="single"/>
          <w:lang w:eastAsia="de-DE"/>
        </w:rPr>
      </w:pPr>
      <w:r w:rsidRPr="00F36DFC">
        <w:rPr>
          <w:sz w:val="24"/>
          <w:szCs w:val="24"/>
          <w:u w:val="single"/>
        </w:rPr>
        <w:t>Absorption</w:t>
      </w:r>
    </w:p>
    <w:p w14:paraId="29520537" w14:textId="77777777" w:rsidR="0047634C" w:rsidRPr="00F36DFC" w:rsidRDefault="0047634C" w:rsidP="00E14048">
      <w:pPr>
        <w:ind w:left="851"/>
        <w:rPr>
          <w:sz w:val="24"/>
          <w:szCs w:val="24"/>
        </w:rPr>
      </w:pPr>
    </w:p>
    <w:p w14:paraId="4A9ED4E3" w14:textId="77777777" w:rsidR="0047634C" w:rsidRPr="00F36DFC" w:rsidRDefault="0047634C" w:rsidP="00E14048">
      <w:pPr>
        <w:ind w:left="851"/>
        <w:rPr>
          <w:sz w:val="24"/>
          <w:szCs w:val="24"/>
        </w:rPr>
      </w:pPr>
      <w:proofErr w:type="spellStart"/>
      <w:r w:rsidRPr="00F36DFC">
        <w:rPr>
          <w:sz w:val="24"/>
          <w:szCs w:val="24"/>
        </w:rPr>
        <w:t>Zonisamid</w:t>
      </w:r>
      <w:proofErr w:type="spellEnd"/>
      <w:r w:rsidRPr="00F36DFC">
        <w:rPr>
          <w:sz w:val="24"/>
          <w:szCs w:val="24"/>
        </w:rPr>
        <w:t xml:space="preserve"> absorberes næsten fuldstændigt efter oral indgift og når almindeligvis maksimal serum- eller plasmakoncentration i løbet af 2 til 5 timer efter indgift. First-</w:t>
      </w:r>
      <w:proofErr w:type="spellStart"/>
      <w:r w:rsidRPr="00F36DFC">
        <w:rPr>
          <w:sz w:val="24"/>
          <w:szCs w:val="24"/>
        </w:rPr>
        <w:t>pass</w:t>
      </w:r>
      <w:proofErr w:type="spellEnd"/>
      <w:r w:rsidRPr="00F36DFC">
        <w:rPr>
          <w:sz w:val="24"/>
          <w:szCs w:val="24"/>
        </w:rPr>
        <w:t xml:space="preserve"> metabolismen menes at være ubetydelig. Den absolutte biotilgængelighed skønnes at være omkring 100 %. Den orale biotilgængelighed påvirkes ikke af fødeindtagelse, selv om den maksimale plasma- og serumkoncentration kan blive forsinket.</w:t>
      </w:r>
    </w:p>
    <w:p w14:paraId="4A59F45C" w14:textId="77777777" w:rsidR="0047634C" w:rsidRPr="00F36DFC" w:rsidRDefault="0047634C" w:rsidP="00E14048">
      <w:pPr>
        <w:ind w:left="851"/>
        <w:rPr>
          <w:sz w:val="24"/>
          <w:szCs w:val="24"/>
        </w:rPr>
      </w:pPr>
    </w:p>
    <w:p w14:paraId="78005CD6" w14:textId="77777777" w:rsidR="0047634C" w:rsidRPr="00F36DFC" w:rsidRDefault="0047634C" w:rsidP="00E14048">
      <w:pPr>
        <w:ind w:left="851"/>
        <w:rPr>
          <w:sz w:val="24"/>
          <w:szCs w:val="24"/>
        </w:rPr>
      </w:pPr>
      <w:proofErr w:type="spellStart"/>
      <w:r w:rsidRPr="00F36DFC">
        <w:rPr>
          <w:sz w:val="24"/>
          <w:szCs w:val="24"/>
        </w:rPr>
        <w:t>Zonisamid</w:t>
      </w:r>
      <w:proofErr w:type="spellEnd"/>
      <w:r w:rsidRPr="00F36DFC">
        <w:rPr>
          <w:sz w:val="24"/>
          <w:szCs w:val="24"/>
        </w:rPr>
        <w:t xml:space="preserve"> AUC- og </w:t>
      </w:r>
      <w:proofErr w:type="spellStart"/>
      <w:r w:rsidRPr="00F36DFC">
        <w:rPr>
          <w:sz w:val="24"/>
          <w:szCs w:val="24"/>
        </w:rPr>
        <w:t>C</w:t>
      </w:r>
      <w:r w:rsidRPr="00F36DFC">
        <w:rPr>
          <w:sz w:val="24"/>
          <w:szCs w:val="24"/>
          <w:vertAlign w:val="subscript"/>
        </w:rPr>
        <w:t>max</w:t>
      </w:r>
      <w:proofErr w:type="spellEnd"/>
      <w:r w:rsidRPr="00F36DFC">
        <w:rPr>
          <w:sz w:val="24"/>
          <w:szCs w:val="24"/>
        </w:rPr>
        <w:t xml:space="preserve">-værdierne steg næsten lineært efter en enkelt dosis i et doseringsområde på 100-800 mg én gang dagligt og efter multiple doser i et doseringsområde på 100-400 mg én gang dagligt. Stigningen ved </w:t>
      </w:r>
      <w:proofErr w:type="spellStart"/>
      <w:r w:rsidRPr="00F36DFC">
        <w:rPr>
          <w:sz w:val="24"/>
          <w:szCs w:val="24"/>
        </w:rPr>
        <w:t>steady-state</w:t>
      </w:r>
      <w:proofErr w:type="spellEnd"/>
      <w:r w:rsidRPr="00F36DFC">
        <w:rPr>
          <w:sz w:val="24"/>
          <w:szCs w:val="24"/>
        </w:rPr>
        <w:t xml:space="preserve"> var en smule større end forventet på basis af doseringen, sandsynligvis på grund af bindingen af </w:t>
      </w:r>
      <w:proofErr w:type="spellStart"/>
      <w:r w:rsidRPr="00F36DFC">
        <w:rPr>
          <w:sz w:val="24"/>
          <w:szCs w:val="24"/>
        </w:rPr>
        <w:t>zonisamid</w:t>
      </w:r>
      <w:proofErr w:type="spellEnd"/>
      <w:r w:rsidRPr="00F36DFC">
        <w:rPr>
          <w:sz w:val="24"/>
          <w:szCs w:val="24"/>
        </w:rPr>
        <w:t xml:space="preserve"> til erytrocytterne, en binding med mætningskinetik. </w:t>
      </w:r>
      <w:proofErr w:type="spellStart"/>
      <w:r w:rsidRPr="00F36DFC">
        <w:rPr>
          <w:sz w:val="24"/>
          <w:szCs w:val="24"/>
        </w:rPr>
        <w:t>Steady-state</w:t>
      </w:r>
      <w:proofErr w:type="spellEnd"/>
      <w:r w:rsidRPr="00F36DFC">
        <w:rPr>
          <w:sz w:val="24"/>
          <w:szCs w:val="24"/>
        </w:rPr>
        <w:t xml:space="preserve"> blev opnået i løbet af 13 dage. Akkumulering forekommer i lidt større omfang end forventet i forhold til enkeltdosering.</w:t>
      </w:r>
    </w:p>
    <w:p w14:paraId="40F681C4" w14:textId="77777777" w:rsidR="0047634C" w:rsidRPr="00F36DFC" w:rsidRDefault="0047634C" w:rsidP="00E14048">
      <w:pPr>
        <w:ind w:left="851"/>
        <w:rPr>
          <w:sz w:val="24"/>
          <w:szCs w:val="24"/>
        </w:rPr>
      </w:pPr>
    </w:p>
    <w:p w14:paraId="4BDD1824" w14:textId="77777777" w:rsidR="0047634C" w:rsidRPr="00F36DFC" w:rsidRDefault="0047634C" w:rsidP="00E14048">
      <w:pPr>
        <w:ind w:left="851"/>
        <w:rPr>
          <w:sz w:val="24"/>
          <w:szCs w:val="24"/>
          <w:u w:val="single"/>
        </w:rPr>
      </w:pPr>
      <w:r w:rsidRPr="00F36DFC">
        <w:rPr>
          <w:sz w:val="24"/>
          <w:szCs w:val="24"/>
          <w:u w:val="single"/>
        </w:rPr>
        <w:t>Fordeling</w:t>
      </w:r>
    </w:p>
    <w:p w14:paraId="7BF3F20B" w14:textId="77777777" w:rsidR="0047634C" w:rsidRPr="00F36DFC" w:rsidRDefault="0047634C" w:rsidP="00E14048">
      <w:pPr>
        <w:ind w:left="851"/>
        <w:rPr>
          <w:sz w:val="24"/>
          <w:szCs w:val="24"/>
        </w:rPr>
      </w:pPr>
    </w:p>
    <w:p w14:paraId="58998F73" w14:textId="77777777" w:rsidR="0047634C" w:rsidRPr="00F36DFC" w:rsidRDefault="0047634C" w:rsidP="00E14048">
      <w:pPr>
        <w:ind w:left="851"/>
        <w:rPr>
          <w:sz w:val="24"/>
          <w:szCs w:val="24"/>
        </w:rPr>
      </w:pPr>
      <w:proofErr w:type="spellStart"/>
      <w:r w:rsidRPr="00F36DFC">
        <w:rPr>
          <w:sz w:val="24"/>
          <w:szCs w:val="24"/>
        </w:rPr>
        <w:t>Zonisamid</w:t>
      </w:r>
      <w:proofErr w:type="spellEnd"/>
      <w:r w:rsidRPr="00F36DFC">
        <w:rPr>
          <w:sz w:val="24"/>
          <w:szCs w:val="24"/>
        </w:rPr>
        <w:t xml:space="preserve"> er bundet 40 - 50 % til menneskelige plasmaproteiner. In </w:t>
      </w:r>
      <w:proofErr w:type="spellStart"/>
      <w:r w:rsidRPr="00F36DFC">
        <w:rPr>
          <w:sz w:val="24"/>
          <w:szCs w:val="24"/>
        </w:rPr>
        <w:t>vitro</w:t>
      </w:r>
      <w:proofErr w:type="spellEnd"/>
      <w:r w:rsidRPr="00F36DFC">
        <w:rPr>
          <w:sz w:val="24"/>
          <w:szCs w:val="24"/>
        </w:rPr>
        <w:t xml:space="preserve"> studier viser, at dette ikke påvirkes af tilstedeværelsen af forskellige </w:t>
      </w:r>
      <w:proofErr w:type="spellStart"/>
      <w:r w:rsidRPr="00F36DFC">
        <w:rPr>
          <w:sz w:val="24"/>
          <w:szCs w:val="24"/>
        </w:rPr>
        <w:t>antiepileptika</w:t>
      </w:r>
      <w:proofErr w:type="spellEnd"/>
      <w:r w:rsidRPr="00F36DFC">
        <w:rPr>
          <w:sz w:val="24"/>
          <w:szCs w:val="24"/>
        </w:rPr>
        <w:t xml:space="preserve"> (dvs. </w:t>
      </w:r>
      <w:proofErr w:type="spellStart"/>
      <w:r w:rsidRPr="00F36DFC">
        <w:rPr>
          <w:sz w:val="24"/>
          <w:szCs w:val="24"/>
        </w:rPr>
        <w:t>phenytoin</w:t>
      </w:r>
      <w:proofErr w:type="spellEnd"/>
      <w:r w:rsidRPr="00F36DFC">
        <w:rPr>
          <w:sz w:val="24"/>
          <w:szCs w:val="24"/>
        </w:rPr>
        <w:t xml:space="preserve">, </w:t>
      </w:r>
      <w:proofErr w:type="spellStart"/>
      <w:r w:rsidRPr="00F36DFC">
        <w:rPr>
          <w:sz w:val="24"/>
          <w:szCs w:val="24"/>
        </w:rPr>
        <w:t>phenobarbital</w:t>
      </w:r>
      <w:proofErr w:type="spellEnd"/>
      <w:r w:rsidRPr="00F36DFC">
        <w:rPr>
          <w:sz w:val="24"/>
          <w:szCs w:val="24"/>
        </w:rPr>
        <w:t xml:space="preserve">, </w:t>
      </w:r>
      <w:proofErr w:type="spellStart"/>
      <w:r w:rsidRPr="00F36DFC">
        <w:rPr>
          <w:sz w:val="24"/>
          <w:szCs w:val="24"/>
        </w:rPr>
        <w:t>carbamazepin</w:t>
      </w:r>
      <w:proofErr w:type="spellEnd"/>
      <w:r w:rsidRPr="00F36DFC">
        <w:rPr>
          <w:sz w:val="24"/>
          <w:szCs w:val="24"/>
        </w:rPr>
        <w:t xml:space="preserve"> og </w:t>
      </w:r>
      <w:proofErr w:type="spellStart"/>
      <w:r w:rsidRPr="00F36DFC">
        <w:rPr>
          <w:sz w:val="24"/>
          <w:szCs w:val="24"/>
        </w:rPr>
        <w:t>natriumvalproat</w:t>
      </w:r>
      <w:proofErr w:type="spellEnd"/>
      <w:r w:rsidRPr="00F36DFC">
        <w:rPr>
          <w:sz w:val="24"/>
          <w:szCs w:val="24"/>
        </w:rPr>
        <w:t xml:space="preserve">). Det åbenbare fordelingsvolumen er omkring 1,1 – 1,7 l/kg hos voksne tydende på, at </w:t>
      </w:r>
      <w:proofErr w:type="spellStart"/>
      <w:r w:rsidRPr="00F36DFC">
        <w:rPr>
          <w:sz w:val="24"/>
          <w:szCs w:val="24"/>
        </w:rPr>
        <w:t>zonisamid</w:t>
      </w:r>
      <w:proofErr w:type="spellEnd"/>
      <w:r w:rsidRPr="00F36DFC">
        <w:rPr>
          <w:sz w:val="24"/>
          <w:szCs w:val="24"/>
        </w:rPr>
        <w:t xml:space="preserve"> i udstrakt grad fordeles til vævene. Erytrocyt/plasma-forholdet er omkring 15 ved lave koncentrationer og omkring 3 ved højere koncentrationer.</w:t>
      </w:r>
    </w:p>
    <w:p w14:paraId="16210792" w14:textId="77777777" w:rsidR="0047634C" w:rsidRPr="00F36DFC" w:rsidRDefault="0047634C" w:rsidP="00E14048">
      <w:pPr>
        <w:ind w:left="851"/>
        <w:rPr>
          <w:sz w:val="24"/>
          <w:szCs w:val="24"/>
        </w:rPr>
      </w:pPr>
    </w:p>
    <w:p w14:paraId="0C2C28E2" w14:textId="77777777" w:rsidR="0047634C" w:rsidRPr="00F36DFC" w:rsidRDefault="0047634C" w:rsidP="00E14048">
      <w:pPr>
        <w:ind w:left="851"/>
        <w:rPr>
          <w:sz w:val="24"/>
          <w:szCs w:val="24"/>
          <w:u w:val="single"/>
        </w:rPr>
      </w:pPr>
      <w:r w:rsidRPr="00F36DFC">
        <w:rPr>
          <w:sz w:val="24"/>
          <w:szCs w:val="24"/>
          <w:u w:val="single"/>
        </w:rPr>
        <w:t>Biotransformation</w:t>
      </w:r>
    </w:p>
    <w:p w14:paraId="15292C76" w14:textId="77777777" w:rsidR="0047634C" w:rsidRPr="00F36DFC" w:rsidRDefault="0047634C" w:rsidP="00E14048">
      <w:pPr>
        <w:ind w:left="851"/>
        <w:rPr>
          <w:sz w:val="24"/>
          <w:szCs w:val="24"/>
        </w:rPr>
      </w:pPr>
    </w:p>
    <w:p w14:paraId="679B73D8" w14:textId="77777777" w:rsidR="0047634C" w:rsidRPr="00F36DFC" w:rsidRDefault="0047634C" w:rsidP="00E14048">
      <w:pPr>
        <w:ind w:left="851"/>
        <w:rPr>
          <w:sz w:val="24"/>
          <w:szCs w:val="24"/>
        </w:rPr>
      </w:pPr>
      <w:proofErr w:type="spellStart"/>
      <w:r w:rsidRPr="00F36DFC">
        <w:rPr>
          <w:sz w:val="24"/>
          <w:szCs w:val="24"/>
        </w:rPr>
        <w:t>Zonisamid</w:t>
      </w:r>
      <w:proofErr w:type="spellEnd"/>
      <w:r w:rsidRPr="00F36DFC">
        <w:rPr>
          <w:sz w:val="24"/>
          <w:szCs w:val="24"/>
        </w:rPr>
        <w:t xml:space="preserve"> </w:t>
      </w:r>
      <w:proofErr w:type="spellStart"/>
      <w:r w:rsidRPr="00F36DFC">
        <w:rPr>
          <w:sz w:val="24"/>
          <w:szCs w:val="24"/>
        </w:rPr>
        <w:t>metaboliseres</w:t>
      </w:r>
      <w:proofErr w:type="spellEnd"/>
      <w:r w:rsidRPr="00F36DFC">
        <w:rPr>
          <w:sz w:val="24"/>
          <w:szCs w:val="24"/>
        </w:rPr>
        <w:t xml:space="preserve"> primært af CYP3A4 via en reduktiv spaltning af </w:t>
      </w:r>
      <w:proofErr w:type="spellStart"/>
      <w:r w:rsidRPr="00F36DFC">
        <w:rPr>
          <w:sz w:val="24"/>
          <w:szCs w:val="24"/>
        </w:rPr>
        <w:t>benzisoxazolringen</w:t>
      </w:r>
      <w:proofErr w:type="spellEnd"/>
      <w:r w:rsidRPr="00F36DFC">
        <w:rPr>
          <w:sz w:val="24"/>
          <w:szCs w:val="24"/>
        </w:rPr>
        <w:t xml:space="preserve"> i moderstoffet, så der dannes 2-sulphamoylacetylphenol (SMAP) samt også ved N-</w:t>
      </w:r>
      <w:proofErr w:type="spellStart"/>
      <w:r w:rsidRPr="00F36DFC">
        <w:rPr>
          <w:sz w:val="24"/>
          <w:szCs w:val="24"/>
        </w:rPr>
        <w:t>acetylering</w:t>
      </w:r>
      <w:proofErr w:type="spellEnd"/>
      <w:r w:rsidRPr="00F36DFC">
        <w:rPr>
          <w:sz w:val="24"/>
          <w:szCs w:val="24"/>
        </w:rPr>
        <w:t xml:space="preserve">. Moderstof og SMAP kan yderligere blive </w:t>
      </w:r>
      <w:proofErr w:type="spellStart"/>
      <w:r w:rsidRPr="00F36DFC">
        <w:rPr>
          <w:sz w:val="24"/>
          <w:szCs w:val="24"/>
        </w:rPr>
        <w:t>glukuronideret</w:t>
      </w:r>
      <w:proofErr w:type="spellEnd"/>
      <w:r w:rsidRPr="00F36DFC">
        <w:rPr>
          <w:sz w:val="24"/>
          <w:szCs w:val="24"/>
        </w:rPr>
        <w:t xml:space="preserve">. Metabolitterne, som ikke kunne spores i plasma, er helt uden </w:t>
      </w:r>
      <w:proofErr w:type="spellStart"/>
      <w:r w:rsidRPr="00F36DFC">
        <w:rPr>
          <w:sz w:val="24"/>
          <w:szCs w:val="24"/>
        </w:rPr>
        <w:t>antikonvulsiv</w:t>
      </w:r>
      <w:proofErr w:type="spellEnd"/>
      <w:r w:rsidRPr="00F36DFC">
        <w:rPr>
          <w:sz w:val="24"/>
          <w:szCs w:val="24"/>
        </w:rPr>
        <w:t xml:space="preserve"> virkning. Der er ingen holdepunkter for, at </w:t>
      </w:r>
      <w:proofErr w:type="spellStart"/>
      <w:r w:rsidRPr="00F36DFC">
        <w:rPr>
          <w:sz w:val="24"/>
          <w:szCs w:val="24"/>
        </w:rPr>
        <w:t>zonisamid</w:t>
      </w:r>
      <w:proofErr w:type="spellEnd"/>
      <w:r w:rsidRPr="00F36DFC">
        <w:rPr>
          <w:sz w:val="24"/>
          <w:szCs w:val="24"/>
        </w:rPr>
        <w:t xml:space="preserve"> inducerer sin egen metabolisme.</w:t>
      </w:r>
    </w:p>
    <w:p w14:paraId="51B82286" w14:textId="77777777" w:rsidR="0047634C" w:rsidRPr="00F36DFC" w:rsidRDefault="0047634C" w:rsidP="00E14048">
      <w:pPr>
        <w:ind w:left="851"/>
        <w:rPr>
          <w:sz w:val="24"/>
          <w:szCs w:val="24"/>
        </w:rPr>
      </w:pPr>
    </w:p>
    <w:p w14:paraId="20114E97" w14:textId="77777777" w:rsidR="0047634C" w:rsidRPr="00F36DFC" w:rsidRDefault="0047634C" w:rsidP="00E14048">
      <w:pPr>
        <w:ind w:left="851"/>
        <w:rPr>
          <w:sz w:val="24"/>
          <w:szCs w:val="24"/>
          <w:u w:val="single"/>
        </w:rPr>
      </w:pPr>
      <w:r w:rsidRPr="00F36DFC">
        <w:rPr>
          <w:sz w:val="24"/>
          <w:szCs w:val="24"/>
          <w:u w:val="single"/>
        </w:rPr>
        <w:t>Elimination</w:t>
      </w:r>
    </w:p>
    <w:p w14:paraId="5300BD83" w14:textId="77777777" w:rsidR="0047634C" w:rsidRPr="00F36DFC" w:rsidRDefault="0047634C" w:rsidP="00E14048">
      <w:pPr>
        <w:ind w:left="851"/>
        <w:rPr>
          <w:sz w:val="24"/>
          <w:szCs w:val="24"/>
        </w:rPr>
      </w:pPr>
    </w:p>
    <w:p w14:paraId="5E732F71" w14:textId="36174084" w:rsidR="0047634C" w:rsidRPr="00F36DFC" w:rsidRDefault="0047634C" w:rsidP="00E14048">
      <w:pPr>
        <w:ind w:left="851"/>
        <w:rPr>
          <w:sz w:val="24"/>
          <w:szCs w:val="24"/>
        </w:rPr>
      </w:pPr>
      <w:proofErr w:type="spellStart"/>
      <w:r w:rsidRPr="00F36DFC">
        <w:rPr>
          <w:sz w:val="24"/>
          <w:szCs w:val="24"/>
        </w:rPr>
        <w:t>Zonisamids</w:t>
      </w:r>
      <w:proofErr w:type="spellEnd"/>
      <w:r w:rsidRPr="00F36DFC">
        <w:rPr>
          <w:sz w:val="24"/>
          <w:szCs w:val="24"/>
        </w:rPr>
        <w:t xml:space="preserve"> tilsyneladende </w:t>
      </w:r>
      <w:proofErr w:type="spellStart"/>
      <w:r w:rsidRPr="00F36DFC">
        <w:rPr>
          <w:sz w:val="24"/>
          <w:szCs w:val="24"/>
        </w:rPr>
        <w:t>clearance</w:t>
      </w:r>
      <w:proofErr w:type="spellEnd"/>
      <w:r w:rsidRPr="00F36DFC">
        <w:rPr>
          <w:sz w:val="24"/>
          <w:szCs w:val="24"/>
        </w:rPr>
        <w:t xml:space="preserve"> ved ligevægt efter oral indgift er ca. 0,70 l/t og den terminale eliminationshalveringstid er ca. 60 timer, når CYP3A4-induktorer ikke er til stede. Eliminationshalveringstiden var uafhængig af dosis og upåvirket af gentagen indgift. Svingninger i serum- eller plasmakoncentrationer i løbet af et dosisinterval er små (&lt;</w:t>
      </w:r>
      <w:r w:rsidR="00C26C40">
        <w:rPr>
          <w:sz w:val="24"/>
          <w:szCs w:val="24"/>
        </w:rPr>
        <w:t> </w:t>
      </w:r>
      <w:r w:rsidRPr="00F36DFC">
        <w:rPr>
          <w:sz w:val="24"/>
          <w:szCs w:val="24"/>
        </w:rPr>
        <w:t>30</w:t>
      </w:r>
      <w:r w:rsidR="00C26C40">
        <w:rPr>
          <w:sz w:val="24"/>
          <w:szCs w:val="24"/>
        </w:rPr>
        <w:t> </w:t>
      </w:r>
      <w:r w:rsidRPr="00F36DFC">
        <w:rPr>
          <w:sz w:val="24"/>
          <w:szCs w:val="24"/>
        </w:rPr>
        <w:t xml:space="preserve">%). Den vigtigste vej for udskillelse af </w:t>
      </w:r>
      <w:proofErr w:type="spellStart"/>
      <w:r w:rsidRPr="00F36DFC">
        <w:rPr>
          <w:sz w:val="24"/>
          <w:szCs w:val="24"/>
        </w:rPr>
        <w:t>zonisamidmetabolitter</w:t>
      </w:r>
      <w:proofErr w:type="spellEnd"/>
      <w:r w:rsidRPr="00F36DFC">
        <w:rPr>
          <w:sz w:val="24"/>
          <w:szCs w:val="24"/>
        </w:rPr>
        <w:t xml:space="preserve"> og </w:t>
      </w:r>
      <w:proofErr w:type="spellStart"/>
      <w:r w:rsidRPr="00F36DFC">
        <w:rPr>
          <w:sz w:val="24"/>
          <w:szCs w:val="24"/>
        </w:rPr>
        <w:t>uomdannet</w:t>
      </w:r>
      <w:proofErr w:type="spellEnd"/>
      <w:r w:rsidRPr="00F36DFC">
        <w:rPr>
          <w:sz w:val="24"/>
          <w:szCs w:val="24"/>
        </w:rPr>
        <w:t xml:space="preserve"> lægemiddel er gennem urinen. Den </w:t>
      </w:r>
      <w:proofErr w:type="spellStart"/>
      <w:r w:rsidRPr="00F36DFC">
        <w:rPr>
          <w:sz w:val="24"/>
          <w:szCs w:val="24"/>
        </w:rPr>
        <w:t>renale</w:t>
      </w:r>
      <w:proofErr w:type="spellEnd"/>
      <w:r w:rsidRPr="00F36DFC">
        <w:rPr>
          <w:sz w:val="24"/>
          <w:szCs w:val="24"/>
        </w:rPr>
        <w:t xml:space="preserve"> </w:t>
      </w:r>
      <w:proofErr w:type="spellStart"/>
      <w:r w:rsidRPr="00F36DFC">
        <w:rPr>
          <w:sz w:val="24"/>
          <w:szCs w:val="24"/>
        </w:rPr>
        <w:t>clearance</w:t>
      </w:r>
      <w:proofErr w:type="spellEnd"/>
      <w:r w:rsidRPr="00F36DFC">
        <w:rPr>
          <w:sz w:val="24"/>
          <w:szCs w:val="24"/>
        </w:rPr>
        <w:t xml:space="preserve"> af </w:t>
      </w:r>
      <w:proofErr w:type="spellStart"/>
      <w:r w:rsidRPr="00F36DFC">
        <w:rPr>
          <w:sz w:val="24"/>
          <w:szCs w:val="24"/>
        </w:rPr>
        <w:t>uomdannet</w:t>
      </w:r>
      <w:proofErr w:type="spellEnd"/>
      <w:r w:rsidRPr="00F36DFC">
        <w:rPr>
          <w:sz w:val="24"/>
          <w:szCs w:val="24"/>
        </w:rPr>
        <w:t xml:space="preserve"> </w:t>
      </w:r>
      <w:proofErr w:type="spellStart"/>
      <w:r w:rsidRPr="00F36DFC">
        <w:rPr>
          <w:sz w:val="24"/>
          <w:szCs w:val="24"/>
        </w:rPr>
        <w:t>zonisamid</w:t>
      </w:r>
      <w:proofErr w:type="spellEnd"/>
      <w:r w:rsidRPr="00F36DFC">
        <w:rPr>
          <w:sz w:val="24"/>
          <w:szCs w:val="24"/>
        </w:rPr>
        <w:t xml:space="preserve"> er forholdsvis lav (ca. 3,5 ml/min). Omkring 15 - 30 % af dosis elimineres </w:t>
      </w:r>
      <w:proofErr w:type="spellStart"/>
      <w:r w:rsidRPr="00F36DFC">
        <w:rPr>
          <w:sz w:val="24"/>
          <w:szCs w:val="24"/>
        </w:rPr>
        <w:t>uomdannet</w:t>
      </w:r>
      <w:proofErr w:type="spellEnd"/>
      <w:r w:rsidRPr="00F36DFC">
        <w:rPr>
          <w:sz w:val="24"/>
          <w:szCs w:val="24"/>
        </w:rPr>
        <w:t>.</w:t>
      </w:r>
    </w:p>
    <w:p w14:paraId="03EFEEA0" w14:textId="77777777" w:rsidR="0047634C" w:rsidRPr="00F36DFC" w:rsidRDefault="0047634C" w:rsidP="00E14048">
      <w:pPr>
        <w:ind w:left="851"/>
        <w:rPr>
          <w:sz w:val="24"/>
          <w:szCs w:val="24"/>
        </w:rPr>
      </w:pPr>
    </w:p>
    <w:p w14:paraId="26A22B2C" w14:textId="77777777" w:rsidR="0047634C" w:rsidRPr="00F36DFC" w:rsidRDefault="0047634C" w:rsidP="00E14048">
      <w:pPr>
        <w:ind w:left="851"/>
        <w:rPr>
          <w:sz w:val="24"/>
          <w:szCs w:val="24"/>
          <w:u w:val="single"/>
        </w:rPr>
      </w:pPr>
      <w:r w:rsidRPr="00F36DFC">
        <w:rPr>
          <w:sz w:val="24"/>
          <w:szCs w:val="24"/>
          <w:u w:val="single"/>
        </w:rPr>
        <w:t>Linearitet/non-linearitet</w:t>
      </w:r>
    </w:p>
    <w:p w14:paraId="365EEF8E" w14:textId="77777777" w:rsidR="0047634C" w:rsidRPr="00F36DFC" w:rsidRDefault="0047634C" w:rsidP="00E14048">
      <w:pPr>
        <w:ind w:left="851"/>
        <w:rPr>
          <w:sz w:val="24"/>
          <w:szCs w:val="24"/>
        </w:rPr>
      </w:pPr>
    </w:p>
    <w:p w14:paraId="7318F9BE" w14:textId="77777777" w:rsidR="0047634C" w:rsidRPr="00F36DFC" w:rsidRDefault="0047634C" w:rsidP="00E14048">
      <w:pPr>
        <w:ind w:left="851"/>
        <w:rPr>
          <w:sz w:val="24"/>
          <w:szCs w:val="24"/>
        </w:rPr>
      </w:pPr>
      <w:r w:rsidRPr="00F36DFC">
        <w:rPr>
          <w:sz w:val="24"/>
          <w:szCs w:val="24"/>
        </w:rPr>
        <w:t xml:space="preserve">Eksponeringen for </w:t>
      </w:r>
      <w:proofErr w:type="spellStart"/>
      <w:r w:rsidRPr="00F36DFC">
        <w:rPr>
          <w:sz w:val="24"/>
          <w:szCs w:val="24"/>
        </w:rPr>
        <w:t>zonisamid</w:t>
      </w:r>
      <w:proofErr w:type="spellEnd"/>
      <w:r w:rsidRPr="00F36DFC">
        <w:rPr>
          <w:sz w:val="24"/>
          <w:szCs w:val="24"/>
        </w:rPr>
        <w:t xml:space="preserve"> øges med tiden, indtil </w:t>
      </w:r>
      <w:proofErr w:type="spellStart"/>
      <w:r w:rsidRPr="00F36DFC">
        <w:rPr>
          <w:sz w:val="24"/>
          <w:szCs w:val="24"/>
        </w:rPr>
        <w:t>steady-state</w:t>
      </w:r>
      <w:proofErr w:type="spellEnd"/>
      <w:r w:rsidRPr="00F36DFC">
        <w:rPr>
          <w:sz w:val="24"/>
          <w:szCs w:val="24"/>
        </w:rPr>
        <w:t xml:space="preserve"> nås efter ca. 8 uger. Ved sammenligning af samme dosisniveau synes patienter med højere total legemsvægt at have lavere serumkoncentrationer ved </w:t>
      </w:r>
      <w:proofErr w:type="spellStart"/>
      <w:r w:rsidRPr="00F36DFC">
        <w:rPr>
          <w:sz w:val="24"/>
          <w:szCs w:val="24"/>
        </w:rPr>
        <w:t>steady-state</w:t>
      </w:r>
      <w:proofErr w:type="spellEnd"/>
      <w:r w:rsidRPr="00F36DFC">
        <w:rPr>
          <w:sz w:val="24"/>
          <w:szCs w:val="24"/>
        </w:rPr>
        <w:t xml:space="preserve">, men denne virkning synes at være forholdsvis beskeden. Efter justering for virkningerne af legemsvægt synes alder (≥ 12 år) og køn ikke at have nogen virkning på eksponeringen for </w:t>
      </w:r>
      <w:proofErr w:type="spellStart"/>
      <w:r w:rsidRPr="00F36DFC">
        <w:rPr>
          <w:sz w:val="24"/>
          <w:szCs w:val="24"/>
        </w:rPr>
        <w:t>zonisamid</w:t>
      </w:r>
      <w:proofErr w:type="spellEnd"/>
      <w:r w:rsidRPr="00F36DFC">
        <w:rPr>
          <w:sz w:val="24"/>
          <w:szCs w:val="24"/>
        </w:rPr>
        <w:t xml:space="preserve"> hos epileptiske patienter ved </w:t>
      </w:r>
      <w:proofErr w:type="spellStart"/>
      <w:r w:rsidRPr="00F36DFC">
        <w:rPr>
          <w:sz w:val="24"/>
          <w:szCs w:val="24"/>
        </w:rPr>
        <w:t>steady</w:t>
      </w:r>
      <w:proofErr w:type="spellEnd"/>
      <w:r w:rsidRPr="00F36DFC">
        <w:rPr>
          <w:sz w:val="24"/>
          <w:szCs w:val="24"/>
        </w:rPr>
        <w:t xml:space="preserve">-state-dosering. Dosisjustering er ikke nødvendig ved administration sammen med andre </w:t>
      </w:r>
      <w:proofErr w:type="spellStart"/>
      <w:r w:rsidRPr="00F36DFC">
        <w:rPr>
          <w:sz w:val="24"/>
          <w:szCs w:val="24"/>
        </w:rPr>
        <w:t>antiepileptika</w:t>
      </w:r>
      <w:proofErr w:type="spellEnd"/>
      <w:r w:rsidRPr="00F36DFC">
        <w:rPr>
          <w:sz w:val="24"/>
          <w:szCs w:val="24"/>
        </w:rPr>
        <w:t>, herunder CYP3A4-inducere.</w:t>
      </w:r>
    </w:p>
    <w:p w14:paraId="2031E217" w14:textId="77777777" w:rsidR="0047634C" w:rsidRPr="00F36DFC" w:rsidRDefault="0047634C" w:rsidP="00E14048">
      <w:pPr>
        <w:ind w:left="851"/>
        <w:rPr>
          <w:sz w:val="24"/>
          <w:szCs w:val="24"/>
        </w:rPr>
      </w:pPr>
    </w:p>
    <w:p w14:paraId="34BB4DC5" w14:textId="77777777" w:rsidR="0047634C" w:rsidRPr="00F36DFC" w:rsidRDefault="0047634C" w:rsidP="00E14048">
      <w:pPr>
        <w:ind w:left="851"/>
        <w:rPr>
          <w:sz w:val="24"/>
          <w:szCs w:val="24"/>
          <w:u w:val="single"/>
        </w:rPr>
      </w:pPr>
      <w:proofErr w:type="spellStart"/>
      <w:r w:rsidRPr="00F36DFC">
        <w:rPr>
          <w:sz w:val="24"/>
          <w:szCs w:val="24"/>
          <w:u w:val="single"/>
        </w:rPr>
        <w:t>Farmakokinetiske</w:t>
      </w:r>
      <w:proofErr w:type="spellEnd"/>
      <w:r w:rsidRPr="00F36DFC">
        <w:rPr>
          <w:sz w:val="24"/>
          <w:szCs w:val="24"/>
          <w:u w:val="single"/>
        </w:rPr>
        <w:t>/</w:t>
      </w:r>
      <w:proofErr w:type="spellStart"/>
      <w:r w:rsidRPr="00F36DFC">
        <w:rPr>
          <w:sz w:val="24"/>
          <w:szCs w:val="24"/>
          <w:u w:val="single"/>
        </w:rPr>
        <w:t>farmakodynamiske</w:t>
      </w:r>
      <w:proofErr w:type="spellEnd"/>
      <w:r w:rsidRPr="00F36DFC">
        <w:rPr>
          <w:sz w:val="24"/>
          <w:szCs w:val="24"/>
          <w:u w:val="single"/>
        </w:rPr>
        <w:t xml:space="preserve"> forhold</w:t>
      </w:r>
    </w:p>
    <w:p w14:paraId="10A34800" w14:textId="77777777" w:rsidR="0047634C" w:rsidRPr="00F36DFC" w:rsidRDefault="0047634C" w:rsidP="00E14048">
      <w:pPr>
        <w:ind w:left="851"/>
        <w:rPr>
          <w:sz w:val="24"/>
          <w:szCs w:val="24"/>
        </w:rPr>
      </w:pPr>
    </w:p>
    <w:p w14:paraId="630DDBC6" w14:textId="77777777" w:rsidR="0047634C" w:rsidRPr="00F36DFC" w:rsidRDefault="0047634C" w:rsidP="00E14048">
      <w:pPr>
        <w:ind w:left="851"/>
        <w:rPr>
          <w:sz w:val="24"/>
          <w:szCs w:val="24"/>
        </w:rPr>
      </w:pPr>
      <w:proofErr w:type="spellStart"/>
      <w:r w:rsidRPr="00F36DFC">
        <w:rPr>
          <w:sz w:val="24"/>
          <w:szCs w:val="24"/>
        </w:rPr>
        <w:t>Zonisamid</w:t>
      </w:r>
      <w:proofErr w:type="spellEnd"/>
      <w:r w:rsidRPr="00F36DFC">
        <w:rPr>
          <w:sz w:val="24"/>
          <w:szCs w:val="24"/>
        </w:rPr>
        <w:t xml:space="preserve"> reducerer den gennemsnitlige frekvens af krampeanfald i en periode på 28 dage, og reduktionen er proportional (log-lineær) med gennemsnitskoncentrationen af </w:t>
      </w:r>
      <w:proofErr w:type="spellStart"/>
      <w:r w:rsidRPr="00F36DFC">
        <w:rPr>
          <w:sz w:val="24"/>
          <w:szCs w:val="24"/>
        </w:rPr>
        <w:t>zonisamid</w:t>
      </w:r>
      <w:proofErr w:type="spellEnd"/>
      <w:r w:rsidRPr="00F36DFC">
        <w:rPr>
          <w:sz w:val="24"/>
          <w:szCs w:val="24"/>
        </w:rPr>
        <w:t>.</w:t>
      </w:r>
    </w:p>
    <w:p w14:paraId="25B5287A" w14:textId="77777777" w:rsidR="0047634C" w:rsidRPr="00F36DFC" w:rsidRDefault="0047634C" w:rsidP="00E14048">
      <w:pPr>
        <w:ind w:left="851"/>
        <w:rPr>
          <w:sz w:val="24"/>
          <w:szCs w:val="24"/>
        </w:rPr>
      </w:pPr>
    </w:p>
    <w:p w14:paraId="31DE993A" w14:textId="77777777" w:rsidR="0047634C" w:rsidRPr="00F36DFC" w:rsidRDefault="0047634C" w:rsidP="00E14048">
      <w:pPr>
        <w:ind w:left="851"/>
        <w:rPr>
          <w:sz w:val="24"/>
          <w:szCs w:val="24"/>
          <w:u w:val="single"/>
        </w:rPr>
      </w:pPr>
      <w:r w:rsidRPr="00F36DFC">
        <w:rPr>
          <w:sz w:val="24"/>
          <w:szCs w:val="24"/>
          <w:u w:val="single"/>
        </w:rPr>
        <w:t>Specielle patientgrupper</w:t>
      </w:r>
    </w:p>
    <w:p w14:paraId="43A915CB" w14:textId="77777777" w:rsidR="0047634C" w:rsidRPr="00F36DFC" w:rsidRDefault="0047634C" w:rsidP="00E14048">
      <w:pPr>
        <w:ind w:left="851"/>
        <w:rPr>
          <w:sz w:val="24"/>
          <w:szCs w:val="24"/>
        </w:rPr>
      </w:pPr>
    </w:p>
    <w:p w14:paraId="48B5F0C6" w14:textId="77777777" w:rsidR="0047634C" w:rsidRPr="00F36DFC" w:rsidRDefault="0047634C" w:rsidP="00E14048">
      <w:pPr>
        <w:ind w:left="851"/>
        <w:rPr>
          <w:sz w:val="24"/>
          <w:szCs w:val="24"/>
        </w:rPr>
      </w:pPr>
      <w:r w:rsidRPr="00F36DFC">
        <w:rPr>
          <w:i/>
          <w:iCs/>
          <w:sz w:val="24"/>
          <w:szCs w:val="24"/>
        </w:rPr>
        <w:t>Hos patienter med nedsat nyrefunktion</w:t>
      </w:r>
      <w:r w:rsidRPr="00F36DFC">
        <w:rPr>
          <w:sz w:val="24"/>
          <w:szCs w:val="24"/>
        </w:rPr>
        <w:t xml:space="preserve"> var den </w:t>
      </w:r>
      <w:proofErr w:type="spellStart"/>
      <w:r w:rsidRPr="00F36DFC">
        <w:rPr>
          <w:sz w:val="24"/>
          <w:szCs w:val="24"/>
        </w:rPr>
        <w:t>renale</w:t>
      </w:r>
      <w:proofErr w:type="spellEnd"/>
      <w:r w:rsidRPr="00F36DFC">
        <w:rPr>
          <w:sz w:val="24"/>
          <w:szCs w:val="24"/>
        </w:rPr>
        <w:t xml:space="preserve"> </w:t>
      </w:r>
      <w:proofErr w:type="spellStart"/>
      <w:r w:rsidRPr="00F36DFC">
        <w:rPr>
          <w:sz w:val="24"/>
          <w:szCs w:val="24"/>
        </w:rPr>
        <w:t>clearance</w:t>
      </w:r>
      <w:proofErr w:type="spellEnd"/>
      <w:r w:rsidRPr="00F36DFC">
        <w:rPr>
          <w:sz w:val="24"/>
          <w:szCs w:val="24"/>
        </w:rPr>
        <w:t xml:space="preserve"> af enkeltdoser af </w:t>
      </w:r>
      <w:proofErr w:type="spellStart"/>
      <w:r w:rsidRPr="00F36DFC">
        <w:rPr>
          <w:sz w:val="24"/>
          <w:szCs w:val="24"/>
        </w:rPr>
        <w:t>zonisamid</w:t>
      </w:r>
      <w:proofErr w:type="spellEnd"/>
      <w:r w:rsidRPr="00F36DFC">
        <w:rPr>
          <w:sz w:val="24"/>
          <w:szCs w:val="24"/>
        </w:rPr>
        <w:t xml:space="preserve"> positivt korreleret med </w:t>
      </w:r>
      <w:proofErr w:type="spellStart"/>
      <w:r w:rsidRPr="00F36DFC">
        <w:rPr>
          <w:sz w:val="24"/>
          <w:szCs w:val="24"/>
        </w:rPr>
        <w:t>creatininclearance</w:t>
      </w:r>
      <w:proofErr w:type="spellEnd"/>
      <w:r w:rsidRPr="00F36DFC">
        <w:rPr>
          <w:sz w:val="24"/>
          <w:szCs w:val="24"/>
        </w:rPr>
        <w:t xml:space="preserve">. Plasma-AUC for </w:t>
      </w:r>
      <w:proofErr w:type="spellStart"/>
      <w:r w:rsidRPr="00F36DFC">
        <w:rPr>
          <w:sz w:val="24"/>
          <w:szCs w:val="24"/>
        </w:rPr>
        <w:t>zonisamid</w:t>
      </w:r>
      <w:proofErr w:type="spellEnd"/>
      <w:r w:rsidRPr="00F36DFC">
        <w:rPr>
          <w:sz w:val="24"/>
          <w:szCs w:val="24"/>
        </w:rPr>
        <w:t xml:space="preserve"> blev øget med 35 % hos patienter med </w:t>
      </w:r>
      <w:proofErr w:type="spellStart"/>
      <w:r w:rsidRPr="00F36DFC">
        <w:rPr>
          <w:sz w:val="24"/>
          <w:szCs w:val="24"/>
        </w:rPr>
        <w:t>creatininclearance</w:t>
      </w:r>
      <w:proofErr w:type="spellEnd"/>
      <w:r w:rsidRPr="00F36DFC">
        <w:rPr>
          <w:sz w:val="24"/>
          <w:szCs w:val="24"/>
        </w:rPr>
        <w:t xml:space="preserve"> &lt;20 ml/min (se også pkt. 4.2).</w:t>
      </w:r>
    </w:p>
    <w:p w14:paraId="06E2C894" w14:textId="77777777" w:rsidR="0047634C" w:rsidRPr="00F36DFC" w:rsidRDefault="0047634C" w:rsidP="00E14048">
      <w:pPr>
        <w:ind w:left="851"/>
        <w:rPr>
          <w:sz w:val="24"/>
          <w:szCs w:val="24"/>
        </w:rPr>
      </w:pPr>
    </w:p>
    <w:p w14:paraId="453597C7" w14:textId="77777777" w:rsidR="0047634C" w:rsidRPr="00F36DFC" w:rsidRDefault="0047634C" w:rsidP="00E14048">
      <w:pPr>
        <w:ind w:left="851"/>
        <w:rPr>
          <w:sz w:val="24"/>
          <w:szCs w:val="24"/>
        </w:rPr>
      </w:pPr>
      <w:r w:rsidRPr="00F36DFC">
        <w:rPr>
          <w:i/>
          <w:iCs/>
          <w:sz w:val="24"/>
          <w:szCs w:val="24"/>
        </w:rPr>
        <w:t>Patienter med nedsat leverfunktion:</w:t>
      </w:r>
      <w:r w:rsidRPr="00F36DFC">
        <w:rPr>
          <w:sz w:val="24"/>
          <w:szCs w:val="24"/>
        </w:rPr>
        <w:t xml:space="preserve"> </w:t>
      </w:r>
      <w:proofErr w:type="spellStart"/>
      <w:r w:rsidRPr="00F36DFC">
        <w:rPr>
          <w:sz w:val="24"/>
          <w:szCs w:val="24"/>
        </w:rPr>
        <w:t>Zonisamids</w:t>
      </w:r>
      <w:proofErr w:type="spellEnd"/>
      <w:r w:rsidRPr="00F36DFC">
        <w:rPr>
          <w:sz w:val="24"/>
          <w:szCs w:val="24"/>
        </w:rPr>
        <w:t xml:space="preserve"> farmakokinetik hos patienter med nedsat leverfunktion er ikke undersøgt tilstrækkeligt.</w:t>
      </w:r>
    </w:p>
    <w:p w14:paraId="340C881B" w14:textId="77777777" w:rsidR="0047634C" w:rsidRPr="00F36DFC" w:rsidRDefault="0047634C" w:rsidP="00E14048">
      <w:pPr>
        <w:ind w:left="851"/>
        <w:rPr>
          <w:sz w:val="24"/>
          <w:szCs w:val="24"/>
        </w:rPr>
      </w:pPr>
    </w:p>
    <w:p w14:paraId="5FCE5357" w14:textId="77777777" w:rsidR="0047634C" w:rsidRPr="00F36DFC" w:rsidRDefault="0047634C" w:rsidP="00E14048">
      <w:pPr>
        <w:ind w:left="851"/>
        <w:rPr>
          <w:sz w:val="24"/>
          <w:szCs w:val="24"/>
        </w:rPr>
      </w:pPr>
      <w:r w:rsidRPr="00F36DFC">
        <w:rPr>
          <w:i/>
          <w:iCs/>
          <w:sz w:val="24"/>
          <w:szCs w:val="24"/>
        </w:rPr>
        <w:t>Ældre:</w:t>
      </w:r>
      <w:r w:rsidRPr="00F36DFC">
        <w:rPr>
          <w:sz w:val="24"/>
          <w:szCs w:val="24"/>
        </w:rPr>
        <w:t xml:space="preserve"> Der blev ikke observeret klinisk signifikante forskelle i farmakokinetikken mellem unge (i alderen 21-40 år) og ældre (65-75 år).</w:t>
      </w:r>
    </w:p>
    <w:p w14:paraId="09602127" w14:textId="77777777" w:rsidR="0047634C" w:rsidRPr="00F36DFC" w:rsidRDefault="0047634C" w:rsidP="00E14048">
      <w:pPr>
        <w:ind w:left="851"/>
        <w:rPr>
          <w:sz w:val="24"/>
          <w:szCs w:val="24"/>
        </w:rPr>
      </w:pPr>
    </w:p>
    <w:p w14:paraId="47E481E6" w14:textId="77777777" w:rsidR="0047634C" w:rsidRPr="00F36DFC" w:rsidRDefault="0047634C" w:rsidP="00E14048">
      <w:pPr>
        <w:ind w:left="851"/>
        <w:rPr>
          <w:sz w:val="24"/>
          <w:szCs w:val="24"/>
        </w:rPr>
      </w:pPr>
      <w:r w:rsidRPr="00F36DFC">
        <w:rPr>
          <w:i/>
          <w:iCs/>
          <w:sz w:val="24"/>
          <w:szCs w:val="24"/>
        </w:rPr>
        <w:t>Børn og unge (5-18 år):</w:t>
      </w:r>
      <w:r w:rsidRPr="00F36DFC">
        <w:rPr>
          <w:sz w:val="24"/>
          <w:szCs w:val="24"/>
        </w:rPr>
        <w:t xml:space="preserve"> Begrænsede data tyder på, at farmakokinetikken hos børn og unge, som doseres til </w:t>
      </w:r>
      <w:proofErr w:type="spellStart"/>
      <w:r w:rsidRPr="00F36DFC">
        <w:rPr>
          <w:sz w:val="24"/>
          <w:szCs w:val="24"/>
        </w:rPr>
        <w:t>steady-state</w:t>
      </w:r>
      <w:proofErr w:type="spellEnd"/>
      <w:r w:rsidRPr="00F36DFC">
        <w:rPr>
          <w:sz w:val="24"/>
          <w:szCs w:val="24"/>
        </w:rPr>
        <w:t xml:space="preserve"> med 1, 7 eller 12 mg/kg dagligt i delte doser, er den samme, som blev observeret hos voksne efter korrektion for legemsvægt.</w:t>
      </w:r>
    </w:p>
    <w:p w14:paraId="24583F41" w14:textId="77777777" w:rsidR="0047634C" w:rsidRPr="00F36DFC" w:rsidRDefault="0047634C" w:rsidP="00E14048">
      <w:pPr>
        <w:ind w:left="851"/>
        <w:rPr>
          <w:sz w:val="24"/>
          <w:szCs w:val="24"/>
        </w:rPr>
      </w:pPr>
    </w:p>
    <w:p w14:paraId="687F6D43" w14:textId="77777777" w:rsidR="0047634C" w:rsidRPr="00F36DFC" w:rsidRDefault="0047634C" w:rsidP="00E14048">
      <w:pPr>
        <w:ind w:left="851"/>
        <w:rPr>
          <w:sz w:val="24"/>
          <w:szCs w:val="24"/>
          <w:u w:val="single"/>
        </w:rPr>
      </w:pPr>
      <w:r w:rsidRPr="00F36DFC">
        <w:rPr>
          <w:sz w:val="24"/>
          <w:szCs w:val="24"/>
          <w:u w:val="single"/>
        </w:rPr>
        <w:t>Bioækvivalens</w:t>
      </w:r>
    </w:p>
    <w:p w14:paraId="7B8F9C92" w14:textId="77777777" w:rsidR="0047634C" w:rsidRPr="00F36DFC" w:rsidRDefault="0047634C" w:rsidP="00E14048">
      <w:pPr>
        <w:ind w:left="851"/>
        <w:rPr>
          <w:sz w:val="24"/>
          <w:szCs w:val="24"/>
          <w:u w:val="single"/>
        </w:rPr>
      </w:pPr>
    </w:p>
    <w:p w14:paraId="4F768932" w14:textId="49E6E112" w:rsidR="0047634C" w:rsidRPr="00F36DFC" w:rsidRDefault="0047634C" w:rsidP="00E14048">
      <w:pPr>
        <w:ind w:left="851"/>
        <w:rPr>
          <w:sz w:val="24"/>
          <w:szCs w:val="24"/>
        </w:rPr>
      </w:pPr>
      <w:r w:rsidRPr="00F36DFC">
        <w:rPr>
          <w:sz w:val="24"/>
          <w:szCs w:val="24"/>
        </w:rPr>
        <w:t xml:space="preserve">For </w:t>
      </w:r>
      <w:proofErr w:type="spellStart"/>
      <w:r w:rsidRPr="00F36DFC">
        <w:rPr>
          <w:sz w:val="24"/>
          <w:szCs w:val="24"/>
        </w:rPr>
        <w:t>Zonisamid</w:t>
      </w:r>
      <w:proofErr w:type="spellEnd"/>
      <w:r w:rsidRPr="00F36DFC">
        <w:rPr>
          <w:sz w:val="24"/>
          <w:szCs w:val="24"/>
        </w:rPr>
        <w:t xml:space="preserve"> </w:t>
      </w:r>
      <w:r w:rsidR="00C26C40">
        <w:rPr>
          <w:sz w:val="24"/>
          <w:szCs w:val="24"/>
        </w:rPr>
        <w:t>"</w:t>
      </w:r>
      <w:proofErr w:type="spellStart"/>
      <w:r w:rsidR="00C26C40">
        <w:rPr>
          <w:sz w:val="24"/>
          <w:szCs w:val="24"/>
        </w:rPr>
        <w:t>Desitin</w:t>
      </w:r>
      <w:proofErr w:type="spellEnd"/>
      <w:r w:rsidR="00C26C40">
        <w:rPr>
          <w:sz w:val="24"/>
          <w:szCs w:val="24"/>
        </w:rPr>
        <w:t>"</w:t>
      </w:r>
      <w:r w:rsidRPr="00F36DFC">
        <w:rPr>
          <w:sz w:val="24"/>
          <w:szCs w:val="24"/>
        </w:rPr>
        <w:t xml:space="preserve"> oral suspension blev der foretaget en bioækvivalensundersøgelse i forhold til referenceproduktet Zonegran hos 23 raske frivillige under fasteforhold. Da dosislinearitet er givet, kan resultaterne oversættes til andre dosisstyrker. Baseret på de </w:t>
      </w:r>
      <w:proofErr w:type="spellStart"/>
      <w:r w:rsidRPr="00F36DFC">
        <w:rPr>
          <w:sz w:val="24"/>
          <w:szCs w:val="24"/>
        </w:rPr>
        <w:t>farmakokinetiske</w:t>
      </w:r>
      <w:proofErr w:type="spellEnd"/>
      <w:r w:rsidRPr="00F36DFC">
        <w:rPr>
          <w:sz w:val="24"/>
          <w:szCs w:val="24"/>
        </w:rPr>
        <w:t xml:space="preserve"> parametre for </w:t>
      </w:r>
      <w:proofErr w:type="spellStart"/>
      <w:r w:rsidRPr="00F36DFC">
        <w:rPr>
          <w:sz w:val="24"/>
          <w:szCs w:val="24"/>
        </w:rPr>
        <w:t>zonisamid</w:t>
      </w:r>
      <w:proofErr w:type="spellEnd"/>
      <w:r w:rsidRPr="00F36DFC">
        <w:rPr>
          <w:sz w:val="24"/>
          <w:szCs w:val="24"/>
        </w:rPr>
        <w:t xml:space="preserve"> i plasma efter oral administration, blev bioækvivalens sammenlignet med referenceproduktet påvist (tabel 8).</w:t>
      </w:r>
    </w:p>
    <w:p w14:paraId="117A1C42" w14:textId="77777777" w:rsidR="0047634C" w:rsidRPr="00F36DFC" w:rsidRDefault="0047634C" w:rsidP="00E14048">
      <w:pPr>
        <w:ind w:left="851"/>
        <w:rPr>
          <w:sz w:val="24"/>
          <w:szCs w:val="24"/>
        </w:rPr>
      </w:pPr>
    </w:p>
    <w:p w14:paraId="149AC255" w14:textId="15F016CE" w:rsidR="0047634C" w:rsidRPr="00F36DFC" w:rsidRDefault="0047634C" w:rsidP="00E14048">
      <w:pPr>
        <w:ind w:left="851"/>
        <w:rPr>
          <w:sz w:val="24"/>
          <w:szCs w:val="24"/>
        </w:rPr>
      </w:pPr>
      <w:r w:rsidRPr="00F36DFC">
        <w:rPr>
          <w:sz w:val="24"/>
          <w:szCs w:val="24"/>
        </w:rPr>
        <w:t>Plasmakoncentrationens tidsforløb for begge testede produkter var næsten kongruent (figur 1). Med hensyn til den maksimale plasmakoncentration (</w:t>
      </w:r>
      <w:proofErr w:type="spellStart"/>
      <w:r w:rsidRPr="00F36DFC">
        <w:rPr>
          <w:sz w:val="24"/>
          <w:szCs w:val="24"/>
        </w:rPr>
        <w:t>C</w:t>
      </w:r>
      <w:r w:rsidRPr="00F36DFC">
        <w:rPr>
          <w:sz w:val="24"/>
          <w:szCs w:val="24"/>
          <w:vertAlign w:val="subscript"/>
        </w:rPr>
        <w:t>max</w:t>
      </w:r>
      <w:proofErr w:type="spellEnd"/>
      <w:r w:rsidRPr="00F36DFC">
        <w:rPr>
          <w:sz w:val="24"/>
          <w:szCs w:val="24"/>
        </w:rPr>
        <w:t xml:space="preserve">) og arealet under kurven (AUC) var </w:t>
      </w:r>
      <w:proofErr w:type="spellStart"/>
      <w:r w:rsidRPr="00F36DFC">
        <w:rPr>
          <w:sz w:val="24"/>
          <w:szCs w:val="24"/>
        </w:rPr>
        <w:t>Zonisamid</w:t>
      </w:r>
      <w:proofErr w:type="spellEnd"/>
      <w:r w:rsidRPr="00F36DFC">
        <w:rPr>
          <w:sz w:val="24"/>
          <w:szCs w:val="24"/>
        </w:rPr>
        <w:t xml:space="preserve"> </w:t>
      </w:r>
      <w:r w:rsidR="00C26C40">
        <w:rPr>
          <w:sz w:val="24"/>
          <w:szCs w:val="24"/>
        </w:rPr>
        <w:t>"</w:t>
      </w:r>
      <w:proofErr w:type="spellStart"/>
      <w:r w:rsidR="00C26C40">
        <w:rPr>
          <w:sz w:val="24"/>
          <w:szCs w:val="24"/>
        </w:rPr>
        <w:t>Desitin</w:t>
      </w:r>
      <w:proofErr w:type="spellEnd"/>
      <w:r w:rsidR="00C26C40">
        <w:rPr>
          <w:sz w:val="24"/>
          <w:szCs w:val="24"/>
        </w:rPr>
        <w:t>"</w:t>
      </w:r>
      <w:r w:rsidRPr="00F36DFC">
        <w:rPr>
          <w:sz w:val="24"/>
          <w:szCs w:val="24"/>
        </w:rPr>
        <w:t xml:space="preserve"> bioækvivalent sammenlignet med referenceproduktet. For </w:t>
      </w:r>
      <w:proofErr w:type="spellStart"/>
      <w:r w:rsidRPr="00F36DFC">
        <w:rPr>
          <w:sz w:val="24"/>
          <w:szCs w:val="24"/>
        </w:rPr>
        <w:t>C</w:t>
      </w:r>
      <w:r w:rsidRPr="00F36DFC">
        <w:rPr>
          <w:sz w:val="24"/>
          <w:szCs w:val="24"/>
          <w:vertAlign w:val="subscript"/>
        </w:rPr>
        <w:t>max</w:t>
      </w:r>
      <w:proofErr w:type="spellEnd"/>
      <w:r w:rsidRPr="00F36DFC">
        <w:rPr>
          <w:sz w:val="24"/>
          <w:szCs w:val="24"/>
        </w:rPr>
        <w:t xml:space="preserve"> var det gennemsnitlige forhold 98,6 % med 90 % konfidensinterval fra 94,5 % til 102,8 %. Det gennemsnitlige forhold for </w:t>
      </w:r>
      <w:proofErr w:type="gramStart"/>
      <w:r w:rsidRPr="00F36DFC">
        <w:rPr>
          <w:sz w:val="24"/>
          <w:szCs w:val="24"/>
        </w:rPr>
        <w:t>AUC</w:t>
      </w:r>
      <w:r w:rsidRPr="00F36DFC">
        <w:rPr>
          <w:sz w:val="24"/>
          <w:szCs w:val="24"/>
          <w:vertAlign w:val="subscript"/>
        </w:rPr>
        <w:t>(</w:t>
      </w:r>
      <w:proofErr w:type="gramEnd"/>
      <w:r w:rsidRPr="00F36DFC">
        <w:rPr>
          <w:sz w:val="24"/>
          <w:szCs w:val="24"/>
          <w:vertAlign w:val="subscript"/>
        </w:rPr>
        <w:t>0-72)</w:t>
      </w:r>
      <w:r w:rsidRPr="00F36DFC">
        <w:rPr>
          <w:sz w:val="24"/>
          <w:szCs w:val="24"/>
        </w:rPr>
        <w:t xml:space="preserve"> var 98,7 % med 90 % konfidensinterval på 96,1 % til 101,4 %.</w:t>
      </w:r>
    </w:p>
    <w:p w14:paraId="101DECC1" w14:textId="77777777" w:rsidR="0047634C" w:rsidRPr="00F36DFC" w:rsidRDefault="0047634C" w:rsidP="0047634C">
      <w:pPr>
        <w:rPr>
          <w:sz w:val="24"/>
          <w:szCs w:val="24"/>
        </w:rPr>
      </w:pPr>
    </w:p>
    <w:p w14:paraId="67107297" w14:textId="555AFE9B" w:rsidR="0047634C" w:rsidRPr="00F36DFC" w:rsidRDefault="0047634C" w:rsidP="00E14048">
      <w:pPr>
        <w:ind w:left="851"/>
        <w:rPr>
          <w:sz w:val="24"/>
          <w:szCs w:val="24"/>
        </w:rPr>
      </w:pPr>
      <w:r w:rsidRPr="00F36DFC">
        <w:rPr>
          <w:sz w:val="24"/>
          <w:szCs w:val="24"/>
        </w:rPr>
        <w:t xml:space="preserve">Tabel 8: Gennemsnitlige værdier af de </w:t>
      </w:r>
      <w:proofErr w:type="spellStart"/>
      <w:r w:rsidRPr="00F36DFC">
        <w:rPr>
          <w:sz w:val="24"/>
          <w:szCs w:val="24"/>
        </w:rPr>
        <w:t>farmakokinetiske</w:t>
      </w:r>
      <w:proofErr w:type="spellEnd"/>
      <w:r w:rsidRPr="00F36DFC">
        <w:rPr>
          <w:sz w:val="24"/>
          <w:szCs w:val="24"/>
        </w:rPr>
        <w:t xml:space="preserve"> parametre for </w:t>
      </w:r>
      <w:proofErr w:type="spellStart"/>
      <w:r w:rsidRPr="00F36DFC">
        <w:rPr>
          <w:sz w:val="24"/>
          <w:szCs w:val="24"/>
        </w:rPr>
        <w:t>zonisamid</w:t>
      </w:r>
      <w:proofErr w:type="spellEnd"/>
      <w:r w:rsidRPr="00F36DFC">
        <w:rPr>
          <w:sz w:val="24"/>
          <w:szCs w:val="24"/>
        </w:rPr>
        <w:t xml:space="preserve"> efter orale enkeltdoser på 100 mg </w:t>
      </w:r>
      <w:proofErr w:type="spellStart"/>
      <w:r w:rsidRPr="00F36DFC">
        <w:rPr>
          <w:sz w:val="24"/>
          <w:szCs w:val="24"/>
        </w:rPr>
        <w:t>Zonisamid</w:t>
      </w:r>
      <w:proofErr w:type="spellEnd"/>
      <w:r w:rsidRPr="00F36DFC">
        <w:rPr>
          <w:sz w:val="24"/>
          <w:szCs w:val="24"/>
        </w:rPr>
        <w:t xml:space="preserve"> </w:t>
      </w:r>
      <w:r w:rsidR="00C26C40">
        <w:rPr>
          <w:sz w:val="24"/>
          <w:szCs w:val="24"/>
        </w:rPr>
        <w:t>"</w:t>
      </w:r>
      <w:proofErr w:type="spellStart"/>
      <w:r w:rsidR="00C26C40">
        <w:rPr>
          <w:sz w:val="24"/>
          <w:szCs w:val="24"/>
        </w:rPr>
        <w:t>Desitin</w:t>
      </w:r>
      <w:proofErr w:type="spellEnd"/>
      <w:r w:rsidR="00C26C40">
        <w:rPr>
          <w:sz w:val="24"/>
          <w:szCs w:val="24"/>
        </w:rPr>
        <w:t>"</w:t>
      </w:r>
      <w:r w:rsidRPr="00F36DFC">
        <w:rPr>
          <w:sz w:val="24"/>
          <w:szCs w:val="24"/>
        </w:rPr>
        <w:t xml:space="preserve"> sammenlignet med referenceproduktet</w:t>
      </w:r>
    </w:p>
    <w:tbl>
      <w:tblPr>
        <w:tblStyle w:val="Tabel-Gitter"/>
        <w:tblW w:w="0" w:type="auto"/>
        <w:tblInd w:w="846" w:type="dxa"/>
        <w:tblLook w:val="04A0" w:firstRow="1" w:lastRow="0" w:firstColumn="1" w:lastColumn="0" w:noHBand="0" w:noVBand="1"/>
      </w:tblPr>
      <w:tblGrid>
        <w:gridCol w:w="1242"/>
        <w:gridCol w:w="1418"/>
        <w:gridCol w:w="2551"/>
        <w:gridCol w:w="1985"/>
      </w:tblGrid>
      <w:tr w:rsidR="0047634C" w:rsidRPr="00093F50" w14:paraId="3507E013" w14:textId="77777777" w:rsidTr="00366984">
        <w:tc>
          <w:tcPr>
            <w:tcW w:w="1242" w:type="dxa"/>
            <w:tcBorders>
              <w:top w:val="single" w:sz="4" w:space="0" w:color="auto"/>
              <w:left w:val="single" w:sz="4" w:space="0" w:color="auto"/>
              <w:bottom w:val="single" w:sz="4" w:space="0" w:color="auto"/>
              <w:right w:val="single" w:sz="4" w:space="0" w:color="auto"/>
            </w:tcBorders>
          </w:tcPr>
          <w:p w14:paraId="7D08F9D2" w14:textId="77777777" w:rsidR="0047634C" w:rsidRPr="00093F50" w:rsidRDefault="0047634C">
            <w:pPr>
              <w:rPr>
                <w:rFonts w:ascii="Times New Roman" w:hAnsi="Times New Roman" w:cs="Times New Roman"/>
                <w:sz w:val="22"/>
                <w:lang w:val="da-DK"/>
              </w:rPr>
            </w:pPr>
          </w:p>
        </w:tc>
        <w:tc>
          <w:tcPr>
            <w:tcW w:w="1418" w:type="dxa"/>
            <w:tcBorders>
              <w:top w:val="single" w:sz="4" w:space="0" w:color="auto"/>
              <w:left w:val="single" w:sz="4" w:space="0" w:color="auto"/>
              <w:bottom w:val="single" w:sz="4" w:space="0" w:color="auto"/>
              <w:right w:val="single" w:sz="4" w:space="0" w:color="auto"/>
            </w:tcBorders>
          </w:tcPr>
          <w:p w14:paraId="5C64EDDD" w14:textId="77777777" w:rsidR="0047634C" w:rsidRPr="00093F50" w:rsidRDefault="0047634C">
            <w:pPr>
              <w:rPr>
                <w:rFonts w:ascii="Times New Roman" w:hAnsi="Times New Roman" w:cs="Times New Roman"/>
                <w:sz w:val="22"/>
                <w:lang w:val="da-DK"/>
              </w:rPr>
            </w:pPr>
          </w:p>
        </w:tc>
        <w:tc>
          <w:tcPr>
            <w:tcW w:w="2551" w:type="dxa"/>
            <w:tcBorders>
              <w:top w:val="single" w:sz="4" w:space="0" w:color="auto"/>
              <w:left w:val="single" w:sz="4" w:space="0" w:color="auto"/>
              <w:bottom w:val="single" w:sz="4" w:space="0" w:color="auto"/>
              <w:right w:val="single" w:sz="4" w:space="0" w:color="auto"/>
            </w:tcBorders>
            <w:hideMark/>
          </w:tcPr>
          <w:p w14:paraId="27062BCD" w14:textId="056DDD5F" w:rsidR="0047634C" w:rsidRPr="00093F50" w:rsidRDefault="0047634C">
            <w:pPr>
              <w:widowControl/>
              <w:rPr>
                <w:rFonts w:ascii="Times New Roman" w:hAnsi="Times New Roman" w:cs="Times New Roman"/>
                <w:sz w:val="22"/>
                <w:lang w:val="en-GB"/>
              </w:rPr>
            </w:pPr>
            <w:proofErr w:type="spellStart"/>
            <w:r w:rsidRPr="00093F50">
              <w:rPr>
                <w:rFonts w:ascii="Times New Roman" w:hAnsi="Times New Roman" w:cs="Times New Roman"/>
                <w:sz w:val="22"/>
                <w:lang w:val="da-DK"/>
              </w:rPr>
              <w:t>Zonisamid</w:t>
            </w:r>
            <w:proofErr w:type="spellEnd"/>
            <w:r w:rsidRPr="00093F50">
              <w:rPr>
                <w:rFonts w:ascii="Times New Roman" w:hAnsi="Times New Roman" w:cs="Times New Roman"/>
                <w:sz w:val="22"/>
                <w:lang w:val="da-DK"/>
              </w:rPr>
              <w:t xml:space="preserve"> </w:t>
            </w:r>
            <w:r w:rsidR="00C26C40">
              <w:rPr>
                <w:rFonts w:ascii="Times New Roman" w:hAnsi="Times New Roman" w:cs="Times New Roman"/>
                <w:sz w:val="22"/>
                <w:lang w:val="da-DK"/>
              </w:rPr>
              <w:t>"</w:t>
            </w:r>
            <w:proofErr w:type="spellStart"/>
            <w:r w:rsidR="00C26C40">
              <w:rPr>
                <w:rFonts w:ascii="Times New Roman" w:hAnsi="Times New Roman" w:cs="Times New Roman"/>
                <w:sz w:val="22"/>
                <w:lang w:val="da-DK"/>
              </w:rPr>
              <w:t>Desitin</w:t>
            </w:r>
            <w:proofErr w:type="spellEnd"/>
            <w:r w:rsidR="00C26C40">
              <w:rPr>
                <w:rFonts w:ascii="Times New Roman" w:hAnsi="Times New Roman" w:cs="Times New Roman"/>
                <w:sz w:val="22"/>
                <w:lang w:val="da-DK"/>
              </w:rPr>
              <w:t>"</w:t>
            </w:r>
            <w:r w:rsidRPr="00093F50">
              <w:rPr>
                <w:rFonts w:ascii="Times New Roman" w:hAnsi="Times New Roman" w:cs="Times New Roman"/>
                <w:sz w:val="22"/>
                <w:lang w:val="da-DK"/>
              </w:rPr>
              <w:t xml:space="preserve"> 100 mg</w:t>
            </w:r>
          </w:p>
        </w:tc>
        <w:tc>
          <w:tcPr>
            <w:tcW w:w="1985" w:type="dxa"/>
            <w:tcBorders>
              <w:top w:val="single" w:sz="4" w:space="0" w:color="auto"/>
              <w:left w:val="single" w:sz="4" w:space="0" w:color="auto"/>
              <w:bottom w:val="single" w:sz="4" w:space="0" w:color="auto"/>
              <w:right w:val="single" w:sz="4" w:space="0" w:color="auto"/>
            </w:tcBorders>
            <w:hideMark/>
          </w:tcPr>
          <w:p w14:paraId="32CB1C42" w14:textId="77777777" w:rsidR="0047634C" w:rsidRPr="00093F50" w:rsidRDefault="0047634C">
            <w:pPr>
              <w:widowControl/>
              <w:rPr>
                <w:rFonts w:ascii="Times New Roman" w:hAnsi="Times New Roman" w:cs="Times New Roman"/>
                <w:sz w:val="22"/>
              </w:rPr>
            </w:pPr>
            <w:r w:rsidRPr="00093F50">
              <w:rPr>
                <w:rFonts w:ascii="Times New Roman" w:hAnsi="Times New Roman" w:cs="Times New Roman"/>
                <w:sz w:val="22"/>
                <w:lang w:val="da-DK"/>
              </w:rPr>
              <w:t>Referenceprodukt 100 mg</w:t>
            </w:r>
          </w:p>
        </w:tc>
      </w:tr>
      <w:tr w:rsidR="0047634C" w:rsidRPr="00093F50" w14:paraId="7E84EDA7" w14:textId="77777777" w:rsidTr="00366984">
        <w:tc>
          <w:tcPr>
            <w:tcW w:w="1242" w:type="dxa"/>
            <w:tcBorders>
              <w:top w:val="single" w:sz="4" w:space="0" w:color="auto"/>
              <w:left w:val="single" w:sz="4" w:space="0" w:color="auto"/>
              <w:bottom w:val="single" w:sz="4" w:space="0" w:color="auto"/>
              <w:right w:val="single" w:sz="4" w:space="0" w:color="auto"/>
            </w:tcBorders>
            <w:hideMark/>
          </w:tcPr>
          <w:p w14:paraId="0A2C196A" w14:textId="77777777" w:rsidR="0047634C" w:rsidRPr="00093F50" w:rsidRDefault="0047634C">
            <w:pPr>
              <w:widowControl/>
              <w:rPr>
                <w:rFonts w:ascii="Times New Roman" w:hAnsi="Times New Roman" w:cs="Times New Roman"/>
                <w:sz w:val="22"/>
              </w:rPr>
            </w:pPr>
            <w:proofErr w:type="spellStart"/>
            <w:r w:rsidRPr="00093F50">
              <w:rPr>
                <w:rFonts w:ascii="Times New Roman" w:hAnsi="Times New Roman" w:cs="Times New Roman"/>
                <w:sz w:val="22"/>
                <w:lang w:val="da-DK"/>
              </w:rPr>
              <w:t>C</w:t>
            </w:r>
            <w:r w:rsidRPr="00093F50">
              <w:rPr>
                <w:rFonts w:ascii="Times New Roman" w:hAnsi="Times New Roman" w:cs="Times New Roman"/>
                <w:sz w:val="22"/>
                <w:vertAlign w:val="subscript"/>
                <w:lang w:val="da-DK"/>
              </w:rPr>
              <w:t>max</w:t>
            </w:r>
            <w:proofErr w:type="spellEnd"/>
            <w:r w:rsidRPr="00093F50">
              <w:rPr>
                <w:rFonts w:ascii="Times New Roman" w:hAnsi="Times New Roman" w:cs="Times New Roman"/>
                <w:sz w:val="22"/>
                <w:vertAlign w:val="subscript"/>
                <w:lang w:val="da-DK"/>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58D7A92F" w14:textId="77777777" w:rsidR="0047634C" w:rsidRPr="00093F50" w:rsidRDefault="0047634C">
            <w:pPr>
              <w:widowControl/>
              <w:rPr>
                <w:rFonts w:ascii="Times New Roman" w:hAnsi="Times New Roman" w:cs="Times New Roman"/>
                <w:sz w:val="22"/>
              </w:rPr>
            </w:pPr>
            <w:proofErr w:type="spellStart"/>
            <w:r w:rsidRPr="00093F50">
              <w:rPr>
                <w:rFonts w:ascii="Times New Roman" w:hAnsi="Times New Roman" w:cs="Times New Roman"/>
                <w:sz w:val="22"/>
                <w:lang w:val="da-DK"/>
              </w:rPr>
              <w:t>ng</w:t>
            </w:r>
            <w:proofErr w:type="spellEnd"/>
            <w:r w:rsidRPr="00093F50">
              <w:rPr>
                <w:rFonts w:ascii="Times New Roman" w:hAnsi="Times New Roman" w:cs="Times New Roman"/>
                <w:sz w:val="22"/>
                <w:lang w:val="da-DK"/>
              </w:rPr>
              <w:t>/</w:t>
            </w:r>
            <w:proofErr w:type="spellStart"/>
            <w:r w:rsidRPr="00093F50">
              <w:rPr>
                <w:rFonts w:ascii="Times New Roman" w:hAnsi="Times New Roman" w:cs="Times New Roman"/>
                <w:sz w:val="22"/>
                <w:lang w:val="da-DK"/>
              </w:rPr>
              <w:t>mL</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64825A52" w14:textId="77777777" w:rsidR="0047634C" w:rsidRPr="00093F50" w:rsidRDefault="0047634C">
            <w:pPr>
              <w:widowControl/>
              <w:rPr>
                <w:rFonts w:ascii="Times New Roman" w:hAnsi="Times New Roman" w:cs="Times New Roman"/>
                <w:sz w:val="22"/>
              </w:rPr>
            </w:pPr>
            <w:r w:rsidRPr="00093F50">
              <w:rPr>
                <w:rFonts w:ascii="Times New Roman" w:hAnsi="Times New Roman" w:cs="Times New Roman"/>
                <w:color w:val="000000"/>
                <w:sz w:val="22"/>
                <w:lang w:val="da-DK"/>
              </w:rPr>
              <w:t>1003,17 </w:t>
            </w:r>
          </w:p>
        </w:tc>
        <w:tc>
          <w:tcPr>
            <w:tcW w:w="1985" w:type="dxa"/>
            <w:tcBorders>
              <w:top w:val="single" w:sz="4" w:space="0" w:color="auto"/>
              <w:left w:val="single" w:sz="4" w:space="0" w:color="auto"/>
              <w:bottom w:val="single" w:sz="4" w:space="0" w:color="auto"/>
              <w:right w:val="single" w:sz="4" w:space="0" w:color="auto"/>
            </w:tcBorders>
            <w:hideMark/>
          </w:tcPr>
          <w:p w14:paraId="77CFEB5B" w14:textId="77777777" w:rsidR="0047634C" w:rsidRPr="00093F50" w:rsidRDefault="0047634C">
            <w:pPr>
              <w:widowControl/>
              <w:rPr>
                <w:rFonts w:ascii="Times New Roman" w:hAnsi="Times New Roman" w:cs="Times New Roman"/>
                <w:sz w:val="22"/>
              </w:rPr>
            </w:pPr>
            <w:r w:rsidRPr="00093F50">
              <w:rPr>
                <w:rFonts w:ascii="Times New Roman" w:hAnsi="Times New Roman" w:cs="Times New Roman"/>
                <w:color w:val="000000"/>
                <w:sz w:val="22"/>
                <w:lang w:val="da-DK"/>
              </w:rPr>
              <w:t>995,11 </w:t>
            </w:r>
          </w:p>
        </w:tc>
      </w:tr>
      <w:tr w:rsidR="0047634C" w:rsidRPr="00093F50" w14:paraId="7624B1F6" w14:textId="77777777" w:rsidTr="00366984">
        <w:tc>
          <w:tcPr>
            <w:tcW w:w="1242" w:type="dxa"/>
            <w:tcBorders>
              <w:top w:val="single" w:sz="4" w:space="0" w:color="auto"/>
              <w:left w:val="single" w:sz="4" w:space="0" w:color="auto"/>
              <w:bottom w:val="single" w:sz="4" w:space="0" w:color="auto"/>
              <w:right w:val="single" w:sz="4" w:space="0" w:color="auto"/>
            </w:tcBorders>
            <w:hideMark/>
          </w:tcPr>
          <w:p w14:paraId="4C9E1993" w14:textId="77777777" w:rsidR="0047634C" w:rsidRPr="00093F50" w:rsidRDefault="0047634C">
            <w:pPr>
              <w:widowControl/>
              <w:rPr>
                <w:rFonts w:ascii="Times New Roman" w:hAnsi="Times New Roman" w:cs="Times New Roman"/>
                <w:sz w:val="22"/>
              </w:rPr>
            </w:pPr>
            <w:proofErr w:type="spellStart"/>
            <w:r w:rsidRPr="00093F50">
              <w:rPr>
                <w:rFonts w:ascii="Times New Roman" w:hAnsi="Times New Roman" w:cs="Times New Roman"/>
                <w:sz w:val="22"/>
                <w:lang w:val="da-DK"/>
              </w:rPr>
              <w:t>t</w:t>
            </w:r>
            <w:r w:rsidRPr="00093F50">
              <w:rPr>
                <w:rFonts w:ascii="Times New Roman" w:hAnsi="Times New Roman" w:cs="Times New Roman"/>
                <w:sz w:val="22"/>
                <w:vertAlign w:val="subscript"/>
                <w:lang w:val="da-DK"/>
              </w:rPr>
              <w:t>max</w:t>
            </w:r>
            <w:proofErr w:type="spellEnd"/>
            <w:r w:rsidRPr="00093F50">
              <w:rPr>
                <w:rFonts w:ascii="Times New Roman" w:hAnsi="Times New Roman" w:cs="Times New Roman"/>
                <w:sz w:val="22"/>
                <w:vertAlign w:val="subscript"/>
                <w:lang w:val="da-DK"/>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68480A9F" w14:textId="77777777" w:rsidR="0047634C" w:rsidRPr="00093F50" w:rsidRDefault="0047634C">
            <w:pPr>
              <w:widowControl/>
              <w:rPr>
                <w:rFonts w:ascii="Times New Roman" w:hAnsi="Times New Roman" w:cs="Times New Roman"/>
                <w:sz w:val="22"/>
              </w:rPr>
            </w:pPr>
            <w:r w:rsidRPr="00093F50">
              <w:rPr>
                <w:rFonts w:ascii="Times New Roman" w:hAnsi="Times New Roman" w:cs="Times New Roman"/>
                <w:sz w:val="22"/>
                <w:lang w:val="da-DK"/>
              </w:rPr>
              <w:t>t</w:t>
            </w:r>
          </w:p>
        </w:tc>
        <w:tc>
          <w:tcPr>
            <w:tcW w:w="2551" w:type="dxa"/>
            <w:tcBorders>
              <w:top w:val="single" w:sz="4" w:space="0" w:color="auto"/>
              <w:left w:val="single" w:sz="4" w:space="0" w:color="auto"/>
              <w:bottom w:val="single" w:sz="4" w:space="0" w:color="auto"/>
              <w:right w:val="single" w:sz="4" w:space="0" w:color="auto"/>
            </w:tcBorders>
            <w:hideMark/>
          </w:tcPr>
          <w:p w14:paraId="2ECC5705" w14:textId="77777777" w:rsidR="0047634C" w:rsidRPr="00093F50" w:rsidRDefault="0047634C">
            <w:pPr>
              <w:widowControl/>
              <w:rPr>
                <w:rFonts w:ascii="Times New Roman" w:hAnsi="Times New Roman" w:cs="Times New Roman"/>
                <w:sz w:val="22"/>
              </w:rPr>
            </w:pPr>
            <w:r w:rsidRPr="00093F50">
              <w:rPr>
                <w:rFonts w:ascii="Times New Roman" w:hAnsi="Times New Roman" w:cs="Times New Roman"/>
                <w:sz w:val="22"/>
                <w:lang w:val="da-DK"/>
              </w:rPr>
              <w:t>2,00</w:t>
            </w:r>
          </w:p>
        </w:tc>
        <w:tc>
          <w:tcPr>
            <w:tcW w:w="1985" w:type="dxa"/>
            <w:tcBorders>
              <w:top w:val="single" w:sz="4" w:space="0" w:color="auto"/>
              <w:left w:val="single" w:sz="4" w:space="0" w:color="auto"/>
              <w:bottom w:val="single" w:sz="4" w:space="0" w:color="auto"/>
              <w:right w:val="single" w:sz="4" w:space="0" w:color="auto"/>
            </w:tcBorders>
            <w:hideMark/>
          </w:tcPr>
          <w:p w14:paraId="70332BD0" w14:textId="77777777" w:rsidR="0047634C" w:rsidRPr="00093F50" w:rsidRDefault="0047634C">
            <w:pPr>
              <w:widowControl/>
              <w:rPr>
                <w:rFonts w:ascii="Times New Roman" w:hAnsi="Times New Roman" w:cs="Times New Roman"/>
                <w:sz w:val="22"/>
              </w:rPr>
            </w:pPr>
            <w:r w:rsidRPr="00093F50">
              <w:rPr>
                <w:rFonts w:ascii="Times New Roman" w:hAnsi="Times New Roman" w:cs="Times New Roman"/>
                <w:sz w:val="22"/>
                <w:lang w:val="da-DK"/>
              </w:rPr>
              <w:t>3,25</w:t>
            </w:r>
          </w:p>
        </w:tc>
      </w:tr>
      <w:tr w:rsidR="0047634C" w:rsidRPr="00093F50" w14:paraId="2CE5D4AC" w14:textId="77777777" w:rsidTr="00366984">
        <w:tc>
          <w:tcPr>
            <w:tcW w:w="1242" w:type="dxa"/>
            <w:tcBorders>
              <w:top w:val="single" w:sz="4" w:space="0" w:color="auto"/>
              <w:left w:val="single" w:sz="4" w:space="0" w:color="auto"/>
              <w:bottom w:val="single" w:sz="4" w:space="0" w:color="auto"/>
              <w:right w:val="single" w:sz="4" w:space="0" w:color="auto"/>
            </w:tcBorders>
            <w:hideMark/>
          </w:tcPr>
          <w:p w14:paraId="78CC1DAE" w14:textId="77777777" w:rsidR="0047634C" w:rsidRPr="00093F50" w:rsidRDefault="0047634C">
            <w:pPr>
              <w:widowControl/>
              <w:rPr>
                <w:rFonts w:ascii="Times New Roman" w:hAnsi="Times New Roman" w:cs="Times New Roman"/>
                <w:sz w:val="22"/>
              </w:rPr>
            </w:pPr>
            <w:proofErr w:type="gramStart"/>
            <w:r w:rsidRPr="00093F50">
              <w:rPr>
                <w:rFonts w:ascii="Times New Roman" w:hAnsi="Times New Roman" w:cs="Times New Roman"/>
                <w:sz w:val="22"/>
                <w:lang w:val="da-DK"/>
              </w:rPr>
              <w:t>AUC</w:t>
            </w:r>
            <w:r w:rsidRPr="00093F50">
              <w:rPr>
                <w:rFonts w:ascii="Times New Roman" w:hAnsi="Times New Roman" w:cs="Times New Roman"/>
                <w:sz w:val="22"/>
                <w:vertAlign w:val="subscript"/>
                <w:lang w:val="da-DK"/>
              </w:rPr>
              <w:t>(</w:t>
            </w:r>
            <w:proofErr w:type="gramEnd"/>
            <w:r w:rsidRPr="00093F50">
              <w:rPr>
                <w:rFonts w:ascii="Times New Roman" w:hAnsi="Times New Roman" w:cs="Times New Roman"/>
                <w:sz w:val="22"/>
                <w:vertAlign w:val="subscript"/>
                <w:lang w:val="da-DK"/>
              </w:rPr>
              <w:t xml:space="preserve">0-72) </w:t>
            </w:r>
          </w:p>
        </w:tc>
        <w:tc>
          <w:tcPr>
            <w:tcW w:w="1418" w:type="dxa"/>
            <w:tcBorders>
              <w:top w:val="single" w:sz="4" w:space="0" w:color="auto"/>
              <w:left w:val="single" w:sz="4" w:space="0" w:color="auto"/>
              <w:bottom w:val="single" w:sz="4" w:space="0" w:color="auto"/>
              <w:right w:val="single" w:sz="4" w:space="0" w:color="auto"/>
            </w:tcBorders>
            <w:hideMark/>
          </w:tcPr>
          <w:p w14:paraId="499B8B08" w14:textId="77777777" w:rsidR="0047634C" w:rsidRPr="00093F50" w:rsidRDefault="0047634C">
            <w:pPr>
              <w:rPr>
                <w:rFonts w:ascii="Times New Roman" w:hAnsi="Times New Roman" w:cs="Times New Roman"/>
                <w:sz w:val="22"/>
              </w:rPr>
            </w:pPr>
            <w:r w:rsidRPr="00093F50">
              <w:rPr>
                <w:rFonts w:ascii="Times New Roman" w:hAnsi="Times New Roman" w:cs="Times New Roman"/>
                <w:sz w:val="22"/>
                <w:lang w:val="da-DK"/>
              </w:rPr>
              <w:t xml:space="preserve">t ∙ </w:t>
            </w:r>
            <w:proofErr w:type="spellStart"/>
            <w:r w:rsidRPr="00093F50">
              <w:rPr>
                <w:rFonts w:ascii="Times New Roman" w:hAnsi="Times New Roman" w:cs="Times New Roman"/>
                <w:sz w:val="22"/>
                <w:lang w:val="da-DK"/>
              </w:rPr>
              <w:t>ng</w:t>
            </w:r>
            <w:proofErr w:type="spellEnd"/>
            <w:r w:rsidRPr="00093F50">
              <w:rPr>
                <w:rFonts w:ascii="Times New Roman" w:hAnsi="Times New Roman" w:cs="Times New Roman"/>
                <w:sz w:val="22"/>
                <w:lang w:val="da-DK"/>
              </w:rPr>
              <w:t>/</w:t>
            </w:r>
            <w:proofErr w:type="spellStart"/>
            <w:r w:rsidRPr="00093F50">
              <w:rPr>
                <w:rFonts w:ascii="Times New Roman" w:hAnsi="Times New Roman" w:cs="Times New Roman"/>
                <w:sz w:val="22"/>
                <w:lang w:val="da-DK"/>
              </w:rPr>
              <w:t>mL</w:t>
            </w:r>
            <w:proofErr w:type="spellEnd"/>
          </w:p>
        </w:tc>
        <w:tc>
          <w:tcPr>
            <w:tcW w:w="2551" w:type="dxa"/>
            <w:tcBorders>
              <w:top w:val="single" w:sz="4" w:space="0" w:color="auto"/>
              <w:left w:val="single" w:sz="4" w:space="0" w:color="auto"/>
              <w:bottom w:val="single" w:sz="4" w:space="0" w:color="auto"/>
              <w:right w:val="single" w:sz="4" w:space="0" w:color="auto"/>
            </w:tcBorders>
            <w:hideMark/>
          </w:tcPr>
          <w:p w14:paraId="6F317E41" w14:textId="77777777" w:rsidR="0047634C" w:rsidRPr="00093F50" w:rsidRDefault="0047634C">
            <w:pPr>
              <w:widowControl/>
              <w:rPr>
                <w:rFonts w:ascii="Times New Roman" w:hAnsi="Times New Roman" w:cs="Times New Roman"/>
                <w:sz w:val="22"/>
              </w:rPr>
            </w:pPr>
            <w:r w:rsidRPr="00093F50">
              <w:rPr>
                <w:rFonts w:ascii="Times New Roman" w:hAnsi="Times New Roman" w:cs="Times New Roman"/>
                <w:color w:val="000000"/>
                <w:sz w:val="22"/>
                <w:lang w:val="da-DK"/>
              </w:rPr>
              <w:t>38964,95</w:t>
            </w:r>
          </w:p>
        </w:tc>
        <w:tc>
          <w:tcPr>
            <w:tcW w:w="1985" w:type="dxa"/>
            <w:tcBorders>
              <w:top w:val="single" w:sz="4" w:space="0" w:color="auto"/>
              <w:left w:val="single" w:sz="4" w:space="0" w:color="auto"/>
              <w:bottom w:val="single" w:sz="4" w:space="0" w:color="auto"/>
              <w:right w:val="single" w:sz="4" w:space="0" w:color="auto"/>
            </w:tcBorders>
            <w:hideMark/>
          </w:tcPr>
          <w:p w14:paraId="58C58756" w14:textId="77777777" w:rsidR="0047634C" w:rsidRPr="00093F50" w:rsidRDefault="0047634C">
            <w:pPr>
              <w:widowControl/>
              <w:rPr>
                <w:rFonts w:ascii="Times New Roman" w:hAnsi="Times New Roman" w:cs="Times New Roman"/>
                <w:sz w:val="22"/>
              </w:rPr>
            </w:pPr>
            <w:r w:rsidRPr="00093F50">
              <w:rPr>
                <w:rFonts w:ascii="Times New Roman" w:hAnsi="Times New Roman" w:cs="Times New Roman"/>
                <w:color w:val="000000"/>
                <w:sz w:val="22"/>
                <w:lang w:val="da-DK"/>
              </w:rPr>
              <w:t>39070,99 </w:t>
            </w:r>
          </w:p>
        </w:tc>
      </w:tr>
    </w:tbl>
    <w:p w14:paraId="081C8994" w14:textId="77777777" w:rsidR="0047634C" w:rsidRPr="00F36DFC" w:rsidRDefault="0047634C" w:rsidP="00366984">
      <w:pPr>
        <w:ind w:left="851"/>
        <w:rPr>
          <w:sz w:val="24"/>
          <w:szCs w:val="24"/>
          <w:u w:val="single"/>
          <w:lang w:val="en-GB" w:eastAsia="de-DE"/>
        </w:rPr>
      </w:pPr>
    </w:p>
    <w:p w14:paraId="49D6A3FE" w14:textId="77777777" w:rsidR="0047634C" w:rsidRPr="00F36DFC" w:rsidRDefault="0047634C" w:rsidP="00366984">
      <w:pPr>
        <w:ind w:left="851"/>
        <w:rPr>
          <w:sz w:val="24"/>
          <w:szCs w:val="24"/>
          <w:vertAlign w:val="subscript"/>
        </w:rPr>
      </w:pPr>
      <w:r w:rsidRPr="00F36DFC">
        <w:rPr>
          <w:sz w:val="24"/>
          <w:szCs w:val="24"/>
          <w:u w:val="single"/>
        </w:rPr>
        <w:t>Forklaring:</w:t>
      </w:r>
      <w:r w:rsidRPr="00F36DFC">
        <w:rPr>
          <w:sz w:val="24"/>
          <w:szCs w:val="24"/>
        </w:rPr>
        <w:t xml:space="preserve"> geometrisk gennemsnit for </w:t>
      </w:r>
      <w:proofErr w:type="spellStart"/>
      <w:r w:rsidRPr="00F36DFC">
        <w:rPr>
          <w:sz w:val="24"/>
          <w:szCs w:val="24"/>
        </w:rPr>
        <w:t>C</w:t>
      </w:r>
      <w:r w:rsidRPr="00F36DFC">
        <w:rPr>
          <w:sz w:val="24"/>
          <w:szCs w:val="24"/>
          <w:vertAlign w:val="subscript"/>
        </w:rPr>
        <w:t>max</w:t>
      </w:r>
      <w:proofErr w:type="spellEnd"/>
      <w:r w:rsidRPr="00F36DFC">
        <w:rPr>
          <w:sz w:val="24"/>
          <w:szCs w:val="24"/>
        </w:rPr>
        <w:t xml:space="preserve"> og</w:t>
      </w:r>
      <w:r w:rsidRPr="00F36DFC">
        <w:rPr>
          <w:sz w:val="24"/>
          <w:szCs w:val="24"/>
          <w:vertAlign w:val="subscript"/>
        </w:rPr>
        <w:t xml:space="preserve"> </w:t>
      </w:r>
      <w:proofErr w:type="gramStart"/>
      <w:r w:rsidRPr="00F36DFC">
        <w:rPr>
          <w:sz w:val="24"/>
          <w:szCs w:val="24"/>
        </w:rPr>
        <w:t>AUC</w:t>
      </w:r>
      <w:r w:rsidRPr="00F36DFC">
        <w:rPr>
          <w:sz w:val="24"/>
          <w:szCs w:val="24"/>
          <w:vertAlign w:val="subscript"/>
        </w:rPr>
        <w:t>(</w:t>
      </w:r>
      <w:proofErr w:type="gramEnd"/>
      <w:r w:rsidRPr="00F36DFC">
        <w:rPr>
          <w:sz w:val="24"/>
          <w:szCs w:val="24"/>
          <w:vertAlign w:val="subscript"/>
        </w:rPr>
        <w:t>0-72)</w:t>
      </w:r>
      <w:r w:rsidRPr="00F36DFC">
        <w:rPr>
          <w:sz w:val="24"/>
          <w:szCs w:val="24"/>
        </w:rPr>
        <w:t>, median for t</w:t>
      </w:r>
      <w:r w:rsidRPr="00F36DFC">
        <w:rPr>
          <w:sz w:val="24"/>
          <w:szCs w:val="24"/>
          <w:vertAlign w:val="subscript"/>
        </w:rPr>
        <w:t xml:space="preserve"> max</w:t>
      </w:r>
    </w:p>
    <w:p w14:paraId="4A5E2E13" w14:textId="77777777" w:rsidR="0047634C" w:rsidRPr="00F36DFC" w:rsidRDefault="0047634C" w:rsidP="00366984">
      <w:pPr>
        <w:keepNext/>
        <w:rPr>
          <w:sz w:val="24"/>
          <w:szCs w:val="24"/>
        </w:rPr>
      </w:pPr>
    </w:p>
    <w:p w14:paraId="5B00136B" w14:textId="7F00FAA9" w:rsidR="00EE5E94" w:rsidRDefault="00194174" w:rsidP="00677992">
      <w:pPr>
        <w:keepNext/>
      </w:pPr>
      <w:r>
        <w:rPr>
          <w:noProof/>
        </w:rPr>
        <w:drawing>
          <wp:inline distT="0" distB="0" distL="0" distR="0" wp14:anchorId="639D31CF" wp14:editId="44625129">
            <wp:extent cx="6120130" cy="3668395"/>
            <wp:effectExtent l="0" t="0" r="0" b="8255"/>
            <wp:docPr id="37" name="Billede 37"/>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9"/>
                    <a:stretch>
                      <a:fillRect/>
                    </a:stretch>
                  </pic:blipFill>
                  <pic:spPr>
                    <a:xfrm>
                      <a:off x="0" y="0"/>
                      <a:ext cx="6120130" cy="3668395"/>
                    </a:xfrm>
                    <a:prstGeom prst="rect">
                      <a:avLst/>
                    </a:prstGeom>
                  </pic:spPr>
                </pic:pic>
              </a:graphicData>
            </a:graphic>
          </wp:inline>
        </w:drawing>
      </w:r>
    </w:p>
    <w:p w14:paraId="1FB1C050" w14:textId="77777777" w:rsidR="00662B68" w:rsidRDefault="00662B68" w:rsidP="00677992">
      <w:pPr>
        <w:keepNext/>
      </w:pPr>
    </w:p>
    <w:p w14:paraId="355BBC3F" w14:textId="333D91FA" w:rsidR="0047634C" w:rsidRPr="00F36DFC" w:rsidRDefault="0047634C" w:rsidP="00677992">
      <w:pPr>
        <w:keepNext/>
        <w:rPr>
          <w:sz w:val="24"/>
          <w:szCs w:val="24"/>
        </w:rPr>
      </w:pPr>
      <w:r w:rsidRPr="00F36DFC">
        <w:rPr>
          <w:sz w:val="24"/>
          <w:szCs w:val="24"/>
        </w:rPr>
        <w:t xml:space="preserve">Figur 1: Tidsforløbet for geometrisk middelværdi for plasmakoncentrationer af </w:t>
      </w:r>
      <w:proofErr w:type="spellStart"/>
      <w:r w:rsidRPr="00F36DFC">
        <w:rPr>
          <w:sz w:val="24"/>
          <w:szCs w:val="24"/>
        </w:rPr>
        <w:t>zonisamid</w:t>
      </w:r>
      <w:proofErr w:type="spellEnd"/>
      <w:r w:rsidRPr="00F36DFC">
        <w:rPr>
          <w:sz w:val="24"/>
          <w:szCs w:val="24"/>
        </w:rPr>
        <w:t xml:space="preserve"> efter orale enkeltdoser på 100 mg </w:t>
      </w:r>
      <w:proofErr w:type="spellStart"/>
      <w:r w:rsidRPr="00F36DFC">
        <w:rPr>
          <w:sz w:val="24"/>
          <w:szCs w:val="24"/>
        </w:rPr>
        <w:t>Zonisamid</w:t>
      </w:r>
      <w:proofErr w:type="spellEnd"/>
      <w:r w:rsidRPr="00F36DFC">
        <w:rPr>
          <w:sz w:val="24"/>
          <w:szCs w:val="24"/>
        </w:rPr>
        <w:t xml:space="preserve"> </w:t>
      </w:r>
      <w:r w:rsidR="00C26C40">
        <w:rPr>
          <w:sz w:val="24"/>
          <w:szCs w:val="24"/>
        </w:rPr>
        <w:t>"</w:t>
      </w:r>
      <w:proofErr w:type="spellStart"/>
      <w:r w:rsidR="00C26C40">
        <w:rPr>
          <w:sz w:val="24"/>
          <w:szCs w:val="24"/>
        </w:rPr>
        <w:t>Desitin</w:t>
      </w:r>
      <w:proofErr w:type="spellEnd"/>
      <w:r w:rsidR="00C26C40">
        <w:rPr>
          <w:sz w:val="24"/>
          <w:szCs w:val="24"/>
        </w:rPr>
        <w:t>"</w:t>
      </w:r>
      <w:r w:rsidRPr="00F36DFC">
        <w:rPr>
          <w:sz w:val="24"/>
          <w:szCs w:val="24"/>
        </w:rPr>
        <w:t xml:space="preserve"> sammenlignet med referenceproduktet</w:t>
      </w:r>
    </w:p>
    <w:p w14:paraId="7A63F654" w14:textId="77777777" w:rsidR="009260DE" w:rsidRPr="00F36DFC" w:rsidRDefault="009260DE" w:rsidP="009260DE">
      <w:pPr>
        <w:tabs>
          <w:tab w:val="left" w:pos="851"/>
        </w:tabs>
        <w:ind w:left="851"/>
        <w:rPr>
          <w:sz w:val="24"/>
          <w:szCs w:val="24"/>
        </w:rPr>
      </w:pPr>
    </w:p>
    <w:p w14:paraId="67EDEAAD" w14:textId="77777777" w:rsidR="009260DE" w:rsidRPr="00F36DFC" w:rsidRDefault="009260DE" w:rsidP="009260DE">
      <w:pPr>
        <w:tabs>
          <w:tab w:val="left" w:pos="851"/>
        </w:tabs>
        <w:ind w:left="851" w:hanging="851"/>
        <w:rPr>
          <w:b/>
          <w:sz w:val="24"/>
          <w:szCs w:val="24"/>
        </w:rPr>
      </w:pPr>
      <w:r w:rsidRPr="00F36DFC">
        <w:rPr>
          <w:b/>
          <w:sz w:val="24"/>
          <w:szCs w:val="24"/>
        </w:rPr>
        <w:t>5.3</w:t>
      </w:r>
      <w:r w:rsidRPr="00F36DFC">
        <w:rPr>
          <w:b/>
          <w:sz w:val="24"/>
          <w:szCs w:val="24"/>
        </w:rPr>
        <w:tab/>
      </w:r>
      <w:r w:rsidR="00BD7931" w:rsidRPr="00F36DFC">
        <w:rPr>
          <w:b/>
          <w:sz w:val="24"/>
          <w:szCs w:val="24"/>
        </w:rPr>
        <w:t>Non-</w:t>
      </w:r>
      <w:r w:rsidRPr="00F36DFC">
        <w:rPr>
          <w:b/>
          <w:sz w:val="24"/>
          <w:szCs w:val="24"/>
        </w:rPr>
        <w:t>kliniske sikkerhedsdata</w:t>
      </w:r>
    </w:p>
    <w:p w14:paraId="4FC10911" w14:textId="77777777" w:rsidR="0047634C" w:rsidRPr="00F36DFC" w:rsidRDefault="0047634C" w:rsidP="00366984">
      <w:pPr>
        <w:ind w:left="851"/>
        <w:rPr>
          <w:sz w:val="24"/>
          <w:szCs w:val="24"/>
          <w:lang w:eastAsia="de-DE"/>
        </w:rPr>
      </w:pPr>
      <w:r w:rsidRPr="00F36DFC">
        <w:rPr>
          <w:sz w:val="24"/>
          <w:szCs w:val="24"/>
        </w:rPr>
        <w:t xml:space="preserve">Fund, der ikke blev iagttaget i kliniske studier, men blev set hos hunde ved lignende eksponeringsniveauer svarende til klinisk anvendelse, var leverskader (forstørrelse, mørkebrun misfarvning, let </w:t>
      </w:r>
      <w:proofErr w:type="spellStart"/>
      <w:r w:rsidRPr="00F36DFC">
        <w:rPr>
          <w:sz w:val="24"/>
          <w:szCs w:val="24"/>
        </w:rPr>
        <w:t>hepatocytforstørrelse</w:t>
      </w:r>
      <w:proofErr w:type="spellEnd"/>
      <w:r w:rsidRPr="00F36DFC">
        <w:rPr>
          <w:sz w:val="24"/>
          <w:szCs w:val="24"/>
        </w:rPr>
        <w:t xml:space="preserve"> med koncentriske lamellære legemer i cytoplasmaet og cytoplasmatisk </w:t>
      </w:r>
      <w:proofErr w:type="spellStart"/>
      <w:r w:rsidRPr="00F36DFC">
        <w:rPr>
          <w:sz w:val="24"/>
          <w:szCs w:val="24"/>
        </w:rPr>
        <w:t>vakuolisering</w:t>
      </w:r>
      <w:proofErr w:type="spellEnd"/>
      <w:r w:rsidRPr="00F36DFC">
        <w:rPr>
          <w:sz w:val="24"/>
          <w:szCs w:val="24"/>
        </w:rPr>
        <w:t>) forbundet med øget metabolisme.</w:t>
      </w:r>
    </w:p>
    <w:p w14:paraId="3B85AD1D" w14:textId="77777777" w:rsidR="0047634C" w:rsidRPr="00F36DFC" w:rsidRDefault="0047634C" w:rsidP="00366984">
      <w:pPr>
        <w:ind w:left="851"/>
        <w:rPr>
          <w:sz w:val="24"/>
          <w:szCs w:val="24"/>
        </w:rPr>
      </w:pPr>
    </w:p>
    <w:p w14:paraId="124F0682" w14:textId="77777777" w:rsidR="0047634C" w:rsidRPr="00F36DFC" w:rsidRDefault="0047634C" w:rsidP="00366984">
      <w:pPr>
        <w:ind w:left="851"/>
        <w:rPr>
          <w:sz w:val="24"/>
          <w:szCs w:val="24"/>
        </w:rPr>
      </w:pPr>
      <w:proofErr w:type="spellStart"/>
      <w:r w:rsidRPr="00F36DFC">
        <w:rPr>
          <w:sz w:val="24"/>
          <w:szCs w:val="24"/>
        </w:rPr>
        <w:t>Zonisamid</w:t>
      </w:r>
      <w:proofErr w:type="spellEnd"/>
      <w:r w:rsidRPr="00F36DFC">
        <w:rPr>
          <w:sz w:val="24"/>
          <w:szCs w:val="24"/>
        </w:rPr>
        <w:t xml:space="preserve"> var ikke genotoksisk og er ikke </w:t>
      </w:r>
      <w:proofErr w:type="spellStart"/>
      <w:r w:rsidRPr="00F36DFC">
        <w:rPr>
          <w:sz w:val="24"/>
          <w:szCs w:val="24"/>
        </w:rPr>
        <w:t>karcinogent</w:t>
      </w:r>
      <w:proofErr w:type="spellEnd"/>
      <w:r w:rsidRPr="00F36DFC">
        <w:rPr>
          <w:sz w:val="24"/>
          <w:szCs w:val="24"/>
        </w:rPr>
        <w:t>.</w:t>
      </w:r>
    </w:p>
    <w:p w14:paraId="7CB95BF3" w14:textId="77777777" w:rsidR="0047634C" w:rsidRPr="00F36DFC" w:rsidRDefault="0047634C" w:rsidP="00366984">
      <w:pPr>
        <w:ind w:left="851"/>
        <w:rPr>
          <w:sz w:val="24"/>
          <w:szCs w:val="24"/>
        </w:rPr>
      </w:pPr>
    </w:p>
    <w:p w14:paraId="6E09785A" w14:textId="77777777" w:rsidR="0047634C" w:rsidRPr="00F36DFC" w:rsidRDefault="0047634C" w:rsidP="00366984">
      <w:pPr>
        <w:ind w:left="851"/>
        <w:rPr>
          <w:sz w:val="24"/>
          <w:szCs w:val="24"/>
        </w:rPr>
      </w:pPr>
      <w:proofErr w:type="spellStart"/>
      <w:r w:rsidRPr="00F36DFC">
        <w:rPr>
          <w:sz w:val="24"/>
          <w:szCs w:val="24"/>
        </w:rPr>
        <w:t>Zonisamid</w:t>
      </w:r>
      <w:proofErr w:type="spellEnd"/>
      <w:r w:rsidRPr="00F36DFC">
        <w:rPr>
          <w:sz w:val="24"/>
          <w:szCs w:val="24"/>
        </w:rPr>
        <w:t xml:space="preserve"> medførte udviklingsabnormiteter hos mus, rotter og hunde og var dødeligt for fosteret hos aber ved </w:t>
      </w:r>
      <w:proofErr w:type="spellStart"/>
      <w:r w:rsidRPr="00F36DFC">
        <w:rPr>
          <w:sz w:val="24"/>
          <w:szCs w:val="24"/>
        </w:rPr>
        <w:t>zonisamiddosering</w:t>
      </w:r>
      <w:proofErr w:type="spellEnd"/>
      <w:r w:rsidRPr="00F36DFC">
        <w:rPr>
          <w:sz w:val="24"/>
          <w:szCs w:val="24"/>
        </w:rPr>
        <w:t xml:space="preserve"> og plasmakoncentrationer hos moderen svarende til eller lavere end den terapeutiske koncentration hos mennesker, når det blev indgivet i perioden, hvor organerne anlægges.</w:t>
      </w:r>
    </w:p>
    <w:p w14:paraId="7C5B174B" w14:textId="77777777" w:rsidR="0047634C" w:rsidRPr="00F36DFC" w:rsidRDefault="0047634C" w:rsidP="00366984">
      <w:pPr>
        <w:ind w:left="851"/>
        <w:rPr>
          <w:sz w:val="24"/>
          <w:szCs w:val="24"/>
        </w:rPr>
      </w:pPr>
    </w:p>
    <w:p w14:paraId="4D99892A" w14:textId="77777777" w:rsidR="0047634C" w:rsidRPr="00F36DFC" w:rsidRDefault="0047634C" w:rsidP="00366984">
      <w:pPr>
        <w:ind w:left="851"/>
        <w:rPr>
          <w:sz w:val="24"/>
          <w:szCs w:val="24"/>
        </w:rPr>
      </w:pPr>
      <w:r w:rsidRPr="00F36DFC">
        <w:rPr>
          <w:sz w:val="24"/>
          <w:szCs w:val="24"/>
        </w:rPr>
        <w:t xml:space="preserve">I et oralt toksicitetsstudie med gentagne doser hos unge rotter ved eksponeringsniveauer svarende til dem, der ses hos pædiatriske patienter ved den maksimalt anbefalede dosis, sås der fald i legemsvægt, ændringer i </w:t>
      </w:r>
      <w:proofErr w:type="spellStart"/>
      <w:r w:rsidRPr="00F36DFC">
        <w:rPr>
          <w:sz w:val="24"/>
          <w:szCs w:val="24"/>
        </w:rPr>
        <w:t>renal</w:t>
      </w:r>
      <w:proofErr w:type="spellEnd"/>
      <w:r w:rsidRPr="00F36DFC">
        <w:rPr>
          <w:sz w:val="24"/>
          <w:szCs w:val="24"/>
        </w:rPr>
        <w:t xml:space="preserve"> </w:t>
      </w:r>
      <w:proofErr w:type="spellStart"/>
      <w:r w:rsidRPr="00F36DFC">
        <w:rPr>
          <w:sz w:val="24"/>
          <w:szCs w:val="24"/>
        </w:rPr>
        <w:t>histopatologi</w:t>
      </w:r>
      <w:proofErr w:type="spellEnd"/>
      <w:r w:rsidRPr="00F36DFC">
        <w:rPr>
          <w:sz w:val="24"/>
          <w:szCs w:val="24"/>
        </w:rPr>
        <w:t xml:space="preserve"> og kliniske patologiparametre samt adfærdsændringer. Det blev skønnet, at ændringer i </w:t>
      </w:r>
      <w:proofErr w:type="spellStart"/>
      <w:r w:rsidRPr="00F36DFC">
        <w:rPr>
          <w:sz w:val="24"/>
          <w:szCs w:val="24"/>
        </w:rPr>
        <w:t>renal</w:t>
      </w:r>
      <w:proofErr w:type="spellEnd"/>
      <w:r w:rsidRPr="00F36DFC">
        <w:rPr>
          <w:sz w:val="24"/>
          <w:szCs w:val="24"/>
        </w:rPr>
        <w:t xml:space="preserve"> </w:t>
      </w:r>
      <w:proofErr w:type="spellStart"/>
      <w:r w:rsidRPr="00F36DFC">
        <w:rPr>
          <w:sz w:val="24"/>
          <w:szCs w:val="24"/>
        </w:rPr>
        <w:t>histopatologi</w:t>
      </w:r>
      <w:proofErr w:type="spellEnd"/>
      <w:r w:rsidRPr="00F36DFC">
        <w:rPr>
          <w:sz w:val="24"/>
          <w:szCs w:val="24"/>
        </w:rPr>
        <w:t xml:space="preserve"> og kliniske patologiparametre var forbundet med </w:t>
      </w:r>
      <w:proofErr w:type="spellStart"/>
      <w:r w:rsidRPr="00F36DFC">
        <w:rPr>
          <w:sz w:val="24"/>
          <w:szCs w:val="24"/>
        </w:rPr>
        <w:t>zonisamids</w:t>
      </w:r>
      <w:proofErr w:type="spellEnd"/>
      <w:r w:rsidRPr="00F36DFC">
        <w:rPr>
          <w:sz w:val="24"/>
          <w:szCs w:val="24"/>
        </w:rPr>
        <w:t xml:space="preserve"> </w:t>
      </w:r>
      <w:proofErr w:type="spellStart"/>
      <w:r w:rsidRPr="00F36DFC">
        <w:rPr>
          <w:sz w:val="24"/>
          <w:szCs w:val="24"/>
        </w:rPr>
        <w:t>kulsyreanhydrasehæmning</w:t>
      </w:r>
      <w:proofErr w:type="spellEnd"/>
      <w:r w:rsidRPr="00F36DFC">
        <w:rPr>
          <w:sz w:val="24"/>
          <w:szCs w:val="24"/>
        </w:rPr>
        <w:t xml:space="preserve">. Virkningerne på dette dosisniveau var reversible i perioden med bedring. Ved et højere dosisniveau (systemisk eksponering på 2-3 gange i forhold til den terapeutiske eksponering) var de </w:t>
      </w:r>
      <w:proofErr w:type="spellStart"/>
      <w:r w:rsidRPr="00F36DFC">
        <w:rPr>
          <w:sz w:val="24"/>
          <w:szCs w:val="24"/>
        </w:rPr>
        <w:t>renale</w:t>
      </w:r>
      <w:proofErr w:type="spellEnd"/>
      <w:r w:rsidRPr="00F36DFC">
        <w:rPr>
          <w:sz w:val="24"/>
          <w:szCs w:val="24"/>
        </w:rPr>
        <w:t xml:space="preserve"> </w:t>
      </w:r>
      <w:proofErr w:type="spellStart"/>
      <w:r w:rsidRPr="00F36DFC">
        <w:rPr>
          <w:sz w:val="24"/>
          <w:szCs w:val="24"/>
        </w:rPr>
        <w:t>histopatologiske</w:t>
      </w:r>
      <w:proofErr w:type="spellEnd"/>
      <w:r w:rsidRPr="00F36DFC">
        <w:rPr>
          <w:sz w:val="24"/>
          <w:szCs w:val="24"/>
        </w:rPr>
        <w:t xml:space="preserve"> virkninger alvorligere og kun delvist reversible. De fleste bivirkninger, der sås hos unge rotter, svarede til dem, der sås i toksicitetsstudier med gentagne </w:t>
      </w:r>
      <w:proofErr w:type="spellStart"/>
      <w:r w:rsidRPr="00F36DFC">
        <w:rPr>
          <w:sz w:val="24"/>
          <w:szCs w:val="24"/>
        </w:rPr>
        <w:t>zonisamiddoser</w:t>
      </w:r>
      <w:proofErr w:type="spellEnd"/>
      <w:r w:rsidRPr="00F36DFC">
        <w:rPr>
          <w:sz w:val="24"/>
          <w:szCs w:val="24"/>
        </w:rPr>
        <w:t xml:space="preserve"> til voksne rotter, men </w:t>
      </w:r>
      <w:proofErr w:type="spellStart"/>
      <w:r w:rsidRPr="00F36DFC">
        <w:rPr>
          <w:sz w:val="24"/>
          <w:szCs w:val="24"/>
        </w:rPr>
        <w:t>renale</w:t>
      </w:r>
      <w:proofErr w:type="spellEnd"/>
      <w:r w:rsidRPr="00F36DFC">
        <w:rPr>
          <w:sz w:val="24"/>
          <w:szCs w:val="24"/>
        </w:rPr>
        <w:t xml:space="preserve"> </w:t>
      </w:r>
      <w:proofErr w:type="spellStart"/>
      <w:r w:rsidRPr="00F36DFC">
        <w:rPr>
          <w:sz w:val="24"/>
          <w:szCs w:val="24"/>
        </w:rPr>
        <w:t>tubulære</w:t>
      </w:r>
      <w:proofErr w:type="spellEnd"/>
      <w:r w:rsidRPr="00F36DFC">
        <w:rPr>
          <w:sz w:val="24"/>
          <w:szCs w:val="24"/>
        </w:rPr>
        <w:t xml:space="preserve"> </w:t>
      </w:r>
      <w:proofErr w:type="spellStart"/>
      <w:r w:rsidRPr="00F36DFC">
        <w:rPr>
          <w:sz w:val="24"/>
          <w:szCs w:val="24"/>
        </w:rPr>
        <w:t>hyalindråber</w:t>
      </w:r>
      <w:proofErr w:type="spellEnd"/>
      <w:r w:rsidRPr="00F36DFC">
        <w:rPr>
          <w:sz w:val="24"/>
          <w:szCs w:val="24"/>
        </w:rPr>
        <w:t xml:space="preserve"> og forbigående </w:t>
      </w:r>
      <w:proofErr w:type="spellStart"/>
      <w:r w:rsidRPr="00F36DFC">
        <w:rPr>
          <w:sz w:val="24"/>
          <w:szCs w:val="24"/>
        </w:rPr>
        <w:t>hyperplasi</w:t>
      </w:r>
      <w:proofErr w:type="spellEnd"/>
      <w:r w:rsidRPr="00F36DFC">
        <w:rPr>
          <w:sz w:val="24"/>
          <w:szCs w:val="24"/>
        </w:rPr>
        <w:t xml:space="preserve"> blev kun set hos unge rotter. På dette højere dosisniveau var der hos unge rotter et fald i vækst, indlæring og udviklingsparametre. Disse virkninger blev anset for sandsynligvis at være forbundet med nedsat legemsvægt og kraftigere farmakologiske virkninger af </w:t>
      </w:r>
      <w:proofErr w:type="spellStart"/>
      <w:r w:rsidRPr="00F36DFC">
        <w:rPr>
          <w:sz w:val="24"/>
          <w:szCs w:val="24"/>
        </w:rPr>
        <w:t>zonisamid</w:t>
      </w:r>
      <w:proofErr w:type="spellEnd"/>
      <w:r w:rsidRPr="00F36DFC">
        <w:rPr>
          <w:sz w:val="24"/>
          <w:szCs w:val="24"/>
        </w:rPr>
        <w:t xml:space="preserve"> ved den maksimalt tolererede dosis.</w:t>
      </w:r>
    </w:p>
    <w:p w14:paraId="162FDFE9" w14:textId="77777777" w:rsidR="0047634C" w:rsidRPr="00F36DFC" w:rsidRDefault="0047634C" w:rsidP="00366984">
      <w:pPr>
        <w:ind w:left="851"/>
        <w:rPr>
          <w:sz w:val="24"/>
          <w:szCs w:val="24"/>
        </w:rPr>
      </w:pPr>
    </w:p>
    <w:p w14:paraId="45ADA458" w14:textId="77777777" w:rsidR="0047634C" w:rsidRPr="00F36DFC" w:rsidRDefault="0047634C" w:rsidP="00366984">
      <w:pPr>
        <w:ind w:left="851"/>
        <w:rPr>
          <w:sz w:val="24"/>
          <w:szCs w:val="24"/>
        </w:rPr>
      </w:pPr>
      <w:r w:rsidRPr="00F36DFC">
        <w:rPr>
          <w:sz w:val="24"/>
          <w:szCs w:val="24"/>
        </w:rPr>
        <w:t xml:space="preserve">Hos rotter sås der et fald i antallet af </w:t>
      </w:r>
      <w:proofErr w:type="spellStart"/>
      <w:r w:rsidRPr="00F36DFC">
        <w:rPr>
          <w:sz w:val="24"/>
          <w:szCs w:val="24"/>
        </w:rPr>
        <w:t>corpora</w:t>
      </w:r>
      <w:proofErr w:type="spellEnd"/>
      <w:r w:rsidRPr="00F36DFC">
        <w:rPr>
          <w:sz w:val="24"/>
          <w:szCs w:val="24"/>
        </w:rPr>
        <w:t xml:space="preserve"> </w:t>
      </w:r>
      <w:proofErr w:type="spellStart"/>
      <w:r w:rsidRPr="00F36DFC">
        <w:rPr>
          <w:sz w:val="24"/>
          <w:szCs w:val="24"/>
        </w:rPr>
        <w:t>lutea</w:t>
      </w:r>
      <w:proofErr w:type="spellEnd"/>
      <w:r w:rsidRPr="00F36DFC">
        <w:rPr>
          <w:sz w:val="24"/>
          <w:szCs w:val="24"/>
        </w:rPr>
        <w:t xml:space="preserve"> og implantationssteder ved eksponeringsniveauer, der svarer til den maksimale terapeutiske dosis hos mennesker. Der sås uregelmæssige brunstcyklusser og færre levende fostre ved eksponeringsniveauer, der var tre gange højere.</w:t>
      </w:r>
    </w:p>
    <w:p w14:paraId="11C4FBDE" w14:textId="77777777" w:rsidR="009260DE" w:rsidRPr="00F36DFC" w:rsidRDefault="009260DE" w:rsidP="009260DE">
      <w:pPr>
        <w:tabs>
          <w:tab w:val="left" w:pos="851"/>
        </w:tabs>
        <w:ind w:left="851"/>
        <w:rPr>
          <w:sz w:val="24"/>
          <w:szCs w:val="24"/>
        </w:rPr>
      </w:pPr>
    </w:p>
    <w:p w14:paraId="4CFF31EA" w14:textId="77777777" w:rsidR="009260DE" w:rsidRPr="00F36DFC" w:rsidRDefault="009260DE" w:rsidP="009260DE">
      <w:pPr>
        <w:tabs>
          <w:tab w:val="left" w:pos="851"/>
        </w:tabs>
        <w:ind w:left="851"/>
        <w:rPr>
          <w:sz w:val="24"/>
          <w:szCs w:val="24"/>
        </w:rPr>
      </w:pPr>
    </w:p>
    <w:p w14:paraId="752AB5AC" w14:textId="77777777" w:rsidR="009260DE" w:rsidRPr="00F36DFC" w:rsidRDefault="009260DE" w:rsidP="009260DE">
      <w:pPr>
        <w:tabs>
          <w:tab w:val="left" w:pos="851"/>
        </w:tabs>
        <w:ind w:left="851" w:hanging="851"/>
        <w:rPr>
          <w:b/>
          <w:sz w:val="24"/>
          <w:szCs w:val="24"/>
        </w:rPr>
      </w:pPr>
      <w:r w:rsidRPr="00F36DFC">
        <w:rPr>
          <w:b/>
          <w:sz w:val="24"/>
          <w:szCs w:val="24"/>
        </w:rPr>
        <w:t>6.</w:t>
      </w:r>
      <w:r w:rsidRPr="00F36DFC">
        <w:rPr>
          <w:b/>
          <w:sz w:val="24"/>
          <w:szCs w:val="24"/>
        </w:rPr>
        <w:tab/>
        <w:t>FARMACEUTISKE OPLYSNINGER</w:t>
      </w:r>
    </w:p>
    <w:p w14:paraId="02887542" w14:textId="77777777" w:rsidR="009260DE" w:rsidRPr="00F36DFC" w:rsidRDefault="009260DE" w:rsidP="009260DE">
      <w:pPr>
        <w:tabs>
          <w:tab w:val="left" w:pos="851"/>
        </w:tabs>
        <w:ind w:left="851"/>
        <w:rPr>
          <w:sz w:val="24"/>
          <w:szCs w:val="24"/>
        </w:rPr>
      </w:pPr>
    </w:p>
    <w:p w14:paraId="48071C80" w14:textId="77777777" w:rsidR="009260DE" w:rsidRPr="00F36DFC" w:rsidRDefault="009260DE" w:rsidP="009260DE">
      <w:pPr>
        <w:tabs>
          <w:tab w:val="left" w:pos="851"/>
        </w:tabs>
        <w:ind w:left="851" w:hanging="851"/>
        <w:rPr>
          <w:b/>
          <w:sz w:val="24"/>
          <w:szCs w:val="24"/>
        </w:rPr>
      </w:pPr>
      <w:r w:rsidRPr="00F36DFC">
        <w:rPr>
          <w:b/>
          <w:sz w:val="24"/>
          <w:szCs w:val="24"/>
        </w:rPr>
        <w:t>6.1</w:t>
      </w:r>
      <w:r w:rsidRPr="00F36DFC">
        <w:rPr>
          <w:b/>
          <w:sz w:val="24"/>
          <w:szCs w:val="24"/>
        </w:rPr>
        <w:tab/>
        <w:t>Hjælpestoffer</w:t>
      </w:r>
    </w:p>
    <w:p w14:paraId="411E2BC7" w14:textId="77777777" w:rsidR="0047634C" w:rsidRPr="00F36DFC" w:rsidRDefault="0047634C" w:rsidP="00366984">
      <w:pPr>
        <w:ind w:left="851"/>
        <w:rPr>
          <w:sz w:val="24"/>
          <w:szCs w:val="24"/>
          <w:lang w:eastAsia="de-DE"/>
        </w:rPr>
      </w:pPr>
      <w:proofErr w:type="spellStart"/>
      <w:r w:rsidRPr="00F36DFC">
        <w:rPr>
          <w:sz w:val="24"/>
          <w:szCs w:val="24"/>
        </w:rPr>
        <w:t>Phosphorsyre</w:t>
      </w:r>
      <w:proofErr w:type="spellEnd"/>
      <w:r w:rsidRPr="00F36DFC">
        <w:rPr>
          <w:sz w:val="24"/>
          <w:szCs w:val="24"/>
        </w:rPr>
        <w:t xml:space="preserve"> 85 % </w:t>
      </w:r>
    </w:p>
    <w:p w14:paraId="3D825386" w14:textId="77777777" w:rsidR="0047634C" w:rsidRPr="00F36DFC" w:rsidRDefault="0047634C" w:rsidP="00366984">
      <w:pPr>
        <w:ind w:left="851"/>
        <w:rPr>
          <w:sz w:val="24"/>
          <w:szCs w:val="24"/>
        </w:rPr>
      </w:pPr>
      <w:proofErr w:type="spellStart"/>
      <w:r w:rsidRPr="00F36DFC">
        <w:rPr>
          <w:sz w:val="24"/>
          <w:szCs w:val="24"/>
        </w:rPr>
        <w:t>Xanthangummi</w:t>
      </w:r>
      <w:proofErr w:type="spellEnd"/>
    </w:p>
    <w:p w14:paraId="4BCB1A8A" w14:textId="77777777" w:rsidR="0047634C" w:rsidRPr="00F36DFC" w:rsidRDefault="0047634C" w:rsidP="00366984">
      <w:pPr>
        <w:ind w:left="851"/>
        <w:rPr>
          <w:sz w:val="24"/>
          <w:szCs w:val="24"/>
        </w:rPr>
      </w:pPr>
      <w:proofErr w:type="spellStart"/>
      <w:r w:rsidRPr="00F36DFC">
        <w:rPr>
          <w:sz w:val="24"/>
          <w:szCs w:val="24"/>
        </w:rPr>
        <w:t>Natriumdihydrogenphosphatdihydrat</w:t>
      </w:r>
      <w:proofErr w:type="spellEnd"/>
    </w:p>
    <w:p w14:paraId="49C5F853" w14:textId="77777777" w:rsidR="0047634C" w:rsidRPr="00F36DFC" w:rsidRDefault="0047634C" w:rsidP="00366984">
      <w:pPr>
        <w:ind w:left="851"/>
        <w:rPr>
          <w:sz w:val="24"/>
          <w:szCs w:val="24"/>
          <w:lang w:val="en-US"/>
        </w:rPr>
      </w:pPr>
      <w:proofErr w:type="spellStart"/>
      <w:r w:rsidRPr="00F36DFC">
        <w:rPr>
          <w:sz w:val="24"/>
          <w:szCs w:val="24"/>
          <w:lang w:val="en-US"/>
        </w:rPr>
        <w:t>Dikaliumphosphat</w:t>
      </w:r>
      <w:proofErr w:type="spellEnd"/>
    </w:p>
    <w:p w14:paraId="4AD459F9" w14:textId="77777777" w:rsidR="0047634C" w:rsidRPr="00F36DFC" w:rsidRDefault="0047634C" w:rsidP="00366984">
      <w:pPr>
        <w:ind w:left="851"/>
        <w:rPr>
          <w:sz w:val="24"/>
          <w:szCs w:val="24"/>
          <w:lang w:val="en-US"/>
        </w:rPr>
      </w:pPr>
      <w:proofErr w:type="spellStart"/>
      <w:r w:rsidRPr="00F36DFC">
        <w:rPr>
          <w:sz w:val="24"/>
          <w:szCs w:val="24"/>
          <w:lang w:val="en-US"/>
        </w:rPr>
        <w:t>Docusatnatrium</w:t>
      </w:r>
      <w:proofErr w:type="spellEnd"/>
      <w:r w:rsidRPr="00F36DFC">
        <w:rPr>
          <w:sz w:val="24"/>
          <w:szCs w:val="24"/>
          <w:lang w:val="en-US"/>
        </w:rPr>
        <w:t xml:space="preserve"> </w:t>
      </w:r>
    </w:p>
    <w:p w14:paraId="4F8C8CC8" w14:textId="77777777" w:rsidR="0047634C" w:rsidRPr="00F36DFC" w:rsidRDefault="0047634C" w:rsidP="00366984">
      <w:pPr>
        <w:ind w:left="851"/>
        <w:rPr>
          <w:sz w:val="24"/>
          <w:szCs w:val="24"/>
          <w:lang w:val="en-US"/>
        </w:rPr>
      </w:pPr>
      <w:r w:rsidRPr="00F36DFC">
        <w:rPr>
          <w:sz w:val="24"/>
          <w:szCs w:val="24"/>
          <w:lang w:val="en-US"/>
        </w:rPr>
        <w:t>Sucralose</w:t>
      </w:r>
    </w:p>
    <w:p w14:paraId="5E01C100" w14:textId="77777777" w:rsidR="0047634C" w:rsidRPr="00F36DFC" w:rsidRDefault="0047634C" w:rsidP="00366984">
      <w:pPr>
        <w:ind w:left="851"/>
        <w:rPr>
          <w:sz w:val="24"/>
          <w:szCs w:val="24"/>
          <w:lang w:val="en-US"/>
        </w:rPr>
      </w:pPr>
      <w:proofErr w:type="spellStart"/>
      <w:r w:rsidRPr="00F36DFC">
        <w:rPr>
          <w:sz w:val="24"/>
          <w:szCs w:val="24"/>
          <w:lang w:val="en-US"/>
        </w:rPr>
        <w:t>Natriummethylparahydroxy-benzoat</w:t>
      </w:r>
      <w:proofErr w:type="spellEnd"/>
      <w:r w:rsidRPr="00F36DFC">
        <w:rPr>
          <w:sz w:val="24"/>
          <w:szCs w:val="24"/>
          <w:lang w:val="en-US"/>
        </w:rPr>
        <w:t xml:space="preserve"> (E219)</w:t>
      </w:r>
    </w:p>
    <w:p w14:paraId="04560FDE" w14:textId="77777777" w:rsidR="0047634C" w:rsidRPr="00F36DFC" w:rsidRDefault="0047634C" w:rsidP="00366984">
      <w:pPr>
        <w:ind w:left="851"/>
        <w:rPr>
          <w:sz w:val="24"/>
          <w:szCs w:val="24"/>
        </w:rPr>
      </w:pPr>
      <w:proofErr w:type="spellStart"/>
      <w:r w:rsidRPr="00F36DFC">
        <w:rPr>
          <w:sz w:val="24"/>
          <w:szCs w:val="24"/>
        </w:rPr>
        <w:t>Natriumpropylparahydroxy-benzoat</w:t>
      </w:r>
      <w:proofErr w:type="spellEnd"/>
      <w:r w:rsidRPr="00F36DFC">
        <w:rPr>
          <w:sz w:val="24"/>
          <w:szCs w:val="24"/>
        </w:rPr>
        <w:t xml:space="preserve"> (E217)</w:t>
      </w:r>
    </w:p>
    <w:p w14:paraId="74AB7C94" w14:textId="77777777" w:rsidR="0047634C" w:rsidRPr="00F36DFC" w:rsidRDefault="0047634C" w:rsidP="00366984">
      <w:pPr>
        <w:ind w:left="851"/>
        <w:rPr>
          <w:sz w:val="24"/>
          <w:szCs w:val="24"/>
        </w:rPr>
      </w:pPr>
      <w:r w:rsidRPr="00F36DFC">
        <w:rPr>
          <w:sz w:val="24"/>
          <w:szCs w:val="24"/>
        </w:rPr>
        <w:t>Jordbærsmag (indeholder spor af natrium)</w:t>
      </w:r>
    </w:p>
    <w:p w14:paraId="71D73E29" w14:textId="77777777" w:rsidR="0047634C" w:rsidRPr="00F36DFC" w:rsidRDefault="0047634C" w:rsidP="00366984">
      <w:pPr>
        <w:ind w:left="851"/>
        <w:rPr>
          <w:noProof/>
          <w:sz w:val="24"/>
          <w:szCs w:val="24"/>
        </w:rPr>
      </w:pPr>
      <w:proofErr w:type="spellStart"/>
      <w:r w:rsidRPr="00F36DFC">
        <w:rPr>
          <w:sz w:val="24"/>
          <w:szCs w:val="24"/>
        </w:rPr>
        <w:t>Sødmemodulatorsmag</w:t>
      </w:r>
      <w:proofErr w:type="spellEnd"/>
      <w:r w:rsidRPr="00F36DFC">
        <w:rPr>
          <w:sz w:val="24"/>
          <w:szCs w:val="24"/>
        </w:rPr>
        <w:t xml:space="preserve"> </w:t>
      </w:r>
      <w:r w:rsidRPr="00F36DFC">
        <w:rPr>
          <w:noProof/>
          <w:sz w:val="24"/>
          <w:szCs w:val="24"/>
        </w:rPr>
        <w:t xml:space="preserve">(indeholder </w:t>
      </w:r>
      <w:r w:rsidRPr="00F36DFC">
        <w:rPr>
          <w:sz w:val="24"/>
          <w:szCs w:val="24"/>
        </w:rPr>
        <w:t xml:space="preserve">spor af </w:t>
      </w:r>
      <w:r w:rsidRPr="00F36DFC">
        <w:rPr>
          <w:noProof/>
          <w:sz w:val="24"/>
          <w:szCs w:val="24"/>
        </w:rPr>
        <w:t>fructose, glucose, saccharose, svovldioxid [E220] og natrium)</w:t>
      </w:r>
    </w:p>
    <w:p w14:paraId="6978A999" w14:textId="77777777" w:rsidR="0047634C" w:rsidRPr="00F36DFC" w:rsidRDefault="0047634C" w:rsidP="00366984">
      <w:pPr>
        <w:ind w:left="851"/>
        <w:rPr>
          <w:sz w:val="24"/>
          <w:szCs w:val="24"/>
        </w:rPr>
      </w:pPr>
      <w:r w:rsidRPr="00F36DFC">
        <w:rPr>
          <w:sz w:val="24"/>
          <w:szCs w:val="24"/>
        </w:rPr>
        <w:t>Maskeringssmag (indeholder spor af natrium)</w:t>
      </w:r>
    </w:p>
    <w:p w14:paraId="550F326A" w14:textId="77777777" w:rsidR="0047634C" w:rsidRPr="00F36DFC" w:rsidRDefault="0047634C" w:rsidP="00366984">
      <w:pPr>
        <w:ind w:left="851"/>
        <w:rPr>
          <w:sz w:val="24"/>
          <w:szCs w:val="24"/>
        </w:rPr>
      </w:pPr>
      <w:r w:rsidRPr="00F36DFC">
        <w:rPr>
          <w:sz w:val="24"/>
          <w:szCs w:val="24"/>
        </w:rPr>
        <w:t>Renset vand</w:t>
      </w:r>
    </w:p>
    <w:p w14:paraId="65DAD10C" w14:textId="77777777" w:rsidR="009260DE" w:rsidRPr="00F36DFC" w:rsidRDefault="009260DE" w:rsidP="009260DE">
      <w:pPr>
        <w:tabs>
          <w:tab w:val="left" w:pos="851"/>
        </w:tabs>
        <w:ind w:left="851"/>
        <w:rPr>
          <w:sz w:val="24"/>
          <w:szCs w:val="24"/>
        </w:rPr>
      </w:pPr>
    </w:p>
    <w:p w14:paraId="1692B91D" w14:textId="77777777" w:rsidR="009260DE" w:rsidRPr="00F36DFC" w:rsidRDefault="009260DE" w:rsidP="009260DE">
      <w:pPr>
        <w:tabs>
          <w:tab w:val="left" w:pos="851"/>
        </w:tabs>
        <w:ind w:left="851" w:hanging="851"/>
        <w:rPr>
          <w:b/>
          <w:sz w:val="24"/>
          <w:szCs w:val="24"/>
        </w:rPr>
      </w:pPr>
      <w:r w:rsidRPr="00F36DFC">
        <w:rPr>
          <w:b/>
          <w:sz w:val="24"/>
          <w:szCs w:val="24"/>
        </w:rPr>
        <w:t>6.2</w:t>
      </w:r>
      <w:r w:rsidRPr="00F36DFC">
        <w:rPr>
          <w:b/>
          <w:sz w:val="24"/>
          <w:szCs w:val="24"/>
        </w:rPr>
        <w:tab/>
        <w:t>Uforligeligheder</w:t>
      </w:r>
    </w:p>
    <w:p w14:paraId="79CA302F" w14:textId="77777777" w:rsidR="0047634C" w:rsidRPr="00F36DFC" w:rsidRDefault="0047634C" w:rsidP="00366984">
      <w:pPr>
        <w:ind w:left="851"/>
        <w:rPr>
          <w:sz w:val="24"/>
          <w:szCs w:val="24"/>
          <w:lang w:eastAsia="de-DE"/>
        </w:rPr>
      </w:pPr>
      <w:r w:rsidRPr="00F36DFC">
        <w:rPr>
          <w:sz w:val="24"/>
          <w:szCs w:val="24"/>
        </w:rPr>
        <w:t>Ikke relevant.</w:t>
      </w:r>
    </w:p>
    <w:p w14:paraId="0ED11398" w14:textId="77777777" w:rsidR="009260DE" w:rsidRPr="00F36DFC" w:rsidRDefault="009260DE" w:rsidP="009260DE">
      <w:pPr>
        <w:tabs>
          <w:tab w:val="left" w:pos="851"/>
        </w:tabs>
        <w:ind w:left="851"/>
        <w:rPr>
          <w:sz w:val="24"/>
          <w:szCs w:val="24"/>
        </w:rPr>
      </w:pPr>
    </w:p>
    <w:p w14:paraId="05E97A33" w14:textId="77777777" w:rsidR="009260DE" w:rsidRPr="00F36DFC" w:rsidRDefault="009260DE" w:rsidP="009260DE">
      <w:pPr>
        <w:tabs>
          <w:tab w:val="left" w:pos="851"/>
        </w:tabs>
        <w:ind w:left="851" w:hanging="851"/>
        <w:rPr>
          <w:b/>
          <w:sz w:val="24"/>
          <w:szCs w:val="24"/>
        </w:rPr>
      </w:pPr>
      <w:r w:rsidRPr="00F36DFC">
        <w:rPr>
          <w:b/>
          <w:sz w:val="24"/>
          <w:szCs w:val="24"/>
        </w:rPr>
        <w:t>6.3</w:t>
      </w:r>
      <w:r w:rsidRPr="00F36DFC">
        <w:rPr>
          <w:b/>
          <w:sz w:val="24"/>
          <w:szCs w:val="24"/>
        </w:rPr>
        <w:tab/>
        <w:t>Opbevaringstid</w:t>
      </w:r>
    </w:p>
    <w:p w14:paraId="64F4F553" w14:textId="77777777" w:rsidR="0047634C" w:rsidRPr="00F36DFC" w:rsidRDefault="0047634C" w:rsidP="00366984">
      <w:pPr>
        <w:ind w:left="851"/>
        <w:rPr>
          <w:sz w:val="24"/>
          <w:szCs w:val="24"/>
          <w:lang w:eastAsia="de-DE"/>
        </w:rPr>
      </w:pPr>
      <w:r w:rsidRPr="00F36DFC">
        <w:rPr>
          <w:sz w:val="24"/>
          <w:szCs w:val="24"/>
        </w:rPr>
        <w:t>3 år</w:t>
      </w:r>
    </w:p>
    <w:p w14:paraId="247461FF" w14:textId="77777777" w:rsidR="0047634C" w:rsidRPr="00F36DFC" w:rsidRDefault="0047634C" w:rsidP="00366984">
      <w:pPr>
        <w:ind w:left="851"/>
        <w:rPr>
          <w:sz w:val="24"/>
          <w:szCs w:val="24"/>
        </w:rPr>
      </w:pPr>
      <w:r w:rsidRPr="00F36DFC">
        <w:rPr>
          <w:sz w:val="24"/>
          <w:szCs w:val="24"/>
        </w:rPr>
        <w:t>Efter første åbning: 3 måneder</w:t>
      </w:r>
    </w:p>
    <w:p w14:paraId="00F1EDE2" w14:textId="77777777" w:rsidR="009260DE" w:rsidRPr="00F36DFC" w:rsidRDefault="009260DE" w:rsidP="009260DE">
      <w:pPr>
        <w:tabs>
          <w:tab w:val="left" w:pos="851"/>
        </w:tabs>
        <w:ind w:left="851"/>
        <w:rPr>
          <w:sz w:val="24"/>
          <w:szCs w:val="24"/>
        </w:rPr>
      </w:pPr>
    </w:p>
    <w:p w14:paraId="5C3FA661" w14:textId="77777777" w:rsidR="009260DE" w:rsidRPr="00F36DFC" w:rsidRDefault="009260DE" w:rsidP="009260DE">
      <w:pPr>
        <w:tabs>
          <w:tab w:val="left" w:pos="851"/>
        </w:tabs>
        <w:ind w:left="851" w:hanging="851"/>
        <w:rPr>
          <w:b/>
          <w:sz w:val="24"/>
          <w:szCs w:val="24"/>
        </w:rPr>
      </w:pPr>
      <w:r w:rsidRPr="00F36DFC">
        <w:rPr>
          <w:b/>
          <w:sz w:val="24"/>
          <w:szCs w:val="24"/>
        </w:rPr>
        <w:t>6.4</w:t>
      </w:r>
      <w:r w:rsidRPr="00F36DFC">
        <w:rPr>
          <w:b/>
          <w:sz w:val="24"/>
          <w:szCs w:val="24"/>
        </w:rPr>
        <w:tab/>
        <w:t>Særlige opbevaringsforhold</w:t>
      </w:r>
    </w:p>
    <w:p w14:paraId="6EB765D6" w14:textId="77777777" w:rsidR="0047634C" w:rsidRPr="00F36DFC" w:rsidRDefault="0047634C" w:rsidP="00366984">
      <w:pPr>
        <w:ind w:left="851"/>
        <w:rPr>
          <w:sz w:val="24"/>
          <w:szCs w:val="24"/>
          <w:lang w:eastAsia="de-DE"/>
        </w:rPr>
      </w:pPr>
      <w:r w:rsidRPr="00F36DFC">
        <w:rPr>
          <w:sz w:val="24"/>
          <w:szCs w:val="24"/>
        </w:rPr>
        <w:t>Dette lægemiddel kræver ingen særlige forholdsregler vedrørende opbevaringen.</w:t>
      </w:r>
    </w:p>
    <w:p w14:paraId="4DC5A0AA" w14:textId="77777777" w:rsidR="009260DE" w:rsidRPr="00F36DFC" w:rsidRDefault="009260DE" w:rsidP="009260DE">
      <w:pPr>
        <w:tabs>
          <w:tab w:val="left" w:pos="851"/>
        </w:tabs>
        <w:ind w:left="851"/>
        <w:rPr>
          <w:sz w:val="24"/>
          <w:szCs w:val="24"/>
        </w:rPr>
      </w:pPr>
    </w:p>
    <w:p w14:paraId="31B1715A" w14:textId="77777777" w:rsidR="009260DE" w:rsidRPr="00F36DFC" w:rsidRDefault="009260DE" w:rsidP="009260DE">
      <w:pPr>
        <w:tabs>
          <w:tab w:val="left" w:pos="851"/>
        </w:tabs>
        <w:ind w:left="851" w:hanging="851"/>
        <w:rPr>
          <w:b/>
          <w:sz w:val="24"/>
          <w:szCs w:val="24"/>
        </w:rPr>
      </w:pPr>
      <w:r w:rsidRPr="00F36DFC">
        <w:rPr>
          <w:b/>
          <w:sz w:val="24"/>
          <w:szCs w:val="24"/>
        </w:rPr>
        <w:t>6.5</w:t>
      </w:r>
      <w:r w:rsidRPr="00F36DFC">
        <w:rPr>
          <w:b/>
          <w:sz w:val="24"/>
          <w:szCs w:val="24"/>
        </w:rPr>
        <w:tab/>
        <w:t>Emballagetype og pakningsstørrelser</w:t>
      </w:r>
    </w:p>
    <w:p w14:paraId="6C12B1FB" w14:textId="77777777" w:rsidR="0047634C" w:rsidRPr="00F36DFC" w:rsidRDefault="0047634C" w:rsidP="00366984">
      <w:pPr>
        <w:ind w:left="851"/>
        <w:rPr>
          <w:sz w:val="24"/>
          <w:szCs w:val="24"/>
          <w:lang w:eastAsia="de-DE"/>
        </w:rPr>
      </w:pPr>
      <w:r w:rsidRPr="00F36DFC">
        <w:rPr>
          <w:sz w:val="24"/>
          <w:szCs w:val="24"/>
        </w:rPr>
        <w:t>1 ravfarvet glasflaske (type III) med 250 ml suspension og et hvidt børnesikret låg (polypropylen) i en pakning, som også indeholder en 10 ml doseringssprøjte, gradueret for hver 0,25 ml (</w:t>
      </w:r>
      <w:proofErr w:type="spellStart"/>
      <w:r w:rsidRPr="00F36DFC">
        <w:rPr>
          <w:sz w:val="24"/>
          <w:szCs w:val="24"/>
        </w:rPr>
        <w:t>polyethylen</w:t>
      </w:r>
      <w:proofErr w:type="spellEnd"/>
      <w:r w:rsidRPr="00F36DFC">
        <w:rPr>
          <w:sz w:val="24"/>
          <w:szCs w:val="24"/>
        </w:rPr>
        <w:t xml:space="preserve">, polypropylen) og en </w:t>
      </w:r>
      <w:proofErr w:type="spellStart"/>
      <w:r w:rsidRPr="00F36DFC">
        <w:rPr>
          <w:sz w:val="24"/>
          <w:szCs w:val="24"/>
        </w:rPr>
        <w:t>polyethylenadapter</w:t>
      </w:r>
      <w:proofErr w:type="spellEnd"/>
      <w:r w:rsidRPr="00F36DFC">
        <w:rPr>
          <w:sz w:val="24"/>
          <w:szCs w:val="24"/>
        </w:rPr>
        <w:t xml:space="preserve"> til doseringssprøjten.</w:t>
      </w:r>
    </w:p>
    <w:p w14:paraId="2442CDC4" w14:textId="77777777" w:rsidR="0047634C" w:rsidRPr="00F36DFC" w:rsidRDefault="0047634C" w:rsidP="00366984">
      <w:pPr>
        <w:ind w:left="851"/>
        <w:rPr>
          <w:sz w:val="24"/>
          <w:szCs w:val="24"/>
        </w:rPr>
      </w:pPr>
    </w:p>
    <w:p w14:paraId="31DC9B1E" w14:textId="77777777" w:rsidR="0047634C" w:rsidRPr="00F36DFC" w:rsidRDefault="0047634C" w:rsidP="00366984">
      <w:pPr>
        <w:ind w:left="851"/>
        <w:rPr>
          <w:sz w:val="24"/>
          <w:szCs w:val="24"/>
          <w:highlight w:val="yellow"/>
        </w:rPr>
      </w:pPr>
      <w:r w:rsidRPr="00F36DFC">
        <w:rPr>
          <w:sz w:val="24"/>
          <w:szCs w:val="24"/>
        </w:rPr>
        <w:t>2 ravfarvede glasflasker (type III) med 250 ml suspension og et hvidt børnesikret låg (polypropylen) hver i en pakning, som også indeholder en 10 ml doseringssprøjte, gradueret for hver 0,25 ml (</w:t>
      </w:r>
      <w:proofErr w:type="spellStart"/>
      <w:r w:rsidRPr="00F36DFC">
        <w:rPr>
          <w:sz w:val="24"/>
          <w:szCs w:val="24"/>
        </w:rPr>
        <w:t>polyethylen</w:t>
      </w:r>
      <w:proofErr w:type="spellEnd"/>
      <w:r w:rsidRPr="00F36DFC">
        <w:rPr>
          <w:sz w:val="24"/>
          <w:szCs w:val="24"/>
        </w:rPr>
        <w:t xml:space="preserve">, polypropylen) og en </w:t>
      </w:r>
      <w:proofErr w:type="spellStart"/>
      <w:r w:rsidRPr="00F36DFC">
        <w:rPr>
          <w:sz w:val="24"/>
          <w:szCs w:val="24"/>
        </w:rPr>
        <w:t>polyethylenadapter</w:t>
      </w:r>
      <w:proofErr w:type="spellEnd"/>
      <w:r w:rsidRPr="00F36DFC">
        <w:rPr>
          <w:sz w:val="24"/>
          <w:szCs w:val="24"/>
        </w:rPr>
        <w:t xml:space="preserve"> til doseringssprøjten.</w:t>
      </w:r>
    </w:p>
    <w:p w14:paraId="7737893D" w14:textId="77777777" w:rsidR="0047634C" w:rsidRPr="00F36DFC" w:rsidRDefault="0047634C" w:rsidP="00366984">
      <w:pPr>
        <w:ind w:left="851"/>
        <w:rPr>
          <w:sz w:val="24"/>
          <w:szCs w:val="24"/>
          <w:highlight w:val="yellow"/>
        </w:rPr>
      </w:pPr>
    </w:p>
    <w:p w14:paraId="2898E3F8" w14:textId="77777777" w:rsidR="0047634C" w:rsidRPr="00F36DFC" w:rsidRDefault="0047634C" w:rsidP="00366984">
      <w:pPr>
        <w:ind w:left="851"/>
        <w:rPr>
          <w:sz w:val="24"/>
          <w:szCs w:val="24"/>
        </w:rPr>
      </w:pPr>
      <w:r w:rsidRPr="00F36DFC">
        <w:rPr>
          <w:sz w:val="24"/>
          <w:szCs w:val="24"/>
        </w:rPr>
        <w:t>Ikke alle pakningsstørrelser er nødvendigvis markedsført.</w:t>
      </w:r>
    </w:p>
    <w:p w14:paraId="2C66DC49" w14:textId="77777777" w:rsidR="009260DE" w:rsidRPr="00F36DFC" w:rsidRDefault="009260DE" w:rsidP="009260DE">
      <w:pPr>
        <w:tabs>
          <w:tab w:val="left" w:pos="851"/>
        </w:tabs>
        <w:ind w:left="851"/>
        <w:rPr>
          <w:sz w:val="24"/>
          <w:szCs w:val="24"/>
        </w:rPr>
      </w:pPr>
    </w:p>
    <w:p w14:paraId="011D9F96" w14:textId="77777777" w:rsidR="009260DE" w:rsidRPr="00F36DFC" w:rsidRDefault="009260DE" w:rsidP="009260DE">
      <w:pPr>
        <w:tabs>
          <w:tab w:val="left" w:pos="851"/>
        </w:tabs>
        <w:ind w:left="851" w:hanging="851"/>
        <w:rPr>
          <w:b/>
          <w:sz w:val="24"/>
          <w:szCs w:val="24"/>
        </w:rPr>
      </w:pPr>
      <w:r w:rsidRPr="00F36DFC">
        <w:rPr>
          <w:b/>
          <w:sz w:val="24"/>
          <w:szCs w:val="24"/>
        </w:rPr>
        <w:t>6.6</w:t>
      </w:r>
      <w:r w:rsidRPr="00F36DFC">
        <w:rPr>
          <w:b/>
          <w:sz w:val="24"/>
          <w:szCs w:val="24"/>
        </w:rPr>
        <w:tab/>
        <w:t xml:space="preserve">Regler for </w:t>
      </w:r>
      <w:r w:rsidR="00BD7931" w:rsidRPr="00F36DFC">
        <w:rPr>
          <w:b/>
          <w:sz w:val="24"/>
          <w:szCs w:val="24"/>
        </w:rPr>
        <w:t>bortskaffelse</w:t>
      </w:r>
      <w:r w:rsidRPr="00F36DFC">
        <w:rPr>
          <w:b/>
          <w:sz w:val="24"/>
          <w:szCs w:val="24"/>
        </w:rPr>
        <w:t xml:space="preserve"> og anden håndtering</w:t>
      </w:r>
    </w:p>
    <w:p w14:paraId="53D283B0" w14:textId="77777777" w:rsidR="0047634C" w:rsidRPr="00F36DFC" w:rsidRDefault="0047634C" w:rsidP="00366984">
      <w:pPr>
        <w:ind w:left="851"/>
        <w:rPr>
          <w:sz w:val="24"/>
          <w:szCs w:val="24"/>
          <w:lang w:eastAsia="de-DE"/>
        </w:rPr>
      </w:pPr>
      <w:r w:rsidRPr="00F36DFC">
        <w:rPr>
          <w:sz w:val="24"/>
          <w:szCs w:val="24"/>
        </w:rPr>
        <w:t>Ikke anvendt lægemiddel samt affald heraf skal bortskaffes i henhold til lokale retningslinjer.</w:t>
      </w:r>
    </w:p>
    <w:p w14:paraId="0CD0E85A" w14:textId="77777777" w:rsidR="009260DE" w:rsidRPr="00F36DFC" w:rsidRDefault="009260DE" w:rsidP="000730CA">
      <w:pPr>
        <w:tabs>
          <w:tab w:val="left" w:pos="851"/>
        </w:tabs>
        <w:ind w:left="851"/>
        <w:rPr>
          <w:sz w:val="24"/>
          <w:szCs w:val="24"/>
        </w:rPr>
      </w:pPr>
    </w:p>
    <w:p w14:paraId="456E7938" w14:textId="77777777" w:rsidR="009260DE" w:rsidRPr="00F36DFC" w:rsidRDefault="009260DE" w:rsidP="009260DE">
      <w:pPr>
        <w:tabs>
          <w:tab w:val="left" w:pos="851"/>
        </w:tabs>
        <w:ind w:left="851" w:hanging="851"/>
        <w:rPr>
          <w:b/>
          <w:sz w:val="24"/>
          <w:szCs w:val="24"/>
        </w:rPr>
      </w:pPr>
      <w:r w:rsidRPr="00F36DFC">
        <w:rPr>
          <w:b/>
          <w:sz w:val="24"/>
          <w:szCs w:val="24"/>
        </w:rPr>
        <w:t>7.</w:t>
      </w:r>
      <w:r w:rsidRPr="00F36DFC">
        <w:rPr>
          <w:b/>
          <w:sz w:val="24"/>
          <w:szCs w:val="24"/>
        </w:rPr>
        <w:tab/>
        <w:t>INDEHAVER AF MARKEDSFØRINGSTILLADELSEN</w:t>
      </w:r>
    </w:p>
    <w:p w14:paraId="661616EC" w14:textId="77777777" w:rsidR="0047634C" w:rsidRPr="00F36DFC" w:rsidRDefault="0047634C" w:rsidP="00366984">
      <w:pPr>
        <w:ind w:left="851"/>
        <w:rPr>
          <w:sz w:val="24"/>
          <w:szCs w:val="24"/>
          <w:lang w:eastAsia="de-DE"/>
        </w:rPr>
      </w:pPr>
      <w:proofErr w:type="spellStart"/>
      <w:r w:rsidRPr="00F36DFC">
        <w:rPr>
          <w:sz w:val="24"/>
          <w:szCs w:val="24"/>
        </w:rPr>
        <w:t>Desitin</w:t>
      </w:r>
      <w:proofErr w:type="spellEnd"/>
      <w:r w:rsidRPr="00F36DFC">
        <w:rPr>
          <w:sz w:val="24"/>
          <w:szCs w:val="24"/>
        </w:rPr>
        <w:t xml:space="preserve"> </w:t>
      </w:r>
      <w:proofErr w:type="spellStart"/>
      <w:r w:rsidRPr="00F36DFC">
        <w:rPr>
          <w:sz w:val="24"/>
          <w:szCs w:val="24"/>
        </w:rPr>
        <w:t>Arzneimittel</w:t>
      </w:r>
      <w:proofErr w:type="spellEnd"/>
      <w:r w:rsidRPr="00F36DFC">
        <w:rPr>
          <w:sz w:val="24"/>
          <w:szCs w:val="24"/>
        </w:rPr>
        <w:t xml:space="preserve"> GmbH</w:t>
      </w:r>
    </w:p>
    <w:p w14:paraId="787A3CB0" w14:textId="77777777" w:rsidR="0047634C" w:rsidRPr="00F36DFC" w:rsidRDefault="0047634C" w:rsidP="00366984">
      <w:pPr>
        <w:ind w:left="851"/>
        <w:rPr>
          <w:sz w:val="24"/>
          <w:szCs w:val="24"/>
        </w:rPr>
      </w:pPr>
      <w:proofErr w:type="spellStart"/>
      <w:r w:rsidRPr="00F36DFC">
        <w:rPr>
          <w:sz w:val="24"/>
          <w:szCs w:val="24"/>
        </w:rPr>
        <w:t>Weg</w:t>
      </w:r>
      <w:proofErr w:type="spellEnd"/>
      <w:r w:rsidRPr="00F36DFC">
        <w:rPr>
          <w:sz w:val="24"/>
          <w:szCs w:val="24"/>
        </w:rPr>
        <w:t xml:space="preserve"> </w:t>
      </w:r>
      <w:proofErr w:type="spellStart"/>
      <w:r w:rsidRPr="00F36DFC">
        <w:rPr>
          <w:sz w:val="24"/>
          <w:szCs w:val="24"/>
        </w:rPr>
        <w:t>beim</w:t>
      </w:r>
      <w:proofErr w:type="spellEnd"/>
      <w:r w:rsidRPr="00F36DFC">
        <w:rPr>
          <w:sz w:val="24"/>
          <w:szCs w:val="24"/>
        </w:rPr>
        <w:t xml:space="preserve"> </w:t>
      </w:r>
      <w:proofErr w:type="spellStart"/>
      <w:r w:rsidRPr="00F36DFC">
        <w:rPr>
          <w:sz w:val="24"/>
          <w:szCs w:val="24"/>
        </w:rPr>
        <w:t>Jäger</w:t>
      </w:r>
      <w:proofErr w:type="spellEnd"/>
      <w:r w:rsidRPr="00F36DFC">
        <w:rPr>
          <w:sz w:val="24"/>
          <w:szCs w:val="24"/>
        </w:rPr>
        <w:t xml:space="preserve"> 214</w:t>
      </w:r>
    </w:p>
    <w:p w14:paraId="04772DCB" w14:textId="77777777" w:rsidR="0047634C" w:rsidRPr="00F36DFC" w:rsidRDefault="0047634C" w:rsidP="00366984">
      <w:pPr>
        <w:ind w:left="851"/>
        <w:rPr>
          <w:sz w:val="24"/>
          <w:szCs w:val="24"/>
        </w:rPr>
      </w:pPr>
      <w:r w:rsidRPr="00F36DFC">
        <w:rPr>
          <w:sz w:val="24"/>
          <w:szCs w:val="24"/>
        </w:rPr>
        <w:t>D-22335 Hamburg</w:t>
      </w:r>
    </w:p>
    <w:p w14:paraId="6B246FFA" w14:textId="77777777" w:rsidR="0047634C" w:rsidRPr="00F36DFC" w:rsidRDefault="0047634C" w:rsidP="00366984">
      <w:pPr>
        <w:ind w:left="851"/>
        <w:rPr>
          <w:sz w:val="24"/>
          <w:szCs w:val="24"/>
        </w:rPr>
      </w:pPr>
      <w:r w:rsidRPr="00F36DFC">
        <w:rPr>
          <w:sz w:val="24"/>
          <w:szCs w:val="24"/>
        </w:rPr>
        <w:t>Tyskland</w:t>
      </w:r>
    </w:p>
    <w:p w14:paraId="74F72DE3" w14:textId="77777777" w:rsidR="009260DE" w:rsidRPr="00F36DFC" w:rsidRDefault="009260DE" w:rsidP="00366984">
      <w:pPr>
        <w:tabs>
          <w:tab w:val="left" w:pos="851"/>
        </w:tabs>
        <w:ind w:left="851"/>
        <w:rPr>
          <w:sz w:val="24"/>
          <w:szCs w:val="24"/>
        </w:rPr>
      </w:pPr>
    </w:p>
    <w:p w14:paraId="49A8574C" w14:textId="77777777" w:rsidR="00641C65" w:rsidRPr="00F36DFC" w:rsidRDefault="00641C65" w:rsidP="00366984">
      <w:pPr>
        <w:tabs>
          <w:tab w:val="left" w:pos="851"/>
        </w:tabs>
        <w:ind w:left="851"/>
        <w:rPr>
          <w:sz w:val="24"/>
          <w:szCs w:val="24"/>
        </w:rPr>
      </w:pPr>
      <w:r w:rsidRPr="00F36DFC">
        <w:rPr>
          <w:b/>
          <w:sz w:val="24"/>
          <w:szCs w:val="24"/>
        </w:rPr>
        <w:t>Repræsentant</w:t>
      </w:r>
    </w:p>
    <w:p w14:paraId="3F24C45E" w14:textId="77777777" w:rsidR="0047634C" w:rsidRPr="00F36DFC" w:rsidRDefault="0047634C" w:rsidP="00366984">
      <w:pPr>
        <w:ind w:left="851"/>
        <w:rPr>
          <w:sz w:val="24"/>
          <w:szCs w:val="24"/>
          <w:lang w:eastAsia="de-DE"/>
        </w:rPr>
      </w:pPr>
      <w:proofErr w:type="spellStart"/>
      <w:r w:rsidRPr="00F36DFC">
        <w:rPr>
          <w:sz w:val="24"/>
          <w:szCs w:val="24"/>
        </w:rPr>
        <w:t>Desitin</w:t>
      </w:r>
      <w:proofErr w:type="spellEnd"/>
      <w:r w:rsidRPr="00F36DFC">
        <w:rPr>
          <w:sz w:val="24"/>
          <w:szCs w:val="24"/>
        </w:rPr>
        <w:t xml:space="preserve"> Pharma A/S</w:t>
      </w:r>
    </w:p>
    <w:p w14:paraId="008E2378" w14:textId="77777777" w:rsidR="0047634C" w:rsidRPr="00F36DFC" w:rsidRDefault="0047634C" w:rsidP="00366984">
      <w:pPr>
        <w:ind w:left="851"/>
        <w:rPr>
          <w:sz w:val="24"/>
          <w:szCs w:val="24"/>
        </w:rPr>
      </w:pPr>
      <w:r w:rsidRPr="00F36DFC">
        <w:rPr>
          <w:sz w:val="24"/>
          <w:szCs w:val="24"/>
        </w:rPr>
        <w:t>Automatikvej 1, 4.</w:t>
      </w:r>
    </w:p>
    <w:p w14:paraId="67F3537C" w14:textId="6065F040" w:rsidR="0047634C" w:rsidRPr="00F36DFC" w:rsidRDefault="0047634C" w:rsidP="00366984">
      <w:pPr>
        <w:ind w:left="851"/>
        <w:rPr>
          <w:sz w:val="24"/>
          <w:szCs w:val="24"/>
        </w:rPr>
      </w:pPr>
      <w:r w:rsidRPr="00F36DFC">
        <w:rPr>
          <w:sz w:val="24"/>
          <w:szCs w:val="24"/>
        </w:rPr>
        <w:t>2860 Søborg</w:t>
      </w:r>
    </w:p>
    <w:p w14:paraId="1466EE2C" w14:textId="77777777" w:rsidR="00641C65" w:rsidRPr="00F36DFC" w:rsidRDefault="00641C65" w:rsidP="009260DE">
      <w:pPr>
        <w:tabs>
          <w:tab w:val="left" w:pos="851"/>
        </w:tabs>
        <w:ind w:left="851"/>
        <w:rPr>
          <w:sz w:val="24"/>
          <w:szCs w:val="24"/>
        </w:rPr>
      </w:pPr>
    </w:p>
    <w:p w14:paraId="4BCBDA7C" w14:textId="77777777" w:rsidR="009260DE" w:rsidRPr="00F36DFC" w:rsidRDefault="009260DE" w:rsidP="009260DE">
      <w:pPr>
        <w:tabs>
          <w:tab w:val="left" w:pos="851"/>
        </w:tabs>
        <w:ind w:left="851" w:hanging="851"/>
        <w:rPr>
          <w:b/>
          <w:sz w:val="24"/>
          <w:szCs w:val="24"/>
        </w:rPr>
      </w:pPr>
      <w:r w:rsidRPr="00F36DFC">
        <w:rPr>
          <w:b/>
          <w:sz w:val="24"/>
          <w:szCs w:val="24"/>
        </w:rPr>
        <w:t>8.</w:t>
      </w:r>
      <w:r w:rsidRPr="00F36DFC">
        <w:rPr>
          <w:b/>
          <w:sz w:val="24"/>
          <w:szCs w:val="24"/>
        </w:rPr>
        <w:tab/>
        <w:t>MARKEDSFØRINGSTILLADELSESNUMMER (</w:t>
      </w:r>
      <w:r w:rsidR="00BF6243" w:rsidRPr="00F36DFC">
        <w:rPr>
          <w:b/>
          <w:sz w:val="24"/>
          <w:szCs w:val="24"/>
        </w:rPr>
        <w:t>-</w:t>
      </w:r>
      <w:r w:rsidRPr="00F36DFC">
        <w:rPr>
          <w:b/>
          <w:sz w:val="24"/>
          <w:szCs w:val="24"/>
        </w:rPr>
        <w:t>NUMRE)</w:t>
      </w:r>
    </w:p>
    <w:p w14:paraId="6689B258" w14:textId="357FD190" w:rsidR="009260DE" w:rsidRPr="00F36DFC" w:rsidRDefault="0047634C" w:rsidP="009260DE">
      <w:pPr>
        <w:tabs>
          <w:tab w:val="left" w:pos="851"/>
        </w:tabs>
        <w:ind w:left="851"/>
        <w:rPr>
          <w:sz w:val="24"/>
          <w:szCs w:val="24"/>
        </w:rPr>
      </w:pPr>
      <w:r w:rsidRPr="00F36DFC">
        <w:rPr>
          <w:sz w:val="24"/>
          <w:szCs w:val="24"/>
        </w:rPr>
        <w:t>71624</w:t>
      </w:r>
    </w:p>
    <w:p w14:paraId="4B8BB801" w14:textId="77777777" w:rsidR="009260DE" w:rsidRPr="00F36DFC" w:rsidRDefault="009260DE" w:rsidP="009260DE">
      <w:pPr>
        <w:tabs>
          <w:tab w:val="left" w:pos="851"/>
        </w:tabs>
        <w:ind w:left="851"/>
        <w:jc w:val="both"/>
        <w:rPr>
          <w:sz w:val="24"/>
          <w:szCs w:val="24"/>
        </w:rPr>
      </w:pPr>
    </w:p>
    <w:p w14:paraId="4A1ED6A1" w14:textId="77777777" w:rsidR="009260DE" w:rsidRPr="00F36DFC" w:rsidRDefault="009260DE" w:rsidP="009260DE">
      <w:pPr>
        <w:tabs>
          <w:tab w:val="left" w:pos="851"/>
        </w:tabs>
        <w:ind w:left="851" w:hanging="851"/>
        <w:rPr>
          <w:b/>
          <w:sz w:val="24"/>
          <w:szCs w:val="24"/>
        </w:rPr>
      </w:pPr>
      <w:r w:rsidRPr="00F36DFC">
        <w:rPr>
          <w:b/>
          <w:sz w:val="24"/>
          <w:szCs w:val="24"/>
        </w:rPr>
        <w:t>9.</w:t>
      </w:r>
      <w:r w:rsidRPr="00F36DFC">
        <w:rPr>
          <w:b/>
          <w:sz w:val="24"/>
          <w:szCs w:val="24"/>
        </w:rPr>
        <w:tab/>
        <w:t>DATO FOR FØRSTE MARKEDSFØRINGSTILLADELSE</w:t>
      </w:r>
    </w:p>
    <w:p w14:paraId="1C1CB748" w14:textId="6A8168D2" w:rsidR="009260DE" w:rsidRPr="00F36DFC" w:rsidRDefault="00CB69A3" w:rsidP="009260DE">
      <w:pPr>
        <w:tabs>
          <w:tab w:val="left" w:pos="851"/>
        </w:tabs>
        <w:ind w:left="851"/>
        <w:rPr>
          <w:sz w:val="24"/>
          <w:szCs w:val="24"/>
        </w:rPr>
      </w:pPr>
      <w:r>
        <w:rPr>
          <w:sz w:val="24"/>
          <w:szCs w:val="24"/>
        </w:rPr>
        <w:t>12. december 2024</w:t>
      </w:r>
    </w:p>
    <w:p w14:paraId="14B00200" w14:textId="77777777" w:rsidR="009260DE" w:rsidRPr="00F36DFC" w:rsidRDefault="009260DE" w:rsidP="009260DE">
      <w:pPr>
        <w:tabs>
          <w:tab w:val="left" w:pos="851"/>
        </w:tabs>
        <w:ind w:left="851"/>
        <w:rPr>
          <w:sz w:val="24"/>
          <w:szCs w:val="24"/>
        </w:rPr>
      </w:pPr>
    </w:p>
    <w:p w14:paraId="3F49805C" w14:textId="77777777" w:rsidR="009260DE" w:rsidRPr="00F36DFC" w:rsidRDefault="009260DE" w:rsidP="009260DE">
      <w:pPr>
        <w:tabs>
          <w:tab w:val="left" w:pos="851"/>
        </w:tabs>
        <w:ind w:left="851" w:hanging="851"/>
        <w:rPr>
          <w:b/>
          <w:sz w:val="24"/>
          <w:szCs w:val="24"/>
        </w:rPr>
      </w:pPr>
      <w:r w:rsidRPr="00F36DFC">
        <w:rPr>
          <w:b/>
          <w:sz w:val="24"/>
          <w:szCs w:val="24"/>
        </w:rPr>
        <w:t>10.</w:t>
      </w:r>
      <w:r w:rsidRPr="00F36DFC">
        <w:rPr>
          <w:b/>
          <w:sz w:val="24"/>
          <w:szCs w:val="24"/>
        </w:rPr>
        <w:tab/>
        <w:t>DATO FOR ÆNDRING AF TEKSTEN</w:t>
      </w:r>
    </w:p>
    <w:p w14:paraId="01CE1268" w14:textId="11DE3580" w:rsidR="009260DE" w:rsidRPr="00F36DFC" w:rsidRDefault="0047634C" w:rsidP="009260DE">
      <w:pPr>
        <w:tabs>
          <w:tab w:val="left" w:pos="851"/>
        </w:tabs>
        <w:ind w:left="851"/>
        <w:rPr>
          <w:sz w:val="24"/>
          <w:szCs w:val="24"/>
        </w:rPr>
      </w:pPr>
      <w:r w:rsidRPr="00F36DFC">
        <w:rPr>
          <w:sz w:val="24"/>
          <w:szCs w:val="24"/>
        </w:rPr>
        <w:t>-</w:t>
      </w:r>
    </w:p>
    <w:sectPr w:rsidR="009260DE" w:rsidRPr="00F36DFC"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796C72" w14:textId="77777777" w:rsidR="00F859C7" w:rsidRDefault="00F859C7">
      <w:r>
        <w:separator/>
      </w:r>
    </w:p>
  </w:endnote>
  <w:endnote w:type="continuationSeparator" w:id="0">
    <w:p w14:paraId="622A42DD" w14:textId="77777777" w:rsidR="00F859C7" w:rsidRDefault="00F85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0F742" w14:textId="77777777" w:rsidR="00F859C7" w:rsidRDefault="00F859C7">
    <w:pPr>
      <w:pStyle w:val="Sidefod"/>
      <w:pBdr>
        <w:bottom w:val="single" w:sz="6" w:space="1" w:color="auto"/>
      </w:pBdr>
    </w:pPr>
  </w:p>
  <w:p w14:paraId="1B7A9272" w14:textId="77777777" w:rsidR="00F859C7" w:rsidRDefault="00F859C7" w:rsidP="00C42586">
    <w:pPr>
      <w:pStyle w:val="Sidefod"/>
      <w:tabs>
        <w:tab w:val="clear" w:pos="4819"/>
        <w:tab w:val="left" w:pos="8505"/>
      </w:tabs>
      <w:rPr>
        <w:i/>
        <w:sz w:val="18"/>
        <w:szCs w:val="18"/>
      </w:rPr>
    </w:pPr>
  </w:p>
  <w:p w14:paraId="4850CF5E" w14:textId="7BF872E2" w:rsidR="00F859C7" w:rsidRPr="00B373D7" w:rsidRDefault="00F859C7"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2F404F">
      <w:rPr>
        <w:i/>
        <w:noProof/>
        <w:sz w:val="18"/>
        <w:szCs w:val="18"/>
      </w:rPr>
      <w:t>Zonisamid Desitin, oral suspension 20 mg-ml.docx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C7BC2" w14:textId="77777777" w:rsidR="00F859C7" w:rsidRDefault="00F859C7">
      <w:r>
        <w:separator/>
      </w:r>
    </w:p>
  </w:footnote>
  <w:footnote w:type="continuationSeparator" w:id="0">
    <w:p w14:paraId="49CF868A" w14:textId="77777777" w:rsidR="00F859C7" w:rsidRDefault="00F85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BE66B18"/>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12B42CDF"/>
    <w:multiLevelType w:val="hybridMultilevel"/>
    <w:tmpl w:val="38D46E02"/>
    <w:lvl w:ilvl="0" w:tplc="FFFFFFFF">
      <w:start w:val="1"/>
      <w:numFmt w:val="bullet"/>
      <w:lvlText w:val="-"/>
      <w:lvlJc w:val="left"/>
      <w:pPr>
        <w:ind w:left="360" w:hanging="360"/>
      </w:p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261416CC"/>
    <w:multiLevelType w:val="hybridMultilevel"/>
    <w:tmpl w:val="7BEEE7AA"/>
    <w:lvl w:ilvl="0" w:tplc="FFFFFFFF">
      <w:start w:val="1"/>
      <w:numFmt w:val="bullet"/>
      <w:lvlText w:val="-"/>
      <w:lvlJc w:val="left"/>
      <w:pPr>
        <w:ind w:left="1571" w:hanging="360"/>
      </w:p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3DCF68E6"/>
    <w:multiLevelType w:val="hybridMultilevel"/>
    <w:tmpl w:val="FC282A54"/>
    <w:lvl w:ilvl="0" w:tplc="FFFFFFFF">
      <w:start w:val="1"/>
      <w:numFmt w:val="bullet"/>
      <w:lvlText w:val="-"/>
      <w:lvlJc w:val="left"/>
      <w:pPr>
        <w:ind w:left="1287" w:hanging="360"/>
      </w:pPr>
    </w:lvl>
    <w:lvl w:ilvl="1" w:tplc="04070003">
      <w:start w:val="1"/>
      <w:numFmt w:val="bullet"/>
      <w:lvlText w:val="o"/>
      <w:lvlJc w:val="left"/>
      <w:pPr>
        <w:ind w:left="2007" w:hanging="360"/>
      </w:pPr>
      <w:rPr>
        <w:rFonts w:ascii="Courier New" w:hAnsi="Courier New" w:cs="Courier New" w:hint="default"/>
      </w:rPr>
    </w:lvl>
    <w:lvl w:ilvl="2" w:tplc="04070005">
      <w:start w:val="1"/>
      <w:numFmt w:val="bullet"/>
      <w:lvlText w:val=""/>
      <w:lvlJc w:val="left"/>
      <w:pPr>
        <w:ind w:left="2727" w:hanging="360"/>
      </w:pPr>
      <w:rPr>
        <w:rFonts w:ascii="Wingdings" w:hAnsi="Wingdings" w:hint="default"/>
      </w:rPr>
    </w:lvl>
    <w:lvl w:ilvl="3" w:tplc="04070001">
      <w:start w:val="1"/>
      <w:numFmt w:val="bullet"/>
      <w:lvlText w:val=""/>
      <w:lvlJc w:val="left"/>
      <w:pPr>
        <w:ind w:left="3447" w:hanging="360"/>
      </w:pPr>
      <w:rPr>
        <w:rFonts w:ascii="Symbol" w:hAnsi="Symbol" w:hint="default"/>
      </w:rPr>
    </w:lvl>
    <w:lvl w:ilvl="4" w:tplc="04070003">
      <w:start w:val="1"/>
      <w:numFmt w:val="bullet"/>
      <w:lvlText w:val="o"/>
      <w:lvlJc w:val="left"/>
      <w:pPr>
        <w:ind w:left="4167" w:hanging="360"/>
      </w:pPr>
      <w:rPr>
        <w:rFonts w:ascii="Courier New" w:hAnsi="Courier New" w:cs="Courier New" w:hint="default"/>
      </w:rPr>
    </w:lvl>
    <w:lvl w:ilvl="5" w:tplc="04070005">
      <w:start w:val="1"/>
      <w:numFmt w:val="bullet"/>
      <w:lvlText w:val=""/>
      <w:lvlJc w:val="left"/>
      <w:pPr>
        <w:ind w:left="4887" w:hanging="360"/>
      </w:pPr>
      <w:rPr>
        <w:rFonts w:ascii="Wingdings" w:hAnsi="Wingdings" w:hint="default"/>
      </w:rPr>
    </w:lvl>
    <w:lvl w:ilvl="6" w:tplc="04070001">
      <w:start w:val="1"/>
      <w:numFmt w:val="bullet"/>
      <w:lvlText w:val=""/>
      <w:lvlJc w:val="left"/>
      <w:pPr>
        <w:ind w:left="5607" w:hanging="360"/>
      </w:pPr>
      <w:rPr>
        <w:rFonts w:ascii="Symbol" w:hAnsi="Symbol" w:hint="default"/>
      </w:rPr>
    </w:lvl>
    <w:lvl w:ilvl="7" w:tplc="04070003">
      <w:start w:val="1"/>
      <w:numFmt w:val="bullet"/>
      <w:lvlText w:val="o"/>
      <w:lvlJc w:val="left"/>
      <w:pPr>
        <w:ind w:left="6327" w:hanging="360"/>
      </w:pPr>
      <w:rPr>
        <w:rFonts w:ascii="Courier New" w:hAnsi="Courier New" w:cs="Courier New" w:hint="default"/>
      </w:rPr>
    </w:lvl>
    <w:lvl w:ilvl="8" w:tplc="04070005">
      <w:start w:val="1"/>
      <w:numFmt w:val="bullet"/>
      <w:lvlText w:val=""/>
      <w:lvlJc w:val="left"/>
      <w:pPr>
        <w:ind w:left="7047" w:hanging="360"/>
      </w:pPr>
      <w:rPr>
        <w:rFonts w:ascii="Wingdings" w:hAnsi="Wingdings" w:hint="default"/>
      </w:r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5B773577"/>
    <w:multiLevelType w:val="hybridMultilevel"/>
    <w:tmpl w:val="9B884A40"/>
    <w:lvl w:ilvl="0" w:tplc="FFFFFFFF">
      <w:start w:val="1"/>
      <w:numFmt w:val="bullet"/>
      <w:lvlText w:val="-"/>
      <w:lvlJc w:val="left"/>
      <w:pPr>
        <w:ind w:left="1287" w:hanging="360"/>
      </w:pPr>
    </w:lvl>
    <w:lvl w:ilvl="1" w:tplc="04070003">
      <w:start w:val="1"/>
      <w:numFmt w:val="bullet"/>
      <w:lvlText w:val="o"/>
      <w:lvlJc w:val="left"/>
      <w:pPr>
        <w:ind w:left="2007" w:hanging="360"/>
      </w:pPr>
      <w:rPr>
        <w:rFonts w:ascii="Courier New" w:hAnsi="Courier New" w:cs="Courier New" w:hint="default"/>
      </w:rPr>
    </w:lvl>
    <w:lvl w:ilvl="2" w:tplc="04070005">
      <w:start w:val="1"/>
      <w:numFmt w:val="bullet"/>
      <w:lvlText w:val=""/>
      <w:lvlJc w:val="left"/>
      <w:pPr>
        <w:ind w:left="2727" w:hanging="360"/>
      </w:pPr>
      <w:rPr>
        <w:rFonts w:ascii="Wingdings" w:hAnsi="Wingdings" w:hint="default"/>
      </w:rPr>
    </w:lvl>
    <w:lvl w:ilvl="3" w:tplc="04070001">
      <w:start w:val="1"/>
      <w:numFmt w:val="bullet"/>
      <w:lvlText w:val=""/>
      <w:lvlJc w:val="left"/>
      <w:pPr>
        <w:ind w:left="3447" w:hanging="360"/>
      </w:pPr>
      <w:rPr>
        <w:rFonts w:ascii="Symbol" w:hAnsi="Symbol" w:hint="default"/>
      </w:rPr>
    </w:lvl>
    <w:lvl w:ilvl="4" w:tplc="04070003">
      <w:start w:val="1"/>
      <w:numFmt w:val="bullet"/>
      <w:lvlText w:val="o"/>
      <w:lvlJc w:val="left"/>
      <w:pPr>
        <w:ind w:left="4167" w:hanging="360"/>
      </w:pPr>
      <w:rPr>
        <w:rFonts w:ascii="Courier New" w:hAnsi="Courier New" w:cs="Courier New" w:hint="default"/>
      </w:rPr>
    </w:lvl>
    <w:lvl w:ilvl="5" w:tplc="04070005">
      <w:start w:val="1"/>
      <w:numFmt w:val="bullet"/>
      <w:lvlText w:val=""/>
      <w:lvlJc w:val="left"/>
      <w:pPr>
        <w:ind w:left="4887" w:hanging="360"/>
      </w:pPr>
      <w:rPr>
        <w:rFonts w:ascii="Wingdings" w:hAnsi="Wingdings" w:hint="default"/>
      </w:rPr>
    </w:lvl>
    <w:lvl w:ilvl="6" w:tplc="04070001">
      <w:start w:val="1"/>
      <w:numFmt w:val="bullet"/>
      <w:lvlText w:val=""/>
      <w:lvlJc w:val="left"/>
      <w:pPr>
        <w:ind w:left="5607" w:hanging="360"/>
      </w:pPr>
      <w:rPr>
        <w:rFonts w:ascii="Symbol" w:hAnsi="Symbol" w:hint="default"/>
      </w:rPr>
    </w:lvl>
    <w:lvl w:ilvl="7" w:tplc="04070003">
      <w:start w:val="1"/>
      <w:numFmt w:val="bullet"/>
      <w:lvlText w:val="o"/>
      <w:lvlJc w:val="left"/>
      <w:pPr>
        <w:ind w:left="6327" w:hanging="360"/>
      </w:pPr>
      <w:rPr>
        <w:rFonts w:ascii="Courier New" w:hAnsi="Courier New" w:cs="Courier New" w:hint="default"/>
      </w:rPr>
    </w:lvl>
    <w:lvl w:ilvl="8" w:tplc="04070005">
      <w:start w:val="1"/>
      <w:numFmt w:val="bullet"/>
      <w:lvlText w:val=""/>
      <w:lvlJc w:val="left"/>
      <w:pPr>
        <w:ind w:left="7047" w:hanging="360"/>
      </w:pPr>
      <w:rPr>
        <w:rFonts w:ascii="Wingdings" w:hAnsi="Wingdings" w:hint="default"/>
      </w:rPr>
    </w:lvl>
  </w:abstractNum>
  <w:abstractNum w:abstractNumId="10" w15:restartNumberingAfterBreak="0">
    <w:nsid w:val="5C2655F8"/>
    <w:multiLevelType w:val="hybridMultilevel"/>
    <w:tmpl w:val="B2CEFF44"/>
    <w:lvl w:ilvl="0" w:tplc="FFFFFFFF">
      <w:start w:val="1"/>
      <w:numFmt w:val="bullet"/>
      <w:lvlText w:val="-"/>
      <w:lvlJc w:val="left"/>
      <w:pPr>
        <w:ind w:left="360" w:hanging="360"/>
      </w:p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1" w15:restartNumberingAfterBreak="0">
    <w:nsid w:val="774273FC"/>
    <w:multiLevelType w:val="hybridMultilevel"/>
    <w:tmpl w:val="98568D96"/>
    <w:lvl w:ilvl="0" w:tplc="FFFFFFFF">
      <w:start w:val="1"/>
      <w:numFmt w:val="bullet"/>
      <w:lvlText w:val="-"/>
      <w:lvlJc w:val="left"/>
      <w:pPr>
        <w:ind w:left="360" w:hanging="360"/>
      </w:p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1"/>
  </w:num>
  <w:num w:numId="8">
    <w:abstractNumId w:val="10"/>
  </w:num>
  <w:num w:numId="9">
    <w:abstractNumId w:val="1"/>
  </w:num>
  <w:num w:numId="10">
    <w:abstractNumId w:val="9"/>
  </w:num>
  <w:num w:numId="11">
    <w:abstractNumId w:val="6"/>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B65"/>
    <w:rsid w:val="000259B9"/>
    <w:rsid w:val="00041491"/>
    <w:rsid w:val="00050D16"/>
    <w:rsid w:val="000730CA"/>
    <w:rsid w:val="00074F2A"/>
    <w:rsid w:val="00093F50"/>
    <w:rsid w:val="000A1CA8"/>
    <w:rsid w:val="000A466B"/>
    <w:rsid w:val="000B058C"/>
    <w:rsid w:val="000D68B0"/>
    <w:rsid w:val="000E4EE6"/>
    <w:rsid w:val="00125E0E"/>
    <w:rsid w:val="001454E2"/>
    <w:rsid w:val="00194174"/>
    <w:rsid w:val="00206CE8"/>
    <w:rsid w:val="0021526C"/>
    <w:rsid w:val="00283A2B"/>
    <w:rsid w:val="002B30AD"/>
    <w:rsid w:val="002C1EC0"/>
    <w:rsid w:val="002C2C01"/>
    <w:rsid w:val="002F404F"/>
    <w:rsid w:val="00366984"/>
    <w:rsid w:val="003A29AE"/>
    <w:rsid w:val="003A32D7"/>
    <w:rsid w:val="003B4074"/>
    <w:rsid w:val="003C769A"/>
    <w:rsid w:val="003D3A90"/>
    <w:rsid w:val="003F1838"/>
    <w:rsid w:val="004251C1"/>
    <w:rsid w:val="0045746C"/>
    <w:rsid w:val="0047634C"/>
    <w:rsid w:val="0049104B"/>
    <w:rsid w:val="004E3B12"/>
    <w:rsid w:val="00532310"/>
    <w:rsid w:val="00565F0F"/>
    <w:rsid w:val="00594A86"/>
    <w:rsid w:val="00596D86"/>
    <w:rsid w:val="00637F5A"/>
    <w:rsid w:val="00641C65"/>
    <w:rsid w:val="006560B1"/>
    <w:rsid w:val="00662B68"/>
    <w:rsid w:val="006756DD"/>
    <w:rsid w:val="00677992"/>
    <w:rsid w:val="0071241E"/>
    <w:rsid w:val="00737275"/>
    <w:rsid w:val="00740EEC"/>
    <w:rsid w:val="0078011A"/>
    <w:rsid w:val="00782AF4"/>
    <w:rsid w:val="00790EE7"/>
    <w:rsid w:val="007B6649"/>
    <w:rsid w:val="0082576E"/>
    <w:rsid w:val="0089346F"/>
    <w:rsid w:val="00907F75"/>
    <w:rsid w:val="009260DE"/>
    <w:rsid w:val="0093258A"/>
    <w:rsid w:val="009C7BA3"/>
    <w:rsid w:val="009D1F5A"/>
    <w:rsid w:val="00A10294"/>
    <w:rsid w:val="00B003BF"/>
    <w:rsid w:val="00B373D7"/>
    <w:rsid w:val="00B55271"/>
    <w:rsid w:val="00BD7931"/>
    <w:rsid w:val="00BF6243"/>
    <w:rsid w:val="00C26C40"/>
    <w:rsid w:val="00C36276"/>
    <w:rsid w:val="00C40F05"/>
    <w:rsid w:val="00C42586"/>
    <w:rsid w:val="00C45F6B"/>
    <w:rsid w:val="00C60CCD"/>
    <w:rsid w:val="00C84483"/>
    <w:rsid w:val="00C95551"/>
    <w:rsid w:val="00CB20D7"/>
    <w:rsid w:val="00CB69A3"/>
    <w:rsid w:val="00D020B0"/>
    <w:rsid w:val="00D11748"/>
    <w:rsid w:val="00D16F2D"/>
    <w:rsid w:val="00D237F6"/>
    <w:rsid w:val="00D34D98"/>
    <w:rsid w:val="00D366CF"/>
    <w:rsid w:val="00D93992"/>
    <w:rsid w:val="00E108AA"/>
    <w:rsid w:val="00E14048"/>
    <w:rsid w:val="00E3749A"/>
    <w:rsid w:val="00E7437F"/>
    <w:rsid w:val="00E81B65"/>
    <w:rsid w:val="00E865B8"/>
    <w:rsid w:val="00EC0B9B"/>
    <w:rsid w:val="00ED5E9F"/>
    <w:rsid w:val="00EE5E94"/>
    <w:rsid w:val="00F36DFC"/>
    <w:rsid w:val="00F66D4F"/>
    <w:rsid w:val="00F859C7"/>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22AC7F"/>
  <w15:chartTrackingRefBased/>
  <w15:docId w15:val="{06188537-DEFE-4161-A0F6-931BA16A6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Opstilling-punkttegn">
    <w:name w:val="List Bullet"/>
    <w:basedOn w:val="Normal"/>
    <w:uiPriority w:val="99"/>
    <w:semiHidden/>
    <w:unhideWhenUsed/>
    <w:rsid w:val="00F859C7"/>
    <w:pPr>
      <w:numPr>
        <w:numId w:val="6"/>
      </w:numPr>
      <w:autoSpaceDE w:val="0"/>
      <w:autoSpaceDN w:val="0"/>
      <w:ind w:left="567" w:hanging="567"/>
      <w:contextualSpacing/>
    </w:pPr>
    <w:rPr>
      <w:rFonts w:cs="Courier"/>
      <w:sz w:val="22"/>
      <w:szCs w:val="24"/>
      <w:lang w:val="en-GB" w:eastAsia="de-DE"/>
    </w:rPr>
  </w:style>
  <w:style w:type="table" w:styleId="Tabel-Gitter">
    <w:name w:val="Table Grid"/>
    <w:basedOn w:val="Tabel-Normal"/>
    <w:uiPriority w:val="59"/>
    <w:rsid w:val="00F859C7"/>
    <w:pPr>
      <w:widowControl w:val="0"/>
    </w:pPr>
    <w:rPr>
      <w:rFonts w:asciiTheme="minorHAnsi" w:eastAsiaTheme="minorHAnsi" w:hAnsi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F859C7"/>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styleId="Listeafsnit">
    <w:name w:val="List Paragraph"/>
    <w:basedOn w:val="Normal"/>
    <w:uiPriority w:val="1"/>
    <w:qFormat/>
    <w:rsid w:val="00F859C7"/>
    <w:pPr>
      <w:autoSpaceDE w:val="0"/>
      <w:autoSpaceDN w:val="0"/>
    </w:pPr>
    <w:rPr>
      <w:rFonts w:cs="Courier"/>
      <w:sz w:val="22"/>
      <w:szCs w:val="24"/>
      <w:lang w:val="en-GB" w:eastAsia="de-DE"/>
    </w:rPr>
  </w:style>
  <w:style w:type="character" w:styleId="Hyperlink">
    <w:name w:val="Hyperlink"/>
    <w:basedOn w:val="Standardskrifttypeiafsnit"/>
    <w:uiPriority w:val="99"/>
    <w:semiHidden/>
    <w:unhideWhenUsed/>
    <w:rsid w:val="00D16F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5976">
      <w:bodyDiv w:val="1"/>
      <w:marLeft w:val="0"/>
      <w:marRight w:val="0"/>
      <w:marTop w:val="0"/>
      <w:marBottom w:val="0"/>
      <w:divBdr>
        <w:top w:val="none" w:sz="0" w:space="0" w:color="auto"/>
        <w:left w:val="none" w:sz="0" w:space="0" w:color="auto"/>
        <w:bottom w:val="none" w:sz="0" w:space="0" w:color="auto"/>
        <w:right w:val="none" w:sz="0" w:space="0" w:color="auto"/>
      </w:divBdr>
    </w:div>
    <w:div w:id="50279011">
      <w:bodyDiv w:val="1"/>
      <w:marLeft w:val="0"/>
      <w:marRight w:val="0"/>
      <w:marTop w:val="0"/>
      <w:marBottom w:val="0"/>
      <w:divBdr>
        <w:top w:val="none" w:sz="0" w:space="0" w:color="auto"/>
        <w:left w:val="none" w:sz="0" w:space="0" w:color="auto"/>
        <w:bottom w:val="none" w:sz="0" w:space="0" w:color="auto"/>
        <w:right w:val="none" w:sz="0" w:space="0" w:color="auto"/>
      </w:divBdr>
    </w:div>
    <w:div w:id="5440368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52322395">
      <w:bodyDiv w:val="1"/>
      <w:marLeft w:val="0"/>
      <w:marRight w:val="0"/>
      <w:marTop w:val="0"/>
      <w:marBottom w:val="0"/>
      <w:divBdr>
        <w:top w:val="none" w:sz="0" w:space="0" w:color="auto"/>
        <w:left w:val="none" w:sz="0" w:space="0" w:color="auto"/>
        <w:bottom w:val="none" w:sz="0" w:space="0" w:color="auto"/>
        <w:right w:val="none" w:sz="0" w:space="0" w:color="auto"/>
      </w:divBdr>
    </w:div>
    <w:div w:id="317148948">
      <w:bodyDiv w:val="1"/>
      <w:marLeft w:val="0"/>
      <w:marRight w:val="0"/>
      <w:marTop w:val="0"/>
      <w:marBottom w:val="0"/>
      <w:divBdr>
        <w:top w:val="none" w:sz="0" w:space="0" w:color="auto"/>
        <w:left w:val="none" w:sz="0" w:space="0" w:color="auto"/>
        <w:bottom w:val="none" w:sz="0" w:space="0" w:color="auto"/>
        <w:right w:val="none" w:sz="0" w:space="0" w:color="auto"/>
      </w:divBdr>
    </w:div>
    <w:div w:id="390884524">
      <w:bodyDiv w:val="1"/>
      <w:marLeft w:val="0"/>
      <w:marRight w:val="0"/>
      <w:marTop w:val="0"/>
      <w:marBottom w:val="0"/>
      <w:divBdr>
        <w:top w:val="none" w:sz="0" w:space="0" w:color="auto"/>
        <w:left w:val="none" w:sz="0" w:space="0" w:color="auto"/>
        <w:bottom w:val="none" w:sz="0" w:space="0" w:color="auto"/>
        <w:right w:val="none" w:sz="0" w:space="0" w:color="auto"/>
      </w:divBdr>
    </w:div>
    <w:div w:id="458376862">
      <w:bodyDiv w:val="1"/>
      <w:marLeft w:val="0"/>
      <w:marRight w:val="0"/>
      <w:marTop w:val="0"/>
      <w:marBottom w:val="0"/>
      <w:divBdr>
        <w:top w:val="none" w:sz="0" w:space="0" w:color="auto"/>
        <w:left w:val="none" w:sz="0" w:space="0" w:color="auto"/>
        <w:bottom w:val="none" w:sz="0" w:space="0" w:color="auto"/>
        <w:right w:val="none" w:sz="0" w:space="0" w:color="auto"/>
      </w:divBdr>
    </w:div>
    <w:div w:id="536771871">
      <w:bodyDiv w:val="1"/>
      <w:marLeft w:val="0"/>
      <w:marRight w:val="0"/>
      <w:marTop w:val="0"/>
      <w:marBottom w:val="0"/>
      <w:divBdr>
        <w:top w:val="none" w:sz="0" w:space="0" w:color="auto"/>
        <w:left w:val="none" w:sz="0" w:space="0" w:color="auto"/>
        <w:bottom w:val="none" w:sz="0" w:space="0" w:color="auto"/>
        <w:right w:val="none" w:sz="0" w:space="0" w:color="auto"/>
      </w:divBdr>
    </w:div>
    <w:div w:id="839085317">
      <w:bodyDiv w:val="1"/>
      <w:marLeft w:val="0"/>
      <w:marRight w:val="0"/>
      <w:marTop w:val="0"/>
      <w:marBottom w:val="0"/>
      <w:divBdr>
        <w:top w:val="none" w:sz="0" w:space="0" w:color="auto"/>
        <w:left w:val="none" w:sz="0" w:space="0" w:color="auto"/>
        <w:bottom w:val="none" w:sz="0" w:space="0" w:color="auto"/>
        <w:right w:val="none" w:sz="0" w:space="0" w:color="auto"/>
      </w:divBdr>
    </w:div>
    <w:div w:id="1058551502">
      <w:bodyDiv w:val="1"/>
      <w:marLeft w:val="0"/>
      <w:marRight w:val="0"/>
      <w:marTop w:val="0"/>
      <w:marBottom w:val="0"/>
      <w:divBdr>
        <w:top w:val="none" w:sz="0" w:space="0" w:color="auto"/>
        <w:left w:val="none" w:sz="0" w:space="0" w:color="auto"/>
        <w:bottom w:val="none" w:sz="0" w:space="0" w:color="auto"/>
        <w:right w:val="none" w:sz="0" w:space="0" w:color="auto"/>
      </w:divBdr>
    </w:div>
    <w:div w:id="1133913057">
      <w:bodyDiv w:val="1"/>
      <w:marLeft w:val="0"/>
      <w:marRight w:val="0"/>
      <w:marTop w:val="0"/>
      <w:marBottom w:val="0"/>
      <w:divBdr>
        <w:top w:val="none" w:sz="0" w:space="0" w:color="auto"/>
        <w:left w:val="none" w:sz="0" w:space="0" w:color="auto"/>
        <w:bottom w:val="none" w:sz="0" w:space="0" w:color="auto"/>
        <w:right w:val="none" w:sz="0" w:space="0" w:color="auto"/>
      </w:divBdr>
    </w:div>
    <w:div w:id="1140877311">
      <w:bodyDiv w:val="1"/>
      <w:marLeft w:val="0"/>
      <w:marRight w:val="0"/>
      <w:marTop w:val="0"/>
      <w:marBottom w:val="0"/>
      <w:divBdr>
        <w:top w:val="none" w:sz="0" w:space="0" w:color="auto"/>
        <w:left w:val="none" w:sz="0" w:space="0" w:color="auto"/>
        <w:bottom w:val="none" w:sz="0" w:space="0" w:color="auto"/>
        <w:right w:val="none" w:sz="0" w:space="0" w:color="auto"/>
      </w:divBdr>
    </w:div>
    <w:div w:id="1241452754">
      <w:bodyDiv w:val="1"/>
      <w:marLeft w:val="0"/>
      <w:marRight w:val="0"/>
      <w:marTop w:val="0"/>
      <w:marBottom w:val="0"/>
      <w:divBdr>
        <w:top w:val="none" w:sz="0" w:space="0" w:color="auto"/>
        <w:left w:val="none" w:sz="0" w:space="0" w:color="auto"/>
        <w:bottom w:val="none" w:sz="0" w:space="0" w:color="auto"/>
        <w:right w:val="none" w:sz="0" w:space="0" w:color="auto"/>
      </w:divBdr>
    </w:div>
    <w:div w:id="1321495929">
      <w:bodyDiv w:val="1"/>
      <w:marLeft w:val="0"/>
      <w:marRight w:val="0"/>
      <w:marTop w:val="0"/>
      <w:marBottom w:val="0"/>
      <w:divBdr>
        <w:top w:val="none" w:sz="0" w:space="0" w:color="auto"/>
        <w:left w:val="none" w:sz="0" w:space="0" w:color="auto"/>
        <w:bottom w:val="none" w:sz="0" w:space="0" w:color="auto"/>
        <w:right w:val="none" w:sz="0" w:space="0" w:color="auto"/>
      </w:divBdr>
    </w:div>
    <w:div w:id="1687251653">
      <w:bodyDiv w:val="1"/>
      <w:marLeft w:val="0"/>
      <w:marRight w:val="0"/>
      <w:marTop w:val="0"/>
      <w:marBottom w:val="0"/>
      <w:divBdr>
        <w:top w:val="none" w:sz="0" w:space="0" w:color="auto"/>
        <w:left w:val="none" w:sz="0" w:space="0" w:color="auto"/>
        <w:bottom w:val="none" w:sz="0" w:space="0" w:color="auto"/>
        <w:right w:val="none" w:sz="0" w:space="0" w:color="auto"/>
      </w:divBdr>
    </w:div>
    <w:div w:id="1717124474">
      <w:bodyDiv w:val="1"/>
      <w:marLeft w:val="0"/>
      <w:marRight w:val="0"/>
      <w:marTop w:val="0"/>
      <w:marBottom w:val="0"/>
      <w:divBdr>
        <w:top w:val="none" w:sz="0" w:space="0" w:color="auto"/>
        <w:left w:val="none" w:sz="0" w:space="0" w:color="auto"/>
        <w:bottom w:val="none" w:sz="0" w:space="0" w:color="auto"/>
        <w:right w:val="none" w:sz="0" w:space="0" w:color="auto"/>
      </w:divBdr>
    </w:div>
    <w:div w:id="1809976552">
      <w:bodyDiv w:val="1"/>
      <w:marLeft w:val="0"/>
      <w:marRight w:val="0"/>
      <w:marTop w:val="0"/>
      <w:marBottom w:val="0"/>
      <w:divBdr>
        <w:top w:val="none" w:sz="0" w:space="0" w:color="auto"/>
        <w:left w:val="none" w:sz="0" w:space="0" w:color="auto"/>
        <w:bottom w:val="none" w:sz="0" w:space="0" w:color="auto"/>
        <w:right w:val="none" w:sz="0" w:space="0" w:color="auto"/>
      </w:divBdr>
    </w:div>
    <w:div w:id="1870875527">
      <w:bodyDiv w:val="1"/>
      <w:marLeft w:val="0"/>
      <w:marRight w:val="0"/>
      <w:marTop w:val="0"/>
      <w:marBottom w:val="0"/>
      <w:divBdr>
        <w:top w:val="none" w:sz="0" w:space="0" w:color="auto"/>
        <w:left w:val="none" w:sz="0" w:space="0" w:color="auto"/>
        <w:bottom w:val="none" w:sz="0" w:space="0" w:color="auto"/>
        <w:right w:val="none" w:sz="0" w:space="0" w:color="auto"/>
      </w:divBdr>
    </w:div>
    <w:div w:id="1877230367">
      <w:bodyDiv w:val="1"/>
      <w:marLeft w:val="0"/>
      <w:marRight w:val="0"/>
      <w:marTop w:val="0"/>
      <w:marBottom w:val="0"/>
      <w:divBdr>
        <w:top w:val="none" w:sz="0" w:space="0" w:color="auto"/>
        <w:left w:val="none" w:sz="0" w:space="0" w:color="auto"/>
        <w:bottom w:val="none" w:sz="0" w:space="0" w:color="auto"/>
        <w:right w:val="none" w:sz="0" w:space="0" w:color="auto"/>
      </w:divBdr>
    </w:div>
    <w:div w:id="1935553466">
      <w:bodyDiv w:val="1"/>
      <w:marLeft w:val="0"/>
      <w:marRight w:val="0"/>
      <w:marTop w:val="0"/>
      <w:marBottom w:val="0"/>
      <w:divBdr>
        <w:top w:val="none" w:sz="0" w:space="0" w:color="auto"/>
        <w:left w:val="none" w:sz="0" w:space="0" w:color="auto"/>
        <w:bottom w:val="none" w:sz="0" w:space="0" w:color="auto"/>
        <w:right w:val="none" w:sz="0" w:space="0" w:color="auto"/>
      </w:divBdr>
    </w:div>
    <w:div w:id="1944605920">
      <w:bodyDiv w:val="1"/>
      <w:marLeft w:val="0"/>
      <w:marRight w:val="0"/>
      <w:marTop w:val="0"/>
      <w:marBottom w:val="0"/>
      <w:divBdr>
        <w:top w:val="none" w:sz="0" w:space="0" w:color="auto"/>
        <w:left w:val="none" w:sz="0" w:space="0" w:color="auto"/>
        <w:bottom w:val="none" w:sz="0" w:space="0" w:color="auto"/>
        <w:right w:val="none" w:sz="0" w:space="0" w:color="auto"/>
      </w:divBdr>
    </w:div>
    <w:div w:id="1956524021">
      <w:bodyDiv w:val="1"/>
      <w:marLeft w:val="0"/>
      <w:marRight w:val="0"/>
      <w:marTop w:val="0"/>
      <w:marBottom w:val="0"/>
      <w:divBdr>
        <w:top w:val="none" w:sz="0" w:space="0" w:color="auto"/>
        <w:left w:val="none" w:sz="0" w:space="0" w:color="auto"/>
        <w:bottom w:val="none" w:sz="0" w:space="0" w:color="auto"/>
        <w:right w:val="none" w:sz="0" w:space="0" w:color="auto"/>
      </w:divBdr>
    </w:div>
    <w:div w:id="1958636955">
      <w:bodyDiv w:val="1"/>
      <w:marLeft w:val="0"/>
      <w:marRight w:val="0"/>
      <w:marTop w:val="0"/>
      <w:marBottom w:val="0"/>
      <w:divBdr>
        <w:top w:val="none" w:sz="0" w:space="0" w:color="auto"/>
        <w:left w:val="none" w:sz="0" w:space="0" w:color="auto"/>
        <w:bottom w:val="none" w:sz="0" w:space="0" w:color="auto"/>
        <w:right w:val="none" w:sz="0" w:space="0" w:color="auto"/>
      </w:divBdr>
    </w:div>
    <w:div w:id="1963072371">
      <w:bodyDiv w:val="1"/>
      <w:marLeft w:val="0"/>
      <w:marRight w:val="0"/>
      <w:marTop w:val="0"/>
      <w:marBottom w:val="0"/>
      <w:divBdr>
        <w:top w:val="none" w:sz="0" w:space="0" w:color="auto"/>
        <w:left w:val="none" w:sz="0" w:space="0" w:color="auto"/>
        <w:bottom w:val="none" w:sz="0" w:space="0" w:color="auto"/>
        <w:right w:val="none" w:sz="0" w:space="0" w:color="auto"/>
      </w:divBdr>
    </w:div>
    <w:div w:id="212221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85</TotalTime>
  <Pages>24</Pages>
  <Words>7776</Words>
  <Characters>49432</Characters>
  <Application>Microsoft Office Word</Application>
  <DocSecurity>0</DocSecurity>
  <Lines>411</Lines>
  <Paragraphs>114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2024041102, MT</dc:description>
  <cp:lastModifiedBy>Gitte Jørgensen</cp:lastModifiedBy>
  <cp:revision>15</cp:revision>
  <cp:lastPrinted>2012-08-22T08:53:00Z</cp:lastPrinted>
  <dcterms:created xsi:type="dcterms:W3CDTF">2024-12-12T08:28:00Z</dcterms:created>
  <dcterms:modified xsi:type="dcterms:W3CDTF">2024-12-12T12:43:00Z</dcterms:modified>
</cp:coreProperties>
</file>