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7216"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11582">
        <w:rPr>
          <w:szCs w:val="24"/>
        </w:rPr>
        <w:t>1. juli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011582" w:rsidP="009260DE">
      <w:pPr>
        <w:jc w:val="center"/>
        <w:rPr>
          <w:b/>
          <w:sz w:val="24"/>
          <w:szCs w:val="24"/>
        </w:rPr>
      </w:pPr>
      <w:r>
        <w:rPr>
          <w:b/>
          <w:sz w:val="24"/>
          <w:szCs w:val="24"/>
        </w:rPr>
        <w:t>Zymeduo</w:t>
      </w:r>
      <w:r w:rsidR="00F13317">
        <w:rPr>
          <w:b/>
          <w:sz w:val="24"/>
          <w:szCs w:val="24"/>
        </w:rPr>
        <w:t>, næsespray, suspension</w:t>
      </w: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24FDC" w:rsidP="009260DE">
      <w:pPr>
        <w:tabs>
          <w:tab w:val="left" w:pos="851"/>
        </w:tabs>
        <w:ind w:left="851"/>
        <w:rPr>
          <w:sz w:val="24"/>
          <w:szCs w:val="24"/>
        </w:rPr>
      </w:pPr>
      <w:r>
        <w:rPr>
          <w:sz w:val="24"/>
          <w:szCs w:val="24"/>
        </w:rPr>
        <w:t>32857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011582" w:rsidP="009260DE">
      <w:pPr>
        <w:tabs>
          <w:tab w:val="left" w:pos="851"/>
        </w:tabs>
        <w:ind w:left="851"/>
        <w:rPr>
          <w:sz w:val="24"/>
          <w:szCs w:val="24"/>
        </w:rPr>
      </w:pPr>
      <w:r>
        <w:rPr>
          <w:sz w:val="24"/>
          <w:szCs w:val="24"/>
        </w:rPr>
        <w:t>Zymeduo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24FDC" w:rsidRPr="00324FDC" w:rsidRDefault="00324FDC" w:rsidP="00324FDC">
      <w:pPr>
        <w:tabs>
          <w:tab w:val="left" w:pos="851"/>
        </w:tabs>
        <w:ind w:left="851"/>
        <w:rPr>
          <w:sz w:val="24"/>
          <w:szCs w:val="24"/>
        </w:rPr>
      </w:pPr>
      <w:r w:rsidRPr="00324FDC">
        <w:rPr>
          <w:sz w:val="24"/>
          <w:szCs w:val="24"/>
        </w:rPr>
        <w:t>Hvert gram suspension indeholder 1000 mikrogram azelastinhydrochlorid (= 913 mikrogram azelastin) og 365 mikrogram fluticasonpropionat.</w:t>
      </w:r>
    </w:p>
    <w:p w:rsidR="00324FDC" w:rsidRDefault="00324FDC" w:rsidP="00324FDC">
      <w:pPr>
        <w:tabs>
          <w:tab w:val="left" w:pos="851"/>
        </w:tabs>
        <w:ind w:left="851"/>
        <w:rPr>
          <w:sz w:val="24"/>
          <w:szCs w:val="24"/>
        </w:rPr>
      </w:pPr>
    </w:p>
    <w:p w:rsidR="00324FDC" w:rsidRPr="00324FDC" w:rsidRDefault="00324FDC" w:rsidP="00324FDC">
      <w:pPr>
        <w:tabs>
          <w:tab w:val="left" w:pos="851"/>
        </w:tabs>
        <w:ind w:left="851"/>
        <w:rPr>
          <w:sz w:val="24"/>
          <w:szCs w:val="24"/>
        </w:rPr>
      </w:pPr>
      <w:r w:rsidRPr="00324FDC">
        <w:rPr>
          <w:sz w:val="24"/>
          <w:szCs w:val="24"/>
        </w:rPr>
        <w:t>Et pust (0,14 g) indeholder 137 mikrogram azelastinhydrochlorid (= 125 mikrogram azelastin) og 50 mikrogram fluticasonpropionat.</w:t>
      </w:r>
    </w:p>
    <w:p w:rsidR="00324FDC" w:rsidRPr="00324FDC" w:rsidRDefault="00324FDC" w:rsidP="00324FDC">
      <w:pPr>
        <w:tabs>
          <w:tab w:val="left" w:pos="851"/>
        </w:tabs>
        <w:ind w:left="851"/>
        <w:rPr>
          <w:sz w:val="24"/>
          <w:szCs w:val="24"/>
        </w:rPr>
      </w:pPr>
    </w:p>
    <w:p w:rsidR="00324FDC" w:rsidRPr="00324FDC" w:rsidRDefault="00324FDC" w:rsidP="00324FDC">
      <w:pPr>
        <w:tabs>
          <w:tab w:val="left" w:pos="851"/>
        </w:tabs>
        <w:ind w:left="851"/>
        <w:rPr>
          <w:sz w:val="24"/>
          <w:szCs w:val="24"/>
          <w:u w:val="single"/>
        </w:rPr>
      </w:pPr>
      <w:r w:rsidRPr="00324FDC">
        <w:rPr>
          <w:sz w:val="24"/>
          <w:szCs w:val="24"/>
          <w:u w:val="single"/>
        </w:rPr>
        <w:t>Hjælpestof, som behandleren skal være opmærksom på</w:t>
      </w:r>
    </w:p>
    <w:p w:rsidR="00324FDC" w:rsidRPr="00324FDC" w:rsidRDefault="00324FDC" w:rsidP="00324FDC">
      <w:pPr>
        <w:tabs>
          <w:tab w:val="left" w:pos="851"/>
        </w:tabs>
        <w:ind w:left="851"/>
        <w:rPr>
          <w:sz w:val="24"/>
          <w:szCs w:val="24"/>
        </w:rPr>
      </w:pPr>
      <w:r w:rsidRPr="00324FDC">
        <w:rPr>
          <w:sz w:val="24"/>
          <w:szCs w:val="24"/>
        </w:rPr>
        <w:t>Et pust (0,14 g) indeholder 0,014 mg benzalkoniumchlorid.</w:t>
      </w:r>
    </w:p>
    <w:p w:rsidR="00324FDC" w:rsidRPr="00324FDC" w:rsidRDefault="00324FDC" w:rsidP="00324FDC">
      <w:pPr>
        <w:tabs>
          <w:tab w:val="left" w:pos="851"/>
        </w:tabs>
        <w:ind w:left="851"/>
        <w:rPr>
          <w:sz w:val="24"/>
          <w:szCs w:val="24"/>
        </w:rPr>
      </w:pPr>
    </w:p>
    <w:p w:rsidR="00324FDC" w:rsidRPr="00324FDC" w:rsidRDefault="00324FDC" w:rsidP="00324FDC">
      <w:pPr>
        <w:tabs>
          <w:tab w:val="left" w:pos="851"/>
        </w:tabs>
        <w:ind w:left="851"/>
        <w:rPr>
          <w:sz w:val="24"/>
          <w:szCs w:val="24"/>
        </w:rPr>
      </w:pPr>
      <w:r w:rsidRPr="00324FDC">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24FDC" w:rsidRPr="00324FDC" w:rsidRDefault="00324FDC" w:rsidP="00324FDC">
      <w:pPr>
        <w:tabs>
          <w:tab w:val="left" w:pos="851"/>
        </w:tabs>
        <w:ind w:left="851"/>
        <w:rPr>
          <w:sz w:val="24"/>
          <w:szCs w:val="24"/>
        </w:rPr>
      </w:pPr>
      <w:r w:rsidRPr="00324FDC">
        <w:rPr>
          <w:sz w:val="24"/>
          <w:szCs w:val="24"/>
        </w:rPr>
        <w:t>Næsespray, suspension</w:t>
      </w:r>
    </w:p>
    <w:p w:rsidR="00324FDC" w:rsidRPr="00324FDC" w:rsidRDefault="00324FDC" w:rsidP="00324FDC">
      <w:pPr>
        <w:tabs>
          <w:tab w:val="left" w:pos="851"/>
        </w:tabs>
        <w:ind w:left="851"/>
        <w:rPr>
          <w:sz w:val="24"/>
          <w:szCs w:val="24"/>
        </w:rPr>
      </w:pPr>
    </w:p>
    <w:p w:rsidR="00324FDC" w:rsidRPr="00324FDC" w:rsidRDefault="00324FDC" w:rsidP="00324FDC">
      <w:pPr>
        <w:tabs>
          <w:tab w:val="left" w:pos="851"/>
        </w:tabs>
        <w:ind w:left="851"/>
        <w:rPr>
          <w:sz w:val="24"/>
          <w:szCs w:val="24"/>
        </w:rPr>
      </w:pPr>
      <w:r w:rsidRPr="00324FDC">
        <w:rPr>
          <w:sz w:val="24"/>
          <w:szCs w:val="24"/>
        </w:rPr>
        <w:t>Hvid, homogen suspension.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24FDC" w:rsidRPr="00324FDC" w:rsidRDefault="00324FDC" w:rsidP="00324FDC">
      <w:pPr>
        <w:tabs>
          <w:tab w:val="left" w:pos="851"/>
        </w:tabs>
        <w:ind w:left="851"/>
        <w:rPr>
          <w:sz w:val="24"/>
          <w:szCs w:val="24"/>
        </w:rPr>
      </w:pPr>
      <w:r w:rsidRPr="00324FDC">
        <w:rPr>
          <w:sz w:val="24"/>
          <w:szCs w:val="24"/>
        </w:rPr>
        <w:t xml:space="preserve">Lindring af symptomer på moderat til svær sæsonbetinget og vedvarende allergisk rhinitis, hvor monoterapi med enten intranasal antihistamin eller glukokortikoid ikke vurderes tilstrækkelig. </w:t>
      </w:r>
    </w:p>
    <w:p w:rsidR="00324FDC" w:rsidRPr="00324FDC" w:rsidRDefault="00324FDC" w:rsidP="00324FDC">
      <w:pPr>
        <w:tabs>
          <w:tab w:val="left" w:pos="851"/>
        </w:tabs>
        <w:ind w:left="851"/>
        <w:rPr>
          <w:sz w:val="24"/>
          <w:szCs w:val="24"/>
        </w:rPr>
      </w:pPr>
    </w:p>
    <w:p w:rsidR="00324FDC" w:rsidRPr="00324FDC" w:rsidRDefault="00324FDC" w:rsidP="00324FDC">
      <w:pPr>
        <w:tabs>
          <w:tab w:val="left" w:pos="851"/>
        </w:tabs>
        <w:ind w:left="851"/>
        <w:rPr>
          <w:sz w:val="24"/>
          <w:szCs w:val="24"/>
        </w:rPr>
      </w:pPr>
      <w:r w:rsidRPr="00324FDC">
        <w:rPr>
          <w:sz w:val="24"/>
          <w:szCs w:val="24"/>
        </w:rPr>
        <w:t>Dette lægemiddel er indiceret til voksne og unge på 12 år eller derover.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b/>
          <w:sz w:val="24"/>
          <w:szCs w:val="24"/>
        </w:rPr>
      </w:pPr>
      <w:r w:rsidRPr="004B4FB6">
        <w:rPr>
          <w:b/>
          <w:sz w:val="24"/>
          <w:szCs w:val="24"/>
        </w:rPr>
        <w:t>Dosering</w:t>
      </w:r>
    </w:p>
    <w:p w:rsidR="004B4FB6" w:rsidRPr="004B4FB6" w:rsidRDefault="004B4FB6" w:rsidP="004B4FB6">
      <w:pPr>
        <w:tabs>
          <w:tab w:val="left" w:pos="851"/>
        </w:tabs>
        <w:ind w:left="851"/>
        <w:rPr>
          <w:sz w:val="24"/>
          <w:szCs w:val="24"/>
        </w:rPr>
      </w:pPr>
      <w:r w:rsidRPr="004B4FB6">
        <w:rPr>
          <w:sz w:val="24"/>
          <w:szCs w:val="24"/>
        </w:rPr>
        <w:t xml:space="preserve">Regelmæssig brug er essentiel for fuld terapeutisk effekt. </w:t>
      </w:r>
    </w:p>
    <w:p w:rsidR="004B4FB6" w:rsidRPr="004B4FB6" w:rsidRDefault="004B4FB6" w:rsidP="004B4FB6">
      <w:pPr>
        <w:tabs>
          <w:tab w:val="left" w:pos="851"/>
        </w:tabs>
        <w:ind w:left="851"/>
        <w:rPr>
          <w:sz w:val="24"/>
          <w:szCs w:val="24"/>
        </w:rPr>
      </w:pPr>
      <w:r w:rsidRPr="004B4FB6">
        <w:rPr>
          <w:sz w:val="24"/>
          <w:szCs w:val="24"/>
        </w:rPr>
        <w:lastRenderedPageBreak/>
        <w:t xml:space="preserve">Undgå kontakt med øjnene. </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u w:val="single"/>
        </w:rPr>
      </w:pPr>
      <w:r w:rsidRPr="004B4FB6">
        <w:rPr>
          <w:sz w:val="24"/>
          <w:szCs w:val="24"/>
          <w:u w:val="single"/>
        </w:rPr>
        <w:t>Voksne og unge (12 år og derover)</w:t>
      </w:r>
    </w:p>
    <w:p w:rsidR="004B4FB6" w:rsidRPr="004B4FB6" w:rsidRDefault="004B4FB6" w:rsidP="004B4FB6">
      <w:pPr>
        <w:tabs>
          <w:tab w:val="left" w:pos="851"/>
        </w:tabs>
        <w:ind w:left="851"/>
        <w:rPr>
          <w:sz w:val="24"/>
          <w:szCs w:val="24"/>
        </w:rPr>
      </w:pPr>
      <w:r w:rsidRPr="004B4FB6">
        <w:rPr>
          <w:sz w:val="24"/>
          <w:szCs w:val="24"/>
        </w:rPr>
        <w:t>Et pust i hvert næsebor to gange dagligt (morgen og aften).</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u w:val="single"/>
        </w:rPr>
      </w:pPr>
      <w:r w:rsidRPr="004B4FB6">
        <w:rPr>
          <w:sz w:val="24"/>
          <w:szCs w:val="24"/>
          <w:u w:val="single"/>
        </w:rPr>
        <w:t>Børn under 12 år</w:t>
      </w:r>
    </w:p>
    <w:p w:rsidR="004B4FB6" w:rsidRPr="004B4FB6" w:rsidRDefault="00011582" w:rsidP="004B4FB6">
      <w:pPr>
        <w:tabs>
          <w:tab w:val="left" w:pos="851"/>
        </w:tabs>
        <w:ind w:left="851"/>
        <w:rPr>
          <w:sz w:val="24"/>
          <w:szCs w:val="24"/>
        </w:rPr>
      </w:pPr>
      <w:r>
        <w:rPr>
          <w:sz w:val="24"/>
          <w:szCs w:val="24"/>
        </w:rPr>
        <w:t>Zymeduo</w:t>
      </w:r>
      <w:r w:rsidR="004B4FB6" w:rsidRPr="004B4FB6">
        <w:rPr>
          <w:sz w:val="24"/>
          <w:szCs w:val="24"/>
        </w:rPr>
        <w:t xml:space="preserve"> bør ikke anvendes til børn under 12 år, da sikkerhed og virkning i denne aldersgruppe ikke er fastlagt.</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u w:val="single"/>
        </w:rPr>
      </w:pPr>
      <w:r w:rsidRPr="004B4FB6">
        <w:rPr>
          <w:sz w:val="24"/>
          <w:szCs w:val="24"/>
          <w:u w:val="single"/>
        </w:rPr>
        <w:t>Ældre</w:t>
      </w:r>
    </w:p>
    <w:p w:rsidR="004B4FB6" w:rsidRPr="004B4FB6" w:rsidRDefault="004B4FB6" w:rsidP="004B4FB6">
      <w:pPr>
        <w:tabs>
          <w:tab w:val="left" w:pos="851"/>
        </w:tabs>
        <w:ind w:left="851"/>
        <w:rPr>
          <w:sz w:val="24"/>
          <w:szCs w:val="24"/>
        </w:rPr>
      </w:pPr>
      <w:r w:rsidRPr="004B4FB6">
        <w:rPr>
          <w:sz w:val="24"/>
          <w:szCs w:val="24"/>
        </w:rPr>
        <w:t>Dosisjustering er ikke nødvendig i denne population.</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u w:val="single"/>
        </w:rPr>
      </w:pPr>
      <w:r w:rsidRPr="004B4FB6">
        <w:rPr>
          <w:sz w:val="24"/>
          <w:szCs w:val="24"/>
          <w:u w:val="single"/>
        </w:rPr>
        <w:t>Nedsat nyre- og leverfunktion</w:t>
      </w:r>
    </w:p>
    <w:p w:rsidR="004B4FB6" w:rsidRPr="004B4FB6" w:rsidRDefault="004B4FB6" w:rsidP="004B4FB6">
      <w:pPr>
        <w:tabs>
          <w:tab w:val="left" w:pos="851"/>
        </w:tabs>
        <w:ind w:left="851"/>
        <w:rPr>
          <w:sz w:val="24"/>
          <w:szCs w:val="24"/>
        </w:rPr>
      </w:pPr>
      <w:r w:rsidRPr="004B4FB6">
        <w:rPr>
          <w:sz w:val="24"/>
          <w:szCs w:val="24"/>
        </w:rPr>
        <w:t>Der foreligger ingen data for patienter med nedsat nyre- og leverfunktion. Der bør dog udvises forsigtighed hos patienter med svært nedsat leverfunktion (se pkt. 4.4).</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bCs/>
          <w:i/>
          <w:iCs/>
          <w:sz w:val="24"/>
          <w:szCs w:val="24"/>
        </w:rPr>
      </w:pPr>
      <w:r w:rsidRPr="004B4FB6">
        <w:rPr>
          <w:bCs/>
          <w:i/>
          <w:iCs/>
          <w:sz w:val="24"/>
          <w:szCs w:val="24"/>
        </w:rPr>
        <w:t>Behandlingsvarighed</w:t>
      </w:r>
    </w:p>
    <w:p w:rsidR="004B4FB6" w:rsidRPr="004B4FB6" w:rsidRDefault="00011582" w:rsidP="004B4FB6">
      <w:pPr>
        <w:tabs>
          <w:tab w:val="left" w:pos="851"/>
        </w:tabs>
        <w:ind w:left="851"/>
        <w:rPr>
          <w:sz w:val="24"/>
          <w:szCs w:val="24"/>
        </w:rPr>
      </w:pPr>
      <w:r>
        <w:rPr>
          <w:sz w:val="24"/>
          <w:szCs w:val="24"/>
        </w:rPr>
        <w:t>Zymeduo</w:t>
      </w:r>
      <w:r w:rsidR="004B4FB6" w:rsidRPr="004B4FB6">
        <w:rPr>
          <w:sz w:val="24"/>
          <w:szCs w:val="24"/>
        </w:rPr>
        <w:t xml:space="preserve"> er velegnet til langvarig brug. </w:t>
      </w:r>
    </w:p>
    <w:p w:rsidR="004B4FB6" w:rsidRPr="004B4FB6" w:rsidRDefault="004B4FB6" w:rsidP="004B4FB6">
      <w:pPr>
        <w:tabs>
          <w:tab w:val="left" w:pos="851"/>
        </w:tabs>
        <w:ind w:left="851"/>
        <w:rPr>
          <w:sz w:val="24"/>
          <w:szCs w:val="24"/>
        </w:rPr>
      </w:pPr>
      <w:r w:rsidRPr="004B4FB6">
        <w:rPr>
          <w:sz w:val="24"/>
          <w:szCs w:val="24"/>
        </w:rPr>
        <w:t>Varigheden af behandlingen bør svare til den periode, hvor patienten er eksponeret for allergener.</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b/>
          <w:bCs/>
          <w:iCs/>
          <w:sz w:val="24"/>
          <w:szCs w:val="24"/>
        </w:rPr>
      </w:pPr>
      <w:r w:rsidRPr="004B4FB6">
        <w:rPr>
          <w:b/>
          <w:bCs/>
          <w:iCs/>
          <w:sz w:val="24"/>
          <w:szCs w:val="24"/>
        </w:rPr>
        <w:t>Administration</w:t>
      </w:r>
    </w:p>
    <w:p w:rsidR="004B4FB6" w:rsidRPr="004B4FB6" w:rsidRDefault="00011582" w:rsidP="004B4FB6">
      <w:pPr>
        <w:tabs>
          <w:tab w:val="left" w:pos="851"/>
        </w:tabs>
        <w:ind w:left="851"/>
        <w:rPr>
          <w:sz w:val="24"/>
          <w:szCs w:val="24"/>
        </w:rPr>
      </w:pPr>
      <w:r>
        <w:rPr>
          <w:sz w:val="24"/>
          <w:szCs w:val="24"/>
        </w:rPr>
        <w:t>Zymeduo</w:t>
      </w:r>
      <w:r w:rsidR="004B4FB6" w:rsidRPr="004B4FB6">
        <w:rPr>
          <w:sz w:val="24"/>
          <w:szCs w:val="24"/>
        </w:rPr>
        <w:t xml:space="preserve"> er udelukkende til nasal anvendelse.</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bCs/>
          <w:i/>
          <w:iCs/>
          <w:sz w:val="24"/>
          <w:szCs w:val="24"/>
        </w:rPr>
      </w:pPr>
      <w:r w:rsidRPr="004B4FB6">
        <w:rPr>
          <w:bCs/>
          <w:i/>
          <w:iCs/>
          <w:sz w:val="24"/>
          <w:szCs w:val="24"/>
        </w:rPr>
        <w:t>Brugsanvisning</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u w:val="single"/>
        </w:rPr>
        <w:t>Klargøring af sprayen</w:t>
      </w:r>
    </w:p>
    <w:p w:rsidR="004B4FB6" w:rsidRPr="004B4FB6" w:rsidRDefault="004B4FB6" w:rsidP="004B4FB6">
      <w:pPr>
        <w:tabs>
          <w:tab w:val="left" w:pos="851"/>
        </w:tabs>
        <w:ind w:left="851"/>
        <w:rPr>
          <w:sz w:val="24"/>
          <w:szCs w:val="24"/>
        </w:rPr>
      </w:pPr>
      <w:r w:rsidRPr="004B4FB6">
        <w:rPr>
          <w:sz w:val="24"/>
          <w:szCs w:val="24"/>
        </w:rPr>
        <w:t>Flasken rystes forsigtigt før brug i ca. 5 sekunder ved at vende bunden op og ned. Beskyttelseshætten kan derefter fjernes.</w:t>
      </w:r>
    </w:p>
    <w:p w:rsidR="004B4FB6" w:rsidRPr="004B4FB6" w:rsidRDefault="004B4FB6" w:rsidP="004B4FB6">
      <w:pPr>
        <w:tabs>
          <w:tab w:val="left" w:pos="851"/>
        </w:tabs>
        <w:ind w:left="851"/>
        <w:rPr>
          <w:sz w:val="24"/>
          <w:szCs w:val="24"/>
        </w:rPr>
      </w:pPr>
      <w:r w:rsidRPr="004B4FB6">
        <w:rPr>
          <w:sz w:val="24"/>
          <w:szCs w:val="24"/>
        </w:rPr>
        <w:t xml:space="preserve">Før </w:t>
      </w:r>
      <w:r w:rsidR="00011582">
        <w:rPr>
          <w:sz w:val="24"/>
          <w:szCs w:val="24"/>
        </w:rPr>
        <w:t>Zymeduo</w:t>
      </w:r>
      <w:r w:rsidRPr="004B4FB6">
        <w:rPr>
          <w:sz w:val="24"/>
          <w:szCs w:val="24"/>
        </w:rPr>
        <w:t xml:space="preserve"> næsespray anvendes første gang, skal den klargøres ved at trykke pumpen ned og give slip på den 6 gange. Hvis næsesprayen ikke har været brugt i over 7 dage, skal den klargøres igen ved at trykke pumpen ned en gang og derefter give slip på den.</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u w:val="single"/>
        </w:rPr>
        <w:t>Brug af sprayen</w:t>
      </w:r>
    </w:p>
    <w:p w:rsidR="004B4FB6" w:rsidRPr="004B4FB6" w:rsidRDefault="004B4FB6" w:rsidP="004B4FB6">
      <w:pPr>
        <w:tabs>
          <w:tab w:val="left" w:pos="851"/>
        </w:tabs>
        <w:ind w:left="851"/>
        <w:rPr>
          <w:sz w:val="24"/>
          <w:szCs w:val="24"/>
        </w:rPr>
      </w:pPr>
      <w:r w:rsidRPr="004B4FB6">
        <w:rPr>
          <w:sz w:val="24"/>
          <w:szCs w:val="24"/>
        </w:rPr>
        <w:t xml:space="preserve">Flasken rystes forsigtigt før brug i ca. 5 sekunder ved at vende bunden op og ned. Beskyttelseshætten kan derefter fjernes. </w:t>
      </w:r>
    </w:p>
    <w:p w:rsidR="004B4FB6" w:rsidRPr="004B4FB6" w:rsidRDefault="004B4FB6" w:rsidP="004B4FB6">
      <w:pPr>
        <w:tabs>
          <w:tab w:val="left" w:pos="851"/>
        </w:tabs>
        <w:ind w:left="851"/>
        <w:rPr>
          <w:sz w:val="24"/>
          <w:szCs w:val="24"/>
        </w:rPr>
      </w:pPr>
      <w:r w:rsidRPr="004B4FB6">
        <w:rPr>
          <w:sz w:val="24"/>
          <w:szCs w:val="24"/>
        </w:rPr>
        <w:t>Efter at have pudset næse sprayes suspensionen en gang op i hvert næsebor, mens hovedet bøjes forover (se billedet). Efter hver brug tørres studsen af, og beskyttelseshætten sættes på igen.</w:t>
      </w:r>
    </w:p>
    <w:p w:rsidR="004B4FB6" w:rsidRPr="004B4FB6" w:rsidRDefault="004B4FB6" w:rsidP="004B4FB6">
      <w:pPr>
        <w:tabs>
          <w:tab w:val="left" w:pos="851"/>
        </w:tabs>
        <w:ind w:left="851"/>
        <w:rPr>
          <w:sz w:val="24"/>
          <w:szCs w:val="24"/>
        </w:rPr>
      </w:pPr>
      <w:r w:rsidRPr="004B4FB6">
        <w:rPr>
          <w:noProof/>
          <w:sz w:val="24"/>
          <w:szCs w:val="24"/>
          <w:lang w:bidi="en-US"/>
        </w:rPr>
        <w:drawing>
          <wp:anchor distT="0" distB="0" distL="0" distR="0" simplePos="0" relativeHeight="251658240" behindDoc="0" locked="0" layoutInCell="1" allowOverlap="1">
            <wp:simplePos x="0" y="0"/>
            <wp:positionH relativeFrom="page">
              <wp:posOffset>1281430</wp:posOffset>
            </wp:positionH>
            <wp:positionV relativeFrom="paragraph">
              <wp:posOffset>199390</wp:posOffset>
            </wp:positionV>
            <wp:extent cx="1767205" cy="1835150"/>
            <wp:effectExtent l="0" t="0" r="4445" b="0"/>
            <wp:wrapTopAndBottom/>
            <wp:docPr id="3" name="Billede 3" descr="A picture containing linedrawing, vector graphics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A picture containing linedrawing, vector graphics  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205" cy="1835150"/>
                    </a:xfrm>
                    <a:prstGeom prst="rect">
                      <a:avLst/>
                    </a:prstGeom>
                    <a:noFill/>
                  </pic:spPr>
                </pic:pic>
              </a:graphicData>
            </a:graphic>
            <wp14:sizeRelH relativeFrom="page">
              <wp14:pctWidth>0</wp14:pctWidth>
            </wp14:sizeRelH>
            <wp14:sizeRelV relativeFrom="page">
              <wp14:pctHeight>0</wp14:pctHeight>
            </wp14:sizeRelV>
          </wp:anchor>
        </w:drawing>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B4FB6" w:rsidRPr="004B4FB6" w:rsidRDefault="004B4FB6" w:rsidP="004B4FB6">
      <w:pPr>
        <w:tabs>
          <w:tab w:val="left" w:pos="851"/>
        </w:tabs>
        <w:ind w:left="851"/>
        <w:rPr>
          <w:sz w:val="24"/>
          <w:szCs w:val="24"/>
        </w:rPr>
      </w:pPr>
      <w:r w:rsidRPr="004B4FB6">
        <w:rPr>
          <w:sz w:val="24"/>
          <w:szCs w:val="24"/>
        </w:rPr>
        <w:t xml:space="preserve">Overfølsomhed over for de aktive stoffer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B4FB6" w:rsidRPr="004B4FB6" w:rsidRDefault="004B4FB6" w:rsidP="004B4FB6">
      <w:pPr>
        <w:tabs>
          <w:tab w:val="left" w:pos="851"/>
        </w:tabs>
        <w:ind w:left="851"/>
        <w:rPr>
          <w:sz w:val="24"/>
          <w:szCs w:val="24"/>
        </w:rPr>
      </w:pPr>
      <w:r w:rsidRPr="004B4FB6">
        <w:rPr>
          <w:sz w:val="24"/>
          <w:szCs w:val="24"/>
        </w:rPr>
        <w:t xml:space="preserve">Der er rapporteret klinisk signifikante lægemiddelinteraktioner ved post-marketing brug hos patienter, som fik fluticasonpropionat og ritonavir, hvilket resulterede i systemiske virkning forårsaget af kortikosteroider, herunder Cushings syndrom og binyrebarksuppression. Samtidig brug af fluticasonpropionat og ritonavir skal derfor undgås, medmindre den potentielle fordel for patienten opvejer risikoen for systemiske bivirkninger forårsaget af kortikosteroider (se pkt. 4.5). </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Der kan forekomme systemiske bivirkninger efter brug af nasale kortikosteroider, især ved høje doser givet i længere perioder. Disse bivirkninger er langt mindre sandsynlige end ved orale kortikosteroider og kan variere individuelt mellem patienter og mellem forskellige kortikosteroidpræparater. Potentielle systemiske bivirkninger kan omfatte Cushings syndrom, cushingoide træk, binyrebarksuppression, væksthæmning hos børn og unge, katarakt, glaukom og i sjældne tilfælde en række psykologiske eller adfærdsmæssige forstyrrelser, herunder psykomotorisk hyperaktivitet, søvnforstyrrelser, angst, depression eller aggression (især hos børn).</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 xml:space="preserve">Azelastinhydrochlorid/fluticasonpropionat undergår i vid udstrækning first-pass metabolisme, og derfor er en øget systemisk eksponering sandsynlig efter intranasal fluticasonpropionat hos patienter med svær leversygdom. Dette kan medføre en højere hyppighed af systemiske bivirkninger. </w:t>
      </w:r>
    </w:p>
    <w:p w:rsidR="004B4FB6" w:rsidRPr="004B4FB6" w:rsidRDefault="004B4FB6" w:rsidP="004B4FB6">
      <w:pPr>
        <w:tabs>
          <w:tab w:val="left" w:pos="851"/>
        </w:tabs>
        <w:ind w:left="851"/>
        <w:rPr>
          <w:sz w:val="24"/>
          <w:szCs w:val="24"/>
        </w:rPr>
      </w:pPr>
      <w:r w:rsidRPr="004B4FB6">
        <w:rPr>
          <w:sz w:val="24"/>
          <w:szCs w:val="24"/>
        </w:rPr>
        <w:t>Der skal udvises forsigtighed ved behandling af disse patienter.</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 xml:space="preserve">Behandling med højere doser nasale kortikosteroider end de anbefalede kan medføre klinisk signifikant binyrebarksuppression. Hvis der er tegn på, at der anvendes højere doser end den anbefalede, bør yderligere systemisk kortikosteroid behandling overvejes i perioder med stress eller ved planlagt kirurgi. </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Generelt bør dosis af intranasale fluticason-formuleringer reduceres til den lavest mulige dosis, der fastholder effektiv kontrol af rhinitis-symptomerne. Højere doser end den anbefalede (se pkt. 4.2) er ikke blevet undersøgt for azelastinhydrochlorid/fluticasonpropionat. Som med alle andre intranasale kortikosteroider bør den samlede systemiske belastning af kortikosteroider tages i betragtning, når der samtidig ordineres andre former for kortikosteroidbehandling.</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 xml:space="preserve">Der er rapporteret væksthæmning hos børn, der behandles med nasale kortikosteroider i godkendte doser. Da væksten fortsætter hos unge, anbefales det, at væksten hos unge i længerevarende behandling med nasale kortikosteroider ligeledes monitoreres regelmæssigt. Hvis væksten aftager, skal behandlingen revurderes med henblik på om muligt at reducere dosis af nasal kortikosteroid til den lavest mulige dosis, der kan fastholde effektiv kontrol med symptomerne. </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 xml:space="preserve">Ved brug af systemisk og topikalt kortikosteroid kan der blive rapporteret om synsforstyrrelser. Ved symptomer som sløret syn eller andre synsforstyrrelser bør det overvejes at henvise patienten til oftalmolog med henblik på vurdering af de mulige </w:t>
      </w:r>
      <w:r w:rsidRPr="004B4FB6">
        <w:rPr>
          <w:sz w:val="24"/>
          <w:szCs w:val="24"/>
        </w:rPr>
        <w:lastRenderedPageBreak/>
        <w:t>årsager; disse kan være katarakt, glaukom eller sjældne sygdomme såsom central serøs korioretinopati (CSCR), som er indberettet efter brug af systemiske og topikale kortikosteroider.</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Tæt overvågning er påkrævet hos patienter med synsændringer og patienter med forhøjet tryk i øjet, glaukom og/eller katarakt i anamnesen.</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 xml:space="preserve">Hvis der er grund til at tro, at binyrebarkfunktionen er svækket, skal der udvises forsigtighed ved skift fra systemisk steroidbehandling til azelastinhydrochlorid/fluticasonpropionat nasal behandling. </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 xml:space="preserve">Hos patienter, der har tuberkulose, enhver form for ubehandlet infektion eller som for nylig er blevet opereret eller skadet i næsen eller munden, skal de mulige fordele ved behandling med azelastinhydrochlorid/fluticasonpropionat opvejes mod de mulige risici. </w:t>
      </w:r>
    </w:p>
    <w:p w:rsidR="004B4FB6" w:rsidRPr="004B4FB6" w:rsidRDefault="004B4FB6" w:rsidP="004B4FB6">
      <w:pPr>
        <w:tabs>
          <w:tab w:val="left" w:pos="851"/>
        </w:tabs>
        <w:ind w:left="851"/>
        <w:rPr>
          <w:sz w:val="24"/>
          <w:szCs w:val="24"/>
        </w:rPr>
      </w:pPr>
    </w:p>
    <w:p w:rsidR="004B4FB6" w:rsidRPr="004B4FB6" w:rsidRDefault="004B4FB6" w:rsidP="004B4FB6">
      <w:pPr>
        <w:tabs>
          <w:tab w:val="left" w:pos="851"/>
        </w:tabs>
        <w:ind w:left="851"/>
        <w:rPr>
          <w:sz w:val="24"/>
          <w:szCs w:val="24"/>
        </w:rPr>
      </w:pPr>
      <w:r w:rsidRPr="004B4FB6">
        <w:rPr>
          <w:sz w:val="24"/>
          <w:szCs w:val="24"/>
        </w:rPr>
        <w:t>Infektioner i de nasale luftveje skal behandles med antibakterielle eller antimykotiske midler, men udgør ikke en specifik kontraindikation til behandling med azelastinhydrochlorid/fluticasonpropionat.</w:t>
      </w:r>
    </w:p>
    <w:p w:rsidR="004B4FB6" w:rsidRPr="004B4FB6" w:rsidRDefault="004B4FB6" w:rsidP="004B4FB6">
      <w:pPr>
        <w:tabs>
          <w:tab w:val="left" w:pos="851"/>
        </w:tabs>
        <w:ind w:left="851"/>
        <w:rPr>
          <w:sz w:val="24"/>
          <w:szCs w:val="24"/>
        </w:rPr>
      </w:pPr>
    </w:p>
    <w:p w:rsidR="004B4FB6" w:rsidRPr="004B4FB6" w:rsidRDefault="00011582" w:rsidP="004B4FB6">
      <w:pPr>
        <w:tabs>
          <w:tab w:val="left" w:pos="851"/>
        </w:tabs>
        <w:ind w:left="851"/>
        <w:rPr>
          <w:sz w:val="24"/>
          <w:szCs w:val="24"/>
        </w:rPr>
      </w:pPr>
      <w:r>
        <w:rPr>
          <w:sz w:val="24"/>
          <w:szCs w:val="24"/>
        </w:rPr>
        <w:t>Zymeduo</w:t>
      </w:r>
      <w:r w:rsidR="004B4FB6" w:rsidRPr="004B4FB6">
        <w:rPr>
          <w:sz w:val="24"/>
          <w:szCs w:val="24"/>
        </w:rPr>
        <w:t xml:space="preserve"> indeholder benzalkoniumchlorid. Langvarig anvendelse kan medføre ødem af næseslimhinden.</w:t>
      </w:r>
    </w:p>
    <w:p w:rsidR="009260DE" w:rsidRPr="00C84483" w:rsidRDefault="009260DE" w:rsidP="004B4FB6">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97D01" w:rsidRPr="00897D01" w:rsidRDefault="00897D01" w:rsidP="00897D01">
      <w:pPr>
        <w:tabs>
          <w:tab w:val="left" w:pos="851"/>
        </w:tabs>
        <w:ind w:left="851"/>
        <w:rPr>
          <w:sz w:val="24"/>
          <w:szCs w:val="24"/>
        </w:rPr>
      </w:pPr>
    </w:p>
    <w:p w:rsidR="00897D01" w:rsidRPr="00897D01" w:rsidRDefault="00897D01" w:rsidP="00897D01">
      <w:pPr>
        <w:tabs>
          <w:tab w:val="left" w:pos="851"/>
        </w:tabs>
        <w:ind w:left="851"/>
        <w:rPr>
          <w:iCs/>
          <w:sz w:val="24"/>
          <w:szCs w:val="24"/>
          <w:u w:val="single"/>
        </w:rPr>
      </w:pPr>
      <w:r w:rsidRPr="00897D01">
        <w:rPr>
          <w:iCs/>
          <w:sz w:val="24"/>
          <w:szCs w:val="24"/>
          <w:u w:val="single"/>
        </w:rPr>
        <w:t>Fluticasonpropionat</w:t>
      </w:r>
    </w:p>
    <w:p w:rsidR="00897D01" w:rsidRPr="00897D01" w:rsidRDefault="00897D01" w:rsidP="00897D01">
      <w:pPr>
        <w:tabs>
          <w:tab w:val="left" w:pos="851"/>
        </w:tabs>
        <w:ind w:left="851"/>
        <w:rPr>
          <w:sz w:val="24"/>
          <w:szCs w:val="24"/>
        </w:rPr>
      </w:pPr>
      <w:r w:rsidRPr="00897D01">
        <w:rPr>
          <w:sz w:val="24"/>
          <w:szCs w:val="24"/>
        </w:rPr>
        <w:t xml:space="preserve">Under normale omstændigheder opnås lave plasmakoncentrationer af fluticasonpropionat efter intranasal dosering på grund af omfattende first-pass metabolisme og høj systemisk </w:t>
      </w:r>
      <w:r w:rsidRPr="00897D01">
        <w:rPr>
          <w:i/>
          <w:iCs/>
          <w:sz w:val="24"/>
          <w:szCs w:val="24"/>
        </w:rPr>
        <w:t xml:space="preserve">clearance </w:t>
      </w:r>
      <w:r w:rsidRPr="00897D01">
        <w:rPr>
          <w:sz w:val="24"/>
          <w:szCs w:val="24"/>
        </w:rPr>
        <w:t>medieret af cytochrom P450 3A4 i tarmen og leveren. Derfor er klinisk signifikante lægemiddelinteraktioner medieret af fluticasonpropionat usandsynlige.</w:t>
      </w:r>
    </w:p>
    <w:p w:rsidR="00897D01" w:rsidRPr="00897D01" w:rsidRDefault="00897D01" w:rsidP="00897D01">
      <w:pPr>
        <w:tabs>
          <w:tab w:val="left" w:pos="851"/>
        </w:tabs>
        <w:ind w:left="851"/>
        <w:rPr>
          <w:sz w:val="24"/>
          <w:szCs w:val="24"/>
        </w:rPr>
      </w:pPr>
    </w:p>
    <w:p w:rsidR="00897D01" w:rsidRPr="00897D01" w:rsidRDefault="00897D01" w:rsidP="00897D01">
      <w:pPr>
        <w:tabs>
          <w:tab w:val="left" w:pos="851"/>
        </w:tabs>
        <w:ind w:left="851"/>
        <w:rPr>
          <w:sz w:val="24"/>
          <w:szCs w:val="24"/>
        </w:rPr>
      </w:pPr>
      <w:r w:rsidRPr="00897D01">
        <w:rPr>
          <w:sz w:val="24"/>
          <w:szCs w:val="24"/>
        </w:rPr>
        <w:t>Et lægemiddelinteraktionsstudie med raske frivillige har vist, at ritonavir (højpotent hæmmer af cytochrom P450 3A4) i høj grad kan øge plasmakoncentrationerne af fluticasonpropionat, hvilket resulterer i markant reducerede koncentrationer af serumkortisol. Der er rapporteret klinisk signifikante lægemiddelinteraktioner ved post-marketing brug hos patienter, som har fået intranasal eller inhaleret fluticasonpropionat og ritonavir, hvilket resulterede i systemisk virkning forårsaget af kortikosteroid. Det forventes, at samtidig behandling med andre CYP3A4-hæmmere, herunder cobicistat-holdige lægemidler ligeledes øger risikoen for systemiske bivirkninger. Kombinationen bør undgås, medmindre fordelen opvejer den øgede risiko for systemiske kortikosteroid-bivirkninger. Patienterne skal i givet fald overvåges for systemiske kortikosteroid-bivirkninger.</w:t>
      </w:r>
    </w:p>
    <w:p w:rsidR="00897D01" w:rsidRPr="00897D01" w:rsidRDefault="00897D01" w:rsidP="00897D01">
      <w:pPr>
        <w:tabs>
          <w:tab w:val="left" w:pos="851"/>
        </w:tabs>
        <w:ind w:left="851"/>
        <w:rPr>
          <w:sz w:val="24"/>
          <w:szCs w:val="24"/>
        </w:rPr>
      </w:pPr>
    </w:p>
    <w:p w:rsidR="00897D01" w:rsidRPr="00897D01" w:rsidRDefault="00897D01" w:rsidP="00897D01">
      <w:pPr>
        <w:tabs>
          <w:tab w:val="left" w:pos="851"/>
        </w:tabs>
        <w:ind w:left="851"/>
        <w:rPr>
          <w:sz w:val="24"/>
          <w:szCs w:val="24"/>
        </w:rPr>
      </w:pPr>
      <w:r w:rsidRPr="00897D01">
        <w:rPr>
          <w:sz w:val="24"/>
          <w:szCs w:val="24"/>
        </w:rPr>
        <w:t xml:space="preserve">Studier har vist, at andre inhibitorer af cytochrom P450 3A4 forårsager ubetydelige (erythromyin) og mindre (ketoconazol) stigninger i den systemiske eksponering af fluticasonpropionat uden en bemærkelsesværdig reduktion i koncentrationen af serumkortisol. Alligevel tilrådes forsigtighed ved samtidig administration af en potent cytochrom P450 3A4 inhibitor (f.eks. ketoconazol), da der er risiko for øget systemisk eksponering af fluticasonpropionat. </w:t>
      </w:r>
    </w:p>
    <w:p w:rsidR="00897D01" w:rsidRDefault="00897D01">
      <w:pPr>
        <w:rPr>
          <w:sz w:val="24"/>
          <w:szCs w:val="24"/>
        </w:rPr>
      </w:pPr>
      <w:r>
        <w:rPr>
          <w:sz w:val="24"/>
          <w:szCs w:val="24"/>
        </w:rPr>
        <w:br w:type="page"/>
      </w:r>
    </w:p>
    <w:p w:rsidR="00897D01" w:rsidRPr="00897D01" w:rsidRDefault="00897D01" w:rsidP="00897D01">
      <w:pPr>
        <w:tabs>
          <w:tab w:val="left" w:pos="851"/>
        </w:tabs>
        <w:ind w:left="851"/>
        <w:rPr>
          <w:sz w:val="24"/>
          <w:szCs w:val="24"/>
        </w:rPr>
      </w:pPr>
    </w:p>
    <w:p w:rsidR="00897D01" w:rsidRPr="00897D01" w:rsidRDefault="00897D01" w:rsidP="00897D01">
      <w:pPr>
        <w:tabs>
          <w:tab w:val="left" w:pos="851"/>
        </w:tabs>
        <w:ind w:left="851"/>
        <w:rPr>
          <w:iCs/>
          <w:sz w:val="24"/>
          <w:szCs w:val="24"/>
          <w:u w:val="single"/>
        </w:rPr>
      </w:pPr>
      <w:r w:rsidRPr="00897D01">
        <w:rPr>
          <w:iCs/>
          <w:sz w:val="24"/>
          <w:szCs w:val="24"/>
          <w:u w:val="single"/>
        </w:rPr>
        <w:t>Azelastinhydrochlorid</w:t>
      </w:r>
    </w:p>
    <w:p w:rsidR="00897D01" w:rsidRPr="00897D01" w:rsidRDefault="00897D01" w:rsidP="00897D01">
      <w:pPr>
        <w:tabs>
          <w:tab w:val="left" w:pos="851"/>
        </w:tabs>
        <w:ind w:left="851"/>
        <w:rPr>
          <w:sz w:val="24"/>
          <w:szCs w:val="24"/>
        </w:rPr>
      </w:pPr>
      <w:r w:rsidRPr="00897D01">
        <w:rPr>
          <w:sz w:val="24"/>
          <w:szCs w:val="24"/>
        </w:rPr>
        <w:t xml:space="preserve">Der er ikke udført specifikke interaktionsstudier med azelastinhydrochlorid næsespray. Interaktionsstudier med høje </w:t>
      </w:r>
      <w:r w:rsidRPr="00897D01">
        <w:rPr>
          <w:sz w:val="24"/>
          <w:szCs w:val="24"/>
          <w:u w:val="single"/>
        </w:rPr>
        <w:t xml:space="preserve">orale </w:t>
      </w:r>
      <w:r w:rsidRPr="00897D01">
        <w:rPr>
          <w:sz w:val="24"/>
          <w:szCs w:val="24"/>
        </w:rPr>
        <w:t xml:space="preserve">doser er blevet udført. De har imidlertid ingen relevans for azelastinhydrochlorid næsespray, da de anbefalede nasale doser medfører meget lav systemisk eksponering. Alligevel skal der udvises forsigtighed, når azelastinhydrochlorid gives til patienter, som samtidig tager sedativa eller lægemidler med virkning på centralnervesystemet, idet den sedative effekt kan forstærkes. Alkohol kan også forstærke denne effekt (se pkt. 4.7).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3A2D5E" w:rsidRPr="003A2D5E" w:rsidRDefault="003A2D5E" w:rsidP="003A2D5E">
      <w:pPr>
        <w:tabs>
          <w:tab w:val="left" w:pos="851"/>
        </w:tabs>
        <w:ind w:left="851"/>
        <w:rPr>
          <w:i/>
          <w:sz w:val="24"/>
          <w:szCs w:val="24"/>
        </w:rPr>
      </w:pPr>
    </w:p>
    <w:p w:rsidR="003A2D5E" w:rsidRPr="003A2D5E" w:rsidRDefault="003A2D5E" w:rsidP="003A2D5E">
      <w:pPr>
        <w:tabs>
          <w:tab w:val="left" w:pos="851"/>
        </w:tabs>
        <w:ind w:left="851"/>
        <w:rPr>
          <w:sz w:val="24"/>
          <w:szCs w:val="24"/>
          <w:u w:val="single"/>
        </w:rPr>
      </w:pPr>
      <w:r w:rsidRPr="003A2D5E">
        <w:rPr>
          <w:sz w:val="24"/>
          <w:szCs w:val="24"/>
          <w:u w:val="single"/>
        </w:rPr>
        <w:t>Graviditet</w:t>
      </w:r>
    </w:p>
    <w:p w:rsidR="003A2D5E" w:rsidRPr="003A2D5E" w:rsidRDefault="003A2D5E" w:rsidP="003A2D5E">
      <w:pPr>
        <w:tabs>
          <w:tab w:val="left" w:pos="851"/>
        </w:tabs>
        <w:ind w:left="851"/>
        <w:rPr>
          <w:sz w:val="24"/>
          <w:szCs w:val="24"/>
        </w:rPr>
      </w:pPr>
      <w:r w:rsidRPr="003A2D5E">
        <w:rPr>
          <w:sz w:val="24"/>
          <w:szCs w:val="24"/>
        </w:rPr>
        <w:t xml:space="preserve">Der er ingen eller utilstrækkelige data fra anvendelse af azelastinhydrochlorid og fluticasonpropionat til gravide kvinder. </w:t>
      </w:r>
      <w:r w:rsidR="00011582">
        <w:rPr>
          <w:sz w:val="24"/>
          <w:szCs w:val="24"/>
        </w:rPr>
        <w:t>Zymeduo</w:t>
      </w:r>
      <w:r w:rsidRPr="003A2D5E">
        <w:rPr>
          <w:sz w:val="24"/>
          <w:szCs w:val="24"/>
        </w:rPr>
        <w:t xml:space="preserve"> bør derfor kun bruges under graviditeten, hvis den potentielle fordel opvejer den potentielle risiko for fosteret (se pkt. 5.3). </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u w:val="single"/>
        </w:rPr>
      </w:pPr>
      <w:r w:rsidRPr="003A2D5E">
        <w:rPr>
          <w:sz w:val="24"/>
          <w:szCs w:val="24"/>
          <w:u w:val="single"/>
        </w:rPr>
        <w:t>Amning</w:t>
      </w:r>
    </w:p>
    <w:p w:rsidR="003A2D5E" w:rsidRPr="003A2D5E" w:rsidRDefault="003A2D5E" w:rsidP="003A2D5E">
      <w:pPr>
        <w:tabs>
          <w:tab w:val="left" w:pos="851"/>
        </w:tabs>
        <w:ind w:left="851"/>
        <w:rPr>
          <w:sz w:val="24"/>
          <w:szCs w:val="24"/>
        </w:rPr>
      </w:pPr>
      <w:r w:rsidRPr="003A2D5E">
        <w:rPr>
          <w:sz w:val="24"/>
          <w:szCs w:val="24"/>
        </w:rPr>
        <w:t xml:space="preserve">Det vides ikke, om nasalt administreret azelastinhydrochlorid/metabolitter eller fluticasonpropionat/metabolitter udskilles i human mælk. </w:t>
      </w:r>
      <w:r w:rsidR="00011582">
        <w:rPr>
          <w:sz w:val="24"/>
          <w:szCs w:val="24"/>
        </w:rPr>
        <w:t>Zymeduo</w:t>
      </w:r>
      <w:r w:rsidRPr="003A2D5E">
        <w:rPr>
          <w:sz w:val="24"/>
          <w:szCs w:val="24"/>
        </w:rPr>
        <w:t xml:space="preserve"> bør kun bruges under amning, hvis den potentielle fordel opvejer den potentielle risiko for det nyfødte barn/spædbarnet.</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u w:val="single"/>
        </w:rPr>
      </w:pPr>
      <w:r w:rsidRPr="003A2D5E">
        <w:rPr>
          <w:sz w:val="24"/>
          <w:szCs w:val="24"/>
          <w:u w:val="single"/>
        </w:rPr>
        <w:t>Fertilitet</w:t>
      </w:r>
    </w:p>
    <w:p w:rsidR="003A2D5E" w:rsidRPr="003A2D5E" w:rsidRDefault="003A2D5E" w:rsidP="003A2D5E">
      <w:pPr>
        <w:tabs>
          <w:tab w:val="left" w:pos="851"/>
        </w:tabs>
        <w:ind w:left="851"/>
        <w:rPr>
          <w:sz w:val="24"/>
          <w:szCs w:val="24"/>
        </w:rPr>
      </w:pPr>
      <w:r w:rsidRPr="003A2D5E">
        <w:rPr>
          <w:sz w:val="24"/>
          <w:szCs w:val="24"/>
        </w:rPr>
        <w:t xml:space="preserve">Der foreligger kun begrænsede data vedrørende fertilitet (se pkt. 5.3).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3A2D5E" w:rsidRPr="003A2D5E" w:rsidRDefault="003A2D5E" w:rsidP="003A2D5E">
      <w:pPr>
        <w:tabs>
          <w:tab w:val="left" w:pos="851"/>
        </w:tabs>
        <w:ind w:left="851"/>
        <w:rPr>
          <w:sz w:val="24"/>
          <w:szCs w:val="24"/>
        </w:rPr>
      </w:pPr>
      <w:r w:rsidRPr="003A2D5E">
        <w:rPr>
          <w:sz w:val="24"/>
          <w:szCs w:val="24"/>
        </w:rPr>
        <w:t xml:space="preserve">Ikke mærkning. </w:t>
      </w:r>
    </w:p>
    <w:p w:rsidR="003A2D5E" w:rsidRPr="003A2D5E" w:rsidRDefault="00011582" w:rsidP="003A2D5E">
      <w:pPr>
        <w:tabs>
          <w:tab w:val="left" w:pos="851"/>
        </w:tabs>
        <w:ind w:left="851"/>
        <w:rPr>
          <w:sz w:val="24"/>
          <w:szCs w:val="24"/>
        </w:rPr>
      </w:pPr>
      <w:r>
        <w:rPr>
          <w:sz w:val="24"/>
          <w:szCs w:val="24"/>
        </w:rPr>
        <w:t>Zymeduo</w:t>
      </w:r>
      <w:r w:rsidR="003A2D5E" w:rsidRPr="003A2D5E">
        <w:rPr>
          <w:sz w:val="24"/>
          <w:szCs w:val="24"/>
        </w:rPr>
        <w:t xml:space="preserve"> påvirker i mindre grad evnen til at føre motorkøretøj og betjene maskiner.</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rPr>
      </w:pPr>
      <w:r w:rsidRPr="003A2D5E">
        <w:rPr>
          <w:sz w:val="24"/>
          <w:szCs w:val="24"/>
        </w:rPr>
        <w:t xml:space="preserve">Ved brug af azelastinhydrochlorid/fluticasonpropionat kan der i enkeltstående tilfælde forekomme træthed, døsighed, udmattelse, svimmelhed eller svaghed, som også kan skyldes selve sygdommen. I disse tilfælde kan evnen til at føre motorkøretøj og betjene maskiner være nedsat. Alkohol kan forstærke denne virkning.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A2D5E" w:rsidRPr="003A2D5E" w:rsidRDefault="003A2D5E" w:rsidP="003A2D5E">
      <w:pPr>
        <w:tabs>
          <w:tab w:val="left" w:pos="851"/>
        </w:tabs>
        <w:ind w:left="851"/>
        <w:rPr>
          <w:sz w:val="24"/>
          <w:szCs w:val="24"/>
        </w:rPr>
      </w:pPr>
      <w:r w:rsidRPr="003A2D5E">
        <w:rPr>
          <w:sz w:val="24"/>
          <w:szCs w:val="24"/>
        </w:rPr>
        <w:t xml:space="preserve">En almindelig bivirkning efter administration er dysgeusi, en stof-specifik ubehagelig smag (som ofte skyldes forkert anvendelse, dvs. hovedet holdes for langt bagover under administrationen). </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rPr>
      </w:pPr>
      <w:r w:rsidRPr="003A2D5E">
        <w:rPr>
          <w:sz w:val="24"/>
          <w:szCs w:val="24"/>
        </w:rPr>
        <w:t xml:space="preserve">Bivirkninger er anført nedenfor efter systemorganklasse og hyppighed. Hyppigheden defineres som: </w:t>
      </w:r>
      <w:r>
        <w:rPr>
          <w:sz w:val="24"/>
          <w:szCs w:val="24"/>
        </w:rPr>
        <w:t>M</w:t>
      </w:r>
      <w:r w:rsidRPr="003A2D5E">
        <w:rPr>
          <w:sz w:val="24"/>
          <w:szCs w:val="24"/>
        </w:rPr>
        <w:t>eget almindelig (≥1/10), almindelig (≥1/100 til &lt;1/10), ikke almindelig (≥1/1 000 til &lt;1/100), sjælden (≥1/10 000 til &lt;1/1 000), meget sjælden (&lt;1/10 000) og ikke kendt (kan ikke estimeres ud fra forhåndenværende data).</w:t>
      </w:r>
    </w:p>
    <w:p w:rsidR="003A2D5E" w:rsidRDefault="003A2D5E">
      <w:pPr>
        <w:rPr>
          <w:sz w:val="24"/>
          <w:szCs w:val="24"/>
        </w:rPr>
      </w:pPr>
      <w:r>
        <w:rPr>
          <w:sz w:val="24"/>
          <w:szCs w:val="24"/>
        </w:rPr>
        <w:br w:type="page"/>
      </w:r>
    </w:p>
    <w:p w:rsidR="009260DE" w:rsidRDefault="009260DE" w:rsidP="00A10294">
      <w:pPr>
        <w:tabs>
          <w:tab w:val="left" w:pos="851"/>
        </w:tabs>
        <w:ind w:left="851"/>
        <w:rPr>
          <w:sz w:val="24"/>
          <w:szCs w:val="24"/>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363"/>
        <w:gridCol w:w="1290"/>
        <w:gridCol w:w="1436"/>
        <w:gridCol w:w="1116"/>
        <w:gridCol w:w="1755"/>
        <w:gridCol w:w="1363"/>
      </w:tblGrid>
      <w:tr w:rsidR="003A2D5E" w:rsidTr="003A2D5E">
        <w:trPr>
          <w:trHeight w:val="526"/>
        </w:trPr>
        <w:tc>
          <w:tcPr>
            <w:tcW w:w="1736" w:type="dxa"/>
            <w:tcBorders>
              <w:top w:val="single" w:sz="4" w:space="0" w:color="auto"/>
              <w:left w:val="single" w:sz="4" w:space="0" w:color="auto"/>
              <w:bottom w:val="nil"/>
              <w:right w:val="single" w:sz="4" w:space="0" w:color="auto"/>
            </w:tcBorders>
            <w:hideMark/>
          </w:tcPr>
          <w:p w:rsidR="003A2D5E" w:rsidRDefault="003A2D5E">
            <w:pPr>
              <w:tabs>
                <w:tab w:val="center" w:pos="4819"/>
                <w:tab w:val="right" w:pos="9638"/>
              </w:tabs>
              <w:rPr>
                <w:b/>
                <w:sz w:val="22"/>
                <w:szCs w:val="22"/>
                <w:lang w:val="en-GB" w:eastAsia="da-DK"/>
              </w:rPr>
            </w:pPr>
            <w:r>
              <w:rPr>
                <w:b/>
                <w:szCs w:val="22"/>
                <w:lang w:val="en-GB" w:eastAsia="da-DK"/>
              </w:rPr>
              <w:t>Hyppighed</w:t>
            </w:r>
          </w:p>
        </w:tc>
        <w:tc>
          <w:tcPr>
            <w:tcW w:w="1363" w:type="dxa"/>
            <w:tcBorders>
              <w:top w:val="single" w:sz="4" w:space="0" w:color="auto"/>
              <w:left w:val="single" w:sz="4" w:space="0" w:color="auto"/>
              <w:bottom w:val="nil"/>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Meget almindelig</w:t>
            </w:r>
          </w:p>
        </w:tc>
        <w:tc>
          <w:tcPr>
            <w:tcW w:w="1290" w:type="dxa"/>
            <w:tcBorders>
              <w:top w:val="single" w:sz="4" w:space="0" w:color="auto"/>
              <w:left w:val="single" w:sz="4" w:space="0" w:color="auto"/>
              <w:bottom w:val="nil"/>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Almindelig</w:t>
            </w:r>
          </w:p>
        </w:tc>
        <w:tc>
          <w:tcPr>
            <w:tcW w:w="1436" w:type="dxa"/>
            <w:tcBorders>
              <w:top w:val="single" w:sz="4" w:space="0" w:color="auto"/>
              <w:left w:val="single" w:sz="4" w:space="0" w:color="auto"/>
              <w:bottom w:val="nil"/>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Ikke almindelig</w:t>
            </w:r>
          </w:p>
        </w:tc>
        <w:tc>
          <w:tcPr>
            <w:tcW w:w="1116" w:type="dxa"/>
            <w:tcBorders>
              <w:top w:val="single" w:sz="4" w:space="0" w:color="auto"/>
              <w:left w:val="single" w:sz="4" w:space="0" w:color="auto"/>
              <w:bottom w:val="nil"/>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Sjælden</w:t>
            </w:r>
          </w:p>
        </w:tc>
        <w:tc>
          <w:tcPr>
            <w:tcW w:w="1755" w:type="dxa"/>
            <w:tcBorders>
              <w:top w:val="single" w:sz="4" w:space="0" w:color="auto"/>
              <w:left w:val="single" w:sz="4" w:space="0" w:color="auto"/>
              <w:bottom w:val="nil"/>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Meget sjælden</w:t>
            </w:r>
          </w:p>
        </w:tc>
        <w:tc>
          <w:tcPr>
            <w:tcW w:w="1363" w:type="dxa"/>
            <w:tcBorders>
              <w:top w:val="single" w:sz="4" w:space="0" w:color="auto"/>
              <w:left w:val="single" w:sz="4" w:space="0" w:color="auto"/>
              <w:bottom w:val="nil"/>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Ikke kendt</w:t>
            </w:r>
          </w:p>
        </w:tc>
      </w:tr>
      <w:tr w:rsidR="003A2D5E" w:rsidTr="003A2D5E">
        <w:trPr>
          <w:trHeight w:val="527"/>
        </w:trPr>
        <w:tc>
          <w:tcPr>
            <w:tcW w:w="1736" w:type="dxa"/>
            <w:tcBorders>
              <w:top w:val="nil"/>
              <w:left w:val="single" w:sz="4" w:space="0" w:color="auto"/>
              <w:bottom w:val="single" w:sz="4" w:space="0" w:color="auto"/>
              <w:right w:val="single" w:sz="4" w:space="0" w:color="auto"/>
            </w:tcBorders>
            <w:hideMark/>
          </w:tcPr>
          <w:p w:rsidR="003A2D5E" w:rsidRDefault="003A2D5E">
            <w:pPr>
              <w:tabs>
                <w:tab w:val="center" w:pos="4819"/>
                <w:tab w:val="right" w:pos="9638"/>
              </w:tabs>
              <w:rPr>
                <w:b/>
                <w:szCs w:val="22"/>
                <w:lang w:val="en-GB" w:eastAsia="da-DK"/>
              </w:rPr>
            </w:pPr>
            <w:r>
              <w:rPr>
                <w:b/>
                <w:szCs w:val="22"/>
                <w:lang w:val="en-GB" w:eastAsia="da-DK"/>
              </w:rPr>
              <w:t>Systemorgan-klasse</w:t>
            </w:r>
          </w:p>
        </w:tc>
        <w:tc>
          <w:tcPr>
            <w:tcW w:w="1363" w:type="dxa"/>
            <w:tcBorders>
              <w:top w:val="nil"/>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290" w:type="dxa"/>
            <w:tcBorders>
              <w:top w:val="nil"/>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436" w:type="dxa"/>
            <w:tcBorders>
              <w:top w:val="nil"/>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116" w:type="dxa"/>
            <w:tcBorders>
              <w:top w:val="nil"/>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755" w:type="dxa"/>
            <w:tcBorders>
              <w:top w:val="nil"/>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363" w:type="dxa"/>
            <w:tcBorders>
              <w:top w:val="nil"/>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r>
      <w:tr w:rsidR="003A2D5E" w:rsidTr="003A2D5E">
        <w:trPr>
          <w:trHeight w:val="527"/>
        </w:trPr>
        <w:tc>
          <w:tcPr>
            <w:tcW w:w="1736"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Immunsystemet</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290"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436"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szCs w:val="22"/>
                <w:lang w:val="en-GB" w:eastAsia="da-DK"/>
              </w:rPr>
            </w:pPr>
          </w:p>
        </w:tc>
        <w:tc>
          <w:tcPr>
            <w:tcW w:w="1116"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755" w:type="dxa"/>
            <w:tcBorders>
              <w:top w:val="single" w:sz="4" w:space="0" w:color="auto"/>
              <w:left w:val="single" w:sz="4" w:space="0" w:color="auto"/>
              <w:bottom w:val="single" w:sz="4" w:space="0" w:color="auto"/>
              <w:right w:val="single" w:sz="4" w:space="0" w:color="auto"/>
            </w:tcBorders>
            <w:hideMark/>
          </w:tcPr>
          <w:p w:rsidR="003A2D5E" w:rsidRPr="003A2D5E" w:rsidRDefault="003A2D5E">
            <w:pPr>
              <w:tabs>
                <w:tab w:val="center" w:pos="4819"/>
                <w:tab w:val="right" w:pos="9638"/>
              </w:tabs>
              <w:rPr>
                <w:b/>
                <w:szCs w:val="22"/>
                <w:lang w:eastAsia="da-DK"/>
              </w:rPr>
            </w:pPr>
            <w:r w:rsidRPr="003A2D5E">
              <w:rPr>
                <w:szCs w:val="22"/>
                <w:lang w:eastAsia="da-DK"/>
              </w:rPr>
              <w:t>Overfølsomhed, herunder anafylaktiske reaktioner, angioødem (ødem i ansigt eller tunge og hududslæt), bronkospasme</w:t>
            </w:r>
          </w:p>
        </w:tc>
        <w:tc>
          <w:tcPr>
            <w:tcW w:w="1363"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szCs w:val="22"/>
                <w:lang w:eastAsia="da-DK"/>
              </w:rPr>
            </w:pPr>
          </w:p>
        </w:tc>
      </w:tr>
      <w:tr w:rsidR="003A2D5E" w:rsidTr="003A2D5E">
        <w:trPr>
          <w:trHeight w:val="527"/>
        </w:trPr>
        <w:tc>
          <w:tcPr>
            <w:tcW w:w="1736"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Nervesystemet</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290" w:type="dxa"/>
            <w:tcBorders>
              <w:top w:val="single" w:sz="4" w:space="0" w:color="auto"/>
              <w:left w:val="single" w:sz="4" w:space="0" w:color="auto"/>
              <w:bottom w:val="single" w:sz="4" w:space="0" w:color="auto"/>
              <w:right w:val="single" w:sz="4" w:space="0" w:color="auto"/>
            </w:tcBorders>
            <w:hideMark/>
          </w:tcPr>
          <w:p w:rsidR="003A2D5E" w:rsidRPr="003A2D5E" w:rsidRDefault="003A2D5E">
            <w:pPr>
              <w:tabs>
                <w:tab w:val="center" w:pos="4819"/>
                <w:tab w:val="right" w:pos="9638"/>
              </w:tabs>
              <w:rPr>
                <w:szCs w:val="22"/>
                <w:lang w:eastAsia="da-DK"/>
              </w:rPr>
            </w:pPr>
            <w:r w:rsidRPr="003A2D5E">
              <w:rPr>
                <w:szCs w:val="22"/>
                <w:lang w:eastAsia="da-DK"/>
              </w:rPr>
              <w:t xml:space="preserve">Hovedpine, </w:t>
            </w:r>
          </w:p>
          <w:p w:rsidR="003A2D5E" w:rsidRPr="003A2D5E" w:rsidRDefault="003A2D5E">
            <w:pPr>
              <w:tabs>
                <w:tab w:val="center" w:pos="4819"/>
                <w:tab w:val="right" w:pos="9638"/>
              </w:tabs>
              <w:rPr>
                <w:szCs w:val="22"/>
                <w:lang w:eastAsia="da-DK"/>
              </w:rPr>
            </w:pPr>
            <w:r w:rsidRPr="003A2D5E">
              <w:rPr>
                <w:szCs w:val="22"/>
                <w:lang w:eastAsia="da-DK"/>
              </w:rPr>
              <w:t>dysgeusi (ubehage</w:t>
            </w:r>
            <w:r>
              <w:rPr>
                <w:szCs w:val="22"/>
                <w:lang w:eastAsia="da-DK"/>
              </w:rPr>
              <w:softHyphen/>
            </w:r>
            <w:r w:rsidRPr="003A2D5E">
              <w:rPr>
                <w:szCs w:val="22"/>
                <w:lang w:eastAsia="da-DK"/>
              </w:rPr>
              <w:t>lig smag), ubehagelig lugt</w:t>
            </w:r>
          </w:p>
        </w:tc>
        <w:tc>
          <w:tcPr>
            <w:tcW w:w="1436"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b/>
                <w:szCs w:val="22"/>
                <w:lang w:eastAsia="da-DK"/>
              </w:rPr>
            </w:pPr>
          </w:p>
        </w:tc>
        <w:tc>
          <w:tcPr>
            <w:tcW w:w="1116"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b/>
                <w:szCs w:val="22"/>
                <w:lang w:eastAsia="da-DK"/>
              </w:rPr>
            </w:pPr>
          </w:p>
        </w:tc>
        <w:tc>
          <w:tcPr>
            <w:tcW w:w="1755"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szCs w:val="22"/>
                <w:lang w:val="en-GB" w:eastAsia="da-DK"/>
              </w:rPr>
            </w:pPr>
            <w:r>
              <w:rPr>
                <w:szCs w:val="22"/>
                <w:lang w:val="en-GB" w:eastAsia="da-DK"/>
              </w:rPr>
              <w:t>Svimmelhed, somnolens (døsighed, søvnighed)</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szCs w:val="22"/>
                <w:lang w:val="en-GB" w:eastAsia="da-DK"/>
              </w:rPr>
            </w:pPr>
          </w:p>
        </w:tc>
      </w:tr>
      <w:tr w:rsidR="003A2D5E" w:rsidTr="003A2D5E">
        <w:trPr>
          <w:trHeight w:val="527"/>
        </w:trPr>
        <w:tc>
          <w:tcPr>
            <w:tcW w:w="1736"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Øjne*</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290"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436"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116"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szCs w:val="22"/>
                <w:lang w:val="en-GB" w:eastAsia="da-DK"/>
              </w:rPr>
            </w:pPr>
          </w:p>
        </w:tc>
        <w:tc>
          <w:tcPr>
            <w:tcW w:w="1755" w:type="dxa"/>
            <w:tcBorders>
              <w:top w:val="single" w:sz="4" w:space="0" w:color="auto"/>
              <w:left w:val="single" w:sz="4" w:space="0" w:color="auto"/>
              <w:bottom w:val="single" w:sz="4" w:space="0" w:color="auto"/>
              <w:right w:val="single" w:sz="4" w:space="0" w:color="auto"/>
            </w:tcBorders>
            <w:hideMark/>
          </w:tcPr>
          <w:p w:rsidR="003A2D5E" w:rsidRPr="003A2D5E" w:rsidRDefault="003A2D5E">
            <w:pPr>
              <w:tabs>
                <w:tab w:val="center" w:pos="4819"/>
                <w:tab w:val="right" w:pos="9638"/>
              </w:tabs>
              <w:rPr>
                <w:szCs w:val="22"/>
                <w:lang w:eastAsia="da-DK"/>
              </w:rPr>
            </w:pPr>
            <w:r w:rsidRPr="003A2D5E">
              <w:rPr>
                <w:szCs w:val="22"/>
                <w:lang w:eastAsia="da-DK"/>
              </w:rPr>
              <w:t>Glaukom, forhøjet intraokulært tryk, katarakt</w:t>
            </w:r>
          </w:p>
        </w:tc>
        <w:tc>
          <w:tcPr>
            <w:tcW w:w="1363" w:type="dxa"/>
            <w:tcBorders>
              <w:top w:val="single" w:sz="4" w:space="0" w:color="auto"/>
              <w:left w:val="single" w:sz="4" w:space="0" w:color="auto"/>
              <w:bottom w:val="single" w:sz="4" w:space="0" w:color="auto"/>
              <w:right w:val="single" w:sz="4" w:space="0" w:color="auto"/>
            </w:tcBorders>
            <w:hideMark/>
          </w:tcPr>
          <w:p w:rsidR="003A2D5E" w:rsidRPr="003A2D5E" w:rsidRDefault="003A2D5E">
            <w:pPr>
              <w:tabs>
                <w:tab w:val="center" w:pos="4819"/>
                <w:tab w:val="right" w:pos="9638"/>
              </w:tabs>
              <w:rPr>
                <w:szCs w:val="22"/>
                <w:lang w:eastAsia="da-DK"/>
              </w:rPr>
            </w:pPr>
            <w:r w:rsidRPr="003A2D5E">
              <w:rPr>
                <w:szCs w:val="22"/>
                <w:lang w:eastAsia="da-DK"/>
              </w:rPr>
              <w:t>Sløret syn (se også pkt. 4.4)</w:t>
            </w:r>
          </w:p>
        </w:tc>
      </w:tr>
      <w:tr w:rsidR="003A2D5E" w:rsidTr="003A2D5E">
        <w:trPr>
          <w:trHeight w:val="527"/>
        </w:trPr>
        <w:tc>
          <w:tcPr>
            <w:tcW w:w="1736"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Luftveje, thorax og mediastinum</w:t>
            </w:r>
          </w:p>
        </w:tc>
        <w:tc>
          <w:tcPr>
            <w:tcW w:w="1363"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szCs w:val="22"/>
                <w:lang w:val="en-GB" w:eastAsia="da-DK"/>
              </w:rPr>
            </w:pPr>
            <w:r>
              <w:rPr>
                <w:szCs w:val="22"/>
                <w:lang w:val="en-GB" w:eastAsia="da-DK"/>
              </w:rPr>
              <w:t xml:space="preserve">Epistaxis </w:t>
            </w:r>
          </w:p>
        </w:tc>
        <w:tc>
          <w:tcPr>
            <w:tcW w:w="1290"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szCs w:val="22"/>
                <w:lang w:val="en-GB" w:eastAsia="da-DK"/>
              </w:rPr>
            </w:pPr>
          </w:p>
        </w:tc>
        <w:tc>
          <w:tcPr>
            <w:tcW w:w="1436" w:type="dxa"/>
            <w:tcBorders>
              <w:top w:val="single" w:sz="4" w:space="0" w:color="auto"/>
              <w:left w:val="single" w:sz="4" w:space="0" w:color="auto"/>
              <w:bottom w:val="single" w:sz="4" w:space="0" w:color="auto"/>
              <w:right w:val="single" w:sz="4" w:space="0" w:color="auto"/>
            </w:tcBorders>
            <w:hideMark/>
          </w:tcPr>
          <w:p w:rsidR="003A2D5E" w:rsidRPr="003A2D5E" w:rsidRDefault="003A2D5E">
            <w:pPr>
              <w:tabs>
                <w:tab w:val="center" w:pos="4819"/>
                <w:tab w:val="right" w:pos="9638"/>
              </w:tabs>
              <w:rPr>
                <w:b/>
                <w:szCs w:val="22"/>
                <w:lang w:eastAsia="da-DK"/>
              </w:rPr>
            </w:pPr>
            <w:r w:rsidRPr="003A2D5E">
              <w:rPr>
                <w:szCs w:val="22"/>
                <w:lang w:eastAsia="da-DK"/>
              </w:rPr>
              <w:t xml:space="preserve">Ubehag i næsen (herunder irritation, stikkende fornemmelse og kløe i næsen), nysen, nasal tørhed, hoste, tør hals, irritation i halsen </w:t>
            </w:r>
          </w:p>
        </w:tc>
        <w:tc>
          <w:tcPr>
            <w:tcW w:w="1116"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b/>
                <w:szCs w:val="22"/>
                <w:lang w:eastAsia="da-DK"/>
              </w:rPr>
            </w:pPr>
          </w:p>
        </w:tc>
        <w:tc>
          <w:tcPr>
            <w:tcW w:w="1755"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szCs w:val="22"/>
                <w:lang w:eastAsia="da-DK"/>
              </w:rPr>
            </w:pPr>
            <w:r w:rsidRPr="003A2D5E">
              <w:rPr>
                <w:szCs w:val="22"/>
                <w:lang w:eastAsia="da-DK"/>
              </w:rPr>
              <w:t>Septal perforation i næsen**, mucosal erosion</w:t>
            </w:r>
          </w:p>
          <w:p w:rsidR="003A2D5E" w:rsidRPr="003A2D5E" w:rsidRDefault="003A2D5E">
            <w:pPr>
              <w:tabs>
                <w:tab w:val="center" w:pos="4819"/>
                <w:tab w:val="right" w:pos="9638"/>
              </w:tabs>
              <w:rPr>
                <w:szCs w:val="22"/>
                <w:lang w:eastAsia="da-DK"/>
              </w:rPr>
            </w:pPr>
          </w:p>
        </w:tc>
        <w:tc>
          <w:tcPr>
            <w:tcW w:w="1363"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szCs w:val="22"/>
                <w:lang w:val="en-GB" w:eastAsia="da-DK"/>
              </w:rPr>
            </w:pPr>
            <w:r>
              <w:rPr>
                <w:szCs w:val="22"/>
                <w:lang w:val="en-GB" w:eastAsia="da-DK"/>
              </w:rPr>
              <w:t>Sår i næsen</w:t>
            </w:r>
          </w:p>
        </w:tc>
      </w:tr>
      <w:tr w:rsidR="003A2D5E" w:rsidTr="003A2D5E">
        <w:trPr>
          <w:trHeight w:val="527"/>
        </w:trPr>
        <w:tc>
          <w:tcPr>
            <w:tcW w:w="1736"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Mave-tarm-kanalen</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szCs w:val="22"/>
                <w:lang w:val="en-GB" w:eastAsia="da-DK"/>
              </w:rPr>
            </w:pPr>
          </w:p>
        </w:tc>
        <w:tc>
          <w:tcPr>
            <w:tcW w:w="1290"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szCs w:val="22"/>
                <w:lang w:val="en-GB" w:eastAsia="da-DK"/>
              </w:rPr>
            </w:pPr>
          </w:p>
        </w:tc>
        <w:tc>
          <w:tcPr>
            <w:tcW w:w="1436"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szCs w:val="22"/>
                <w:lang w:val="en-GB" w:eastAsia="da-DK"/>
              </w:rPr>
            </w:pPr>
          </w:p>
        </w:tc>
        <w:tc>
          <w:tcPr>
            <w:tcW w:w="1116"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szCs w:val="22"/>
                <w:lang w:val="en-GB" w:eastAsia="da-DK"/>
              </w:rPr>
            </w:pPr>
            <w:r>
              <w:rPr>
                <w:szCs w:val="22"/>
                <w:lang w:val="en-GB" w:eastAsia="da-DK"/>
              </w:rPr>
              <w:t>Tør mund</w:t>
            </w:r>
          </w:p>
        </w:tc>
        <w:tc>
          <w:tcPr>
            <w:tcW w:w="1755"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szCs w:val="22"/>
                <w:lang w:val="en-GB" w:eastAsia="da-DK"/>
              </w:rPr>
            </w:pPr>
            <w:r>
              <w:rPr>
                <w:szCs w:val="22"/>
                <w:lang w:val="en-GB" w:eastAsia="da-DK"/>
              </w:rPr>
              <w:t>Kvalme</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szCs w:val="22"/>
                <w:lang w:val="en-GB" w:eastAsia="da-DK"/>
              </w:rPr>
            </w:pPr>
          </w:p>
        </w:tc>
      </w:tr>
      <w:tr w:rsidR="003A2D5E" w:rsidTr="003A2D5E">
        <w:trPr>
          <w:trHeight w:val="571"/>
        </w:trPr>
        <w:tc>
          <w:tcPr>
            <w:tcW w:w="1736"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b/>
                <w:i/>
                <w:szCs w:val="22"/>
                <w:lang w:val="en-GB" w:eastAsia="da-DK"/>
              </w:rPr>
            </w:pPr>
            <w:r>
              <w:rPr>
                <w:b/>
                <w:i/>
                <w:szCs w:val="22"/>
                <w:lang w:val="en-GB" w:eastAsia="da-DK"/>
              </w:rPr>
              <w:t>Hud og subkutane væv</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i/>
                <w:szCs w:val="22"/>
                <w:lang w:val="en-GB" w:eastAsia="da-DK"/>
              </w:rPr>
            </w:pPr>
          </w:p>
        </w:tc>
        <w:tc>
          <w:tcPr>
            <w:tcW w:w="1290"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i/>
                <w:szCs w:val="22"/>
                <w:lang w:val="en-GB" w:eastAsia="da-DK"/>
              </w:rPr>
            </w:pPr>
          </w:p>
        </w:tc>
        <w:tc>
          <w:tcPr>
            <w:tcW w:w="1436"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i/>
                <w:szCs w:val="22"/>
                <w:lang w:val="en-GB" w:eastAsia="da-DK"/>
              </w:rPr>
            </w:pPr>
          </w:p>
        </w:tc>
        <w:tc>
          <w:tcPr>
            <w:tcW w:w="1116"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i/>
                <w:szCs w:val="22"/>
                <w:lang w:val="en-GB" w:eastAsia="da-DK"/>
              </w:rPr>
            </w:pPr>
          </w:p>
        </w:tc>
        <w:tc>
          <w:tcPr>
            <w:tcW w:w="1755" w:type="dxa"/>
            <w:tcBorders>
              <w:top w:val="single" w:sz="4" w:space="0" w:color="auto"/>
              <w:left w:val="single" w:sz="4" w:space="0" w:color="auto"/>
              <w:bottom w:val="single" w:sz="4" w:space="0" w:color="auto"/>
              <w:right w:val="single" w:sz="4" w:space="0" w:color="auto"/>
            </w:tcBorders>
            <w:hideMark/>
          </w:tcPr>
          <w:p w:rsidR="003A2D5E" w:rsidRDefault="003A2D5E">
            <w:pPr>
              <w:tabs>
                <w:tab w:val="center" w:pos="4819"/>
                <w:tab w:val="right" w:pos="9638"/>
              </w:tabs>
              <w:rPr>
                <w:bCs/>
                <w:iCs/>
                <w:szCs w:val="22"/>
                <w:lang w:val="en-GB" w:eastAsia="da-DK"/>
              </w:rPr>
            </w:pPr>
            <w:r>
              <w:rPr>
                <w:bCs/>
                <w:iCs/>
                <w:szCs w:val="22"/>
                <w:lang w:val="en-GB" w:eastAsia="da-DK"/>
              </w:rPr>
              <w:t>Udslæt, kløe, urticaria</w:t>
            </w:r>
          </w:p>
        </w:tc>
        <w:tc>
          <w:tcPr>
            <w:tcW w:w="1363" w:type="dxa"/>
            <w:tcBorders>
              <w:top w:val="single" w:sz="4" w:space="0" w:color="auto"/>
              <w:left w:val="single" w:sz="4" w:space="0" w:color="auto"/>
              <w:bottom w:val="single" w:sz="4" w:space="0" w:color="auto"/>
              <w:right w:val="single" w:sz="4" w:space="0" w:color="auto"/>
            </w:tcBorders>
          </w:tcPr>
          <w:p w:rsidR="003A2D5E" w:rsidRDefault="003A2D5E">
            <w:pPr>
              <w:tabs>
                <w:tab w:val="center" w:pos="4819"/>
                <w:tab w:val="right" w:pos="9638"/>
              </w:tabs>
              <w:rPr>
                <w:b/>
                <w:i/>
                <w:szCs w:val="22"/>
                <w:lang w:val="en-GB" w:eastAsia="da-DK"/>
              </w:rPr>
            </w:pPr>
          </w:p>
        </w:tc>
      </w:tr>
      <w:tr w:rsidR="003A2D5E" w:rsidTr="003A2D5E">
        <w:trPr>
          <w:trHeight w:val="527"/>
        </w:trPr>
        <w:tc>
          <w:tcPr>
            <w:tcW w:w="1736" w:type="dxa"/>
            <w:tcBorders>
              <w:top w:val="single" w:sz="4" w:space="0" w:color="auto"/>
              <w:left w:val="single" w:sz="4" w:space="0" w:color="auto"/>
              <w:bottom w:val="single" w:sz="4" w:space="0" w:color="auto"/>
              <w:right w:val="single" w:sz="4" w:space="0" w:color="auto"/>
            </w:tcBorders>
            <w:hideMark/>
          </w:tcPr>
          <w:p w:rsidR="003A2D5E" w:rsidRPr="003A2D5E" w:rsidRDefault="003A2D5E">
            <w:pPr>
              <w:tabs>
                <w:tab w:val="center" w:pos="4819"/>
                <w:tab w:val="right" w:pos="9638"/>
              </w:tabs>
              <w:rPr>
                <w:b/>
                <w:i/>
                <w:szCs w:val="22"/>
                <w:lang w:eastAsia="da-DK"/>
              </w:rPr>
            </w:pPr>
            <w:r w:rsidRPr="003A2D5E">
              <w:rPr>
                <w:b/>
                <w:i/>
                <w:szCs w:val="22"/>
                <w:lang w:eastAsia="da-DK"/>
              </w:rPr>
              <w:t>Almene symptomer og reaktioner på administrati</w:t>
            </w:r>
            <w:r>
              <w:rPr>
                <w:b/>
                <w:i/>
                <w:szCs w:val="22"/>
                <w:lang w:eastAsia="da-DK"/>
              </w:rPr>
              <w:softHyphen/>
            </w:r>
            <w:r w:rsidRPr="003A2D5E">
              <w:rPr>
                <w:b/>
                <w:i/>
                <w:szCs w:val="22"/>
                <w:lang w:eastAsia="da-DK"/>
              </w:rPr>
              <w:t>onsstedet</w:t>
            </w:r>
          </w:p>
        </w:tc>
        <w:tc>
          <w:tcPr>
            <w:tcW w:w="1363"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szCs w:val="22"/>
                <w:lang w:eastAsia="da-DK"/>
              </w:rPr>
            </w:pPr>
          </w:p>
        </w:tc>
        <w:tc>
          <w:tcPr>
            <w:tcW w:w="1290"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szCs w:val="22"/>
                <w:lang w:eastAsia="da-DK"/>
              </w:rPr>
            </w:pPr>
          </w:p>
        </w:tc>
        <w:tc>
          <w:tcPr>
            <w:tcW w:w="1436"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szCs w:val="22"/>
                <w:lang w:eastAsia="da-DK"/>
              </w:rPr>
            </w:pPr>
          </w:p>
        </w:tc>
        <w:tc>
          <w:tcPr>
            <w:tcW w:w="1116"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szCs w:val="22"/>
                <w:lang w:eastAsia="da-DK"/>
              </w:rPr>
            </w:pPr>
          </w:p>
        </w:tc>
        <w:tc>
          <w:tcPr>
            <w:tcW w:w="1755" w:type="dxa"/>
            <w:tcBorders>
              <w:top w:val="single" w:sz="4" w:space="0" w:color="auto"/>
              <w:left w:val="single" w:sz="4" w:space="0" w:color="auto"/>
              <w:bottom w:val="single" w:sz="4" w:space="0" w:color="auto"/>
              <w:right w:val="single" w:sz="4" w:space="0" w:color="auto"/>
            </w:tcBorders>
            <w:hideMark/>
          </w:tcPr>
          <w:p w:rsidR="003A2D5E" w:rsidRPr="003A2D5E" w:rsidRDefault="003A2D5E">
            <w:pPr>
              <w:tabs>
                <w:tab w:val="center" w:pos="4819"/>
                <w:tab w:val="right" w:pos="9638"/>
              </w:tabs>
              <w:rPr>
                <w:szCs w:val="22"/>
                <w:lang w:eastAsia="da-DK"/>
              </w:rPr>
            </w:pPr>
            <w:r w:rsidRPr="003A2D5E">
              <w:rPr>
                <w:szCs w:val="22"/>
                <w:lang w:eastAsia="da-DK"/>
              </w:rPr>
              <w:t>Træthed (udmattelse), svaghed (se pkt. 4.7)</w:t>
            </w:r>
          </w:p>
        </w:tc>
        <w:tc>
          <w:tcPr>
            <w:tcW w:w="1363" w:type="dxa"/>
            <w:tcBorders>
              <w:top w:val="single" w:sz="4" w:space="0" w:color="auto"/>
              <w:left w:val="single" w:sz="4" w:space="0" w:color="auto"/>
              <w:bottom w:val="single" w:sz="4" w:space="0" w:color="auto"/>
              <w:right w:val="single" w:sz="4" w:space="0" w:color="auto"/>
            </w:tcBorders>
          </w:tcPr>
          <w:p w:rsidR="003A2D5E" w:rsidRPr="003A2D5E" w:rsidRDefault="003A2D5E">
            <w:pPr>
              <w:tabs>
                <w:tab w:val="center" w:pos="4819"/>
                <w:tab w:val="right" w:pos="9638"/>
              </w:tabs>
              <w:rPr>
                <w:szCs w:val="22"/>
                <w:lang w:eastAsia="da-DK"/>
              </w:rPr>
            </w:pPr>
          </w:p>
        </w:tc>
      </w:tr>
    </w:tbl>
    <w:p w:rsidR="003A2D5E" w:rsidRPr="003A2D5E" w:rsidRDefault="003A2D5E" w:rsidP="003A2D5E">
      <w:pPr>
        <w:tabs>
          <w:tab w:val="left" w:pos="851"/>
        </w:tabs>
        <w:ind w:left="851"/>
        <w:rPr>
          <w:sz w:val="20"/>
        </w:rPr>
      </w:pPr>
      <w:r w:rsidRPr="003A2D5E">
        <w:rPr>
          <w:sz w:val="20"/>
        </w:rPr>
        <w:t xml:space="preserve">* Et meget lille antal spontane rapporter er blevet identificeret efter en langvarig behandling med intranasal fluticasonpropionat. </w:t>
      </w:r>
    </w:p>
    <w:p w:rsidR="003A2D5E" w:rsidRPr="003A2D5E" w:rsidRDefault="003A2D5E" w:rsidP="003A2D5E">
      <w:pPr>
        <w:tabs>
          <w:tab w:val="left" w:pos="851"/>
        </w:tabs>
        <w:ind w:left="851"/>
        <w:rPr>
          <w:sz w:val="20"/>
        </w:rPr>
      </w:pPr>
      <w:r w:rsidRPr="003A2D5E">
        <w:rPr>
          <w:sz w:val="20"/>
        </w:rPr>
        <w:t xml:space="preserve">** Septal perforation i næsen er rapporteret efter brug af intranasale kortikosteroider. </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rPr>
      </w:pPr>
      <w:r w:rsidRPr="003A2D5E">
        <w:rPr>
          <w:sz w:val="24"/>
          <w:szCs w:val="24"/>
        </w:rPr>
        <w:t>Der kan forekomme systemiske bivirkninger efter brug af visse nasale kortikosteroider, især når de gives i høje doser i længere perioder (se pkt. 4.4).</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rPr>
      </w:pPr>
      <w:r w:rsidRPr="003A2D5E">
        <w:rPr>
          <w:sz w:val="24"/>
          <w:szCs w:val="24"/>
        </w:rPr>
        <w:t>Der er rapporteret væksthæmning hos børn behandlet med nasale kortikosteroider. Væksthæmning kan også optræde hos unge (se pkt. 4.4).</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rPr>
      </w:pPr>
      <w:r w:rsidRPr="003A2D5E">
        <w:rPr>
          <w:sz w:val="24"/>
          <w:szCs w:val="24"/>
        </w:rPr>
        <w:t>Osteoporose er set i sjældne tilfælde, når nasale glukokortikoider er blevet administreret i længere tid.</w:t>
      </w:r>
    </w:p>
    <w:p w:rsidR="003A2D5E" w:rsidRPr="003A2D5E" w:rsidRDefault="003A2D5E" w:rsidP="003A2D5E">
      <w:pPr>
        <w:tabs>
          <w:tab w:val="left" w:pos="851"/>
        </w:tabs>
        <w:ind w:left="851"/>
        <w:rPr>
          <w:i/>
          <w:sz w:val="24"/>
          <w:szCs w:val="24"/>
        </w:rPr>
      </w:pPr>
    </w:p>
    <w:p w:rsidR="003A2D5E" w:rsidRPr="003A2D5E" w:rsidRDefault="003A2D5E" w:rsidP="003A2D5E">
      <w:pPr>
        <w:tabs>
          <w:tab w:val="left" w:pos="851"/>
        </w:tabs>
        <w:ind w:left="851"/>
        <w:rPr>
          <w:sz w:val="24"/>
          <w:szCs w:val="24"/>
          <w:u w:val="single"/>
        </w:rPr>
      </w:pPr>
      <w:r w:rsidRPr="003A2D5E">
        <w:rPr>
          <w:sz w:val="24"/>
          <w:szCs w:val="24"/>
          <w:u w:val="single"/>
        </w:rPr>
        <w:t>Indberetning af formodede bivirkninger</w:t>
      </w:r>
    </w:p>
    <w:p w:rsidR="003A2D5E" w:rsidRPr="003A2D5E" w:rsidRDefault="003A2D5E" w:rsidP="003A2D5E">
      <w:pPr>
        <w:tabs>
          <w:tab w:val="left" w:pos="851"/>
        </w:tabs>
        <w:ind w:left="851"/>
        <w:rPr>
          <w:sz w:val="24"/>
          <w:szCs w:val="24"/>
        </w:rPr>
      </w:pPr>
      <w:r w:rsidRPr="003A2D5E">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B21A12">
        <w:rPr>
          <w:sz w:val="24"/>
          <w:szCs w:val="24"/>
        </w:rPr>
        <w:t>:</w:t>
      </w:r>
    </w:p>
    <w:p w:rsidR="003A2D5E" w:rsidRPr="003A2D5E" w:rsidRDefault="003A2D5E" w:rsidP="003A2D5E">
      <w:pPr>
        <w:tabs>
          <w:tab w:val="left" w:pos="851"/>
        </w:tabs>
        <w:ind w:left="851"/>
        <w:rPr>
          <w:sz w:val="24"/>
          <w:szCs w:val="24"/>
        </w:rPr>
      </w:pPr>
    </w:p>
    <w:p w:rsidR="003A2D5E" w:rsidRPr="003A2D5E" w:rsidRDefault="003A2D5E" w:rsidP="003A2D5E">
      <w:pPr>
        <w:tabs>
          <w:tab w:val="left" w:pos="851"/>
        </w:tabs>
        <w:ind w:left="851"/>
        <w:rPr>
          <w:sz w:val="24"/>
          <w:szCs w:val="24"/>
        </w:rPr>
      </w:pPr>
      <w:r w:rsidRPr="003A2D5E">
        <w:rPr>
          <w:sz w:val="24"/>
          <w:szCs w:val="24"/>
        </w:rPr>
        <w:t>Lægemiddelstyrelsen</w:t>
      </w:r>
    </w:p>
    <w:p w:rsidR="003A2D5E" w:rsidRPr="003A2D5E" w:rsidRDefault="003A2D5E" w:rsidP="003A2D5E">
      <w:pPr>
        <w:tabs>
          <w:tab w:val="left" w:pos="851"/>
        </w:tabs>
        <w:ind w:left="851"/>
        <w:rPr>
          <w:sz w:val="24"/>
          <w:szCs w:val="24"/>
        </w:rPr>
      </w:pPr>
      <w:r w:rsidRPr="003A2D5E">
        <w:rPr>
          <w:sz w:val="24"/>
          <w:szCs w:val="24"/>
        </w:rPr>
        <w:t>Axel Heides Gade 1</w:t>
      </w:r>
    </w:p>
    <w:p w:rsidR="003A2D5E" w:rsidRPr="003A2D5E" w:rsidRDefault="003A2D5E" w:rsidP="003A2D5E">
      <w:pPr>
        <w:tabs>
          <w:tab w:val="left" w:pos="851"/>
        </w:tabs>
        <w:ind w:left="851"/>
        <w:rPr>
          <w:sz w:val="24"/>
          <w:szCs w:val="24"/>
        </w:rPr>
      </w:pPr>
      <w:r w:rsidRPr="003A2D5E">
        <w:rPr>
          <w:sz w:val="24"/>
          <w:szCs w:val="24"/>
        </w:rPr>
        <w:t>DK-2300 København S</w:t>
      </w:r>
    </w:p>
    <w:p w:rsidR="003A2D5E" w:rsidRPr="003A2D5E" w:rsidRDefault="003A2D5E" w:rsidP="003A2D5E">
      <w:pPr>
        <w:tabs>
          <w:tab w:val="left" w:pos="851"/>
        </w:tabs>
        <w:ind w:left="851"/>
        <w:rPr>
          <w:sz w:val="24"/>
          <w:szCs w:val="24"/>
        </w:rPr>
      </w:pPr>
      <w:r w:rsidRPr="003A2D5E">
        <w:rPr>
          <w:sz w:val="24"/>
          <w:szCs w:val="24"/>
        </w:rPr>
        <w:t xml:space="preserve">Websted: </w:t>
      </w:r>
      <w:r w:rsidRPr="00B21A12">
        <w:rPr>
          <w:sz w:val="24"/>
          <w:szCs w:val="24"/>
        </w:rPr>
        <w:t>www.meldenbivirkning.dk</w:t>
      </w:r>
    </w:p>
    <w:p w:rsidR="003A2D5E" w:rsidRPr="00A10294" w:rsidRDefault="003A2D5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32906" w:rsidRPr="00232906" w:rsidRDefault="00232906" w:rsidP="00232906">
      <w:pPr>
        <w:tabs>
          <w:tab w:val="left" w:pos="851"/>
        </w:tabs>
        <w:ind w:left="851"/>
        <w:rPr>
          <w:sz w:val="24"/>
          <w:szCs w:val="24"/>
        </w:rPr>
      </w:pPr>
      <w:r w:rsidRPr="00232906">
        <w:rPr>
          <w:sz w:val="24"/>
          <w:szCs w:val="24"/>
        </w:rPr>
        <w:t>Med intranasal administration forventes der ikke nogen overdosering.</w:t>
      </w:r>
    </w:p>
    <w:p w:rsidR="00232906" w:rsidRPr="00232906" w:rsidRDefault="00232906" w:rsidP="00232906">
      <w:pPr>
        <w:tabs>
          <w:tab w:val="left" w:pos="851"/>
        </w:tabs>
        <w:ind w:left="851"/>
        <w:rPr>
          <w:sz w:val="24"/>
          <w:szCs w:val="24"/>
        </w:rPr>
      </w:pPr>
    </w:p>
    <w:p w:rsidR="00232906" w:rsidRPr="00232906" w:rsidRDefault="00232906" w:rsidP="00232906">
      <w:pPr>
        <w:tabs>
          <w:tab w:val="left" w:pos="851"/>
        </w:tabs>
        <w:ind w:left="851"/>
        <w:rPr>
          <w:sz w:val="24"/>
          <w:szCs w:val="24"/>
        </w:rPr>
      </w:pPr>
      <w:r w:rsidRPr="00232906">
        <w:rPr>
          <w:sz w:val="24"/>
          <w:szCs w:val="24"/>
        </w:rPr>
        <w:t xml:space="preserve">Der foreligger ikke tilgængelige data fra patienter vedr. effekten af akut eller kronisk overdosering med intranasal fluticasonpropionat. </w:t>
      </w:r>
    </w:p>
    <w:p w:rsidR="00232906" w:rsidRPr="00232906" w:rsidRDefault="00232906" w:rsidP="00232906">
      <w:pPr>
        <w:tabs>
          <w:tab w:val="left" w:pos="851"/>
        </w:tabs>
        <w:ind w:left="851"/>
        <w:rPr>
          <w:sz w:val="24"/>
          <w:szCs w:val="24"/>
        </w:rPr>
      </w:pPr>
    </w:p>
    <w:p w:rsidR="00232906" w:rsidRPr="00232906" w:rsidRDefault="00232906" w:rsidP="00232906">
      <w:pPr>
        <w:tabs>
          <w:tab w:val="left" w:pos="851"/>
        </w:tabs>
        <w:ind w:left="851"/>
        <w:rPr>
          <w:sz w:val="24"/>
          <w:szCs w:val="24"/>
        </w:rPr>
      </w:pPr>
      <w:r w:rsidRPr="00232906">
        <w:rPr>
          <w:sz w:val="24"/>
          <w:szCs w:val="24"/>
        </w:rPr>
        <w:t>Intranasal administration af 2 mg fluticasonpropionat (10 gange den anbefalede daglige dosis) to gange dagligt i syv dage hos raske frivillige personer har ingen effekt på hypothalamus-hypofyse-binyrebark (HPA)-akse-funktionen.</w:t>
      </w:r>
    </w:p>
    <w:p w:rsidR="00232906" w:rsidRPr="00232906" w:rsidRDefault="00232906" w:rsidP="00232906">
      <w:pPr>
        <w:tabs>
          <w:tab w:val="left" w:pos="851"/>
        </w:tabs>
        <w:ind w:left="851"/>
        <w:rPr>
          <w:sz w:val="24"/>
          <w:szCs w:val="24"/>
        </w:rPr>
      </w:pPr>
    </w:p>
    <w:p w:rsidR="00232906" w:rsidRPr="00232906" w:rsidRDefault="00232906" w:rsidP="00232906">
      <w:pPr>
        <w:tabs>
          <w:tab w:val="left" w:pos="851"/>
        </w:tabs>
        <w:ind w:left="851"/>
        <w:rPr>
          <w:sz w:val="24"/>
          <w:szCs w:val="24"/>
        </w:rPr>
      </w:pPr>
      <w:r w:rsidRPr="00232906">
        <w:rPr>
          <w:sz w:val="24"/>
          <w:szCs w:val="24"/>
        </w:rPr>
        <w:t xml:space="preserve">Administration af højere doser end anbefalet over en længere periode kan medføre midlertidig suppression af binyrebarkfunktionen. </w:t>
      </w:r>
    </w:p>
    <w:p w:rsidR="00232906" w:rsidRPr="00232906" w:rsidRDefault="00232906" w:rsidP="00232906">
      <w:pPr>
        <w:tabs>
          <w:tab w:val="left" w:pos="851"/>
        </w:tabs>
        <w:ind w:left="851"/>
        <w:rPr>
          <w:sz w:val="24"/>
          <w:szCs w:val="24"/>
        </w:rPr>
      </w:pPr>
      <w:r w:rsidRPr="00232906">
        <w:rPr>
          <w:sz w:val="24"/>
          <w:szCs w:val="24"/>
        </w:rPr>
        <w:t xml:space="preserve">Hos disse patienter skal behandling med </w:t>
      </w:r>
      <w:r w:rsidR="00011582">
        <w:rPr>
          <w:sz w:val="24"/>
          <w:szCs w:val="24"/>
        </w:rPr>
        <w:t>Zymeduo</w:t>
      </w:r>
      <w:r w:rsidRPr="00232906">
        <w:rPr>
          <w:sz w:val="24"/>
          <w:szCs w:val="24"/>
        </w:rPr>
        <w:t xml:space="preserve"> fortsætte ved en dosis, der er tilstrækkelig til at kontrollere symptomerne. Binyrebarkfunktionen vil genoprettes i løbet af få dage og kan verificeres ved at måle kortisol i plasma. </w:t>
      </w:r>
    </w:p>
    <w:p w:rsidR="00232906" w:rsidRPr="00232906" w:rsidRDefault="00232906" w:rsidP="00232906">
      <w:pPr>
        <w:tabs>
          <w:tab w:val="left" w:pos="851"/>
        </w:tabs>
        <w:ind w:left="851"/>
        <w:rPr>
          <w:sz w:val="24"/>
          <w:szCs w:val="24"/>
        </w:rPr>
      </w:pPr>
    </w:p>
    <w:p w:rsidR="00232906" w:rsidRPr="00232906" w:rsidRDefault="00232906" w:rsidP="00232906">
      <w:pPr>
        <w:tabs>
          <w:tab w:val="left" w:pos="851"/>
        </w:tabs>
        <w:ind w:left="851"/>
        <w:rPr>
          <w:sz w:val="24"/>
          <w:szCs w:val="24"/>
        </w:rPr>
      </w:pPr>
      <w:r w:rsidRPr="00232906">
        <w:rPr>
          <w:sz w:val="24"/>
          <w:szCs w:val="24"/>
        </w:rPr>
        <w:t>I tilfælde af overdosering efter utilsigtet oral indtagelse må forstyrrelser i centralnervesystemet (herunder sløvhed, konfusion, koma, takykardi og hypotension) forårsaget af azelastinhydrochlorid forventes baseret på resultaterne i dyrestudier.</w:t>
      </w:r>
    </w:p>
    <w:p w:rsidR="00232906" w:rsidRPr="00232906" w:rsidRDefault="00232906" w:rsidP="00232906">
      <w:pPr>
        <w:tabs>
          <w:tab w:val="left" w:pos="851"/>
        </w:tabs>
        <w:ind w:left="851"/>
        <w:rPr>
          <w:sz w:val="24"/>
          <w:szCs w:val="24"/>
        </w:rPr>
      </w:pPr>
    </w:p>
    <w:p w:rsidR="00232906" w:rsidRPr="00232906" w:rsidRDefault="00232906" w:rsidP="00232906">
      <w:pPr>
        <w:tabs>
          <w:tab w:val="left" w:pos="851"/>
        </w:tabs>
        <w:ind w:left="851"/>
        <w:rPr>
          <w:sz w:val="24"/>
          <w:szCs w:val="24"/>
        </w:rPr>
      </w:pPr>
      <w:r w:rsidRPr="00232906">
        <w:rPr>
          <w:sz w:val="24"/>
          <w:szCs w:val="24"/>
        </w:rPr>
        <w:t>Behandling af disse lidelser skal være symptomatisk. Afhængig af den indtagne mængde anbefales ventrikelskylning. Der er ingen kendt antidot.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32906"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873751" w:rsidRPr="00873751" w:rsidRDefault="00873751" w:rsidP="00873751">
      <w:pPr>
        <w:tabs>
          <w:tab w:val="left" w:pos="851"/>
        </w:tabs>
        <w:ind w:left="851"/>
        <w:rPr>
          <w:sz w:val="24"/>
          <w:szCs w:val="24"/>
        </w:rPr>
      </w:pPr>
      <w:r w:rsidRPr="00873751">
        <w:rPr>
          <w:sz w:val="24"/>
          <w:szCs w:val="24"/>
        </w:rPr>
        <w:t>Farmakoterapeutisk klassifikation: Dekongestanter og andre nasale præparater til topisk anvendelse, kortikosteroider/fluticason kombinationer, ATC-kode: R01AD58.</w:t>
      </w:r>
    </w:p>
    <w:p w:rsidR="00873751" w:rsidRDefault="00873751">
      <w:pPr>
        <w:rPr>
          <w:sz w:val="24"/>
          <w:szCs w:val="24"/>
        </w:rPr>
      </w:pPr>
      <w:r>
        <w:rPr>
          <w:sz w:val="24"/>
          <w:szCs w:val="24"/>
        </w:rPr>
        <w:br w:type="page"/>
      </w:r>
    </w:p>
    <w:p w:rsidR="00873751" w:rsidRPr="00873751" w:rsidRDefault="00873751" w:rsidP="00873751">
      <w:pPr>
        <w:tabs>
          <w:tab w:val="left" w:pos="851"/>
        </w:tabs>
        <w:ind w:left="851"/>
        <w:rPr>
          <w:sz w:val="24"/>
          <w:szCs w:val="24"/>
        </w:rPr>
      </w:pPr>
    </w:p>
    <w:p w:rsidR="00873751" w:rsidRPr="00873751" w:rsidRDefault="00873751" w:rsidP="00873751">
      <w:pPr>
        <w:tabs>
          <w:tab w:val="left" w:pos="851"/>
        </w:tabs>
        <w:ind w:left="851"/>
        <w:rPr>
          <w:bCs/>
          <w:sz w:val="24"/>
          <w:szCs w:val="24"/>
          <w:u w:val="single"/>
        </w:rPr>
      </w:pPr>
      <w:r w:rsidRPr="00873751">
        <w:rPr>
          <w:bCs/>
          <w:sz w:val="24"/>
          <w:szCs w:val="24"/>
          <w:u w:val="single"/>
        </w:rPr>
        <w:t>Virkningsmekanisme og farmakodynamisk virkning</w:t>
      </w:r>
    </w:p>
    <w:p w:rsidR="00873751" w:rsidRPr="00873751" w:rsidRDefault="00011582" w:rsidP="00873751">
      <w:pPr>
        <w:tabs>
          <w:tab w:val="left" w:pos="851"/>
        </w:tabs>
        <w:ind w:left="851"/>
        <w:rPr>
          <w:sz w:val="24"/>
          <w:szCs w:val="24"/>
        </w:rPr>
      </w:pPr>
      <w:r>
        <w:rPr>
          <w:sz w:val="24"/>
          <w:szCs w:val="24"/>
        </w:rPr>
        <w:t>Zymeduo</w:t>
      </w:r>
      <w:r w:rsidR="00873751" w:rsidRPr="00873751">
        <w:rPr>
          <w:sz w:val="24"/>
          <w:szCs w:val="24"/>
        </w:rPr>
        <w:t xml:space="preserve"> indeholder azelastinhydrochlorid og fluticasonpropionat, der har forskellige virkningsmekanismer og udviser synergistisk virkning med hensyn til forbedring af symptomerne på allergisk rhinitis og rhinokonjunktivitis.</w:t>
      </w:r>
    </w:p>
    <w:p w:rsidR="00873751" w:rsidRPr="00873751" w:rsidRDefault="00873751" w:rsidP="00873751">
      <w:pPr>
        <w:tabs>
          <w:tab w:val="left" w:pos="851"/>
        </w:tabs>
        <w:ind w:left="851"/>
        <w:rPr>
          <w:sz w:val="24"/>
          <w:szCs w:val="24"/>
        </w:rPr>
      </w:pPr>
    </w:p>
    <w:p w:rsidR="00873751" w:rsidRPr="00873751" w:rsidRDefault="00873751" w:rsidP="00873751">
      <w:pPr>
        <w:tabs>
          <w:tab w:val="left" w:pos="851"/>
        </w:tabs>
        <w:ind w:left="851"/>
        <w:rPr>
          <w:bCs/>
          <w:i/>
          <w:iCs/>
          <w:sz w:val="24"/>
          <w:szCs w:val="24"/>
        </w:rPr>
      </w:pPr>
      <w:r w:rsidRPr="00873751">
        <w:rPr>
          <w:bCs/>
          <w:i/>
          <w:iCs/>
          <w:sz w:val="24"/>
          <w:szCs w:val="24"/>
        </w:rPr>
        <w:t>Fluticasonpropionat</w:t>
      </w:r>
    </w:p>
    <w:p w:rsidR="00873751" w:rsidRPr="00873751" w:rsidRDefault="00873751" w:rsidP="00873751">
      <w:pPr>
        <w:tabs>
          <w:tab w:val="left" w:pos="851"/>
        </w:tabs>
        <w:ind w:left="851"/>
        <w:rPr>
          <w:sz w:val="24"/>
          <w:szCs w:val="24"/>
        </w:rPr>
      </w:pPr>
      <w:r w:rsidRPr="00873751">
        <w:rPr>
          <w:sz w:val="24"/>
          <w:szCs w:val="24"/>
        </w:rPr>
        <w:t xml:space="preserve">Fluticasonpropionat er et syntetisk trifluorineret kortikosteroid med meget høj affinitet for glukokortikoidreceptoren og har en potent antiinflammatorisk virkning; det er f.eks. 3-5 gange mere potent end dexamethason til binding af klonet human glukokortikoidreceptor og i genekspressionstest. </w:t>
      </w:r>
    </w:p>
    <w:p w:rsidR="00873751" w:rsidRPr="00873751" w:rsidRDefault="00873751" w:rsidP="00873751">
      <w:pPr>
        <w:tabs>
          <w:tab w:val="left" w:pos="851"/>
        </w:tabs>
        <w:ind w:left="851"/>
        <w:rPr>
          <w:sz w:val="24"/>
          <w:szCs w:val="24"/>
        </w:rPr>
      </w:pPr>
    </w:p>
    <w:p w:rsidR="00873751" w:rsidRPr="00873751" w:rsidRDefault="00873751" w:rsidP="00873751">
      <w:pPr>
        <w:tabs>
          <w:tab w:val="left" w:pos="851"/>
        </w:tabs>
        <w:ind w:left="851"/>
        <w:rPr>
          <w:bCs/>
          <w:i/>
          <w:iCs/>
          <w:sz w:val="24"/>
          <w:szCs w:val="24"/>
        </w:rPr>
      </w:pPr>
      <w:r w:rsidRPr="00873751">
        <w:rPr>
          <w:bCs/>
          <w:i/>
          <w:iCs/>
          <w:sz w:val="24"/>
          <w:szCs w:val="24"/>
        </w:rPr>
        <w:t>Azelastinhydrochlorid</w:t>
      </w:r>
    </w:p>
    <w:p w:rsidR="00873751" w:rsidRPr="00873751" w:rsidRDefault="00873751" w:rsidP="00873751">
      <w:pPr>
        <w:tabs>
          <w:tab w:val="left" w:pos="851"/>
        </w:tabs>
        <w:ind w:left="851"/>
        <w:rPr>
          <w:sz w:val="24"/>
          <w:szCs w:val="24"/>
        </w:rPr>
      </w:pPr>
      <w:r w:rsidRPr="00873751">
        <w:rPr>
          <w:sz w:val="24"/>
          <w:szCs w:val="24"/>
        </w:rPr>
        <w:t>Azelastin, et phtalazinon-derivat, er klassificeret som et potent langtidsvirkende antiallergisk stof med selektive H</w:t>
      </w:r>
      <w:r w:rsidRPr="00873751">
        <w:rPr>
          <w:sz w:val="24"/>
          <w:szCs w:val="24"/>
          <w:vertAlign w:val="subscript"/>
        </w:rPr>
        <w:t>1</w:t>
      </w:r>
      <w:r w:rsidRPr="00873751">
        <w:rPr>
          <w:sz w:val="24"/>
          <w:szCs w:val="24"/>
        </w:rPr>
        <w:t xml:space="preserve">-antagonistiske, mastcelle-stabiliserende og antiinflammatoriske egenskaber. Data fra </w:t>
      </w:r>
      <w:r w:rsidRPr="00873751">
        <w:rPr>
          <w:i/>
          <w:iCs/>
          <w:sz w:val="24"/>
          <w:szCs w:val="24"/>
        </w:rPr>
        <w:t>in vivo</w:t>
      </w:r>
      <w:r w:rsidRPr="00873751">
        <w:rPr>
          <w:sz w:val="24"/>
          <w:szCs w:val="24"/>
        </w:rPr>
        <w:t xml:space="preserve"> (prækliniske)- og </w:t>
      </w:r>
      <w:r w:rsidRPr="00873751">
        <w:rPr>
          <w:i/>
          <w:iCs/>
          <w:sz w:val="24"/>
          <w:szCs w:val="24"/>
        </w:rPr>
        <w:t>in vitro</w:t>
      </w:r>
      <w:r w:rsidRPr="00873751">
        <w:rPr>
          <w:sz w:val="24"/>
          <w:szCs w:val="24"/>
        </w:rPr>
        <w:t xml:space="preserve">-studier har vist, at azelastin hæmmer syntesen eller frigørelsen af de kemiske mediatorer, der vides at være involveret i tidlige og sene stadier af allergiske reaktioner, f.eks. leukotriener, histamin, PAF (blodpladeaktiverende faktor) og serotonin. </w:t>
      </w:r>
    </w:p>
    <w:p w:rsidR="00873751" w:rsidRPr="00873751" w:rsidRDefault="00873751" w:rsidP="00873751">
      <w:pPr>
        <w:tabs>
          <w:tab w:val="left" w:pos="851"/>
        </w:tabs>
        <w:ind w:left="851"/>
        <w:rPr>
          <w:sz w:val="24"/>
          <w:szCs w:val="24"/>
        </w:rPr>
      </w:pPr>
      <w:r w:rsidRPr="00873751">
        <w:rPr>
          <w:sz w:val="24"/>
          <w:szCs w:val="24"/>
        </w:rPr>
        <w:t>Lindring af nasale allergisymptomer ses inden for 15 minutter efter administration.</w:t>
      </w:r>
    </w:p>
    <w:p w:rsidR="00873751" w:rsidRPr="00873751" w:rsidRDefault="00873751" w:rsidP="00873751">
      <w:pPr>
        <w:tabs>
          <w:tab w:val="left" w:pos="851"/>
        </w:tabs>
        <w:ind w:left="851"/>
        <w:rPr>
          <w:sz w:val="24"/>
          <w:szCs w:val="24"/>
        </w:rPr>
      </w:pPr>
    </w:p>
    <w:p w:rsidR="00873751" w:rsidRPr="00873751" w:rsidRDefault="00873751" w:rsidP="00873751">
      <w:pPr>
        <w:tabs>
          <w:tab w:val="left" w:pos="851"/>
        </w:tabs>
        <w:ind w:left="851"/>
        <w:rPr>
          <w:i/>
          <w:iCs/>
          <w:sz w:val="24"/>
          <w:szCs w:val="24"/>
        </w:rPr>
      </w:pPr>
      <w:r w:rsidRPr="00873751">
        <w:rPr>
          <w:i/>
          <w:iCs/>
          <w:sz w:val="24"/>
          <w:szCs w:val="24"/>
        </w:rPr>
        <w:t>Azelastinhydrochlorid/fluticasonpropionat</w:t>
      </w:r>
    </w:p>
    <w:p w:rsidR="00873751" w:rsidRPr="00873751" w:rsidRDefault="00873751" w:rsidP="00873751">
      <w:pPr>
        <w:tabs>
          <w:tab w:val="left" w:pos="851"/>
        </w:tabs>
        <w:ind w:left="851"/>
        <w:rPr>
          <w:sz w:val="24"/>
          <w:szCs w:val="24"/>
        </w:rPr>
      </w:pPr>
      <w:r w:rsidRPr="00873751">
        <w:rPr>
          <w:sz w:val="24"/>
          <w:szCs w:val="24"/>
        </w:rPr>
        <w:t>I 4 kliniske studier hos voksne og unge med allergisk rhinitis gav azelastinhydrochlorid/fluticasonpropionat en signifikant forbedring af nasale symptomer (rhinorrhoea, nasal kongestion, nysen og nasal kløe) ved en dosis på et pust i hvert næsebor to gange dagligt sammenlignet med placebo, azelastinhydrochlorid alene og fluticasonpropionat alene. Det forbedrede signifikant de okulære symptomer (kløe, tåreflåd/rindende øjne og røde øjne) og patienternes sygdomsrelaterede livskvalitet (</w:t>
      </w:r>
      <w:r w:rsidRPr="00873751">
        <w:rPr>
          <w:i/>
          <w:iCs/>
          <w:sz w:val="24"/>
          <w:szCs w:val="24"/>
        </w:rPr>
        <w:t>Rhinoconjunctivitis Quality of Life Questionnaire</w:t>
      </w:r>
      <w:r w:rsidRPr="00873751">
        <w:rPr>
          <w:sz w:val="24"/>
          <w:szCs w:val="24"/>
        </w:rPr>
        <w:t xml:space="preserve"> – RQLQ) i alle 4 studier.</w:t>
      </w:r>
    </w:p>
    <w:p w:rsidR="00873751" w:rsidRPr="00873751" w:rsidRDefault="00873751" w:rsidP="00873751">
      <w:pPr>
        <w:tabs>
          <w:tab w:val="left" w:pos="851"/>
        </w:tabs>
        <w:ind w:left="851"/>
        <w:rPr>
          <w:sz w:val="24"/>
          <w:szCs w:val="24"/>
        </w:rPr>
      </w:pPr>
    </w:p>
    <w:p w:rsidR="00873751" w:rsidRPr="00873751" w:rsidRDefault="00873751" w:rsidP="00873751">
      <w:pPr>
        <w:tabs>
          <w:tab w:val="left" w:pos="851"/>
        </w:tabs>
        <w:ind w:left="851"/>
        <w:rPr>
          <w:sz w:val="24"/>
          <w:szCs w:val="24"/>
        </w:rPr>
      </w:pPr>
      <w:r w:rsidRPr="00873751">
        <w:rPr>
          <w:sz w:val="24"/>
          <w:szCs w:val="24"/>
        </w:rPr>
        <w:t>Sammenlignet med en allerede markedsført fluticasonpropionat næsespray blev væsentlig symptomforbedring (50 % reduktion i nasale symptomer) nået signifikant tidligere (3 dage og mere) med azelastinhydrochlorid/fluticasonpropionat næsespray. Azelastinhydrochlorid/fluticasonpropionat næsesprays bedre effekt i forhold til fluticasonpropionat</w:t>
      </w:r>
      <w:r w:rsidRPr="00873751">
        <w:rPr>
          <w:sz w:val="24"/>
          <w:szCs w:val="24"/>
        </w:rPr>
        <w:softHyphen/>
        <w:t xml:space="preserve"> næsespray blev opretholdt i hele det etårige studie hos patienter med kronisk vedvarende allergisk rhinitis og ikke-allergisk/vasomotorisk rhinitis. </w:t>
      </w:r>
    </w:p>
    <w:p w:rsidR="00873751" w:rsidRPr="00873751" w:rsidRDefault="00873751" w:rsidP="00873751">
      <w:pPr>
        <w:tabs>
          <w:tab w:val="left" w:pos="851"/>
        </w:tabs>
        <w:ind w:left="851"/>
        <w:rPr>
          <w:sz w:val="24"/>
          <w:szCs w:val="24"/>
        </w:rPr>
      </w:pPr>
    </w:p>
    <w:p w:rsidR="00873751" w:rsidRPr="00873751" w:rsidRDefault="00873751" w:rsidP="00873751">
      <w:pPr>
        <w:tabs>
          <w:tab w:val="left" w:pos="851"/>
        </w:tabs>
        <w:ind w:left="851"/>
        <w:rPr>
          <w:sz w:val="24"/>
          <w:szCs w:val="24"/>
        </w:rPr>
      </w:pPr>
      <w:r w:rsidRPr="00873751">
        <w:rPr>
          <w:sz w:val="24"/>
          <w:szCs w:val="24"/>
        </w:rPr>
        <w:t>I et eksponeringsstudie med ambrosiapollen blev første statistisk signifikante lindring af nasalsymptomer observeret 5 minutter efter administration af azelastinhydrochlorid/fluticasonpropionat (sammenlignet med placebo). 15 minutter efter administration af azelastinhydrochlorid/fluticasonpropionat rapporterede 60% af patienterne en klinisk relevant reduktion af symptomer med en score på mindst 30%.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4141C" w:rsidRDefault="0044141C" w:rsidP="0044141C">
      <w:pPr>
        <w:tabs>
          <w:tab w:val="left" w:pos="851"/>
        </w:tabs>
        <w:ind w:left="851"/>
        <w:rPr>
          <w:sz w:val="24"/>
          <w:szCs w:val="24"/>
          <w:u w:val="single"/>
        </w:rPr>
      </w:pPr>
    </w:p>
    <w:p w:rsidR="0044141C" w:rsidRPr="0044141C" w:rsidRDefault="0044141C" w:rsidP="0044141C">
      <w:pPr>
        <w:tabs>
          <w:tab w:val="left" w:pos="851"/>
        </w:tabs>
        <w:ind w:left="851"/>
        <w:rPr>
          <w:sz w:val="24"/>
          <w:szCs w:val="24"/>
          <w:u w:val="single"/>
        </w:rPr>
      </w:pPr>
      <w:r w:rsidRPr="0044141C">
        <w:rPr>
          <w:sz w:val="24"/>
          <w:szCs w:val="24"/>
          <w:u w:val="single"/>
        </w:rPr>
        <w:t>Absorption</w:t>
      </w:r>
    </w:p>
    <w:p w:rsidR="0044141C" w:rsidRPr="0044141C" w:rsidRDefault="0044141C" w:rsidP="0044141C">
      <w:pPr>
        <w:tabs>
          <w:tab w:val="left" w:pos="851"/>
        </w:tabs>
        <w:ind w:left="851"/>
        <w:rPr>
          <w:sz w:val="24"/>
          <w:szCs w:val="24"/>
        </w:rPr>
      </w:pPr>
      <w:r w:rsidRPr="0044141C">
        <w:rPr>
          <w:sz w:val="24"/>
          <w:szCs w:val="24"/>
        </w:rPr>
        <w:t>Efter intranasal administration af to pust med azelastinhydrochlorid/fluticasonpropionat i hvert næsebor (548 mikrogram azelastinhydrochlorid og 200 mikrogram fluticasonpropionat) var den gennemsnitlige (± standardafvigelse) højeste plasmaeksponering (C</w:t>
      </w:r>
      <w:r w:rsidRPr="0044141C">
        <w:rPr>
          <w:sz w:val="24"/>
          <w:szCs w:val="24"/>
          <w:vertAlign w:val="subscript"/>
        </w:rPr>
        <w:t>max</w:t>
      </w:r>
      <w:r w:rsidRPr="0044141C">
        <w:rPr>
          <w:sz w:val="24"/>
          <w:szCs w:val="24"/>
        </w:rPr>
        <w:t xml:space="preserve">) 194,5 ± 74,4 pg/ml for azelastin og 10,3 ± 3,9 pg/ml for fluticasonpropionat, og den gennemsnitlige totale eksponering (AUC) var 4.217 ± 2.618 </w:t>
      </w:r>
      <w:r w:rsidRPr="0044141C">
        <w:rPr>
          <w:sz w:val="24"/>
          <w:szCs w:val="24"/>
        </w:rPr>
        <w:lastRenderedPageBreak/>
        <w:t>pg/ml*time for azelastin og 97,7 ± 43,1 pg/ml*time for fluticasonpropionat. Den mediane tid til højeste eksponering (t</w:t>
      </w:r>
      <w:r w:rsidRPr="0044141C">
        <w:rPr>
          <w:sz w:val="24"/>
          <w:szCs w:val="24"/>
          <w:vertAlign w:val="subscript"/>
        </w:rPr>
        <w:t>max</w:t>
      </w:r>
      <w:r w:rsidRPr="0044141C">
        <w:rPr>
          <w:sz w:val="24"/>
          <w:szCs w:val="24"/>
        </w:rPr>
        <w:t>) efter en enkelt dosis var 0,5 time for azelastin og 1,0 time for fluticasonpropionat.</w:t>
      </w:r>
    </w:p>
    <w:p w:rsidR="0044141C" w:rsidRPr="0044141C" w:rsidRDefault="0044141C" w:rsidP="0044141C">
      <w:pPr>
        <w:tabs>
          <w:tab w:val="left" w:pos="851"/>
        </w:tabs>
        <w:ind w:left="851"/>
        <w:rPr>
          <w:sz w:val="24"/>
          <w:szCs w:val="24"/>
        </w:rPr>
      </w:pPr>
    </w:p>
    <w:p w:rsidR="0044141C" w:rsidRPr="0044141C" w:rsidRDefault="0044141C" w:rsidP="0044141C">
      <w:pPr>
        <w:tabs>
          <w:tab w:val="left" w:pos="851"/>
        </w:tabs>
        <w:ind w:left="851"/>
        <w:rPr>
          <w:sz w:val="24"/>
          <w:szCs w:val="24"/>
        </w:rPr>
      </w:pPr>
      <w:r w:rsidRPr="0044141C">
        <w:rPr>
          <w:sz w:val="24"/>
          <w:szCs w:val="24"/>
        </w:rPr>
        <w:t>Systemisk eksponering for fluticasonpropionat var ~50 % højere for azelastinhydrochlorid/fluticasonpropionat næsespray sammenlignet med en allerede markedsført fluticasonpropionat næsespray. Azelastinhydrochlorid/fluticasonpropionat næsespray var sammenlignelig med en allerede markedsført azelastin næsespray, for så vidt angår systemisk eksponering for azelastin. Der var ingen tegn på farmakokinetiske interaktioner mellem azelastinhydrochlorid og fluticasonpropionat.</w:t>
      </w:r>
    </w:p>
    <w:p w:rsidR="0044141C" w:rsidRPr="0044141C" w:rsidRDefault="0044141C" w:rsidP="0044141C">
      <w:pPr>
        <w:tabs>
          <w:tab w:val="left" w:pos="851"/>
        </w:tabs>
        <w:ind w:left="851"/>
        <w:rPr>
          <w:sz w:val="24"/>
          <w:szCs w:val="24"/>
          <w:u w:val="single"/>
        </w:rPr>
      </w:pPr>
    </w:p>
    <w:p w:rsidR="0044141C" w:rsidRPr="0044141C" w:rsidRDefault="0044141C" w:rsidP="0044141C">
      <w:pPr>
        <w:tabs>
          <w:tab w:val="left" w:pos="851"/>
        </w:tabs>
        <w:ind w:left="851"/>
        <w:rPr>
          <w:sz w:val="24"/>
          <w:szCs w:val="24"/>
          <w:u w:val="single"/>
        </w:rPr>
      </w:pPr>
      <w:r w:rsidRPr="0044141C">
        <w:rPr>
          <w:sz w:val="24"/>
          <w:szCs w:val="24"/>
          <w:u w:val="single"/>
        </w:rPr>
        <w:t>Fordeling</w:t>
      </w:r>
    </w:p>
    <w:p w:rsidR="0044141C" w:rsidRPr="0044141C" w:rsidRDefault="0044141C" w:rsidP="0044141C">
      <w:pPr>
        <w:tabs>
          <w:tab w:val="left" w:pos="851"/>
        </w:tabs>
        <w:ind w:left="851"/>
        <w:rPr>
          <w:sz w:val="24"/>
          <w:szCs w:val="24"/>
        </w:rPr>
      </w:pPr>
      <w:r w:rsidRPr="0044141C">
        <w:rPr>
          <w:sz w:val="24"/>
          <w:szCs w:val="24"/>
        </w:rPr>
        <w:t>Fluticasonpropionat har et stort fordelingsvolumen ved steady-state (cirka 318 liter). Plasmaproteinbindingen er 91%.</w:t>
      </w:r>
    </w:p>
    <w:p w:rsidR="0044141C" w:rsidRPr="0044141C" w:rsidRDefault="0044141C" w:rsidP="0044141C">
      <w:pPr>
        <w:tabs>
          <w:tab w:val="left" w:pos="851"/>
        </w:tabs>
        <w:ind w:left="851"/>
        <w:rPr>
          <w:i/>
          <w:sz w:val="24"/>
          <w:szCs w:val="24"/>
        </w:rPr>
      </w:pPr>
      <w:r w:rsidRPr="0044141C">
        <w:rPr>
          <w:sz w:val="24"/>
          <w:szCs w:val="24"/>
        </w:rPr>
        <w:t xml:space="preserve">Fordelingsvolumen for azelastin er høj, hvilket indikerer distribution hovedsagelig i det perifere væv. Proteinbindingsniveauet er ca. 80-90 %. Desuden har begge lægemidler brede terapeutiske vinduer. Derfor er lægemiddel fortrængningsreaktioner usandsynlige. </w:t>
      </w:r>
    </w:p>
    <w:p w:rsidR="0044141C" w:rsidRPr="0044141C" w:rsidRDefault="0044141C" w:rsidP="0044141C">
      <w:pPr>
        <w:tabs>
          <w:tab w:val="left" w:pos="851"/>
        </w:tabs>
        <w:ind w:left="851"/>
        <w:rPr>
          <w:sz w:val="24"/>
          <w:szCs w:val="24"/>
          <w:u w:val="single"/>
        </w:rPr>
      </w:pPr>
    </w:p>
    <w:p w:rsidR="0044141C" w:rsidRPr="0044141C" w:rsidRDefault="0044141C" w:rsidP="0044141C">
      <w:pPr>
        <w:tabs>
          <w:tab w:val="left" w:pos="851"/>
        </w:tabs>
        <w:ind w:left="851"/>
        <w:rPr>
          <w:sz w:val="24"/>
          <w:szCs w:val="24"/>
          <w:u w:val="single"/>
        </w:rPr>
      </w:pPr>
      <w:r w:rsidRPr="0044141C">
        <w:rPr>
          <w:sz w:val="24"/>
          <w:szCs w:val="24"/>
          <w:u w:val="single"/>
        </w:rPr>
        <w:t>Biotransformation</w:t>
      </w:r>
    </w:p>
    <w:p w:rsidR="0044141C" w:rsidRPr="0044141C" w:rsidRDefault="0044141C" w:rsidP="0044141C">
      <w:pPr>
        <w:tabs>
          <w:tab w:val="left" w:pos="851"/>
        </w:tabs>
        <w:ind w:left="851"/>
        <w:rPr>
          <w:sz w:val="24"/>
          <w:szCs w:val="24"/>
        </w:rPr>
      </w:pPr>
      <w:r w:rsidRPr="0044141C">
        <w:rPr>
          <w:sz w:val="24"/>
          <w:szCs w:val="24"/>
        </w:rPr>
        <w:t xml:space="preserve">Fluticasonpropionat udskilles hurtigt fra det systemiske kredsløb, hovedsagelig ved lever metabolisering til en inaktiv carboxylsyremetabolit, ved hjælp af cytochrom P450 CYP3A4. Når fluticasonpropionat indtages oralt, gennemgår det også en omfattende first-pass metabolisme. Azelastin metaboliseres til </w:t>
      </w:r>
      <w:r w:rsidRPr="0044141C">
        <w:rPr>
          <w:i/>
          <w:sz w:val="24"/>
          <w:szCs w:val="24"/>
        </w:rPr>
        <w:t>N</w:t>
      </w:r>
      <w:r w:rsidRPr="0044141C">
        <w:rPr>
          <w:sz w:val="24"/>
          <w:szCs w:val="24"/>
        </w:rPr>
        <w:t>-desmethylazelastin via forskellige CYP-isoenzymer, hovedsageligt CYP3A4, CYP2D6 og CYP2C19.</w:t>
      </w:r>
    </w:p>
    <w:p w:rsidR="0044141C" w:rsidRPr="0044141C" w:rsidRDefault="0044141C" w:rsidP="0044141C">
      <w:pPr>
        <w:tabs>
          <w:tab w:val="left" w:pos="851"/>
        </w:tabs>
        <w:ind w:left="851"/>
        <w:rPr>
          <w:sz w:val="24"/>
          <w:szCs w:val="24"/>
          <w:u w:val="single"/>
        </w:rPr>
      </w:pPr>
    </w:p>
    <w:p w:rsidR="0044141C" w:rsidRPr="0044141C" w:rsidRDefault="0044141C" w:rsidP="0044141C">
      <w:pPr>
        <w:tabs>
          <w:tab w:val="left" w:pos="851"/>
        </w:tabs>
        <w:ind w:left="851"/>
        <w:rPr>
          <w:sz w:val="24"/>
          <w:szCs w:val="24"/>
          <w:u w:val="single"/>
        </w:rPr>
      </w:pPr>
      <w:r w:rsidRPr="0044141C">
        <w:rPr>
          <w:sz w:val="24"/>
          <w:szCs w:val="24"/>
          <w:u w:val="single"/>
        </w:rPr>
        <w:t>Elimination</w:t>
      </w:r>
    </w:p>
    <w:p w:rsidR="0044141C" w:rsidRPr="0044141C" w:rsidRDefault="0044141C" w:rsidP="0044141C">
      <w:pPr>
        <w:tabs>
          <w:tab w:val="left" w:pos="851"/>
        </w:tabs>
        <w:ind w:left="851"/>
        <w:rPr>
          <w:sz w:val="24"/>
          <w:szCs w:val="24"/>
        </w:rPr>
      </w:pPr>
      <w:r w:rsidRPr="0044141C">
        <w:rPr>
          <w:sz w:val="24"/>
          <w:szCs w:val="24"/>
        </w:rPr>
        <w:t xml:space="preserve">Eliminationshastigheden for intravenøst administreret fluticasonpropionat er lineær over doseringsintervallet 250-1.000 mikrogram og er karakteriseret ved en høj plasmaclearance (CL = 1,1 l/min.). De højeste plasmakoncentrationer reduceres med ca. 98 % inden for 3-4 timer, og kun lave plasmakoncentrationer blev forbundet med den terminale halveringstid på 7,8 timer. Den renale clearance af fluticasonpropionat er ubetydelig (&lt; 0,2 %) og mindre end 5 % som carboxylsyremetabolit. Den største eliminationsvej er udskillelse af fluticasonpropionat og dets metabolitter i galden. </w:t>
      </w:r>
    </w:p>
    <w:p w:rsidR="0044141C" w:rsidRPr="0044141C" w:rsidRDefault="0044141C" w:rsidP="0044141C">
      <w:pPr>
        <w:tabs>
          <w:tab w:val="left" w:pos="851"/>
        </w:tabs>
        <w:ind w:left="851"/>
        <w:rPr>
          <w:sz w:val="24"/>
          <w:szCs w:val="24"/>
        </w:rPr>
      </w:pPr>
      <w:r w:rsidRPr="0044141C">
        <w:rPr>
          <w:sz w:val="24"/>
          <w:szCs w:val="24"/>
        </w:rPr>
        <w:t xml:space="preserve">Eliminationshalveringstider i plasma efter en enkelt dosis azelastin er ca. 20-25 timer for azelastin og ca. 45 timer for den terapeutisk aktive metabolit </w:t>
      </w:r>
      <w:r w:rsidRPr="0044141C">
        <w:rPr>
          <w:i/>
          <w:sz w:val="24"/>
          <w:szCs w:val="24"/>
        </w:rPr>
        <w:t>N</w:t>
      </w:r>
      <w:r w:rsidRPr="0044141C">
        <w:rPr>
          <w:sz w:val="24"/>
          <w:szCs w:val="24"/>
        </w:rPr>
        <w:t>-desmethylazelastin. Udskillelse sker hovedsagelig via fæces. Den vedvarende udskillelse af små mængder af dosis i fæces tyder på, at der sker en vis enterohepatisk cirkulation.</w:t>
      </w:r>
    </w:p>
    <w:p w:rsidR="009260DE" w:rsidRPr="00C84483" w:rsidRDefault="009260DE" w:rsidP="0044141C">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045F6B" w:rsidRPr="00045F6B" w:rsidRDefault="00045F6B" w:rsidP="00045F6B">
      <w:pPr>
        <w:tabs>
          <w:tab w:val="left" w:pos="851"/>
        </w:tabs>
        <w:ind w:left="851"/>
        <w:rPr>
          <w:sz w:val="24"/>
          <w:szCs w:val="24"/>
        </w:rPr>
      </w:pPr>
    </w:p>
    <w:p w:rsidR="00045F6B" w:rsidRPr="00045F6B" w:rsidRDefault="00045F6B" w:rsidP="00045F6B">
      <w:pPr>
        <w:tabs>
          <w:tab w:val="left" w:pos="851"/>
        </w:tabs>
        <w:ind w:left="851"/>
        <w:rPr>
          <w:bCs/>
          <w:iCs/>
          <w:sz w:val="24"/>
          <w:szCs w:val="24"/>
          <w:u w:val="single"/>
        </w:rPr>
      </w:pPr>
      <w:r w:rsidRPr="00045F6B">
        <w:rPr>
          <w:bCs/>
          <w:iCs/>
          <w:sz w:val="24"/>
          <w:szCs w:val="24"/>
          <w:u w:val="single"/>
        </w:rPr>
        <w:t>Fluticasonpropionat</w:t>
      </w:r>
    </w:p>
    <w:p w:rsidR="00045F6B" w:rsidRPr="00045F6B" w:rsidRDefault="00045F6B" w:rsidP="00045F6B">
      <w:pPr>
        <w:tabs>
          <w:tab w:val="left" w:pos="851"/>
        </w:tabs>
        <w:ind w:left="851"/>
        <w:rPr>
          <w:sz w:val="24"/>
          <w:szCs w:val="24"/>
        </w:rPr>
      </w:pPr>
      <w:r w:rsidRPr="00045F6B">
        <w:rPr>
          <w:sz w:val="24"/>
          <w:szCs w:val="24"/>
        </w:rPr>
        <w:t>De fund, der blev gjort i de generelle toksikologiske studier var lig dem, der blev gjort med andre glukokortikoider, og er forbundet med overdreven farmakologisk aktivitet. Disse fund er sandsynligvis ikke relevante for mennesker, som får de anbefalede nasale doser, der resulterer i minimal systemisk eksponering. Der er ikke observeret nogen genotoksisk virkning af fluticasonpropionat i konventionelle genotoksiske undersøgelser. Desuden sås der ingen behandlingsrelaterede stigninger i incidensen af tumorer i to-årige inhalationsstudier hos rotter og mus. I dyrestudier er det påvist, at glukokortikoider inducerer misdannelser, herunder ganespaltning og intrauterin væksthæmning. Sandsynligvis er heller ikke disse fund relevante for mennesker, som får de anbefalede nasale doser, der resulterer i minimal systemisk eksponering (se pkt. 5.2).</w:t>
      </w:r>
    </w:p>
    <w:p w:rsidR="00045F6B" w:rsidRPr="00045F6B" w:rsidRDefault="00045F6B" w:rsidP="00045F6B">
      <w:pPr>
        <w:tabs>
          <w:tab w:val="left" w:pos="851"/>
        </w:tabs>
        <w:ind w:left="851"/>
        <w:rPr>
          <w:sz w:val="24"/>
          <w:szCs w:val="24"/>
        </w:rPr>
      </w:pPr>
    </w:p>
    <w:p w:rsidR="00045F6B" w:rsidRPr="00045F6B" w:rsidRDefault="00045F6B" w:rsidP="00045F6B">
      <w:pPr>
        <w:tabs>
          <w:tab w:val="left" w:pos="851"/>
        </w:tabs>
        <w:ind w:left="851"/>
        <w:rPr>
          <w:bCs/>
          <w:iCs/>
          <w:sz w:val="24"/>
          <w:szCs w:val="24"/>
          <w:u w:val="single"/>
        </w:rPr>
      </w:pPr>
      <w:r w:rsidRPr="00045F6B">
        <w:rPr>
          <w:bCs/>
          <w:iCs/>
          <w:sz w:val="24"/>
          <w:szCs w:val="24"/>
          <w:u w:val="single"/>
        </w:rPr>
        <w:t>Azelastinhydrochlorid</w:t>
      </w:r>
    </w:p>
    <w:p w:rsidR="00045F6B" w:rsidRPr="00045F6B" w:rsidRDefault="00045F6B" w:rsidP="00045F6B">
      <w:pPr>
        <w:tabs>
          <w:tab w:val="left" w:pos="851"/>
        </w:tabs>
        <w:ind w:left="851"/>
        <w:rPr>
          <w:sz w:val="24"/>
          <w:szCs w:val="24"/>
        </w:rPr>
      </w:pPr>
      <w:r w:rsidRPr="00045F6B">
        <w:rPr>
          <w:sz w:val="24"/>
          <w:szCs w:val="24"/>
        </w:rPr>
        <w:t xml:space="preserve">Azelastinhydrochlorid viste intet sensibiliseringspotentiale hos marsvin. Azelastin viste intet genotoksisk potentiale i en række </w:t>
      </w:r>
      <w:r w:rsidRPr="00045F6B">
        <w:rPr>
          <w:i/>
          <w:iCs/>
          <w:sz w:val="24"/>
          <w:szCs w:val="24"/>
        </w:rPr>
        <w:t>in vitro</w:t>
      </w:r>
      <w:r w:rsidRPr="00045F6B">
        <w:rPr>
          <w:sz w:val="24"/>
          <w:szCs w:val="24"/>
        </w:rPr>
        <w:t xml:space="preserve">- og </w:t>
      </w:r>
      <w:r w:rsidRPr="00045F6B">
        <w:rPr>
          <w:i/>
          <w:iCs/>
          <w:sz w:val="24"/>
          <w:szCs w:val="24"/>
        </w:rPr>
        <w:t>in vivo</w:t>
      </w:r>
      <w:r w:rsidRPr="00045F6B">
        <w:rPr>
          <w:sz w:val="24"/>
          <w:szCs w:val="24"/>
        </w:rPr>
        <w:t>-test, og der sås heller ikke noget karcinogent potentiale hos rotter eller mus. Hos han- og hunrotter medførte azelastin i orale doser over 3 mg/kg/dag et dosisrelateret fald i fertilitetsindekset; der blev ikke fundet nogen stofrelaterede forandringer i de reproduktive organer hos hverken han- eller hunrotter i kroniske toksicitetsstudier. Embryotoksiske og teratogene virkninger i rotter, mus og kaniner sås kun ved maternelt toksiske doser (f.eks. misdannelser i skelettet blev observeret hos rotter og mus ved doser på 68,6 mg/kg/dag).</w:t>
      </w:r>
    </w:p>
    <w:p w:rsidR="00045F6B" w:rsidRPr="00045F6B" w:rsidRDefault="00045F6B" w:rsidP="00045F6B">
      <w:pPr>
        <w:tabs>
          <w:tab w:val="left" w:pos="851"/>
        </w:tabs>
        <w:ind w:left="851"/>
        <w:rPr>
          <w:sz w:val="24"/>
          <w:szCs w:val="24"/>
        </w:rPr>
      </w:pPr>
    </w:p>
    <w:p w:rsidR="00045F6B" w:rsidRPr="00045F6B" w:rsidRDefault="00045F6B" w:rsidP="00045F6B">
      <w:pPr>
        <w:tabs>
          <w:tab w:val="left" w:pos="851"/>
        </w:tabs>
        <w:ind w:left="851"/>
        <w:rPr>
          <w:bCs/>
          <w:iCs/>
          <w:sz w:val="24"/>
          <w:szCs w:val="24"/>
          <w:u w:val="single"/>
        </w:rPr>
      </w:pPr>
      <w:r w:rsidRPr="00045F6B">
        <w:rPr>
          <w:bCs/>
          <w:iCs/>
          <w:sz w:val="24"/>
          <w:szCs w:val="24"/>
          <w:u w:val="single"/>
        </w:rPr>
        <w:t>Azelastinhydrochlorid/fluticasonpropionat</w:t>
      </w:r>
    </w:p>
    <w:p w:rsidR="00045F6B" w:rsidRPr="00045F6B" w:rsidRDefault="00045F6B" w:rsidP="00045F6B">
      <w:pPr>
        <w:tabs>
          <w:tab w:val="left" w:pos="851"/>
        </w:tabs>
        <w:ind w:left="851"/>
        <w:rPr>
          <w:sz w:val="24"/>
          <w:szCs w:val="24"/>
        </w:rPr>
      </w:pPr>
      <w:r w:rsidRPr="00045F6B">
        <w:rPr>
          <w:sz w:val="24"/>
          <w:szCs w:val="24"/>
        </w:rPr>
        <w:t>Toksicitetsstudier med gentagen intranasal dosering hos rotter i en periode på op til 90 dage og hos hunde i 14 dage med azelastinhydrochlorid/fluticasonpropionat viste ingen nye bivirkninger sammenlignet med de individuelle komponenter.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5443D" w:rsidRPr="0065443D" w:rsidRDefault="0065443D" w:rsidP="0065443D">
      <w:pPr>
        <w:tabs>
          <w:tab w:val="left" w:pos="851"/>
        </w:tabs>
        <w:ind w:left="851"/>
        <w:rPr>
          <w:sz w:val="24"/>
          <w:szCs w:val="24"/>
        </w:rPr>
      </w:pPr>
      <w:r w:rsidRPr="0065443D">
        <w:rPr>
          <w:sz w:val="24"/>
          <w:szCs w:val="24"/>
        </w:rPr>
        <w:t>Dinatriumedetat</w:t>
      </w:r>
    </w:p>
    <w:p w:rsidR="0065443D" w:rsidRPr="0065443D" w:rsidRDefault="0065443D" w:rsidP="0065443D">
      <w:pPr>
        <w:tabs>
          <w:tab w:val="left" w:pos="851"/>
        </w:tabs>
        <w:ind w:left="851"/>
        <w:rPr>
          <w:sz w:val="24"/>
          <w:szCs w:val="24"/>
        </w:rPr>
      </w:pPr>
      <w:r w:rsidRPr="0065443D">
        <w:rPr>
          <w:sz w:val="24"/>
          <w:szCs w:val="24"/>
        </w:rPr>
        <w:t>Glycerol (E422)</w:t>
      </w:r>
    </w:p>
    <w:p w:rsidR="0065443D" w:rsidRPr="0065443D" w:rsidRDefault="0065443D" w:rsidP="0065443D">
      <w:pPr>
        <w:tabs>
          <w:tab w:val="left" w:pos="851"/>
        </w:tabs>
        <w:ind w:left="851"/>
        <w:rPr>
          <w:sz w:val="24"/>
          <w:szCs w:val="24"/>
        </w:rPr>
      </w:pPr>
      <w:r w:rsidRPr="0065443D">
        <w:rPr>
          <w:sz w:val="24"/>
          <w:szCs w:val="24"/>
        </w:rPr>
        <w:t>Mikrokrystallinsk cellulose (E460)</w:t>
      </w:r>
    </w:p>
    <w:p w:rsidR="0065443D" w:rsidRPr="0065443D" w:rsidRDefault="0065443D" w:rsidP="0065443D">
      <w:pPr>
        <w:tabs>
          <w:tab w:val="left" w:pos="851"/>
        </w:tabs>
        <w:ind w:left="851"/>
        <w:rPr>
          <w:sz w:val="24"/>
          <w:szCs w:val="24"/>
        </w:rPr>
      </w:pPr>
      <w:r w:rsidRPr="0065443D">
        <w:rPr>
          <w:sz w:val="24"/>
          <w:szCs w:val="24"/>
        </w:rPr>
        <w:t>Carmellosenatrium</w:t>
      </w:r>
    </w:p>
    <w:p w:rsidR="0065443D" w:rsidRPr="0065443D" w:rsidRDefault="0065443D" w:rsidP="0065443D">
      <w:pPr>
        <w:tabs>
          <w:tab w:val="left" w:pos="851"/>
        </w:tabs>
        <w:ind w:left="851"/>
        <w:rPr>
          <w:sz w:val="24"/>
          <w:szCs w:val="24"/>
        </w:rPr>
      </w:pPr>
      <w:r w:rsidRPr="0065443D">
        <w:rPr>
          <w:sz w:val="24"/>
          <w:szCs w:val="24"/>
        </w:rPr>
        <w:t>Polysorbat 80 (E433)</w:t>
      </w:r>
    </w:p>
    <w:p w:rsidR="0065443D" w:rsidRPr="0065443D" w:rsidRDefault="0065443D" w:rsidP="0065443D">
      <w:pPr>
        <w:tabs>
          <w:tab w:val="left" w:pos="851"/>
        </w:tabs>
        <w:ind w:left="851"/>
        <w:rPr>
          <w:sz w:val="24"/>
          <w:szCs w:val="24"/>
        </w:rPr>
      </w:pPr>
      <w:r w:rsidRPr="0065443D">
        <w:rPr>
          <w:sz w:val="24"/>
          <w:szCs w:val="24"/>
        </w:rPr>
        <w:t>Benzalkoniumchlorid</w:t>
      </w:r>
    </w:p>
    <w:p w:rsidR="0065443D" w:rsidRPr="0065443D" w:rsidRDefault="0065443D" w:rsidP="0065443D">
      <w:pPr>
        <w:tabs>
          <w:tab w:val="left" w:pos="851"/>
        </w:tabs>
        <w:ind w:left="851"/>
        <w:rPr>
          <w:sz w:val="24"/>
          <w:szCs w:val="24"/>
        </w:rPr>
      </w:pPr>
      <w:r w:rsidRPr="0065443D">
        <w:rPr>
          <w:sz w:val="24"/>
          <w:szCs w:val="24"/>
        </w:rPr>
        <w:t>Phenylethylalkohol</w:t>
      </w:r>
    </w:p>
    <w:p w:rsidR="0065443D" w:rsidRPr="0065443D" w:rsidRDefault="0065443D" w:rsidP="0065443D">
      <w:pPr>
        <w:tabs>
          <w:tab w:val="left" w:pos="851"/>
        </w:tabs>
        <w:ind w:left="851"/>
        <w:rPr>
          <w:sz w:val="24"/>
          <w:szCs w:val="24"/>
        </w:rPr>
      </w:pPr>
      <w:r w:rsidRPr="0065443D">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65443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5443D" w:rsidRDefault="0065443D" w:rsidP="0065443D">
      <w:pPr>
        <w:tabs>
          <w:tab w:val="left" w:pos="851"/>
        </w:tabs>
        <w:ind w:left="851"/>
        <w:rPr>
          <w:sz w:val="24"/>
          <w:szCs w:val="24"/>
        </w:rPr>
      </w:pPr>
      <w:r w:rsidRPr="0065443D">
        <w:rPr>
          <w:sz w:val="24"/>
          <w:szCs w:val="24"/>
        </w:rPr>
        <w:t>3 år.</w:t>
      </w:r>
    </w:p>
    <w:p w:rsidR="0065443D" w:rsidRPr="0065443D" w:rsidRDefault="0065443D" w:rsidP="0065443D">
      <w:pPr>
        <w:tabs>
          <w:tab w:val="left" w:pos="851"/>
        </w:tabs>
        <w:ind w:left="851"/>
        <w:rPr>
          <w:sz w:val="24"/>
          <w:szCs w:val="24"/>
        </w:rPr>
      </w:pPr>
    </w:p>
    <w:p w:rsidR="0065443D" w:rsidRPr="0065443D" w:rsidRDefault="0065443D" w:rsidP="0065443D">
      <w:pPr>
        <w:tabs>
          <w:tab w:val="left" w:pos="851"/>
        </w:tabs>
        <w:ind w:left="851"/>
        <w:rPr>
          <w:sz w:val="24"/>
          <w:szCs w:val="24"/>
        </w:rPr>
      </w:pPr>
      <w:r w:rsidRPr="0065443D">
        <w:rPr>
          <w:sz w:val="24"/>
          <w:szCs w:val="24"/>
        </w:rPr>
        <w:t>Efter første åbning: 6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5443D" w:rsidRPr="0065443D" w:rsidRDefault="0065443D" w:rsidP="0065443D">
      <w:pPr>
        <w:tabs>
          <w:tab w:val="left" w:pos="851"/>
        </w:tabs>
        <w:ind w:left="851"/>
        <w:rPr>
          <w:sz w:val="24"/>
          <w:szCs w:val="24"/>
        </w:rPr>
      </w:pPr>
      <w:r w:rsidRPr="0065443D">
        <w:rPr>
          <w:sz w:val="24"/>
          <w:szCs w:val="24"/>
        </w:rPr>
        <w:t>Må ikke opbevares i køleskab eller nedfryses.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5443D" w:rsidRPr="0065443D" w:rsidRDefault="0065443D" w:rsidP="0065443D">
      <w:pPr>
        <w:tabs>
          <w:tab w:val="left" w:pos="851"/>
        </w:tabs>
        <w:ind w:left="851"/>
        <w:rPr>
          <w:sz w:val="24"/>
          <w:szCs w:val="24"/>
        </w:rPr>
      </w:pPr>
      <w:r w:rsidRPr="0065443D">
        <w:rPr>
          <w:sz w:val="24"/>
          <w:szCs w:val="24"/>
        </w:rPr>
        <w:t xml:space="preserve">Ravfarvet </w:t>
      </w:r>
      <w:r>
        <w:rPr>
          <w:sz w:val="24"/>
          <w:szCs w:val="24"/>
        </w:rPr>
        <w:t xml:space="preserve">25 ml </w:t>
      </w:r>
      <w:r w:rsidRPr="0065443D">
        <w:rPr>
          <w:sz w:val="24"/>
          <w:szCs w:val="24"/>
        </w:rPr>
        <w:t>glasflaske med en spraypumpe, en nasal polypropylen-applikator (aktuator) og en polypropylen-støvhætte.</w:t>
      </w:r>
    </w:p>
    <w:p w:rsidR="0065443D" w:rsidRPr="0065443D" w:rsidRDefault="0065443D" w:rsidP="0065443D">
      <w:pPr>
        <w:tabs>
          <w:tab w:val="left" w:pos="851"/>
        </w:tabs>
        <w:ind w:left="851"/>
        <w:rPr>
          <w:sz w:val="24"/>
          <w:szCs w:val="24"/>
        </w:rPr>
      </w:pPr>
    </w:p>
    <w:p w:rsidR="0065443D" w:rsidRPr="0065443D" w:rsidRDefault="0065443D" w:rsidP="0065443D">
      <w:pPr>
        <w:tabs>
          <w:tab w:val="left" w:pos="851"/>
        </w:tabs>
        <w:ind w:left="851"/>
        <w:rPr>
          <w:sz w:val="24"/>
          <w:szCs w:val="24"/>
          <w:u w:val="single"/>
        </w:rPr>
      </w:pPr>
      <w:r w:rsidRPr="0065443D">
        <w:rPr>
          <w:sz w:val="24"/>
          <w:szCs w:val="24"/>
          <w:u w:val="single"/>
        </w:rPr>
        <w:t>Pakningsstørrelser</w:t>
      </w:r>
    </w:p>
    <w:p w:rsidR="0065443D" w:rsidRPr="0065443D" w:rsidRDefault="0065443D" w:rsidP="0065443D">
      <w:pPr>
        <w:tabs>
          <w:tab w:val="left" w:pos="851"/>
        </w:tabs>
        <w:ind w:left="851"/>
        <w:rPr>
          <w:sz w:val="24"/>
          <w:szCs w:val="24"/>
        </w:rPr>
      </w:pPr>
      <w:r w:rsidRPr="0065443D">
        <w:rPr>
          <w:sz w:val="24"/>
          <w:szCs w:val="24"/>
        </w:rPr>
        <w:t>1 flaske med 23 g suspension (mindst 120 pust).</w:t>
      </w:r>
    </w:p>
    <w:p w:rsidR="0065443D" w:rsidRPr="0065443D" w:rsidRDefault="0065443D" w:rsidP="0065443D">
      <w:pPr>
        <w:tabs>
          <w:tab w:val="left" w:pos="851"/>
        </w:tabs>
        <w:ind w:left="851"/>
        <w:rPr>
          <w:sz w:val="24"/>
          <w:szCs w:val="24"/>
        </w:rPr>
      </w:pPr>
      <w:r w:rsidRPr="0065443D">
        <w:rPr>
          <w:sz w:val="24"/>
          <w:szCs w:val="24"/>
        </w:rPr>
        <w:t>Sampakning indeholdende 3 flasker med 23 g suspension i hver flaske (mindst 360 pust).</w:t>
      </w:r>
    </w:p>
    <w:p w:rsidR="0065443D" w:rsidRPr="0065443D" w:rsidRDefault="0065443D" w:rsidP="0065443D">
      <w:pPr>
        <w:tabs>
          <w:tab w:val="left" w:pos="851"/>
        </w:tabs>
        <w:ind w:left="851"/>
        <w:rPr>
          <w:sz w:val="24"/>
          <w:szCs w:val="24"/>
        </w:rPr>
      </w:pPr>
    </w:p>
    <w:p w:rsidR="0065443D" w:rsidRPr="0065443D" w:rsidRDefault="0065443D" w:rsidP="0065443D">
      <w:pPr>
        <w:tabs>
          <w:tab w:val="left" w:pos="851"/>
        </w:tabs>
        <w:ind w:left="851"/>
        <w:rPr>
          <w:sz w:val="24"/>
          <w:szCs w:val="24"/>
        </w:rPr>
      </w:pPr>
      <w:r w:rsidRPr="0065443D">
        <w:rPr>
          <w:sz w:val="24"/>
          <w:szCs w:val="24"/>
        </w:rPr>
        <w:t>Ikke alle pakningsstørrelser er nødvendigvis markedsført.</w:t>
      </w:r>
    </w:p>
    <w:p w:rsidR="0065443D" w:rsidRDefault="0065443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65443D" w:rsidRPr="0065443D" w:rsidRDefault="0065443D" w:rsidP="0065443D">
      <w:pPr>
        <w:tabs>
          <w:tab w:val="left" w:pos="851"/>
        </w:tabs>
        <w:ind w:left="851"/>
        <w:rPr>
          <w:sz w:val="24"/>
          <w:szCs w:val="24"/>
        </w:rPr>
      </w:pPr>
      <w:r w:rsidRPr="0065443D">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5443D" w:rsidRPr="00011582" w:rsidRDefault="0065443D" w:rsidP="0065443D">
      <w:pPr>
        <w:tabs>
          <w:tab w:val="left" w:pos="851"/>
        </w:tabs>
        <w:ind w:left="851"/>
        <w:rPr>
          <w:sz w:val="24"/>
          <w:szCs w:val="24"/>
        </w:rPr>
      </w:pPr>
      <w:r w:rsidRPr="00011582">
        <w:rPr>
          <w:sz w:val="24"/>
          <w:szCs w:val="24"/>
        </w:rPr>
        <w:t>Orifarm Healthcare A/S</w:t>
      </w:r>
    </w:p>
    <w:p w:rsidR="0065443D" w:rsidRPr="00011582" w:rsidRDefault="0065443D" w:rsidP="0065443D">
      <w:pPr>
        <w:tabs>
          <w:tab w:val="left" w:pos="851"/>
        </w:tabs>
        <w:ind w:left="851"/>
        <w:rPr>
          <w:sz w:val="24"/>
          <w:szCs w:val="24"/>
        </w:rPr>
      </w:pPr>
      <w:r w:rsidRPr="00011582">
        <w:rPr>
          <w:sz w:val="24"/>
          <w:szCs w:val="24"/>
        </w:rPr>
        <w:t>Energivej 15</w:t>
      </w:r>
    </w:p>
    <w:p w:rsidR="0065443D" w:rsidRPr="0065443D" w:rsidRDefault="0065443D" w:rsidP="0065443D">
      <w:pPr>
        <w:tabs>
          <w:tab w:val="left" w:pos="851"/>
        </w:tabs>
        <w:ind w:left="851"/>
        <w:rPr>
          <w:sz w:val="24"/>
          <w:szCs w:val="24"/>
        </w:rPr>
      </w:pPr>
      <w:r w:rsidRPr="0065443D">
        <w:rPr>
          <w:sz w:val="24"/>
          <w:szCs w:val="24"/>
        </w:rPr>
        <w:t>5260 Odense S</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65443D" w:rsidP="009260DE">
      <w:pPr>
        <w:tabs>
          <w:tab w:val="left" w:pos="851"/>
        </w:tabs>
        <w:ind w:left="851"/>
        <w:rPr>
          <w:sz w:val="24"/>
          <w:szCs w:val="24"/>
        </w:rPr>
      </w:pPr>
      <w:r>
        <w:rPr>
          <w:sz w:val="24"/>
          <w:szCs w:val="24"/>
        </w:rPr>
        <w:t>67303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11582" w:rsidP="009260DE">
      <w:pPr>
        <w:tabs>
          <w:tab w:val="left" w:pos="851"/>
        </w:tabs>
        <w:ind w:left="851"/>
        <w:rPr>
          <w:sz w:val="24"/>
          <w:szCs w:val="24"/>
        </w:rPr>
      </w:pPr>
      <w:r>
        <w:rPr>
          <w:sz w:val="24"/>
          <w:szCs w:val="24"/>
        </w:rPr>
        <w:t>1. juli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5443D"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317" w:rsidRDefault="00F13317">
      <w:r>
        <w:separator/>
      </w:r>
    </w:p>
  </w:endnote>
  <w:endnote w:type="continuationSeparator" w:id="0">
    <w:p w:rsidR="00F13317" w:rsidRDefault="00F1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11582">
      <w:rPr>
        <w:i/>
        <w:noProof/>
        <w:sz w:val="18"/>
        <w:szCs w:val="18"/>
      </w:rPr>
      <w:t>Zymeduo, næsespray, suspension 137+50 mikrogram pr. 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317" w:rsidRDefault="00F13317">
      <w:r>
        <w:separator/>
      </w:r>
    </w:p>
  </w:footnote>
  <w:footnote w:type="continuationSeparator" w:id="0">
    <w:p w:rsidR="00F13317" w:rsidRDefault="00F1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17"/>
    <w:rsid w:val="00011582"/>
    <w:rsid w:val="000259B9"/>
    <w:rsid w:val="00041491"/>
    <w:rsid w:val="00045F6B"/>
    <w:rsid w:val="00050D16"/>
    <w:rsid w:val="000730CA"/>
    <w:rsid w:val="00074F2A"/>
    <w:rsid w:val="000A1CA8"/>
    <w:rsid w:val="000A466B"/>
    <w:rsid w:val="000B058C"/>
    <w:rsid w:val="000D68B0"/>
    <w:rsid w:val="000E4EE6"/>
    <w:rsid w:val="001454E2"/>
    <w:rsid w:val="00206CE8"/>
    <w:rsid w:val="0021526C"/>
    <w:rsid w:val="00232906"/>
    <w:rsid w:val="00283A2B"/>
    <w:rsid w:val="002B30AD"/>
    <w:rsid w:val="002C1EC0"/>
    <w:rsid w:val="002C2C01"/>
    <w:rsid w:val="00324FDC"/>
    <w:rsid w:val="003A29AE"/>
    <w:rsid w:val="003A2D5E"/>
    <w:rsid w:val="003A32D7"/>
    <w:rsid w:val="003B4074"/>
    <w:rsid w:val="003C769A"/>
    <w:rsid w:val="003D3A90"/>
    <w:rsid w:val="003F1838"/>
    <w:rsid w:val="004251C1"/>
    <w:rsid w:val="0044141C"/>
    <w:rsid w:val="0045746C"/>
    <w:rsid w:val="0049104B"/>
    <w:rsid w:val="004B4FB6"/>
    <w:rsid w:val="004E3B12"/>
    <w:rsid w:val="00532310"/>
    <w:rsid w:val="00565F0F"/>
    <w:rsid w:val="00594A86"/>
    <w:rsid w:val="00596D86"/>
    <w:rsid w:val="00637F5A"/>
    <w:rsid w:val="00641C65"/>
    <w:rsid w:val="0065443D"/>
    <w:rsid w:val="006560B1"/>
    <w:rsid w:val="006756DD"/>
    <w:rsid w:val="0071241E"/>
    <w:rsid w:val="00737275"/>
    <w:rsid w:val="00740EEC"/>
    <w:rsid w:val="0078011A"/>
    <w:rsid w:val="00782AF4"/>
    <w:rsid w:val="00790EE7"/>
    <w:rsid w:val="007B6649"/>
    <w:rsid w:val="0082576E"/>
    <w:rsid w:val="00873751"/>
    <w:rsid w:val="0089346F"/>
    <w:rsid w:val="00897D01"/>
    <w:rsid w:val="00907F75"/>
    <w:rsid w:val="009260DE"/>
    <w:rsid w:val="0093258A"/>
    <w:rsid w:val="009C7BA3"/>
    <w:rsid w:val="009D1F5A"/>
    <w:rsid w:val="00A10294"/>
    <w:rsid w:val="00B003BF"/>
    <w:rsid w:val="00B21A12"/>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1331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18B13"/>
  <w15:chartTrackingRefBased/>
  <w15:docId w15:val="{3750ACE1-EBC6-4C75-9446-E8C9FAFC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A2D5E"/>
    <w:rPr>
      <w:color w:val="0563C1" w:themeColor="hyperlink"/>
      <w:u w:val="single"/>
    </w:rPr>
  </w:style>
  <w:style w:type="character" w:styleId="Ulstomtale">
    <w:name w:val="Unresolved Mention"/>
    <w:basedOn w:val="Standardskrifttypeiafsnit"/>
    <w:uiPriority w:val="99"/>
    <w:semiHidden/>
    <w:unhideWhenUsed/>
    <w:rsid w:val="003A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5049">
      <w:bodyDiv w:val="1"/>
      <w:marLeft w:val="0"/>
      <w:marRight w:val="0"/>
      <w:marTop w:val="0"/>
      <w:marBottom w:val="0"/>
      <w:divBdr>
        <w:top w:val="none" w:sz="0" w:space="0" w:color="auto"/>
        <w:left w:val="none" w:sz="0" w:space="0" w:color="auto"/>
        <w:bottom w:val="none" w:sz="0" w:space="0" w:color="auto"/>
        <w:right w:val="none" w:sz="0" w:space="0" w:color="auto"/>
      </w:divBdr>
    </w:div>
    <w:div w:id="46222534">
      <w:bodyDiv w:val="1"/>
      <w:marLeft w:val="0"/>
      <w:marRight w:val="0"/>
      <w:marTop w:val="0"/>
      <w:marBottom w:val="0"/>
      <w:divBdr>
        <w:top w:val="none" w:sz="0" w:space="0" w:color="auto"/>
        <w:left w:val="none" w:sz="0" w:space="0" w:color="auto"/>
        <w:bottom w:val="none" w:sz="0" w:space="0" w:color="auto"/>
        <w:right w:val="none" w:sz="0" w:space="0" w:color="auto"/>
      </w:divBdr>
    </w:div>
    <w:div w:id="119961769">
      <w:bodyDiv w:val="1"/>
      <w:marLeft w:val="0"/>
      <w:marRight w:val="0"/>
      <w:marTop w:val="0"/>
      <w:marBottom w:val="0"/>
      <w:divBdr>
        <w:top w:val="none" w:sz="0" w:space="0" w:color="auto"/>
        <w:left w:val="none" w:sz="0" w:space="0" w:color="auto"/>
        <w:bottom w:val="none" w:sz="0" w:space="0" w:color="auto"/>
        <w:right w:val="none" w:sz="0" w:space="0" w:color="auto"/>
      </w:divBdr>
    </w:div>
    <w:div w:id="1233545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359071">
      <w:bodyDiv w:val="1"/>
      <w:marLeft w:val="0"/>
      <w:marRight w:val="0"/>
      <w:marTop w:val="0"/>
      <w:marBottom w:val="0"/>
      <w:divBdr>
        <w:top w:val="none" w:sz="0" w:space="0" w:color="auto"/>
        <w:left w:val="none" w:sz="0" w:space="0" w:color="auto"/>
        <w:bottom w:val="none" w:sz="0" w:space="0" w:color="auto"/>
        <w:right w:val="none" w:sz="0" w:space="0" w:color="auto"/>
      </w:divBdr>
    </w:div>
    <w:div w:id="205264871">
      <w:bodyDiv w:val="1"/>
      <w:marLeft w:val="0"/>
      <w:marRight w:val="0"/>
      <w:marTop w:val="0"/>
      <w:marBottom w:val="0"/>
      <w:divBdr>
        <w:top w:val="none" w:sz="0" w:space="0" w:color="auto"/>
        <w:left w:val="none" w:sz="0" w:space="0" w:color="auto"/>
        <w:bottom w:val="none" w:sz="0" w:space="0" w:color="auto"/>
        <w:right w:val="none" w:sz="0" w:space="0" w:color="auto"/>
      </w:divBdr>
    </w:div>
    <w:div w:id="258225089">
      <w:bodyDiv w:val="1"/>
      <w:marLeft w:val="0"/>
      <w:marRight w:val="0"/>
      <w:marTop w:val="0"/>
      <w:marBottom w:val="0"/>
      <w:divBdr>
        <w:top w:val="none" w:sz="0" w:space="0" w:color="auto"/>
        <w:left w:val="none" w:sz="0" w:space="0" w:color="auto"/>
        <w:bottom w:val="none" w:sz="0" w:space="0" w:color="auto"/>
        <w:right w:val="none" w:sz="0" w:space="0" w:color="auto"/>
      </w:divBdr>
    </w:div>
    <w:div w:id="308943753">
      <w:bodyDiv w:val="1"/>
      <w:marLeft w:val="0"/>
      <w:marRight w:val="0"/>
      <w:marTop w:val="0"/>
      <w:marBottom w:val="0"/>
      <w:divBdr>
        <w:top w:val="none" w:sz="0" w:space="0" w:color="auto"/>
        <w:left w:val="none" w:sz="0" w:space="0" w:color="auto"/>
        <w:bottom w:val="none" w:sz="0" w:space="0" w:color="auto"/>
        <w:right w:val="none" w:sz="0" w:space="0" w:color="auto"/>
      </w:divBdr>
    </w:div>
    <w:div w:id="327295527">
      <w:bodyDiv w:val="1"/>
      <w:marLeft w:val="0"/>
      <w:marRight w:val="0"/>
      <w:marTop w:val="0"/>
      <w:marBottom w:val="0"/>
      <w:divBdr>
        <w:top w:val="none" w:sz="0" w:space="0" w:color="auto"/>
        <w:left w:val="none" w:sz="0" w:space="0" w:color="auto"/>
        <w:bottom w:val="none" w:sz="0" w:space="0" w:color="auto"/>
        <w:right w:val="none" w:sz="0" w:space="0" w:color="auto"/>
      </w:divBdr>
    </w:div>
    <w:div w:id="327902635">
      <w:bodyDiv w:val="1"/>
      <w:marLeft w:val="0"/>
      <w:marRight w:val="0"/>
      <w:marTop w:val="0"/>
      <w:marBottom w:val="0"/>
      <w:divBdr>
        <w:top w:val="none" w:sz="0" w:space="0" w:color="auto"/>
        <w:left w:val="none" w:sz="0" w:space="0" w:color="auto"/>
        <w:bottom w:val="none" w:sz="0" w:space="0" w:color="auto"/>
        <w:right w:val="none" w:sz="0" w:space="0" w:color="auto"/>
      </w:divBdr>
    </w:div>
    <w:div w:id="341783791">
      <w:bodyDiv w:val="1"/>
      <w:marLeft w:val="0"/>
      <w:marRight w:val="0"/>
      <w:marTop w:val="0"/>
      <w:marBottom w:val="0"/>
      <w:divBdr>
        <w:top w:val="none" w:sz="0" w:space="0" w:color="auto"/>
        <w:left w:val="none" w:sz="0" w:space="0" w:color="auto"/>
        <w:bottom w:val="none" w:sz="0" w:space="0" w:color="auto"/>
        <w:right w:val="none" w:sz="0" w:space="0" w:color="auto"/>
      </w:divBdr>
    </w:div>
    <w:div w:id="358093904">
      <w:bodyDiv w:val="1"/>
      <w:marLeft w:val="0"/>
      <w:marRight w:val="0"/>
      <w:marTop w:val="0"/>
      <w:marBottom w:val="0"/>
      <w:divBdr>
        <w:top w:val="none" w:sz="0" w:space="0" w:color="auto"/>
        <w:left w:val="none" w:sz="0" w:space="0" w:color="auto"/>
        <w:bottom w:val="none" w:sz="0" w:space="0" w:color="auto"/>
        <w:right w:val="none" w:sz="0" w:space="0" w:color="auto"/>
      </w:divBdr>
    </w:div>
    <w:div w:id="376466367">
      <w:bodyDiv w:val="1"/>
      <w:marLeft w:val="0"/>
      <w:marRight w:val="0"/>
      <w:marTop w:val="0"/>
      <w:marBottom w:val="0"/>
      <w:divBdr>
        <w:top w:val="none" w:sz="0" w:space="0" w:color="auto"/>
        <w:left w:val="none" w:sz="0" w:space="0" w:color="auto"/>
        <w:bottom w:val="none" w:sz="0" w:space="0" w:color="auto"/>
        <w:right w:val="none" w:sz="0" w:space="0" w:color="auto"/>
      </w:divBdr>
    </w:div>
    <w:div w:id="381950219">
      <w:bodyDiv w:val="1"/>
      <w:marLeft w:val="0"/>
      <w:marRight w:val="0"/>
      <w:marTop w:val="0"/>
      <w:marBottom w:val="0"/>
      <w:divBdr>
        <w:top w:val="none" w:sz="0" w:space="0" w:color="auto"/>
        <w:left w:val="none" w:sz="0" w:space="0" w:color="auto"/>
        <w:bottom w:val="none" w:sz="0" w:space="0" w:color="auto"/>
        <w:right w:val="none" w:sz="0" w:space="0" w:color="auto"/>
      </w:divBdr>
    </w:div>
    <w:div w:id="454448386">
      <w:bodyDiv w:val="1"/>
      <w:marLeft w:val="0"/>
      <w:marRight w:val="0"/>
      <w:marTop w:val="0"/>
      <w:marBottom w:val="0"/>
      <w:divBdr>
        <w:top w:val="none" w:sz="0" w:space="0" w:color="auto"/>
        <w:left w:val="none" w:sz="0" w:space="0" w:color="auto"/>
        <w:bottom w:val="none" w:sz="0" w:space="0" w:color="auto"/>
        <w:right w:val="none" w:sz="0" w:space="0" w:color="auto"/>
      </w:divBdr>
    </w:div>
    <w:div w:id="480581865">
      <w:bodyDiv w:val="1"/>
      <w:marLeft w:val="0"/>
      <w:marRight w:val="0"/>
      <w:marTop w:val="0"/>
      <w:marBottom w:val="0"/>
      <w:divBdr>
        <w:top w:val="none" w:sz="0" w:space="0" w:color="auto"/>
        <w:left w:val="none" w:sz="0" w:space="0" w:color="auto"/>
        <w:bottom w:val="none" w:sz="0" w:space="0" w:color="auto"/>
        <w:right w:val="none" w:sz="0" w:space="0" w:color="auto"/>
      </w:divBdr>
    </w:div>
    <w:div w:id="568266803">
      <w:bodyDiv w:val="1"/>
      <w:marLeft w:val="0"/>
      <w:marRight w:val="0"/>
      <w:marTop w:val="0"/>
      <w:marBottom w:val="0"/>
      <w:divBdr>
        <w:top w:val="none" w:sz="0" w:space="0" w:color="auto"/>
        <w:left w:val="none" w:sz="0" w:space="0" w:color="auto"/>
        <w:bottom w:val="none" w:sz="0" w:space="0" w:color="auto"/>
        <w:right w:val="none" w:sz="0" w:space="0" w:color="auto"/>
      </w:divBdr>
    </w:div>
    <w:div w:id="569003660">
      <w:bodyDiv w:val="1"/>
      <w:marLeft w:val="0"/>
      <w:marRight w:val="0"/>
      <w:marTop w:val="0"/>
      <w:marBottom w:val="0"/>
      <w:divBdr>
        <w:top w:val="none" w:sz="0" w:space="0" w:color="auto"/>
        <w:left w:val="none" w:sz="0" w:space="0" w:color="auto"/>
        <w:bottom w:val="none" w:sz="0" w:space="0" w:color="auto"/>
        <w:right w:val="none" w:sz="0" w:space="0" w:color="auto"/>
      </w:divBdr>
    </w:div>
    <w:div w:id="683239586">
      <w:bodyDiv w:val="1"/>
      <w:marLeft w:val="0"/>
      <w:marRight w:val="0"/>
      <w:marTop w:val="0"/>
      <w:marBottom w:val="0"/>
      <w:divBdr>
        <w:top w:val="none" w:sz="0" w:space="0" w:color="auto"/>
        <w:left w:val="none" w:sz="0" w:space="0" w:color="auto"/>
        <w:bottom w:val="none" w:sz="0" w:space="0" w:color="auto"/>
        <w:right w:val="none" w:sz="0" w:space="0" w:color="auto"/>
      </w:divBdr>
    </w:div>
    <w:div w:id="690035818">
      <w:bodyDiv w:val="1"/>
      <w:marLeft w:val="0"/>
      <w:marRight w:val="0"/>
      <w:marTop w:val="0"/>
      <w:marBottom w:val="0"/>
      <w:divBdr>
        <w:top w:val="none" w:sz="0" w:space="0" w:color="auto"/>
        <w:left w:val="none" w:sz="0" w:space="0" w:color="auto"/>
        <w:bottom w:val="none" w:sz="0" w:space="0" w:color="auto"/>
        <w:right w:val="none" w:sz="0" w:space="0" w:color="auto"/>
      </w:divBdr>
    </w:div>
    <w:div w:id="759303142">
      <w:bodyDiv w:val="1"/>
      <w:marLeft w:val="0"/>
      <w:marRight w:val="0"/>
      <w:marTop w:val="0"/>
      <w:marBottom w:val="0"/>
      <w:divBdr>
        <w:top w:val="none" w:sz="0" w:space="0" w:color="auto"/>
        <w:left w:val="none" w:sz="0" w:space="0" w:color="auto"/>
        <w:bottom w:val="none" w:sz="0" w:space="0" w:color="auto"/>
        <w:right w:val="none" w:sz="0" w:space="0" w:color="auto"/>
      </w:divBdr>
    </w:div>
    <w:div w:id="1086003818">
      <w:bodyDiv w:val="1"/>
      <w:marLeft w:val="0"/>
      <w:marRight w:val="0"/>
      <w:marTop w:val="0"/>
      <w:marBottom w:val="0"/>
      <w:divBdr>
        <w:top w:val="none" w:sz="0" w:space="0" w:color="auto"/>
        <w:left w:val="none" w:sz="0" w:space="0" w:color="auto"/>
        <w:bottom w:val="none" w:sz="0" w:space="0" w:color="auto"/>
        <w:right w:val="none" w:sz="0" w:space="0" w:color="auto"/>
      </w:divBdr>
    </w:div>
    <w:div w:id="1099373947">
      <w:bodyDiv w:val="1"/>
      <w:marLeft w:val="0"/>
      <w:marRight w:val="0"/>
      <w:marTop w:val="0"/>
      <w:marBottom w:val="0"/>
      <w:divBdr>
        <w:top w:val="none" w:sz="0" w:space="0" w:color="auto"/>
        <w:left w:val="none" w:sz="0" w:space="0" w:color="auto"/>
        <w:bottom w:val="none" w:sz="0" w:space="0" w:color="auto"/>
        <w:right w:val="none" w:sz="0" w:space="0" w:color="auto"/>
      </w:divBdr>
    </w:div>
    <w:div w:id="1208177556">
      <w:bodyDiv w:val="1"/>
      <w:marLeft w:val="0"/>
      <w:marRight w:val="0"/>
      <w:marTop w:val="0"/>
      <w:marBottom w:val="0"/>
      <w:divBdr>
        <w:top w:val="none" w:sz="0" w:space="0" w:color="auto"/>
        <w:left w:val="none" w:sz="0" w:space="0" w:color="auto"/>
        <w:bottom w:val="none" w:sz="0" w:space="0" w:color="auto"/>
        <w:right w:val="none" w:sz="0" w:space="0" w:color="auto"/>
      </w:divBdr>
    </w:div>
    <w:div w:id="1356926739">
      <w:bodyDiv w:val="1"/>
      <w:marLeft w:val="0"/>
      <w:marRight w:val="0"/>
      <w:marTop w:val="0"/>
      <w:marBottom w:val="0"/>
      <w:divBdr>
        <w:top w:val="none" w:sz="0" w:space="0" w:color="auto"/>
        <w:left w:val="none" w:sz="0" w:space="0" w:color="auto"/>
        <w:bottom w:val="none" w:sz="0" w:space="0" w:color="auto"/>
        <w:right w:val="none" w:sz="0" w:space="0" w:color="auto"/>
      </w:divBdr>
    </w:div>
    <w:div w:id="1402366170">
      <w:bodyDiv w:val="1"/>
      <w:marLeft w:val="0"/>
      <w:marRight w:val="0"/>
      <w:marTop w:val="0"/>
      <w:marBottom w:val="0"/>
      <w:divBdr>
        <w:top w:val="none" w:sz="0" w:space="0" w:color="auto"/>
        <w:left w:val="none" w:sz="0" w:space="0" w:color="auto"/>
        <w:bottom w:val="none" w:sz="0" w:space="0" w:color="auto"/>
        <w:right w:val="none" w:sz="0" w:space="0" w:color="auto"/>
      </w:divBdr>
    </w:div>
    <w:div w:id="1509251443">
      <w:bodyDiv w:val="1"/>
      <w:marLeft w:val="0"/>
      <w:marRight w:val="0"/>
      <w:marTop w:val="0"/>
      <w:marBottom w:val="0"/>
      <w:divBdr>
        <w:top w:val="none" w:sz="0" w:space="0" w:color="auto"/>
        <w:left w:val="none" w:sz="0" w:space="0" w:color="auto"/>
        <w:bottom w:val="none" w:sz="0" w:space="0" w:color="auto"/>
        <w:right w:val="none" w:sz="0" w:space="0" w:color="auto"/>
      </w:divBdr>
    </w:div>
    <w:div w:id="1546333304">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5163865">
      <w:bodyDiv w:val="1"/>
      <w:marLeft w:val="0"/>
      <w:marRight w:val="0"/>
      <w:marTop w:val="0"/>
      <w:marBottom w:val="0"/>
      <w:divBdr>
        <w:top w:val="none" w:sz="0" w:space="0" w:color="auto"/>
        <w:left w:val="none" w:sz="0" w:space="0" w:color="auto"/>
        <w:bottom w:val="none" w:sz="0" w:space="0" w:color="auto"/>
        <w:right w:val="none" w:sz="0" w:space="0" w:color="auto"/>
      </w:divBdr>
    </w:div>
    <w:div w:id="1591347740">
      <w:bodyDiv w:val="1"/>
      <w:marLeft w:val="0"/>
      <w:marRight w:val="0"/>
      <w:marTop w:val="0"/>
      <w:marBottom w:val="0"/>
      <w:divBdr>
        <w:top w:val="none" w:sz="0" w:space="0" w:color="auto"/>
        <w:left w:val="none" w:sz="0" w:space="0" w:color="auto"/>
        <w:bottom w:val="none" w:sz="0" w:space="0" w:color="auto"/>
        <w:right w:val="none" w:sz="0" w:space="0" w:color="auto"/>
      </w:divBdr>
    </w:div>
    <w:div w:id="1663772111">
      <w:bodyDiv w:val="1"/>
      <w:marLeft w:val="0"/>
      <w:marRight w:val="0"/>
      <w:marTop w:val="0"/>
      <w:marBottom w:val="0"/>
      <w:divBdr>
        <w:top w:val="none" w:sz="0" w:space="0" w:color="auto"/>
        <w:left w:val="none" w:sz="0" w:space="0" w:color="auto"/>
        <w:bottom w:val="none" w:sz="0" w:space="0" w:color="auto"/>
        <w:right w:val="none" w:sz="0" w:space="0" w:color="auto"/>
      </w:divBdr>
    </w:div>
    <w:div w:id="1677229638">
      <w:bodyDiv w:val="1"/>
      <w:marLeft w:val="0"/>
      <w:marRight w:val="0"/>
      <w:marTop w:val="0"/>
      <w:marBottom w:val="0"/>
      <w:divBdr>
        <w:top w:val="none" w:sz="0" w:space="0" w:color="auto"/>
        <w:left w:val="none" w:sz="0" w:space="0" w:color="auto"/>
        <w:bottom w:val="none" w:sz="0" w:space="0" w:color="auto"/>
        <w:right w:val="none" w:sz="0" w:space="0" w:color="auto"/>
      </w:divBdr>
    </w:div>
    <w:div w:id="1738699004">
      <w:bodyDiv w:val="1"/>
      <w:marLeft w:val="0"/>
      <w:marRight w:val="0"/>
      <w:marTop w:val="0"/>
      <w:marBottom w:val="0"/>
      <w:divBdr>
        <w:top w:val="none" w:sz="0" w:space="0" w:color="auto"/>
        <w:left w:val="none" w:sz="0" w:space="0" w:color="auto"/>
        <w:bottom w:val="none" w:sz="0" w:space="0" w:color="auto"/>
        <w:right w:val="none" w:sz="0" w:space="0" w:color="auto"/>
      </w:divBdr>
    </w:div>
    <w:div w:id="1797943433">
      <w:bodyDiv w:val="1"/>
      <w:marLeft w:val="0"/>
      <w:marRight w:val="0"/>
      <w:marTop w:val="0"/>
      <w:marBottom w:val="0"/>
      <w:divBdr>
        <w:top w:val="none" w:sz="0" w:space="0" w:color="auto"/>
        <w:left w:val="none" w:sz="0" w:space="0" w:color="auto"/>
        <w:bottom w:val="none" w:sz="0" w:space="0" w:color="auto"/>
        <w:right w:val="none" w:sz="0" w:space="0" w:color="auto"/>
      </w:divBdr>
    </w:div>
    <w:div w:id="1803647848">
      <w:bodyDiv w:val="1"/>
      <w:marLeft w:val="0"/>
      <w:marRight w:val="0"/>
      <w:marTop w:val="0"/>
      <w:marBottom w:val="0"/>
      <w:divBdr>
        <w:top w:val="none" w:sz="0" w:space="0" w:color="auto"/>
        <w:left w:val="none" w:sz="0" w:space="0" w:color="auto"/>
        <w:bottom w:val="none" w:sz="0" w:space="0" w:color="auto"/>
        <w:right w:val="none" w:sz="0" w:space="0" w:color="auto"/>
      </w:divBdr>
    </w:div>
    <w:div w:id="1809204152">
      <w:bodyDiv w:val="1"/>
      <w:marLeft w:val="0"/>
      <w:marRight w:val="0"/>
      <w:marTop w:val="0"/>
      <w:marBottom w:val="0"/>
      <w:divBdr>
        <w:top w:val="none" w:sz="0" w:space="0" w:color="auto"/>
        <w:left w:val="none" w:sz="0" w:space="0" w:color="auto"/>
        <w:bottom w:val="none" w:sz="0" w:space="0" w:color="auto"/>
        <w:right w:val="none" w:sz="0" w:space="0" w:color="auto"/>
      </w:divBdr>
    </w:div>
    <w:div w:id="1830094678">
      <w:bodyDiv w:val="1"/>
      <w:marLeft w:val="0"/>
      <w:marRight w:val="0"/>
      <w:marTop w:val="0"/>
      <w:marBottom w:val="0"/>
      <w:divBdr>
        <w:top w:val="none" w:sz="0" w:space="0" w:color="auto"/>
        <w:left w:val="none" w:sz="0" w:space="0" w:color="auto"/>
        <w:bottom w:val="none" w:sz="0" w:space="0" w:color="auto"/>
        <w:right w:val="none" w:sz="0" w:space="0" w:color="auto"/>
      </w:divBdr>
    </w:div>
    <w:div w:id="1910454304">
      <w:bodyDiv w:val="1"/>
      <w:marLeft w:val="0"/>
      <w:marRight w:val="0"/>
      <w:marTop w:val="0"/>
      <w:marBottom w:val="0"/>
      <w:divBdr>
        <w:top w:val="none" w:sz="0" w:space="0" w:color="auto"/>
        <w:left w:val="none" w:sz="0" w:space="0" w:color="auto"/>
        <w:bottom w:val="none" w:sz="0" w:space="0" w:color="auto"/>
        <w:right w:val="none" w:sz="0" w:space="0" w:color="auto"/>
      </w:divBdr>
    </w:div>
    <w:div w:id="2059433655">
      <w:bodyDiv w:val="1"/>
      <w:marLeft w:val="0"/>
      <w:marRight w:val="0"/>
      <w:marTop w:val="0"/>
      <w:marBottom w:val="0"/>
      <w:divBdr>
        <w:top w:val="none" w:sz="0" w:space="0" w:color="auto"/>
        <w:left w:val="none" w:sz="0" w:space="0" w:color="auto"/>
        <w:bottom w:val="none" w:sz="0" w:space="0" w:color="auto"/>
        <w:right w:val="none" w:sz="0" w:space="0" w:color="auto"/>
      </w:divBdr>
    </w:div>
    <w:div w:id="2076270951">
      <w:bodyDiv w:val="1"/>
      <w:marLeft w:val="0"/>
      <w:marRight w:val="0"/>
      <w:marTop w:val="0"/>
      <w:marBottom w:val="0"/>
      <w:divBdr>
        <w:top w:val="none" w:sz="0" w:space="0" w:color="auto"/>
        <w:left w:val="none" w:sz="0" w:space="0" w:color="auto"/>
        <w:bottom w:val="none" w:sz="0" w:space="0" w:color="auto"/>
        <w:right w:val="none" w:sz="0" w:space="0" w:color="auto"/>
      </w:divBdr>
    </w:div>
    <w:div w:id="2116636446">
      <w:bodyDiv w:val="1"/>
      <w:marLeft w:val="0"/>
      <w:marRight w:val="0"/>
      <w:marTop w:val="0"/>
      <w:marBottom w:val="0"/>
      <w:divBdr>
        <w:top w:val="none" w:sz="0" w:space="0" w:color="auto"/>
        <w:left w:val="none" w:sz="0" w:space="0" w:color="auto"/>
        <w:bottom w:val="none" w:sz="0" w:space="0" w:color="auto"/>
        <w:right w:val="none" w:sz="0" w:space="0" w:color="auto"/>
      </w:divBdr>
    </w:div>
    <w:div w:id="21219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11</Pages>
  <Words>2846</Words>
  <Characters>19918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2022013536 mt</dc:description>
  <cp:lastModifiedBy>Hanne Thy Iversen</cp:lastModifiedBy>
  <cp:revision>11</cp:revision>
  <cp:lastPrinted>2012-08-22T08:53:00Z</cp:lastPrinted>
  <dcterms:created xsi:type="dcterms:W3CDTF">2024-06-28T12:01:00Z</dcterms:created>
  <dcterms:modified xsi:type="dcterms:W3CDTF">2024-07-01T09:00:00Z</dcterms:modified>
</cp:coreProperties>
</file>