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93" w:rsidRDefault="004E1C88" w:rsidP="00105893">
      <w:pPr>
        <w:pStyle w:val="Titel"/>
        <w:tabs>
          <w:tab w:val="left" w:pos="6804"/>
        </w:tabs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88" w:rsidRDefault="004E1C88" w:rsidP="00105893">
      <w:pPr>
        <w:pStyle w:val="Titel"/>
        <w:tabs>
          <w:tab w:val="left" w:pos="6804"/>
        </w:tabs>
        <w:jc w:val="left"/>
      </w:pPr>
    </w:p>
    <w:p w:rsidR="00105893" w:rsidRDefault="007368B7" w:rsidP="00105893">
      <w:pPr>
        <w:pStyle w:val="Titel"/>
        <w:tabs>
          <w:tab w:val="left" w:pos="6804"/>
        </w:tabs>
        <w:jc w:val="right"/>
      </w:pPr>
      <w:r>
        <w:t>2</w:t>
      </w:r>
      <w:r w:rsidR="00105893">
        <w:t xml:space="preserve">. </w:t>
      </w:r>
      <w:r>
        <w:t>januar</w:t>
      </w:r>
      <w:r w:rsidR="00105893">
        <w:t xml:space="preserve"> 20</w:t>
      </w:r>
      <w:r w:rsidR="004E1C88">
        <w:t>2</w:t>
      </w:r>
      <w:r>
        <w:t>5</w:t>
      </w:r>
    </w:p>
    <w:p w:rsidR="00105893" w:rsidRDefault="00105893" w:rsidP="00105893">
      <w:pPr>
        <w:pStyle w:val="Titel"/>
        <w:tabs>
          <w:tab w:val="left" w:pos="8222"/>
        </w:tabs>
        <w:jc w:val="left"/>
        <w:rPr>
          <w:b w:val="0"/>
        </w:rPr>
      </w:pPr>
    </w:p>
    <w:p w:rsidR="00105893" w:rsidRDefault="00105893" w:rsidP="00105893">
      <w:pPr>
        <w:pStyle w:val="Titel"/>
        <w:jc w:val="left"/>
        <w:rPr>
          <w:b w:val="0"/>
        </w:rPr>
      </w:pPr>
    </w:p>
    <w:p w:rsidR="00105893" w:rsidRDefault="00105893" w:rsidP="00105893">
      <w:pPr>
        <w:pStyle w:val="Titel"/>
        <w:jc w:val="left"/>
        <w:rPr>
          <w:b w:val="0"/>
        </w:rPr>
      </w:pPr>
    </w:p>
    <w:p w:rsidR="00105893" w:rsidRDefault="00105893" w:rsidP="00105893">
      <w:pPr>
        <w:jc w:val="center"/>
        <w:rPr>
          <w:b/>
        </w:rPr>
      </w:pPr>
      <w:r>
        <w:rPr>
          <w:b/>
        </w:rPr>
        <w:t>PRODUKTRESUMÉ</w:t>
      </w:r>
    </w:p>
    <w:p w:rsidR="00105893" w:rsidRDefault="00105893" w:rsidP="00105893">
      <w:pPr>
        <w:jc w:val="center"/>
        <w:rPr>
          <w:b/>
        </w:rPr>
      </w:pPr>
    </w:p>
    <w:p w:rsidR="00105893" w:rsidRDefault="00105893" w:rsidP="00105893">
      <w:pPr>
        <w:jc w:val="center"/>
        <w:rPr>
          <w:b/>
        </w:rPr>
      </w:pPr>
      <w:r>
        <w:rPr>
          <w:b/>
        </w:rPr>
        <w:t>for</w:t>
      </w:r>
    </w:p>
    <w:p w:rsidR="00105893" w:rsidRDefault="00105893" w:rsidP="00105893">
      <w:pPr>
        <w:jc w:val="center"/>
        <w:rPr>
          <w:b/>
        </w:rPr>
      </w:pPr>
    </w:p>
    <w:p w:rsidR="00105893" w:rsidRDefault="00105893" w:rsidP="00105893">
      <w:pPr>
        <w:jc w:val="center"/>
        <w:rPr>
          <w:b/>
        </w:rPr>
      </w:pPr>
      <w:r>
        <w:rPr>
          <w:b/>
        </w:rPr>
        <w:t>China-</w:t>
      </w:r>
      <w:proofErr w:type="spellStart"/>
      <w:r>
        <w:rPr>
          <w:b/>
        </w:rPr>
        <w:t>Oel</w:t>
      </w:r>
      <w:proofErr w:type="spellEnd"/>
      <w:r>
        <w:rPr>
          <w:b/>
        </w:rPr>
        <w:t>, orale dråber/</w:t>
      </w:r>
      <w:proofErr w:type="spellStart"/>
      <w:r>
        <w:rPr>
          <w:b/>
        </w:rPr>
        <w:t>kutan</w:t>
      </w:r>
      <w:proofErr w:type="spellEnd"/>
      <w:r>
        <w:rPr>
          <w:b/>
        </w:rPr>
        <w:t xml:space="preserve"> væske</w:t>
      </w:r>
    </w:p>
    <w:p w:rsidR="00105893" w:rsidRDefault="00105893" w:rsidP="00105893"/>
    <w:p w:rsidR="00105893" w:rsidRDefault="00105893" w:rsidP="00105893">
      <w:pPr>
        <w:jc w:val="both"/>
      </w:pPr>
    </w:p>
    <w:p w:rsidR="00105893" w:rsidRDefault="00105893" w:rsidP="00105893">
      <w:pPr>
        <w:numPr>
          <w:ilvl w:val="0"/>
          <w:numId w:val="6"/>
        </w:numPr>
        <w:tabs>
          <w:tab w:val="clear" w:pos="855"/>
          <w:tab w:val="left" w:pos="851"/>
        </w:tabs>
        <w:jc w:val="both"/>
        <w:rPr>
          <w:b/>
        </w:rPr>
      </w:pPr>
      <w:r>
        <w:rPr>
          <w:b/>
        </w:rPr>
        <w:t>D.SP.NR.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-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LÆGEMIDLETS NAVN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China-</w:t>
      </w:r>
      <w:proofErr w:type="spellStart"/>
      <w:r>
        <w:t>Oel</w:t>
      </w:r>
      <w:proofErr w:type="spellEnd"/>
    </w:p>
    <w:p w:rsidR="00105893" w:rsidRDefault="00105893" w:rsidP="00105893">
      <w:pPr>
        <w:tabs>
          <w:tab w:val="left" w:pos="851"/>
        </w:tabs>
        <w:jc w:val="both"/>
      </w:pPr>
      <w:r>
        <w:tab/>
      </w:r>
    </w:p>
    <w:p w:rsidR="00105893" w:rsidRDefault="00105893" w:rsidP="0010589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KVALITATIV OG KVANTITATIV SAMMENSÆTNING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1 ml indeholder:</w:t>
      </w:r>
    </w:p>
    <w:p w:rsidR="00105893" w:rsidRPr="00266C35" w:rsidRDefault="00105893" w:rsidP="00105893">
      <w:pPr>
        <w:tabs>
          <w:tab w:val="left" w:pos="851"/>
        </w:tabs>
        <w:ind w:left="855"/>
        <w:jc w:val="both"/>
        <w:rPr>
          <w:lang w:val="en-GB"/>
        </w:rPr>
      </w:pPr>
      <w:r w:rsidRPr="00266C35">
        <w:rPr>
          <w:lang w:val="en-GB"/>
        </w:rPr>
        <w:t xml:space="preserve">1 ml </w:t>
      </w:r>
      <w:proofErr w:type="spellStart"/>
      <w:r w:rsidRPr="00266C35">
        <w:rPr>
          <w:i/>
          <w:spacing w:val="-3"/>
          <w:lang w:val="en-GB"/>
        </w:rPr>
        <w:t>Menthae</w:t>
      </w:r>
      <w:proofErr w:type="spellEnd"/>
      <w:r w:rsidRPr="00266C35">
        <w:rPr>
          <w:i/>
          <w:spacing w:val="-3"/>
          <w:lang w:val="en-GB"/>
        </w:rPr>
        <w:t xml:space="preserve"> x </w:t>
      </w:r>
      <w:proofErr w:type="spellStart"/>
      <w:r w:rsidRPr="00266C35">
        <w:rPr>
          <w:i/>
          <w:spacing w:val="-3"/>
          <w:lang w:val="en-GB"/>
        </w:rPr>
        <w:t>piperita</w:t>
      </w:r>
      <w:proofErr w:type="spellEnd"/>
      <w:r w:rsidRPr="00266C35">
        <w:rPr>
          <w:spacing w:val="-3"/>
          <w:lang w:val="en-GB"/>
        </w:rPr>
        <w:t xml:space="preserve"> L., </w:t>
      </w:r>
      <w:proofErr w:type="spellStart"/>
      <w:r w:rsidRPr="00266C35">
        <w:rPr>
          <w:spacing w:val="-3"/>
          <w:lang w:val="en-GB"/>
        </w:rPr>
        <w:t>aetheroleum</w:t>
      </w:r>
      <w:proofErr w:type="spellEnd"/>
      <w:r w:rsidRPr="00266C35">
        <w:rPr>
          <w:spacing w:val="-3"/>
          <w:lang w:val="en-GB"/>
        </w:rPr>
        <w:t xml:space="preserve"> (</w:t>
      </w:r>
      <w:proofErr w:type="spellStart"/>
      <w:r w:rsidRPr="00266C35">
        <w:rPr>
          <w:spacing w:val="-3"/>
          <w:lang w:val="en-GB"/>
        </w:rPr>
        <w:t>pebermynteolie</w:t>
      </w:r>
      <w:proofErr w:type="spellEnd"/>
      <w:r w:rsidRPr="00266C35">
        <w:rPr>
          <w:spacing w:val="-3"/>
          <w:lang w:val="en-GB"/>
        </w:rPr>
        <w:t>).</w:t>
      </w:r>
    </w:p>
    <w:p w:rsidR="00105893" w:rsidRPr="00266C35" w:rsidRDefault="00105893" w:rsidP="00105893">
      <w:pPr>
        <w:tabs>
          <w:tab w:val="left" w:pos="851"/>
        </w:tabs>
        <w:jc w:val="both"/>
        <w:rPr>
          <w:lang w:val="en-GB"/>
        </w:rPr>
      </w:pPr>
    </w:p>
    <w:p w:rsidR="00105893" w:rsidRDefault="00105893" w:rsidP="0010589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LÆGEMIDDELFORM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Orale dråber/</w:t>
      </w:r>
      <w:proofErr w:type="spellStart"/>
      <w:r>
        <w:t>kutan</w:t>
      </w:r>
      <w:proofErr w:type="spellEnd"/>
      <w:r>
        <w:t xml:space="preserve"> væske.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tabs>
          <w:tab w:val="left" w:pos="851"/>
        </w:tabs>
        <w:jc w:val="both"/>
      </w:pPr>
      <w:r>
        <w:tab/>
        <w:t>Udseende: Farveløs til lys gul eller grøngul væske.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KLINISKE OPLYSNINGER</w:t>
      </w:r>
    </w:p>
    <w:p w:rsidR="00105893" w:rsidRDefault="00105893" w:rsidP="00105893">
      <w:pPr>
        <w:tabs>
          <w:tab w:val="left" w:pos="851"/>
        </w:tabs>
        <w:jc w:val="both"/>
        <w:rPr>
          <w:b/>
        </w:rPr>
      </w:pPr>
    </w:p>
    <w:p w:rsidR="00105893" w:rsidRDefault="00105893" w:rsidP="00105893">
      <w:pPr>
        <w:numPr>
          <w:ilvl w:val="1"/>
          <w:numId w:val="6"/>
        </w:numPr>
        <w:jc w:val="both"/>
        <w:rPr>
          <w:b/>
          <w:u w:val="single"/>
        </w:rPr>
      </w:pPr>
      <w:r>
        <w:rPr>
          <w:b/>
        </w:rPr>
        <w:t>Terapeutiske indikationer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127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2127" w:hanging="2127"/>
        <w:rPr>
          <w:spacing w:val="-3"/>
        </w:rPr>
      </w:pPr>
      <w:r>
        <w:rPr>
          <w:spacing w:val="-3"/>
        </w:rPr>
        <w:tab/>
        <w:t>Indvortes:</w:t>
      </w:r>
      <w:r>
        <w:rPr>
          <w:spacing w:val="-3"/>
        </w:rPr>
        <w:tab/>
        <w:t xml:space="preserve">Naturlægemiddel ved fordøjelsesbesvær og luftophobning i </w:t>
      </w:r>
      <w:proofErr w:type="spellStart"/>
      <w:r>
        <w:rPr>
          <w:spacing w:val="-3"/>
        </w:rPr>
        <w:t>mave-tarmkanalen</w:t>
      </w:r>
      <w:proofErr w:type="spellEnd"/>
      <w:r>
        <w:rPr>
          <w:spacing w:val="-3"/>
        </w:rPr>
        <w:t>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127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2127" w:hanging="2127"/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127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2127" w:hanging="2127"/>
        <w:rPr>
          <w:spacing w:val="-3"/>
        </w:rPr>
      </w:pPr>
      <w:r>
        <w:rPr>
          <w:spacing w:val="-3"/>
        </w:rPr>
        <w:tab/>
      </w:r>
      <w:r w:rsidRPr="00BB1904">
        <w:rPr>
          <w:spacing w:val="-3"/>
        </w:rPr>
        <w:t>Inhalation:</w:t>
      </w:r>
      <w:r w:rsidRPr="00BB1904">
        <w:rPr>
          <w:spacing w:val="-3"/>
        </w:rPr>
        <w:tab/>
        <w:t>Naturlægemiddel til indånding ved forkølelsesgener.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127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2127" w:hanging="2127"/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127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2127" w:hanging="2127"/>
        <w:rPr>
          <w:spacing w:val="-3"/>
        </w:rPr>
      </w:pPr>
      <w:r>
        <w:rPr>
          <w:spacing w:val="-3"/>
        </w:rPr>
        <w:tab/>
        <w:t>Udvortes:</w:t>
      </w:r>
      <w:r>
        <w:rPr>
          <w:spacing w:val="-3"/>
        </w:rPr>
        <w:tab/>
        <w:t>Naturlægemiddel ved ømme muskler og lette muskelsmerter.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Pr="00447D08" w:rsidRDefault="00105893" w:rsidP="00105893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Dosering og </w:t>
      </w:r>
      <w:r w:rsidR="007368B7">
        <w:rPr>
          <w:b/>
        </w:rPr>
        <w:t>administration</w:t>
      </w:r>
    </w:p>
    <w:p w:rsidR="00105893" w:rsidRPr="00447D08" w:rsidRDefault="00105893" w:rsidP="00105893">
      <w:pPr>
        <w:tabs>
          <w:tab w:val="left" w:pos="851"/>
        </w:tabs>
        <w:ind w:left="855"/>
        <w:jc w:val="both"/>
        <w:rPr>
          <w:spacing w:val="-3"/>
          <w:u w:val="single"/>
        </w:rPr>
      </w:pPr>
      <w:r>
        <w:rPr>
          <w:spacing w:val="-3"/>
          <w:u w:val="single"/>
        </w:rPr>
        <w:t>Voksne</w:t>
      </w:r>
    </w:p>
    <w:p w:rsidR="00105893" w:rsidRDefault="00105893" w:rsidP="00105893">
      <w:pPr>
        <w:tabs>
          <w:tab w:val="left" w:pos="851"/>
        </w:tabs>
        <w:ind w:left="851" w:hanging="851"/>
        <w:jc w:val="both"/>
        <w:rPr>
          <w:spacing w:val="-3"/>
        </w:rPr>
      </w:pPr>
      <w:r>
        <w:rPr>
          <w:spacing w:val="-3"/>
        </w:rPr>
        <w:tab/>
        <w:t>Indvortes:</w:t>
      </w:r>
      <w:r>
        <w:rPr>
          <w:spacing w:val="-3"/>
        </w:rPr>
        <w:tab/>
        <w:t>3-4 dråber i et glas lunkent vand 2-3 gange dagligt.</w:t>
      </w:r>
    </w:p>
    <w:p w:rsidR="00105893" w:rsidRDefault="00105893" w:rsidP="00105893">
      <w:pPr>
        <w:tabs>
          <w:tab w:val="left" w:pos="851"/>
        </w:tabs>
        <w:ind w:left="851" w:hanging="851"/>
        <w:jc w:val="both"/>
        <w:rPr>
          <w:spacing w:val="-3"/>
        </w:rPr>
      </w:pPr>
    </w:p>
    <w:p w:rsidR="00105893" w:rsidRPr="00BB1904" w:rsidRDefault="00105893" w:rsidP="00105893">
      <w:pPr>
        <w:tabs>
          <w:tab w:val="left" w:pos="851"/>
        </w:tabs>
        <w:ind w:left="851" w:hanging="851"/>
        <w:jc w:val="both"/>
        <w:rPr>
          <w:spacing w:val="-3"/>
        </w:rPr>
      </w:pPr>
      <w:r w:rsidRPr="00BB1904">
        <w:rPr>
          <w:spacing w:val="-3"/>
        </w:rPr>
        <w:tab/>
        <w:t>Inhalation:</w:t>
      </w:r>
      <w:r>
        <w:rPr>
          <w:spacing w:val="-3"/>
        </w:rPr>
        <w:tab/>
      </w:r>
      <w:r w:rsidRPr="00BB1904">
        <w:rPr>
          <w:spacing w:val="-3"/>
        </w:rPr>
        <w:t>3-4 dråber dryppes i et glas varmt vand eller 2-3 dråber i indsnusningsrøret.</w:t>
      </w:r>
    </w:p>
    <w:p w:rsidR="00105893" w:rsidRDefault="00105893" w:rsidP="00105893">
      <w:pPr>
        <w:tabs>
          <w:tab w:val="left" w:pos="851"/>
        </w:tabs>
        <w:ind w:left="851" w:hanging="851"/>
        <w:jc w:val="both"/>
        <w:rPr>
          <w:spacing w:val="-3"/>
        </w:rPr>
      </w:pPr>
    </w:p>
    <w:p w:rsidR="00105893" w:rsidRDefault="00105893" w:rsidP="00105893">
      <w:pPr>
        <w:tabs>
          <w:tab w:val="left" w:pos="851"/>
        </w:tabs>
        <w:ind w:left="851" w:hanging="851"/>
        <w:jc w:val="both"/>
        <w:rPr>
          <w:spacing w:val="-3"/>
        </w:rPr>
      </w:pPr>
      <w:r w:rsidRPr="00BB1904">
        <w:rPr>
          <w:spacing w:val="-3"/>
        </w:rPr>
        <w:tab/>
      </w:r>
      <w:r>
        <w:rPr>
          <w:spacing w:val="-3"/>
        </w:rPr>
        <w:t>Udvortes:</w:t>
      </w:r>
      <w:r>
        <w:rPr>
          <w:spacing w:val="-3"/>
        </w:rPr>
        <w:tab/>
        <w:t>Enkelte dråber indgnides lokalt omkring de ømme muskler.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  <w:r>
        <w:rPr>
          <w:spacing w:val="-3"/>
        </w:rPr>
        <w:br w:type="page"/>
      </w:r>
    </w:p>
    <w:p w:rsidR="00105893" w:rsidRPr="00447D08" w:rsidRDefault="00105893" w:rsidP="00105893">
      <w:pPr>
        <w:tabs>
          <w:tab w:val="left" w:pos="851"/>
        </w:tabs>
        <w:ind w:left="851" w:hanging="851"/>
        <w:jc w:val="both"/>
        <w:rPr>
          <w:spacing w:val="-3"/>
          <w:u w:val="single"/>
        </w:rPr>
      </w:pPr>
      <w:r>
        <w:rPr>
          <w:spacing w:val="-3"/>
        </w:rPr>
        <w:lastRenderedPageBreak/>
        <w:tab/>
      </w:r>
      <w:r>
        <w:rPr>
          <w:spacing w:val="-3"/>
          <w:u w:val="single"/>
        </w:rPr>
        <w:t>Børn</w:t>
      </w:r>
    </w:p>
    <w:p w:rsidR="00105893" w:rsidRPr="00BB1904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  <w:r>
        <w:rPr>
          <w:spacing w:val="-3"/>
        </w:rPr>
        <w:t xml:space="preserve">Erfaring med behandling af børn er utilstrækkelig. I indlægssedlen er det oplyst, at </w:t>
      </w:r>
      <w:r w:rsidRPr="00447D08">
        <w:rPr>
          <w:spacing w:val="-3"/>
        </w:rPr>
        <w:t>China-</w:t>
      </w:r>
      <w:proofErr w:type="spellStart"/>
      <w:r w:rsidRPr="00447D08">
        <w:rPr>
          <w:spacing w:val="-3"/>
        </w:rPr>
        <w:t>Oel</w:t>
      </w:r>
      <w:proofErr w:type="spellEnd"/>
      <w:r w:rsidRPr="00CF6613">
        <w:rPr>
          <w:spacing w:val="-3"/>
        </w:rPr>
        <w:t xml:space="preserve"> ikke bør anvendes til børn under </w:t>
      </w:r>
      <w:r>
        <w:rPr>
          <w:spacing w:val="-3"/>
        </w:rPr>
        <w:t>12</w:t>
      </w:r>
      <w:r w:rsidRPr="00CF6613">
        <w:rPr>
          <w:spacing w:val="-3"/>
        </w:rPr>
        <w:t xml:space="preserve"> år uden lægens anvisning.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10"/>
        </w:numPr>
        <w:tabs>
          <w:tab w:val="left" w:pos="0"/>
          <w:tab w:val="num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 w:hanging="851"/>
        <w:rPr>
          <w:spacing w:val="-3"/>
        </w:rPr>
      </w:pPr>
      <w:r w:rsidRPr="00CF6613">
        <w:rPr>
          <w:b/>
          <w:spacing w:val="-3"/>
        </w:rPr>
        <w:tab/>
        <w:t>Kontraindikationer</w:t>
      </w:r>
      <w:r w:rsidRPr="00CF6613">
        <w:rPr>
          <w:spacing w:val="-3"/>
          <w:u w:val="single"/>
        </w:rPr>
        <w:br/>
      </w:r>
      <w:r>
        <w:rPr>
          <w:spacing w:val="-3"/>
        </w:rPr>
        <w:t>S</w:t>
      </w:r>
      <w:r w:rsidRPr="001C06F0">
        <w:rPr>
          <w:spacing w:val="-3"/>
        </w:rPr>
        <w:t>være lidelser i lever og galdeveje.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  <w:highlight w:val="yellow"/>
        </w:rPr>
      </w:pP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/>
        <w:rPr>
          <w:i/>
          <w:spacing w:val="-3"/>
          <w:highlight w:val="yellow"/>
        </w:rPr>
      </w:pPr>
      <w:r w:rsidRPr="00BE301D">
        <w:rPr>
          <w:spacing w:val="-3"/>
        </w:rPr>
        <w:t xml:space="preserve">Overfølsomhed over for </w:t>
      </w:r>
      <w:r>
        <w:rPr>
          <w:spacing w:val="-3"/>
        </w:rPr>
        <w:t xml:space="preserve">pebermynteolie eller </w:t>
      </w:r>
      <w:proofErr w:type="spellStart"/>
      <w:r>
        <w:rPr>
          <w:spacing w:val="-3"/>
        </w:rPr>
        <w:t>menthol</w:t>
      </w:r>
      <w:proofErr w:type="spellEnd"/>
      <w:r w:rsidRPr="00BE301D">
        <w:rPr>
          <w:spacing w:val="-3"/>
        </w:rPr>
        <w:t>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Pr="00B1433B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B1433B">
        <w:rPr>
          <w:b/>
          <w:spacing w:val="-3"/>
        </w:rPr>
        <w:t>4.4</w:t>
      </w:r>
      <w:r w:rsidRPr="00B1433B">
        <w:rPr>
          <w:b/>
          <w:spacing w:val="-3"/>
        </w:rPr>
        <w:tab/>
        <w:t>Særlige advarsler og forsigtighedsregler vedrørende brugen</w:t>
      </w:r>
    </w:p>
    <w:p w:rsidR="00105893" w:rsidRPr="00290DB0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1"/>
        <w:rPr>
          <w:spacing w:val="-3"/>
        </w:rPr>
      </w:pPr>
      <w:r w:rsidRPr="00290DB0">
        <w:rPr>
          <w:spacing w:val="-3"/>
        </w:rPr>
        <w:t>I</w:t>
      </w:r>
      <w:r>
        <w:rPr>
          <w:spacing w:val="-3"/>
        </w:rPr>
        <w:t xml:space="preserve"> indlægssedlen opfordres patienten til at kontakte læge efter 2 ugers behandling, h</w:t>
      </w:r>
      <w:r w:rsidRPr="00290DB0">
        <w:rPr>
          <w:spacing w:val="-3"/>
        </w:rPr>
        <w:t>vis behandlingen ikke virker</w:t>
      </w:r>
      <w:r>
        <w:rPr>
          <w:spacing w:val="-3"/>
        </w:rPr>
        <w:t>,</w:t>
      </w:r>
      <w:r w:rsidRPr="00290DB0">
        <w:rPr>
          <w:spacing w:val="-3"/>
        </w:rPr>
        <w:t xml:space="preserve"> eller hvis symptomerne forværres</w:t>
      </w:r>
      <w:r>
        <w:rPr>
          <w:spacing w:val="-3"/>
        </w:rPr>
        <w:t>.</w:t>
      </w: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  <w:r>
        <w:rPr>
          <w:spacing w:val="-3"/>
        </w:rPr>
        <w:t>Inhalationsbehandling og oral behandling skal anvendes med f</w:t>
      </w:r>
      <w:r w:rsidRPr="00354BC5">
        <w:rPr>
          <w:spacing w:val="-3"/>
        </w:rPr>
        <w:t xml:space="preserve">orsigtighed </w:t>
      </w:r>
      <w:r>
        <w:rPr>
          <w:spacing w:val="-3"/>
        </w:rPr>
        <w:t>hos</w:t>
      </w:r>
      <w:r w:rsidRPr="00354BC5">
        <w:rPr>
          <w:spacing w:val="-3"/>
        </w:rPr>
        <w:t xml:space="preserve"> astma</w:t>
      </w:r>
      <w:r>
        <w:rPr>
          <w:spacing w:val="-3"/>
        </w:rPr>
        <w:t>patienter, da astmaanfald i sjældne tilfælde kan forværres</w:t>
      </w:r>
      <w:r w:rsidRPr="00354BC5">
        <w:rPr>
          <w:spacing w:val="-3"/>
        </w:rPr>
        <w:t>.</w:t>
      </w: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  <w:r>
        <w:rPr>
          <w:spacing w:val="-3"/>
        </w:rPr>
        <w:t>Bør ikke anvendes til indånding hos børn.</w:t>
      </w:r>
    </w:p>
    <w:p w:rsidR="00105893" w:rsidRPr="00354BC5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i/>
          <w:spacing w:val="-3"/>
        </w:rPr>
      </w:pPr>
      <w:r>
        <w:rPr>
          <w:spacing w:val="-3"/>
        </w:rPr>
        <w:t>Bør ikke anvendes i ansigtet eller på halsen.</w:t>
      </w: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</w:p>
    <w:p w:rsidR="00105893" w:rsidRDefault="00105893" w:rsidP="0010589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  <w:r>
        <w:rPr>
          <w:spacing w:val="-3"/>
        </w:rPr>
        <w:t>Det vides ikke, om nedsat nyrefunktion eller andre særlige sygdomme indebærer, at forsigtighed bør udvises.</w:t>
      </w:r>
    </w:p>
    <w:p w:rsidR="00105893" w:rsidRPr="008D640D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Pr="00447D08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4.5</w:t>
      </w:r>
      <w:r w:rsidRPr="006A7E83">
        <w:rPr>
          <w:b/>
          <w:spacing w:val="-3"/>
        </w:rPr>
        <w:tab/>
        <w:t>Interaktion med andre lægemidler eller anden form for interakt</w:t>
      </w:r>
      <w:r>
        <w:rPr>
          <w:b/>
          <w:spacing w:val="-3"/>
        </w:rPr>
        <w:t>ion</w:t>
      </w:r>
    </w:p>
    <w:p w:rsidR="00105893" w:rsidRPr="00F60A3A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i/>
          <w:spacing w:val="-3"/>
        </w:rPr>
      </w:pPr>
      <w:r>
        <w:rPr>
          <w:spacing w:val="-3"/>
        </w:rPr>
        <w:t>Bør ikke anvendes oralt sammen med syreneutraliserende midler.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spacing w:val="-3"/>
        </w:rPr>
      </w:pPr>
      <w:r>
        <w:rPr>
          <w:spacing w:val="-3"/>
        </w:rPr>
        <w:t>Effekten af samtidig indtagelse af andre lægemidler, inklusive medicin købt i udlandet, andre naturlægemidler eller føde kendes ikke.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  <w:r>
        <w:rPr>
          <w:spacing w:val="-3"/>
        </w:rPr>
        <w:tab/>
      </w:r>
    </w:p>
    <w:p w:rsidR="00105893" w:rsidRPr="006A7E8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4.6</w:t>
      </w:r>
      <w:r w:rsidRPr="006A7E83">
        <w:rPr>
          <w:b/>
          <w:spacing w:val="-3"/>
        </w:rPr>
        <w:tab/>
      </w:r>
      <w:proofErr w:type="spellStart"/>
      <w:r w:rsidR="007368B7">
        <w:rPr>
          <w:b/>
          <w:spacing w:val="-3"/>
        </w:rPr>
        <w:t>Gertilitet</w:t>
      </w:r>
      <w:proofErr w:type="spellEnd"/>
      <w:r w:rsidR="007368B7">
        <w:rPr>
          <w:b/>
          <w:spacing w:val="-3"/>
        </w:rPr>
        <w:t>, g</w:t>
      </w:r>
      <w:r w:rsidRPr="006A7E83">
        <w:rPr>
          <w:b/>
          <w:spacing w:val="-3"/>
        </w:rPr>
        <w:t>raviditet og amning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rPr>
          <w:spacing w:val="-3"/>
        </w:rPr>
        <w:t xml:space="preserve">Sikkerhed i forbindelse med graviditet og amning er ukendt, hvorfor anvendelse af </w:t>
      </w:r>
      <w:r>
        <w:t>China-</w:t>
      </w:r>
      <w:proofErr w:type="spellStart"/>
      <w:r>
        <w:t>Oel</w:t>
      </w:r>
      <w:proofErr w:type="spellEnd"/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i/>
          <w:spacing w:val="-3"/>
        </w:rPr>
      </w:pPr>
      <w:r>
        <w:rPr>
          <w:spacing w:val="-3"/>
        </w:rPr>
        <w:t>ikke kan anbefales, men der er ingen holdepunkter for skadelige virkninger.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firstLine="1"/>
        <w:rPr>
          <w:i/>
          <w:spacing w:val="-3"/>
        </w:rPr>
      </w:pPr>
    </w:p>
    <w:p w:rsidR="00105893" w:rsidRPr="006A7E8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4.7</w:t>
      </w:r>
      <w:r w:rsidRPr="006A7E83">
        <w:rPr>
          <w:b/>
          <w:spacing w:val="-3"/>
        </w:rPr>
        <w:tab/>
        <w:t xml:space="preserve">Virkning på evnen til at føre motorkøretøj </w:t>
      </w:r>
      <w:r w:rsidR="007368B7">
        <w:rPr>
          <w:b/>
          <w:spacing w:val="-3"/>
        </w:rPr>
        <w:t>og</w:t>
      </w:r>
      <w:r w:rsidRPr="006A7E83">
        <w:rPr>
          <w:b/>
          <w:spacing w:val="-3"/>
        </w:rPr>
        <w:t xml:space="preserve"> betjene maskiner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  <w:r>
        <w:rPr>
          <w:spacing w:val="-3"/>
        </w:rPr>
        <w:tab/>
        <w:t xml:space="preserve">Ikke mærkning. </w:t>
      </w:r>
    </w:p>
    <w:p w:rsidR="00105893" w:rsidRPr="00447D08" w:rsidRDefault="00105893" w:rsidP="00105893">
      <w:pPr>
        <w:tabs>
          <w:tab w:val="left" w:pos="851"/>
        </w:tabs>
        <w:ind w:left="855"/>
        <w:jc w:val="both"/>
      </w:pPr>
      <w:r>
        <w:t>China-</w:t>
      </w:r>
      <w:proofErr w:type="spellStart"/>
      <w:r>
        <w:t>Oel</w:t>
      </w:r>
      <w:proofErr w:type="spellEnd"/>
      <w:r>
        <w:t xml:space="preserve"> </w:t>
      </w:r>
      <w:r>
        <w:rPr>
          <w:spacing w:val="-3"/>
        </w:rPr>
        <w:t>påvirker ikke eller kun i ubetydelig grad evnen til at føre motorkøretøj eller betjene maskiner.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Pr="006A7E8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4.8</w:t>
      </w:r>
      <w:r w:rsidRPr="006A7E83">
        <w:rPr>
          <w:b/>
          <w:spacing w:val="-3"/>
        </w:rPr>
        <w:tab/>
        <w:t>Bivirkninger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  <w:r>
        <w:rPr>
          <w:spacing w:val="-3"/>
        </w:rPr>
        <w:tab/>
        <w:t>Bivirkningsfrekvensen er ukendt, men bivirkninger er sjældne.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  <w:r>
        <w:rPr>
          <w:spacing w:val="-3"/>
        </w:rPr>
        <w:tab/>
        <w:t>Bivirkningerne forekommer især ved samtidig indtagelse af alkohol.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337"/>
      </w:tblGrid>
      <w:tr w:rsidR="00105893" w:rsidRPr="00871680" w:rsidTr="00EB20FE">
        <w:tc>
          <w:tcPr>
            <w:tcW w:w="4409" w:type="dxa"/>
          </w:tcPr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N</w:t>
            </w:r>
            <w:r w:rsidRPr="00871680">
              <w:rPr>
                <w:b/>
                <w:spacing w:val="-3"/>
              </w:rPr>
              <w:t>ervesystem</w:t>
            </w:r>
            <w:r>
              <w:rPr>
                <w:b/>
                <w:spacing w:val="-3"/>
              </w:rPr>
              <w:t>et</w:t>
            </w:r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290DB0">
              <w:rPr>
                <w:i/>
                <w:spacing w:val="-3"/>
              </w:rPr>
              <w:t>Oral brug:</w:t>
            </w:r>
            <w:r>
              <w:rPr>
                <w:spacing w:val="-3"/>
              </w:rPr>
              <w:t xml:space="preserve"> </w:t>
            </w:r>
            <w:r w:rsidRPr="00871680">
              <w:rPr>
                <w:spacing w:val="-3"/>
              </w:rPr>
              <w:t>Hovedpine</w:t>
            </w:r>
            <w:r>
              <w:rPr>
                <w:spacing w:val="-3"/>
              </w:rPr>
              <w:t xml:space="preserve">. </w:t>
            </w:r>
          </w:p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</w:p>
        </w:tc>
      </w:tr>
      <w:tr w:rsidR="00105893" w:rsidRPr="00871680" w:rsidTr="00EB20FE">
        <w:tc>
          <w:tcPr>
            <w:tcW w:w="4409" w:type="dxa"/>
          </w:tcPr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Øjne</w:t>
            </w:r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290DB0">
              <w:rPr>
                <w:i/>
                <w:spacing w:val="-3"/>
              </w:rPr>
              <w:t>Oral brug:</w:t>
            </w:r>
            <w:r>
              <w:rPr>
                <w:spacing w:val="-3"/>
              </w:rPr>
              <w:t xml:space="preserve"> Sløret syn.</w:t>
            </w:r>
          </w:p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</w:p>
        </w:tc>
      </w:tr>
      <w:tr w:rsidR="00105893" w:rsidRPr="00871680" w:rsidTr="00EB20FE">
        <w:tc>
          <w:tcPr>
            <w:tcW w:w="4409" w:type="dxa"/>
          </w:tcPr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pacing w:val="-3"/>
              </w:rPr>
            </w:pPr>
            <w:r w:rsidRPr="00871680">
              <w:rPr>
                <w:b/>
                <w:spacing w:val="-3"/>
              </w:rPr>
              <w:t xml:space="preserve">Luftveje, thorax og </w:t>
            </w:r>
            <w:proofErr w:type="spellStart"/>
            <w:r w:rsidRPr="00871680">
              <w:rPr>
                <w:b/>
                <w:spacing w:val="-3"/>
              </w:rPr>
              <w:t>mediastinum</w:t>
            </w:r>
            <w:proofErr w:type="spellEnd"/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290DB0">
              <w:rPr>
                <w:i/>
                <w:spacing w:val="-3"/>
              </w:rPr>
              <w:t>Ved inhalation:</w:t>
            </w:r>
            <w:r w:rsidRPr="00871680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Apnø samt </w:t>
            </w:r>
            <w:proofErr w:type="spellStart"/>
            <w:r>
              <w:rPr>
                <w:spacing w:val="-3"/>
              </w:rPr>
              <w:t>bronko</w:t>
            </w:r>
            <w:proofErr w:type="spellEnd"/>
            <w:r>
              <w:rPr>
                <w:spacing w:val="-3"/>
              </w:rPr>
              <w:t xml:space="preserve">- og </w:t>
            </w:r>
            <w:proofErr w:type="spellStart"/>
            <w:r>
              <w:rPr>
                <w:spacing w:val="-3"/>
              </w:rPr>
              <w:t>larynxkonstriktion</w:t>
            </w:r>
            <w:proofErr w:type="spellEnd"/>
            <w:r w:rsidRPr="00871680">
              <w:rPr>
                <w:spacing w:val="-3"/>
              </w:rPr>
              <w:t xml:space="preserve"> hos hypersensitive personer. </w:t>
            </w:r>
            <w:r>
              <w:rPr>
                <w:spacing w:val="-3"/>
              </w:rPr>
              <w:t xml:space="preserve"> </w:t>
            </w:r>
          </w:p>
          <w:p w:rsidR="00105893" w:rsidRPr="00B5640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</w:p>
        </w:tc>
      </w:tr>
      <w:tr w:rsidR="00105893" w:rsidRPr="00871680" w:rsidTr="00EB20FE">
        <w:tc>
          <w:tcPr>
            <w:tcW w:w="4409" w:type="dxa"/>
          </w:tcPr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pacing w:val="-3"/>
              </w:rPr>
            </w:pPr>
            <w:proofErr w:type="spellStart"/>
            <w:r>
              <w:rPr>
                <w:b/>
                <w:spacing w:val="-3"/>
              </w:rPr>
              <w:t>Mave-tarmkanalen</w:t>
            </w:r>
            <w:proofErr w:type="spellEnd"/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290DB0">
              <w:rPr>
                <w:i/>
                <w:spacing w:val="-3"/>
              </w:rPr>
              <w:t>Oral brug:</w:t>
            </w:r>
            <w:r>
              <w:rPr>
                <w:spacing w:val="-3"/>
              </w:rPr>
              <w:t xml:space="preserve"> </w:t>
            </w:r>
            <w:r w:rsidRPr="00871680">
              <w:rPr>
                <w:spacing w:val="-3"/>
              </w:rPr>
              <w:t xml:space="preserve">Dyspeptiske gener som </w:t>
            </w:r>
            <w:proofErr w:type="spellStart"/>
            <w:r w:rsidRPr="00871680">
              <w:rPr>
                <w:spacing w:val="-3"/>
              </w:rPr>
              <w:t>pyrosis</w:t>
            </w:r>
            <w:proofErr w:type="spellEnd"/>
            <w:r>
              <w:rPr>
                <w:spacing w:val="-3"/>
              </w:rPr>
              <w:t>, kvalme og opkastning</w:t>
            </w:r>
            <w:r w:rsidRPr="00871680">
              <w:rPr>
                <w:spacing w:val="-3"/>
              </w:rPr>
              <w:t xml:space="preserve">. Mundtørhed. </w:t>
            </w:r>
            <w:proofErr w:type="spellStart"/>
            <w:r w:rsidRPr="00871680">
              <w:rPr>
                <w:spacing w:val="-3"/>
              </w:rPr>
              <w:t>Irritativt</w:t>
            </w:r>
            <w:proofErr w:type="spellEnd"/>
            <w:r w:rsidRPr="00871680">
              <w:rPr>
                <w:spacing w:val="-3"/>
              </w:rPr>
              <w:t xml:space="preserve"> tarmbesvær.</w:t>
            </w:r>
          </w:p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i/>
                <w:spacing w:val="-3"/>
              </w:rPr>
            </w:pPr>
          </w:p>
        </w:tc>
      </w:tr>
      <w:tr w:rsidR="00105893" w:rsidRPr="00871680" w:rsidTr="00EB20FE">
        <w:tc>
          <w:tcPr>
            <w:tcW w:w="4409" w:type="dxa"/>
          </w:tcPr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>
              <w:rPr>
                <w:b/>
                <w:spacing w:val="-3"/>
              </w:rPr>
              <w:lastRenderedPageBreak/>
              <w:t>Hud og subkutant væv</w:t>
            </w:r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863DBB">
              <w:rPr>
                <w:i/>
                <w:spacing w:val="-3"/>
              </w:rPr>
              <w:t>Oral brug:</w:t>
            </w:r>
            <w:r>
              <w:rPr>
                <w:spacing w:val="-3"/>
              </w:rPr>
              <w:t xml:space="preserve"> Irritation pga. udskillelse af </w:t>
            </w:r>
            <w:proofErr w:type="spellStart"/>
            <w:r>
              <w:rPr>
                <w:spacing w:val="-3"/>
              </w:rPr>
              <w:t>menthol</w:t>
            </w:r>
            <w:proofErr w:type="spellEnd"/>
            <w:r>
              <w:rPr>
                <w:spacing w:val="-3"/>
              </w:rPr>
              <w:t xml:space="preserve"> i urin og fæces.</w:t>
            </w:r>
          </w:p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863DBB">
              <w:rPr>
                <w:i/>
                <w:spacing w:val="-3"/>
              </w:rPr>
              <w:t>Udvortes brug:</w:t>
            </w:r>
            <w:r>
              <w:rPr>
                <w:spacing w:val="-3"/>
              </w:rPr>
              <w:t xml:space="preserve"> </w:t>
            </w:r>
            <w:r w:rsidRPr="00871680">
              <w:rPr>
                <w:spacing w:val="-3"/>
              </w:rPr>
              <w:t xml:space="preserve">Allergisk </w:t>
            </w:r>
            <w:proofErr w:type="spellStart"/>
            <w:r w:rsidRPr="00871680">
              <w:rPr>
                <w:spacing w:val="-3"/>
              </w:rPr>
              <w:t>kontaktdermatitit</w:t>
            </w:r>
            <w:proofErr w:type="spellEnd"/>
            <w:r w:rsidRPr="00871680">
              <w:rPr>
                <w:spacing w:val="-3"/>
              </w:rPr>
              <w:t>. Hudirritation, rødme.</w:t>
            </w:r>
          </w:p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i/>
                <w:spacing w:val="-3"/>
              </w:rPr>
            </w:pPr>
          </w:p>
        </w:tc>
      </w:tr>
      <w:tr w:rsidR="00105893" w:rsidRPr="00871680" w:rsidTr="00EB20FE">
        <w:tc>
          <w:tcPr>
            <w:tcW w:w="4409" w:type="dxa"/>
          </w:tcPr>
          <w:p w:rsidR="00105893" w:rsidRPr="00871680" w:rsidDel="004A64A7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Immunsystemet</w:t>
            </w:r>
          </w:p>
        </w:tc>
        <w:tc>
          <w:tcPr>
            <w:tcW w:w="4410" w:type="dxa"/>
          </w:tcPr>
          <w:p w:rsidR="00105893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  <w:r w:rsidRPr="00863DBB">
              <w:rPr>
                <w:i/>
                <w:spacing w:val="-3"/>
              </w:rPr>
              <w:t>Oral brug:</w:t>
            </w:r>
            <w:r>
              <w:rPr>
                <w:spacing w:val="-3"/>
              </w:rPr>
              <w:t xml:space="preserve"> Allergiske reaktioner pga. </w:t>
            </w:r>
            <w:proofErr w:type="spellStart"/>
            <w:r>
              <w:rPr>
                <w:spacing w:val="-3"/>
              </w:rPr>
              <w:t>menthol</w:t>
            </w:r>
            <w:proofErr w:type="spellEnd"/>
            <w:r>
              <w:rPr>
                <w:spacing w:val="-3"/>
              </w:rPr>
              <w:t xml:space="preserve"> (rødme, </w:t>
            </w:r>
            <w:proofErr w:type="spellStart"/>
            <w:r>
              <w:rPr>
                <w:spacing w:val="-3"/>
              </w:rPr>
              <w:t>kontaktdermatit</w:t>
            </w:r>
            <w:proofErr w:type="spellEnd"/>
            <w:r>
              <w:rPr>
                <w:spacing w:val="-3"/>
              </w:rPr>
              <w:t xml:space="preserve">, bradykardi, </w:t>
            </w:r>
            <w:proofErr w:type="spellStart"/>
            <w:r>
              <w:rPr>
                <w:spacing w:val="-3"/>
              </w:rPr>
              <w:t>tremor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</w:rPr>
              <w:t>ataksi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</w:rPr>
              <w:t>erytematøst</w:t>
            </w:r>
            <w:proofErr w:type="spellEnd"/>
            <w:r>
              <w:rPr>
                <w:spacing w:val="-3"/>
              </w:rPr>
              <w:t xml:space="preserve"> udslæt, </w:t>
            </w:r>
            <w:proofErr w:type="spellStart"/>
            <w:r>
              <w:rPr>
                <w:spacing w:val="-3"/>
              </w:rPr>
              <w:t>anafylaktisk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shock</w:t>
            </w:r>
            <w:proofErr w:type="spellEnd"/>
            <w:r>
              <w:rPr>
                <w:spacing w:val="-3"/>
              </w:rPr>
              <w:t>).</w:t>
            </w:r>
          </w:p>
          <w:p w:rsidR="00105893" w:rsidRPr="00871680" w:rsidRDefault="00105893" w:rsidP="00EB20FE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spacing w:val="-3"/>
              </w:rPr>
            </w:pPr>
          </w:p>
        </w:tc>
      </w:tr>
    </w:tbl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Pr="006A7E8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4.9</w:t>
      </w:r>
      <w:r w:rsidRPr="006A7E83">
        <w:rPr>
          <w:b/>
          <w:spacing w:val="-3"/>
        </w:rPr>
        <w:tab/>
        <w:t>Overdosering</w:t>
      </w:r>
    </w:p>
    <w:p w:rsidR="00105893" w:rsidRPr="003D0639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i/>
          <w:spacing w:val="-3"/>
        </w:rPr>
      </w:pPr>
      <w:r>
        <w:rPr>
          <w:spacing w:val="-3"/>
        </w:rPr>
        <w:tab/>
        <w:t xml:space="preserve">Ved overdosering kan der forekomme </w:t>
      </w:r>
      <w:proofErr w:type="spellStart"/>
      <w:r>
        <w:rPr>
          <w:spacing w:val="-3"/>
        </w:rPr>
        <w:t>gastrointestinale</w:t>
      </w:r>
      <w:proofErr w:type="spellEnd"/>
      <w:r>
        <w:rPr>
          <w:spacing w:val="-3"/>
        </w:rPr>
        <w:t xml:space="preserve"> gener, dyspnø, epileptiske kramper, bevidsthedstab, kuldefølelse, </w:t>
      </w:r>
      <w:proofErr w:type="spellStart"/>
      <w:r>
        <w:rPr>
          <w:spacing w:val="-3"/>
        </w:rPr>
        <w:t>pyrosis</w:t>
      </w:r>
      <w:proofErr w:type="spellEnd"/>
      <w:r>
        <w:rPr>
          <w:spacing w:val="-3"/>
        </w:rPr>
        <w:t xml:space="preserve"> og </w:t>
      </w:r>
      <w:proofErr w:type="spellStart"/>
      <w:r>
        <w:rPr>
          <w:spacing w:val="-3"/>
        </w:rPr>
        <w:t>palpitationer</w:t>
      </w:r>
      <w:proofErr w:type="spellEnd"/>
      <w:r>
        <w:rPr>
          <w:spacing w:val="-3"/>
        </w:rPr>
        <w:t>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 w:rsidRPr="006A7E83">
        <w:rPr>
          <w:b/>
          <w:spacing w:val="-3"/>
        </w:rPr>
        <w:t>4.10</w:t>
      </w:r>
      <w:r w:rsidRPr="006A7E83">
        <w:rPr>
          <w:b/>
          <w:spacing w:val="-3"/>
        </w:rPr>
        <w:tab/>
      </w:r>
      <w:r>
        <w:rPr>
          <w:b/>
          <w:spacing w:val="-3"/>
        </w:rPr>
        <w:t>Udlevering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  <w:r>
        <w:rPr>
          <w:spacing w:val="-3"/>
        </w:rPr>
        <w:tab/>
        <w:t>HF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b/>
          <w:spacing w:val="-3"/>
        </w:rPr>
      </w:pPr>
      <w:r>
        <w:rPr>
          <w:b/>
          <w:spacing w:val="-3"/>
        </w:rPr>
        <w:t xml:space="preserve">5. </w:t>
      </w:r>
      <w:r>
        <w:rPr>
          <w:b/>
          <w:spacing w:val="-3"/>
        </w:rPr>
        <w:tab/>
        <w:t>FARMAKOLOGISKE EGENSKABER</w:t>
      </w:r>
    </w:p>
    <w:p w:rsidR="00105893" w:rsidRPr="00FF08AA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0" w:hanging="850"/>
        <w:rPr>
          <w:spacing w:val="-3"/>
        </w:rPr>
      </w:pPr>
    </w:p>
    <w:p w:rsidR="00105893" w:rsidRDefault="00105893" w:rsidP="00105893">
      <w:pPr>
        <w:tabs>
          <w:tab w:val="left" w:pos="851"/>
        </w:tabs>
        <w:jc w:val="both"/>
        <w:rPr>
          <w:b/>
        </w:rPr>
      </w:pPr>
      <w:r>
        <w:rPr>
          <w:b/>
        </w:rPr>
        <w:t>5.1</w:t>
      </w:r>
      <w:r>
        <w:rPr>
          <w:b/>
        </w:rPr>
        <w:tab/>
      </w:r>
      <w:proofErr w:type="spellStart"/>
      <w:r>
        <w:rPr>
          <w:b/>
        </w:rPr>
        <w:t>Farmakodynamiske</w:t>
      </w:r>
      <w:proofErr w:type="spellEnd"/>
      <w:r>
        <w:rPr>
          <w:b/>
        </w:rPr>
        <w:t xml:space="preserve"> egenskaber</w:t>
      </w:r>
    </w:p>
    <w:p w:rsidR="007368B7" w:rsidRDefault="00105893" w:rsidP="00105893">
      <w:pPr>
        <w:tabs>
          <w:tab w:val="left" w:pos="851"/>
        </w:tabs>
        <w:ind w:left="851" w:hanging="851"/>
        <w:rPr>
          <w:rFonts w:ascii="Times" w:hAnsi="Times"/>
          <w:color w:val="000000"/>
          <w:szCs w:val="24"/>
        </w:rPr>
      </w:pPr>
      <w:r>
        <w:tab/>
      </w:r>
      <w:proofErr w:type="spellStart"/>
      <w:r w:rsidR="007368B7" w:rsidRPr="00C922B2">
        <w:rPr>
          <w:sz w:val="24"/>
          <w:szCs w:val="24"/>
        </w:rPr>
        <w:t>Farmakoterapeutisk</w:t>
      </w:r>
      <w:proofErr w:type="spellEnd"/>
      <w:r w:rsidR="007368B7" w:rsidRPr="00C922B2">
        <w:rPr>
          <w:sz w:val="24"/>
          <w:szCs w:val="24"/>
        </w:rPr>
        <w:t xml:space="preserve"> klassifikation:</w:t>
      </w:r>
      <w:r w:rsidR="007368B7">
        <w:rPr>
          <w:sz w:val="24"/>
          <w:szCs w:val="24"/>
        </w:rPr>
        <w:t xml:space="preserve"> </w:t>
      </w:r>
      <w:r w:rsidR="007368B7" w:rsidRPr="006C2B01">
        <w:rPr>
          <w:rFonts w:ascii="Times" w:hAnsi="Times"/>
          <w:color w:val="000000"/>
          <w:szCs w:val="24"/>
        </w:rPr>
        <w:t xml:space="preserve">Midler mod funktionelle </w:t>
      </w:r>
      <w:proofErr w:type="spellStart"/>
      <w:r w:rsidR="007368B7" w:rsidRPr="006C2B01">
        <w:rPr>
          <w:rFonts w:ascii="Times" w:hAnsi="Times"/>
          <w:color w:val="000000"/>
          <w:szCs w:val="24"/>
        </w:rPr>
        <w:t>gastrointestinale</w:t>
      </w:r>
      <w:proofErr w:type="spellEnd"/>
      <w:r w:rsidR="007368B7" w:rsidRPr="006C2B01">
        <w:rPr>
          <w:rFonts w:ascii="Times" w:hAnsi="Times"/>
          <w:color w:val="000000"/>
          <w:szCs w:val="24"/>
        </w:rPr>
        <w:t xml:space="preserve"> forstyrrelser</w:t>
      </w:r>
      <w:r w:rsidR="007368B7">
        <w:rPr>
          <w:rFonts w:ascii="Times" w:hAnsi="Times"/>
          <w:color w:val="000000"/>
          <w:szCs w:val="24"/>
        </w:rPr>
        <w:t>.</w:t>
      </w:r>
    </w:p>
    <w:p w:rsidR="007368B7" w:rsidRDefault="007368B7" w:rsidP="00105893">
      <w:pPr>
        <w:tabs>
          <w:tab w:val="left" w:pos="851"/>
        </w:tabs>
        <w:ind w:left="851" w:hanging="851"/>
        <w:rPr>
          <w:rFonts w:ascii="Times" w:hAnsi="Times"/>
          <w:spacing w:val="-3"/>
          <w:szCs w:val="24"/>
        </w:rPr>
      </w:pPr>
      <w:r>
        <w:tab/>
        <w:t xml:space="preserve">ATC-kode: </w:t>
      </w:r>
      <w:r w:rsidRPr="006C2B01">
        <w:rPr>
          <w:rFonts w:ascii="Times" w:hAnsi="Times"/>
          <w:spacing w:val="-3"/>
          <w:szCs w:val="24"/>
        </w:rPr>
        <w:t>A 03 A</w:t>
      </w:r>
      <w:r>
        <w:rPr>
          <w:rFonts w:ascii="Times" w:hAnsi="Times"/>
          <w:spacing w:val="-3"/>
          <w:szCs w:val="24"/>
        </w:rPr>
        <w:t>.</w:t>
      </w:r>
    </w:p>
    <w:p w:rsidR="007368B7" w:rsidRDefault="007368B7" w:rsidP="00105893">
      <w:pPr>
        <w:tabs>
          <w:tab w:val="left" w:pos="851"/>
        </w:tabs>
        <w:ind w:left="851" w:hanging="851"/>
      </w:pPr>
    </w:p>
    <w:p w:rsidR="00105893" w:rsidRDefault="007368B7" w:rsidP="00105893">
      <w:pPr>
        <w:tabs>
          <w:tab w:val="left" w:pos="851"/>
        </w:tabs>
        <w:ind w:left="851" w:hanging="851"/>
      </w:pPr>
      <w:r>
        <w:tab/>
      </w:r>
      <w:r w:rsidR="00105893">
        <w:t xml:space="preserve">Pebermynteolie har en direkte </w:t>
      </w:r>
      <w:proofErr w:type="spellStart"/>
      <w:r w:rsidR="00105893">
        <w:t>spasmolytisk</w:t>
      </w:r>
      <w:proofErr w:type="spellEnd"/>
      <w:r w:rsidR="00105893">
        <w:t xml:space="preserve"> virkning på glat muskulatur. </w:t>
      </w:r>
      <w:r w:rsidR="00105893">
        <w:rPr>
          <w:spacing w:val="-3"/>
        </w:rPr>
        <w:t>Olien har endvidere en galdesekretionsfremmende virkning.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7"/>
        </w:numPr>
        <w:jc w:val="both"/>
        <w:rPr>
          <w:b/>
        </w:rPr>
      </w:pPr>
      <w:proofErr w:type="spellStart"/>
      <w:r>
        <w:rPr>
          <w:b/>
        </w:rPr>
        <w:t>Farmakokinetiske</w:t>
      </w:r>
      <w:proofErr w:type="spellEnd"/>
      <w:r>
        <w:rPr>
          <w:b/>
        </w:rPr>
        <w:t xml:space="preserve"> egenskaber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-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7368B7" w:rsidP="00105893">
      <w:pPr>
        <w:numPr>
          <w:ilvl w:val="1"/>
          <w:numId w:val="8"/>
        </w:numPr>
        <w:jc w:val="both"/>
        <w:rPr>
          <w:b/>
        </w:rPr>
      </w:pPr>
      <w:r>
        <w:rPr>
          <w:b/>
        </w:rPr>
        <w:t>Non-</w:t>
      </w:r>
      <w:r w:rsidR="00105893">
        <w:rPr>
          <w:b/>
        </w:rPr>
        <w:t>kliniske sikkerhedsdata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Ingen.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FARMACEUTISKE OPLYSNINGER</w:t>
      </w:r>
    </w:p>
    <w:p w:rsidR="00105893" w:rsidRDefault="00105893" w:rsidP="00105893">
      <w:pPr>
        <w:tabs>
          <w:tab w:val="left" w:pos="851"/>
        </w:tabs>
        <w:jc w:val="both"/>
        <w:rPr>
          <w:b/>
        </w:rPr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>Hjælpestoffer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-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>Uforligeligheder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Ikke relevant.</w:t>
      </w:r>
    </w:p>
    <w:p w:rsidR="00105893" w:rsidRDefault="00105893" w:rsidP="00105893">
      <w:pPr>
        <w:tabs>
          <w:tab w:val="left" w:pos="851"/>
        </w:tabs>
        <w:ind w:left="855"/>
        <w:jc w:val="both"/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>Opbevaringstid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5 år.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>Særlige opbevaringsforhold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Må ikke opbevares over 25</w:t>
      </w:r>
      <w:r>
        <w:sym w:font="Symbol" w:char="F0B0"/>
      </w:r>
      <w:r>
        <w:t xml:space="preserve">C. 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Opbevares i original emballage.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>Emballagetype og pakningsstørrelser</w:t>
      </w:r>
    </w:p>
    <w:p w:rsidR="00105893" w:rsidRDefault="00105893" w:rsidP="00105893">
      <w:pPr>
        <w:tabs>
          <w:tab w:val="left" w:pos="851"/>
        </w:tabs>
        <w:ind w:left="855"/>
      </w:pPr>
      <w:r>
        <w:t>Flaske af klart glas (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r>
        <w:t xml:space="preserve">. Type III) med dråbetæller (PE) og </w:t>
      </w:r>
      <w:proofErr w:type="spellStart"/>
      <w:r>
        <w:t>guldfarvet</w:t>
      </w:r>
      <w:proofErr w:type="spellEnd"/>
      <w:r>
        <w:t xml:space="preserve"> låg (</w:t>
      </w:r>
      <w:proofErr w:type="gramStart"/>
      <w:r>
        <w:t>PP indsats</w:t>
      </w:r>
      <w:proofErr w:type="gramEnd"/>
      <w:r>
        <w:t>) samt indsugningsrør (</w:t>
      </w:r>
      <w:proofErr w:type="spellStart"/>
      <w:r>
        <w:t>Hostalen</w:t>
      </w:r>
      <w:proofErr w:type="spellEnd"/>
      <w:r>
        <w:t>).</w:t>
      </w:r>
    </w:p>
    <w:p w:rsidR="00105893" w:rsidRDefault="00105893" w:rsidP="00105893">
      <w:pPr>
        <w:tabs>
          <w:tab w:val="left" w:pos="851"/>
        </w:tabs>
        <w:ind w:left="855"/>
      </w:pPr>
    </w:p>
    <w:p w:rsidR="00105893" w:rsidRDefault="00105893" w:rsidP="00105893">
      <w:pPr>
        <w:tabs>
          <w:tab w:val="left" w:pos="851"/>
        </w:tabs>
        <w:ind w:left="855"/>
      </w:pPr>
      <w:r>
        <w:t>Pakningsstørrelser: 5, 10, 25 og 100 ml.</w:t>
      </w:r>
    </w:p>
    <w:p w:rsidR="00105893" w:rsidRDefault="00105893" w:rsidP="00105893">
      <w:pPr>
        <w:tabs>
          <w:tab w:val="left" w:pos="851"/>
        </w:tabs>
        <w:ind w:left="855"/>
      </w:pPr>
    </w:p>
    <w:p w:rsidR="00105893" w:rsidRDefault="00105893" w:rsidP="00105893">
      <w:pPr>
        <w:tabs>
          <w:tab w:val="left" w:pos="851"/>
        </w:tabs>
        <w:ind w:left="855"/>
      </w:pPr>
      <w:r>
        <w:t>Ikke alle pakningsstørrelser er nødvendigvis markedsført.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1"/>
          <w:numId w:val="9"/>
        </w:numPr>
        <w:jc w:val="both"/>
        <w:rPr>
          <w:b/>
        </w:rPr>
      </w:pPr>
      <w:r>
        <w:rPr>
          <w:b/>
        </w:rPr>
        <w:t xml:space="preserve">Regler for </w:t>
      </w:r>
      <w:r w:rsidR="007368B7">
        <w:rPr>
          <w:b/>
        </w:rPr>
        <w:t>bortskaffelse</w:t>
      </w:r>
      <w:r>
        <w:rPr>
          <w:b/>
        </w:rPr>
        <w:t xml:space="preserve"> og anden håndtering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5"/>
        <w:rPr>
          <w:spacing w:val="-3"/>
        </w:rPr>
      </w:pPr>
      <w:r>
        <w:rPr>
          <w:spacing w:val="-3"/>
        </w:rPr>
        <w:t>Ingen særlige forholdsregler.</w:t>
      </w: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5"/>
        <w:rPr>
          <w:spacing w:val="-3"/>
        </w:rPr>
      </w:pPr>
    </w:p>
    <w:p w:rsidR="00105893" w:rsidRDefault="00105893" w:rsidP="0010589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855"/>
        <w:rPr>
          <w:spacing w:val="-3"/>
        </w:rPr>
      </w:pPr>
      <w:r>
        <w:rPr>
          <w:spacing w:val="-3"/>
        </w:rPr>
        <w:t>Ikke anvendte lægemidler samt affald heraf bør destrueres i henhold til lokale retningslinjer.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INDEHAVER AF MARKEDSFØRINGSTILLADELSEN</w:t>
      </w:r>
    </w:p>
    <w:p w:rsidR="007368B7" w:rsidRDefault="007368B7" w:rsidP="007368B7">
      <w:pPr>
        <w:tabs>
          <w:tab w:val="left" w:pos="851"/>
        </w:tabs>
        <w:ind w:left="855"/>
        <w:jc w:val="both"/>
      </w:pPr>
      <w:proofErr w:type="spellStart"/>
      <w:r>
        <w:t>mibe</w:t>
      </w:r>
      <w:proofErr w:type="spellEnd"/>
      <w:r>
        <w:t xml:space="preserve"> GmbH </w:t>
      </w:r>
      <w:proofErr w:type="spellStart"/>
      <w:r>
        <w:t>Arzneimittel</w:t>
      </w:r>
      <w:proofErr w:type="spellEnd"/>
    </w:p>
    <w:p w:rsidR="007368B7" w:rsidRDefault="007368B7" w:rsidP="007368B7">
      <w:pPr>
        <w:tabs>
          <w:tab w:val="left" w:pos="851"/>
        </w:tabs>
        <w:ind w:left="855"/>
        <w:jc w:val="both"/>
      </w:pPr>
      <w:proofErr w:type="spellStart"/>
      <w:r>
        <w:t>Münchener</w:t>
      </w:r>
      <w:proofErr w:type="spellEnd"/>
      <w:r>
        <w:t xml:space="preserve"> Str. 15</w:t>
      </w:r>
    </w:p>
    <w:p w:rsidR="007368B7" w:rsidRDefault="007368B7" w:rsidP="007368B7">
      <w:pPr>
        <w:tabs>
          <w:tab w:val="left" w:pos="851"/>
        </w:tabs>
        <w:ind w:left="855"/>
        <w:jc w:val="both"/>
      </w:pPr>
      <w:r>
        <w:t xml:space="preserve">06796 </w:t>
      </w:r>
      <w:proofErr w:type="spellStart"/>
      <w:r>
        <w:t>Brehna</w:t>
      </w:r>
      <w:proofErr w:type="spellEnd"/>
    </w:p>
    <w:p w:rsidR="00105893" w:rsidRDefault="00105893" w:rsidP="007368B7">
      <w:pPr>
        <w:tabs>
          <w:tab w:val="left" w:pos="851"/>
        </w:tabs>
        <w:ind w:left="855"/>
        <w:jc w:val="both"/>
      </w:pPr>
      <w:r>
        <w:t>Tyskland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MARKEDSFØRINGSTILLADELSESNUMMER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6162097</w:t>
      </w:r>
    </w:p>
    <w:p w:rsidR="00105893" w:rsidRDefault="00105893" w:rsidP="00105893">
      <w:pPr>
        <w:tabs>
          <w:tab w:val="left" w:pos="851"/>
        </w:tabs>
        <w:ind w:left="851" w:hanging="851"/>
        <w:jc w:val="both"/>
      </w:pPr>
    </w:p>
    <w:p w:rsidR="00105893" w:rsidRDefault="00105893" w:rsidP="0010589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DATO FOR FØRSTE MARKEDSFØRINGSTILLADELSE</w:t>
      </w:r>
    </w:p>
    <w:p w:rsidR="00105893" w:rsidRDefault="00105893" w:rsidP="00105893">
      <w:pPr>
        <w:tabs>
          <w:tab w:val="left" w:pos="851"/>
        </w:tabs>
        <w:ind w:left="855"/>
        <w:jc w:val="both"/>
      </w:pPr>
      <w:r>
        <w:t>23. februar 1999</w:t>
      </w:r>
    </w:p>
    <w:p w:rsidR="00105893" w:rsidRDefault="00105893" w:rsidP="00105893">
      <w:pPr>
        <w:tabs>
          <w:tab w:val="left" w:pos="851"/>
        </w:tabs>
        <w:jc w:val="both"/>
      </w:pPr>
    </w:p>
    <w:p w:rsidR="00105893" w:rsidRDefault="00105893" w:rsidP="00105893">
      <w:pPr>
        <w:tabs>
          <w:tab w:val="left" w:pos="851"/>
        </w:tabs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DATO FOR ÆNDRING AF TEKSTEN</w:t>
      </w:r>
    </w:p>
    <w:p w:rsidR="00105893" w:rsidRDefault="00105893" w:rsidP="00105893">
      <w:pPr>
        <w:tabs>
          <w:tab w:val="left" w:pos="851"/>
        </w:tabs>
        <w:jc w:val="both"/>
      </w:pPr>
      <w:r>
        <w:tab/>
      </w:r>
      <w:r w:rsidR="007368B7">
        <w:t>2. januar 2025</w:t>
      </w:r>
    </w:p>
    <w:p w:rsidR="00105893" w:rsidRPr="00574A13" w:rsidRDefault="00105893" w:rsidP="00105893"/>
    <w:p w:rsidR="00105893" w:rsidRPr="002079B3" w:rsidRDefault="00105893" w:rsidP="00105893"/>
    <w:p w:rsidR="009260DE" w:rsidRPr="00105893" w:rsidRDefault="009260DE" w:rsidP="00105893"/>
    <w:sectPr w:rsidR="009260DE" w:rsidRPr="0010589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93" w:rsidRDefault="00105893">
      <w:r>
        <w:separator/>
      </w:r>
    </w:p>
  </w:endnote>
  <w:endnote w:type="continuationSeparator" w:id="0">
    <w:p w:rsidR="00105893" w:rsidRDefault="001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368B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7368B7">
      <w:rPr>
        <w:i/>
        <w:sz w:val="18"/>
        <w:szCs w:val="18"/>
      </w:rPr>
      <w:t>China-</w:t>
    </w:r>
    <w:proofErr w:type="spellStart"/>
    <w:r w:rsidRPr="007368B7">
      <w:rPr>
        <w:i/>
        <w:sz w:val="18"/>
        <w:szCs w:val="18"/>
      </w:rPr>
      <w:t>oel</w:t>
    </w:r>
    <w:proofErr w:type="spellEnd"/>
    <w:r w:rsidRPr="007368B7">
      <w:rPr>
        <w:i/>
        <w:sz w:val="18"/>
        <w:szCs w:val="18"/>
      </w:rPr>
      <w:t>, orale dråber-</w:t>
    </w:r>
    <w:proofErr w:type="spellStart"/>
    <w:r w:rsidRPr="007368B7">
      <w:rPr>
        <w:i/>
        <w:sz w:val="18"/>
        <w:szCs w:val="18"/>
      </w:rPr>
      <w:t>kutan</w:t>
    </w:r>
    <w:proofErr w:type="spellEnd"/>
    <w:r w:rsidRPr="007368B7">
      <w:rPr>
        <w:i/>
        <w:sz w:val="18"/>
        <w:szCs w:val="18"/>
      </w:rPr>
      <w:t xml:space="preserve"> væske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93" w:rsidRDefault="00105893">
      <w:r>
        <w:separator/>
      </w:r>
    </w:p>
  </w:footnote>
  <w:footnote w:type="continuationSeparator" w:id="0">
    <w:p w:rsidR="00105893" w:rsidRDefault="0010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448747F"/>
    <w:multiLevelType w:val="multilevel"/>
    <w:tmpl w:val="32B6C3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3"/>
    <w:rsid w:val="000259B9"/>
    <w:rsid w:val="00041491"/>
    <w:rsid w:val="00050D16"/>
    <w:rsid w:val="00074F2A"/>
    <w:rsid w:val="000A1CA8"/>
    <w:rsid w:val="000A466B"/>
    <w:rsid w:val="000B058C"/>
    <w:rsid w:val="000E4EE6"/>
    <w:rsid w:val="00105893"/>
    <w:rsid w:val="001454E2"/>
    <w:rsid w:val="00206CE8"/>
    <w:rsid w:val="0021526C"/>
    <w:rsid w:val="00274022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1C88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68B7"/>
    <w:rsid w:val="00737275"/>
    <w:rsid w:val="00740EEC"/>
    <w:rsid w:val="0078011A"/>
    <w:rsid w:val="00782AF4"/>
    <w:rsid w:val="00790EE7"/>
    <w:rsid w:val="007B6649"/>
    <w:rsid w:val="0081546F"/>
    <w:rsid w:val="0082576E"/>
    <w:rsid w:val="008D3165"/>
    <w:rsid w:val="00907F75"/>
    <w:rsid w:val="009260DE"/>
    <w:rsid w:val="0093258A"/>
    <w:rsid w:val="00982A2B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BB0BC"/>
  <w15:chartTrackingRefBased/>
  <w15:docId w15:val="{48596E90-1A0A-4447-B49B-FE5F167F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2024114477_x000d_
Skift af MAH fra Hübner Naturarzneimittel GmbH</dc:description>
  <cp:lastModifiedBy>Marianne Ott Jensen</cp:lastModifiedBy>
  <cp:revision>3</cp:revision>
  <cp:lastPrinted>2012-08-22T08:53:00Z</cp:lastPrinted>
  <dcterms:created xsi:type="dcterms:W3CDTF">2025-01-02T09:03:00Z</dcterms:created>
  <dcterms:modified xsi:type="dcterms:W3CDTF">2025-01-02T09:07:00Z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