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3FDAF" w14:textId="77777777" w:rsidR="009260DE" w:rsidRPr="00C93E04" w:rsidRDefault="0021526C" w:rsidP="009260DE">
      <w:pPr>
        <w:rPr>
          <w:sz w:val="24"/>
          <w:szCs w:val="24"/>
        </w:rPr>
      </w:pPr>
      <w:bookmarkStart w:id="0" w:name="_GoBack"/>
      <w:bookmarkEnd w:id="0"/>
      <w:r w:rsidRPr="00C93E04">
        <w:rPr>
          <w:noProof/>
          <w:sz w:val="24"/>
          <w:szCs w:val="24"/>
          <w:lang w:eastAsia="da-DK"/>
        </w:rPr>
        <w:drawing>
          <wp:anchor distT="0" distB="0" distL="114300" distR="114300" simplePos="0" relativeHeight="251658240" behindDoc="0" locked="0" layoutInCell="1" allowOverlap="1" wp14:anchorId="4C928C9C" wp14:editId="2D2908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93E04">
        <w:rPr>
          <w:sz w:val="24"/>
          <w:szCs w:val="24"/>
        </w:rPr>
        <w:br w:type="textWrapping" w:clear="all"/>
      </w:r>
    </w:p>
    <w:p w14:paraId="3FC116A0" w14:textId="1DCEEC4A" w:rsidR="009260DE" w:rsidRPr="00C93E04" w:rsidRDefault="009260DE" w:rsidP="009260DE">
      <w:pPr>
        <w:pStyle w:val="Titel"/>
        <w:tabs>
          <w:tab w:val="right" w:pos="9356"/>
        </w:tabs>
        <w:jc w:val="left"/>
        <w:rPr>
          <w:b w:val="0"/>
          <w:szCs w:val="24"/>
          <w:lang w:eastAsia="en-US"/>
        </w:rPr>
      </w:pPr>
      <w:r w:rsidRPr="00C93E04">
        <w:rPr>
          <w:b w:val="0"/>
          <w:szCs w:val="24"/>
          <w:lang w:eastAsia="en-US"/>
        </w:rPr>
        <w:tab/>
      </w:r>
      <w:r w:rsidR="0053175A">
        <w:rPr>
          <w:szCs w:val="24"/>
        </w:rPr>
        <w:t>14. april 2025</w:t>
      </w:r>
    </w:p>
    <w:p w14:paraId="6D8DDA21" w14:textId="77777777" w:rsidR="009260DE" w:rsidRPr="00C93E04" w:rsidRDefault="009260DE" w:rsidP="009260DE">
      <w:pPr>
        <w:pStyle w:val="Titel"/>
        <w:tabs>
          <w:tab w:val="left" w:pos="8222"/>
        </w:tabs>
        <w:jc w:val="left"/>
        <w:rPr>
          <w:b w:val="0"/>
          <w:szCs w:val="24"/>
        </w:rPr>
      </w:pPr>
    </w:p>
    <w:p w14:paraId="75F6144E" w14:textId="77777777" w:rsidR="009260DE" w:rsidRPr="00C93E04" w:rsidRDefault="009260DE" w:rsidP="009260DE">
      <w:pPr>
        <w:pStyle w:val="Titel"/>
        <w:jc w:val="left"/>
        <w:rPr>
          <w:b w:val="0"/>
          <w:szCs w:val="24"/>
        </w:rPr>
      </w:pPr>
    </w:p>
    <w:p w14:paraId="7C75D8F6" w14:textId="77777777" w:rsidR="009260DE" w:rsidRPr="00C93E04" w:rsidRDefault="009260DE" w:rsidP="009260DE">
      <w:pPr>
        <w:pStyle w:val="Titel"/>
        <w:jc w:val="left"/>
        <w:rPr>
          <w:b w:val="0"/>
          <w:szCs w:val="24"/>
        </w:rPr>
      </w:pPr>
    </w:p>
    <w:p w14:paraId="50115379" w14:textId="77777777" w:rsidR="009260DE" w:rsidRPr="00C93E04" w:rsidRDefault="009260DE" w:rsidP="009260DE">
      <w:pPr>
        <w:jc w:val="center"/>
        <w:rPr>
          <w:b/>
          <w:sz w:val="24"/>
          <w:szCs w:val="24"/>
        </w:rPr>
      </w:pPr>
      <w:r w:rsidRPr="00C93E04">
        <w:rPr>
          <w:b/>
          <w:sz w:val="24"/>
          <w:szCs w:val="24"/>
        </w:rPr>
        <w:t>PRODUKTRESUMÉ</w:t>
      </w:r>
    </w:p>
    <w:p w14:paraId="43BC1768" w14:textId="77777777" w:rsidR="009260DE" w:rsidRPr="00C93E04" w:rsidRDefault="009260DE" w:rsidP="009260DE">
      <w:pPr>
        <w:jc w:val="center"/>
        <w:rPr>
          <w:b/>
          <w:sz w:val="24"/>
          <w:szCs w:val="24"/>
        </w:rPr>
      </w:pPr>
    </w:p>
    <w:p w14:paraId="21DAD171" w14:textId="77777777" w:rsidR="009260DE" w:rsidRPr="00C93E04" w:rsidRDefault="009260DE" w:rsidP="009260DE">
      <w:pPr>
        <w:jc w:val="center"/>
        <w:rPr>
          <w:b/>
          <w:sz w:val="24"/>
          <w:szCs w:val="24"/>
        </w:rPr>
      </w:pPr>
      <w:r w:rsidRPr="00C93E04">
        <w:rPr>
          <w:b/>
          <w:sz w:val="24"/>
          <w:szCs w:val="24"/>
        </w:rPr>
        <w:t>for</w:t>
      </w:r>
    </w:p>
    <w:p w14:paraId="62A19BAA" w14:textId="77777777" w:rsidR="000B058C" w:rsidRPr="00C93E04" w:rsidRDefault="000B058C" w:rsidP="009260DE">
      <w:pPr>
        <w:jc w:val="center"/>
        <w:rPr>
          <w:b/>
          <w:sz w:val="24"/>
          <w:szCs w:val="24"/>
        </w:rPr>
      </w:pPr>
    </w:p>
    <w:p w14:paraId="6CDDAAC3" w14:textId="7A16C2CB" w:rsidR="009260DE" w:rsidRPr="00C93E04" w:rsidRDefault="00071ABC" w:rsidP="009260DE">
      <w:pPr>
        <w:jc w:val="center"/>
        <w:rPr>
          <w:b/>
          <w:sz w:val="24"/>
          <w:szCs w:val="24"/>
        </w:rPr>
      </w:pPr>
      <w:proofErr w:type="spellStart"/>
      <w:r w:rsidRPr="00C93E04">
        <w:rPr>
          <w:b/>
          <w:sz w:val="24"/>
          <w:szCs w:val="24"/>
        </w:rPr>
        <w:t>Entolex</w:t>
      </w:r>
      <w:proofErr w:type="spellEnd"/>
      <w:r w:rsidRPr="00C93E04">
        <w:rPr>
          <w:b/>
          <w:sz w:val="24"/>
          <w:szCs w:val="24"/>
        </w:rPr>
        <w:t>, bløde enterokapsler</w:t>
      </w:r>
    </w:p>
    <w:p w14:paraId="0EECEB29" w14:textId="77777777" w:rsidR="009260DE" w:rsidRPr="00C93E04" w:rsidRDefault="009260DE" w:rsidP="009260DE">
      <w:pPr>
        <w:jc w:val="both"/>
        <w:rPr>
          <w:sz w:val="24"/>
          <w:szCs w:val="24"/>
        </w:rPr>
      </w:pPr>
    </w:p>
    <w:p w14:paraId="32064229" w14:textId="77777777" w:rsidR="009260DE" w:rsidRPr="00C93E04" w:rsidRDefault="009260DE" w:rsidP="009260DE">
      <w:pPr>
        <w:jc w:val="both"/>
        <w:rPr>
          <w:sz w:val="24"/>
          <w:szCs w:val="24"/>
        </w:rPr>
      </w:pPr>
    </w:p>
    <w:p w14:paraId="3524F690" w14:textId="77777777" w:rsidR="009260DE" w:rsidRPr="00C93E04" w:rsidRDefault="009260DE" w:rsidP="009260DE">
      <w:pPr>
        <w:tabs>
          <w:tab w:val="left" w:pos="851"/>
        </w:tabs>
        <w:ind w:left="851" w:hanging="851"/>
        <w:rPr>
          <w:b/>
          <w:sz w:val="24"/>
          <w:szCs w:val="24"/>
        </w:rPr>
      </w:pPr>
      <w:r w:rsidRPr="00C93E04">
        <w:rPr>
          <w:b/>
          <w:sz w:val="24"/>
          <w:szCs w:val="24"/>
        </w:rPr>
        <w:t>0.</w:t>
      </w:r>
      <w:r w:rsidRPr="00C93E04">
        <w:rPr>
          <w:b/>
          <w:sz w:val="24"/>
          <w:szCs w:val="24"/>
        </w:rPr>
        <w:tab/>
        <w:t>D.SP.NR.</w:t>
      </w:r>
    </w:p>
    <w:p w14:paraId="6613B9B8" w14:textId="2B7B38DF" w:rsidR="009260DE" w:rsidRPr="00C93E04" w:rsidRDefault="00071ABC" w:rsidP="009260DE">
      <w:pPr>
        <w:tabs>
          <w:tab w:val="left" w:pos="851"/>
        </w:tabs>
        <w:ind w:left="851"/>
        <w:rPr>
          <w:sz w:val="24"/>
          <w:szCs w:val="24"/>
        </w:rPr>
      </w:pPr>
      <w:r w:rsidRPr="00C93E04">
        <w:rPr>
          <w:sz w:val="24"/>
          <w:szCs w:val="24"/>
        </w:rPr>
        <w:t>-</w:t>
      </w:r>
    </w:p>
    <w:p w14:paraId="1DC8A5A8" w14:textId="77777777" w:rsidR="009260DE" w:rsidRPr="00C93E04" w:rsidRDefault="009260DE" w:rsidP="009260DE">
      <w:pPr>
        <w:tabs>
          <w:tab w:val="left" w:pos="851"/>
        </w:tabs>
        <w:ind w:left="851"/>
        <w:rPr>
          <w:sz w:val="24"/>
          <w:szCs w:val="24"/>
        </w:rPr>
      </w:pPr>
    </w:p>
    <w:p w14:paraId="3587E165" w14:textId="77777777" w:rsidR="009260DE" w:rsidRPr="00C93E04" w:rsidRDefault="009260DE" w:rsidP="009260DE">
      <w:pPr>
        <w:tabs>
          <w:tab w:val="left" w:pos="851"/>
        </w:tabs>
        <w:ind w:left="851" w:hanging="851"/>
        <w:rPr>
          <w:b/>
          <w:sz w:val="24"/>
          <w:szCs w:val="24"/>
        </w:rPr>
      </w:pPr>
      <w:r w:rsidRPr="00C93E04">
        <w:rPr>
          <w:b/>
          <w:sz w:val="24"/>
          <w:szCs w:val="24"/>
        </w:rPr>
        <w:t>1.</w:t>
      </w:r>
      <w:r w:rsidRPr="00C93E04">
        <w:rPr>
          <w:b/>
          <w:sz w:val="24"/>
          <w:szCs w:val="24"/>
        </w:rPr>
        <w:tab/>
        <w:t>LÆGEMIDLETS NAVN</w:t>
      </w:r>
    </w:p>
    <w:p w14:paraId="38DE9E7B" w14:textId="71776D84" w:rsidR="009260DE" w:rsidRPr="00C93E04" w:rsidRDefault="00071ABC" w:rsidP="009260DE">
      <w:pPr>
        <w:tabs>
          <w:tab w:val="left" w:pos="851"/>
        </w:tabs>
        <w:ind w:left="851"/>
        <w:rPr>
          <w:sz w:val="24"/>
          <w:szCs w:val="24"/>
        </w:rPr>
      </w:pPr>
      <w:proofErr w:type="spellStart"/>
      <w:r w:rsidRPr="00C93E04">
        <w:rPr>
          <w:sz w:val="24"/>
          <w:szCs w:val="24"/>
        </w:rPr>
        <w:t>Entolex</w:t>
      </w:r>
      <w:proofErr w:type="spellEnd"/>
    </w:p>
    <w:p w14:paraId="4F72B6C4" w14:textId="77777777" w:rsidR="009260DE" w:rsidRPr="00C93E04" w:rsidRDefault="009260DE" w:rsidP="009260DE">
      <w:pPr>
        <w:tabs>
          <w:tab w:val="left" w:pos="851"/>
        </w:tabs>
        <w:ind w:left="851"/>
        <w:rPr>
          <w:sz w:val="24"/>
          <w:szCs w:val="24"/>
        </w:rPr>
      </w:pPr>
    </w:p>
    <w:p w14:paraId="7EDA4E1F" w14:textId="77777777" w:rsidR="009260DE" w:rsidRPr="00C93E04" w:rsidRDefault="009260DE" w:rsidP="009260DE">
      <w:pPr>
        <w:tabs>
          <w:tab w:val="left" w:pos="851"/>
        </w:tabs>
        <w:ind w:left="851" w:hanging="851"/>
        <w:rPr>
          <w:b/>
          <w:sz w:val="24"/>
          <w:szCs w:val="24"/>
        </w:rPr>
      </w:pPr>
      <w:r w:rsidRPr="00C93E04">
        <w:rPr>
          <w:b/>
          <w:sz w:val="24"/>
          <w:szCs w:val="24"/>
        </w:rPr>
        <w:t>2.</w:t>
      </w:r>
      <w:r w:rsidRPr="00C93E04">
        <w:rPr>
          <w:b/>
          <w:sz w:val="24"/>
          <w:szCs w:val="24"/>
        </w:rPr>
        <w:tab/>
        <w:t>KVALITATIV OG KVANTITATIV SAMMENSÆTNING</w:t>
      </w:r>
    </w:p>
    <w:p w14:paraId="171A966B" w14:textId="77777777" w:rsidR="00071ABC" w:rsidRPr="00C93E04" w:rsidRDefault="00071ABC" w:rsidP="004B12F8">
      <w:pPr>
        <w:ind w:left="851"/>
        <w:rPr>
          <w:iCs/>
          <w:sz w:val="24"/>
          <w:szCs w:val="24"/>
        </w:rPr>
      </w:pPr>
      <w:r w:rsidRPr="00C93E04">
        <w:rPr>
          <w:sz w:val="24"/>
          <w:szCs w:val="24"/>
        </w:rPr>
        <w:t xml:space="preserve">Hver kapsel indeholder 182 mg </w:t>
      </w:r>
      <w:proofErr w:type="spellStart"/>
      <w:r w:rsidRPr="00C93E04">
        <w:rPr>
          <w:i/>
          <w:sz w:val="24"/>
          <w:szCs w:val="24"/>
        </w:rPr>
        <w:t>Mentha</w:t>
      </w:r>
      <w:proofErr w:type="spellEnd"/>
      <w:r w:rsidRPr="00C93E04">
        <w:rPr>
          <w:i/>
          <w:sz w:val="24"/>
          <w:szCs w:val="24"/>
        </w:rPr>
        <w:t xml:space="preserve"> × </w:t>
      </w:r>
      <w:proofErr w:type="spellStart"/>
      <w:r w:rsidRPr="00C93E04">
        <w:rPr>
          <w:i/>
          <w:sz w:val="24"/>
          <w:szCs w:val="24"/>
        </w:rPr>
        <w:t>piperita</w:t>
      </w:r>
      <w:proofErr w:type="spellEnd"/>
      <w:r w:rsidRPr="00C93E04">
        <w:rPr>
          <w:i/>
          <w:sz w:val="24"/>
          <w:szCs w:val="24"/>
        </w:rPr>
        <w:t xml:space="preserve"> </w:t>
      </w:r>
      <w:r w:rsidRPr="00C93E04">
        <w:rPr>
          <w:sz w:val="24"/>
          <w:szCs w:val="24"/>
        </w:rPr>
        <w:t xml:space="preserve">L., </w:t>
      </w:r>
      <w:proofErr w:type="spellStart"/>
      <w:r w:rsidRPr="00C93E04">
        <w:rPr>
          <w:sz w:val="24"/>
          <w:szCs w:val="24"/>
        </w:rPr>
        <w:t>aetheroleum</w:t>
      </w:r>
      <w:proofErr w:type="spellEnd"/>
      <w:r w:rsidRPr="00C93E04">
        <w:rPr>
          <w:sz w:val="24"/>
          <w:szCs w:val="24"/>
        </w:rPr>
        <w:t xml:space="preserve"> (pebermynteolie).</w:t>
      </w:r>
    </w:p>
    <w:p w14:paraId="720940DD" w14:textId="77777777" w:rsidR="00071ABC" w:rsidRPr="00C93E04" w:rsidRDefault="00071ABC" w:rsidP="004B12F8">
      <w:pPr>
        <w:ind w:left="851"/>
        <w:rPr>
          <w:iCs/>
          <w:sz w:val="24"/>
          <w:szCs w:val="24"/>
          <w:u w:val="single"/>
        </w:rPr>
      </w:pPr>
    </w:p>
    <w:p w14:paraId="680A4EC0" w14:textId="77777777" w:rsidR="00071ABC" w:rsidRPr="00C93E04" w:rsidRDefault="00071ABC" w:rsidP="004B12F8">
      <w:pPr>
        <w:ind w:left="851"/>
        <w:rPr>
          <w:sz w:val="24"/>
          <w:szCs w:val="24"/>
        </w:rPr>
      </w:pPr>
      <w:r w:rsidRPr="00C93E04">
        <w:rPr>
          <w:sz w:val="24"/>
          <w:szCs w:val="24"/>
        </w:rPr>
        <w:t>Alle hjælpestoffer er anført under pkt. 6.1.</w:t>
      </w:r>
    </w:p>
    <w:p w14:paraId="06FFCA9A" w14:textId="77777777" w:rsidR="009260DE" w:rsidRPr="00C93E04" w:rsidRDefault="009260DE" w:rsidP="009260DE">
      <w:pPr>
        <w:tabs>
          <w:tab w:val="left" w:pos="851"/>
        </w:tabs>
        <w:ind w:left="851"/>
        <w:rPr>
          <w:sz w:val="24"/>
          <w:szCs w:val="24"/>
        </w:rPr>
      </w:pPr>
    </w:p>
    <w:p w14:paraId="1E0C1E8F" w14:textId="77777777" w:rsidR="009260DE" w:rsidRPr="00C93E04" w:rsidRDefault="009260DE" w:rsidP="009260DE">
      <w:pPr>
        <w:tabs>
          <w:tab w:val="left" w:pos="851"/>
        </w:tabs>
        <w:ind w:left="851" w:hanging="851"/>
        <w:rPr>
          <w:b/>
          <w:sz w:val="24"/>
          <w:szCs w:val="24"/>
        </w:rPr>
      </w:pPr>
      <w:r w:rsidRPr="00C93E04">
        <w:rPr>
          <w:b/>
          <w:sz w:val="24"/>
          <w:szCs w:val="24"/>
        </w:rPr>
        <w:t>3.</w:t>
      </w:r>
      <w:r w:rsidRPr="00C93E04">
        <w:rPr>
          <w:b/>
          <w:sz w:val="24"/>
          <w:szCs w:val="24"/>
        </w:rPr>
        <w:tab/>
        <w:t>LÆGEMIDDELFORM</w:t>
      </w:r>
    </w:p>
    <w:p w14:paraId="20B8886A" w14:textId="0985C4EE" w:rsidR="00071ABC" w:rsidRPr="00C93E04" w:rsidRDefault="00C93E04" w:rsidP="004B12F8">
      <w:pPr>
        <w:ind w:left="851"/>
        <w:rPr>
          <w:sz w:val="24"/>
          <w:szCs w:val="24"/>
        </w:rPr>
      </w:pPr>
      <w:r>
        <w:rPr>
          <w:sz w:val="24"/>
          <w:szCs w:val="24"/>
        </w:rPr>
        <w:t>Bløde e</w:t>
      </w:r>
      <w:r w:rsidR="00071ABC" w:rsidRPr="00C93E04">
        <w:rPr>
          <w:sz w:val="24"/>
          <w:szCs w:val="24"/>
        </w:rPr>
        <w:t>nterokaps</w:t>
      </w:r>
      <w:r>
        <w:rPr>
          <w:sz w:val="24"/>
          <w:szCs w:val="24"/>
        </w:rPr>
        <w:t>ler</w:t>
      </w:r>
    </w:p>
    <w:p w14:paraId="6256022E" w14:textId="77777777" w:rsidR="00071ABC" w:rsidRPr="00C93E04" w:rsidRDefault="00071ABC" w:rsidP="004B12F8">
      <w:pPr>
        <w:ind w:left="851"/>
        <w:rPr>
          <w:sz w:val="24"/>
          <w:szCs w:val="24"/>
        </w:rPr>
      </w:pPr>
    </w:p>
    <w:p w14:paraId="189E76FB" w14:textId="77777777" w:rsidR="00071ABC" w:rsidRPr="00C93E04" w:rsidRDefault="00071ABC" w:rsidP="004B12F8">
      <w:pPr>
        <w:ind w:left="851"/>
        <w:rPr>
          <w:sz w:val="24"/>
          <w:szCs w:val="24"/>
        </w:rPr>
      </w:pPr>
      <w:r w:rsidRPr="00C93E04">
        <w:rPr>
          <w:sz w:val="24"/>
          <w:szCs w:val="24"/>
        </w:rPr>
        <w:t xml:space="preserve">Oval, gennemsigtig, blød kapsel (10,2 mm </w:t>
      </w:r>
      <w:r w:rsidRPr="00C93E04">
        <w:rPr>
          <w:i/>
          <w:sz w:val="24"/>
          <w:szCs w:val="24"/>
        </w:rPr>
        <w:t>×</w:t>
      </w:r>
      <w:r w:rsidRPr="00C93E04">
        <w:rPr>
          <w:sz w:val="24"/>
          <w:szCs w:val="24"/>
        </w:rPr>
        <w:t xml:space="preserve"> 7,1 mm) som indeholder en klar til let gullig væske.</w:t>
      </w:r>
    </w:p>
    <w:p w14:paraId="75A7D486" w14:textId="77777777" w:rsidR="009260DE" w:rsidRPr="00C93E04" w:rsidRDefault="009260DE" w:rsidP="009260DE">
      <w:pPr>
        <w:tabs>
          <w:tab w:val="left" w:pos="851"/>
        </w:tabs>
        <w:ind w:left="851"/>
        <w:rPr>
          <w:sz w:val="24"/>
          <w:szCs w:val="24"/>
        </w:rPr>
      </w:pPr>
    </w:p>
    <w:p w14:paraId="4290FD4F" w14:textId="77777777" w:rsidR="009260DE" w:rsidRPr="00C93E04" w:rsidRDefault="009260DE" w:rsidP="009260DE">
      <w:pPr>
        <w:tabs>
          <w:tab w:val="left" w:pos="851"/>
        </w:tabs>
        <w:ind w:left="851"/>
        <w:rPr>
          <w:sz w:val="24"/>
          <w:szCs w:val="24"/>
        </w:rPr>
      </w:pPr>
    </w:p>
    <w:p w14:paraId="4F529771" w14:textId="77777777" w:rsidR="009260DE" w:rsidRPr="00C93E04" w:rsidRDefault="009260DE" w:rsidP="009260DE">
      <w:pPr>
        <w:tabs>
          <w:tab w:val="left" w:pos="851"/>
        </w:tabs>
        <w:ind w:left="851" w:hanging="851"/>
        <w:rPr>
          <w:b/>
          <w:sz w:val="24"/>
          <w:szCs w:val="24"/>
        </w:rPr>
      </w:pPr>
      <w:r w:rsidRPr="00C93E04">
        <w:rPr>
          <w:b/>
          <w:sz w:val="24"/>
          <w:szCs w:val="24"/>
        </w:rPr>
        <w:t>4.</w:t>
      </w:r>
      <w:r w:rsidRPr="00C93E04">
        <w:rPr>
          <w:b/>
          <w:sz w:val="24"/>
          <w:szCs w:val="24"/>
        </w:rPr>
        <w:tab/>
        <w:t>KLINISKE OPLYSNINGER</w:t>
      </w:r>
    </w:p>
    <w:p w14:paraId="2E88986D" w14:textId="77777777" w:rsidR="009260DE" w:rsidRPr="00C93E04" w:rsidRDefault="009260DE" w:rsidP="009260DE">
      <w:pPr>
        <w:tabs>
          <w:tab w:val="left" w:pos="851"/>
        </w:tabs>
        <w:ind w:left="851"/>
        <w:rPr>
          <w:b/>
          <w:sz w:val="24"/>
          <w:szCs w:val="24"/>
        </w:rPr>
      </w:pPr>
    </w:p>
    <w:p w14:paraId="494C6749" w14:textId="77777777" w:rsidR="009260DE" w:rsidRPr="00C93E04" w:rsidRDefault="009260DE" w:rsidP="009260DE">
      <w:pPr>
        <w:tabs>
          <w:tab w:val="left" w:pos="851"/>
        </w:tabs>
        <w:ind w:left="851" w:hanging="851"/>
        <w:rPr>
          <w:b/>
          <w:sz w:val="24"/>
          <w:szCs w:val="24"/>
          <w:u w:val="single"/>
        </w:rPr>
      </w:pPr>
      <w:r w:rsidRPr="00C93E04">
        <w:rPr>
          <w:b/>
          <w:sz w:val="24"/>
          <w:szCs w:val="24"/>
        </w:rPr>
        <w:t>4.1</w:t>
      </w:r>
      <w:r w:rsidRPr="00C93E04">
        <w:rPr>
          <w:b/>
          <w:sz w:val="24"/>
          <w:szCs w:val="24"/>
        </w:rPr>
        <w:tab/>
        <w:t>Terapeutiske indikationer</w:t>
      </w:r>
    </w:p>
    <w:p w14:paraId="02311570" w14:textId="61EC2B12" w:rsidR="00071ABC" w:rsidRPr="00C93E04" w:rsidRDefault="00071ABC" w:rsidP="004B12F8">
      <w:pPr>
        <w:ind w:left="851"/>
        <w:rPr>
          <w:sz w:val="24"/>
          <w:szCs w:val="24"/>
        </w:rPr>
      </w:pPr>
      <w:r w:rsidRPr="00C93E04">
        <w:rPr>
          <w:sz w:val="24"/>
          <w:szCs w:val="24"/>
        </w:rPr>
        <w:t xml:space="preserve">Naturlægemiddel til symptomatisk lindring af mindre spasmer i mave-tarm-kanalen, </w:t>
      </w:r>
      <w:proofErr w:type="spellStart"/>
      <w:r w:rsidRPr="00C93E04">
        <w:rPr>
          <w:sz w:val="24"/>
          <w:szCs w:val="24"/>
        </w:rPr>
        <w:t>flatulens</w:t>
      </w:r>
      <w:proofErr w:type="spellEnd"/>
      <w:r w:rsidRPr="00C93E04">
        <w:rPr>
          <w:sz w:val="24"/>
          <w:szCs w:val="24"/>
        </w:rPr>
        <w:t xml:space="preserve"> og mavepine, især hos patienter med irritabel tyktarm.</w:t>
      </w:r>
    </w:p>
    <w:p w14:paraId="30101C6A" w14:textId="77777777" w:rsidR="00071ABC" w:rsidRPr="00C93E04" w:rsidRDefault="00071ABC" w:rsidP="004B12F8">
      <w:pPr>
        <w:ind w:left="851"/>
        <w:rPr>
          <w:sz w:val="24"/>
          <w:szCs w:val="24"/>
        </w:rPr>
      </w:pPr>
    </w:p>
    <w:p w14:paraId="751EE739" w14:textId="77777777" w:rsidR="00071ABC" w:rsidRPr="00C93E04" w:rsidRDefault="00071ABC" w:rsidP="004B12F8">
      <w:pPr>
        <w:ind w:left="851"/>
        <w:rPr>
          <w:sz w:val="24"/>
          <w:szCs w:val="24"/>
        </w:rPr>
      </w:pPr>
      <w:proofErr w:type="spellStart"/>
      <w:r w:rsidRPr="00C93E04">
        <w:rPr>
          <w:sz w:val="24"/>
          <w:szCs w:val="24"/>
        </w:rPr>
        <w:t>Entolex</w:t>
      </w:r>
      <w:proofErr w:type="spellEnd"/>
      <w:r w:rsidRPr="00C93E04">
        <w:rPr>
          <w:sz w:val="24"/>
          <w:szCs w:val="24"/>
        </w:rPr>
        <w:t xml:space="preserve"> er indiceret til voksne, unge og børn fra 8 år.</w:t>
      </w:r>
    </w:p>
    <w:p w14:paraId="4B32A008" w14:textId="77777777" w:rsidR="009260DE" w:rsidRPr="00C93E04" w:rsidRDefault="009260DE" w:rsidP="009260DE">
      <w:pPr>
        <w:tabs>
          <w:tab w:val="left" w:pos="851"/>
        </w:tabs>
        <w:ind w:left="851"/>
        <w:rPr>
          <w:sz w:val="24"/>
          <w:szCs w:val="24"/>
        </w:rPr>
      </w:pPr>
    </w:p>
    <w:p w14:paraId="70322061" w14:textId="77777777" w:rsidR="009260DE" w:rsidRPr="00C93E04" w:rsidRDefault="009260DE" w:rsidP="009260DE">
      <w:pPr>
        <w:tabs>
          <w:tab w:val="left" w:pos="851"/>
        </w:tabs>
        <w:ind w:left="851" w:hanging="851"/>
        <w:rPr>
          <w:b/>
          <w:sz w:val="24"/>
          <w:szCs w:val="24"/>
        </w:rPr>
      </w:pPr>
      <w:r w:rsidRPr="00C93E04">
        <w:rPr>
          <w:b/>
          <w:sz w:val="24"/>
          <w:szCs w:val="24"/>
        </w:rPr>
        <w:t>4.2</w:t>
      </w:r>
      <w:r w:rsidRPr="00C93E04">
        <w:rPr>
          <w:b/>
          <w:sz w:val="24"/>
          <w:szCs w:val="24"/>
        </w:rPr>
        <w:tab/>
        <w:t xml:space="preserve">Dosering og </w:t>
      </w:r>
      <w:r w:rsidR="002C1EC0" w:rsidRPr="00C93E04">
        <w:rPr>
          <w:b/>
          <w:sz w:val="24"/>
          <w:szCs w:val="24"/>
        </w:rPr>
        <w:t>administration</w:t>
      </w:r>
    </w:p>
    <w:p w14:paraId="1F09AFDB" w14:textId="77777777" w:rsidR="00C93E04" w:rsidRDefault="00C93E04" w:rsidP="004B12F8">
      <w:pPr>
        <w:ind w:left="851"/>
        <w:rPr>
          <w:sz w:val="24"/>
          <w:szCs w:val="24"/>
        </w:rPr>
      </w:pPr>
    </w:p>
    <w:p w14:paraId="08AE0EEA" w14:textId="6BE082E0" w:rsidR="00071ABC" w:rsidRPr="00C93E04" w:rsidRDefault="00071ABC" w:rsidP="004B12F8">
      <w:pPr>
        <w:ind w:left="851"/>
        <w:rPr>
          <w:sz w:val="24"/>
          <w:szCs w:val="24"/>
          <w:u w:val="single"/>
        </w:rPr>
      </w:pPr>
      <w:r w:rsidRPr="00C93E04">
        <w:rPr>
          <w:sz w:val="24"/>
          <w:szCs w:val="24"/>
          <w:u w:val="single"/>
        </w:rPr>
        <w:t>Dosering</w:t>
      </w:r>
    </w:p>
    <w:p w14:paraId="187EE726" w14:textId="77777777" w:rsidR="00071ABC" w:rsidRPr="00C93E04" w:rsidRDefault="00071ABC" w:rsidP="004B12F8">
      <w:pPr>
        <w:ind w:left="851"/>
        <w:rPr>
          <w:sz w:val="24"/>
          <w:szCs w:val="24"/>
        </w:rPr>
      </w:pPr>
    </w:p>
    <w:p w14:paraId="577662DD" w14:textId="77777777" w:rsidR="00071ABC" w:rsidRPr="00C93E04" w:rsidRDefault="00071ABC" w:rsidP="004B12F8">
      <w:pPr>
        <w:ind w:left="851"/>
        <w:rPr>
          <w:sz w:val="24"/>
          <w:szCs w:val="24"/>
        </w:rPr>
      </w:pPr>
      <w:r w:rsidRPr="00C93E04">
        <w:rPr>
          <w:sz w:val="24"/>
          <w:szCs w:val="24"/>
        </w:rPr>
        <w:t>Til oral anvendelse.</w:t>
      </w:r>
    </w:p>
    <w:p w14:paraId="73BB8BC1" w14:textId="77777777" w:rsidR="00071ABC" w:rsidRPr="00C93E04" w:rsidRDefault="00071ABC" w:rsidP="004B12F8">
      <w:pPr>
        <w:ind w:left="851"/>
        <w:rPr>
          <w:sz w:val="24"/>
          <w:szCs w:val="24"/>
        </w:rPr>
      </w:pPr>
    </w:p>
    <w:p w14:paraId="7CED5249" w14:textId="77777777" w:rsidR="00071ABC" w:rsidRPr="00C93E04" w:rsidRDefault="00071ABC" w:rsidP="004B12F8">
      <w:pPr>
        <w:ind w:left="851"/>
        <w:rPr>
          <w:i/>
          <w:iCs/>
          <w:sz w:val="24"/>
          <w:szCs w:val="24"/>
        </w:rPr>
      </w:pPr>
      <w:r w:rsidRPr="00C93E04">
        <w:rPr>
          <w:i/>
          <w:sz w:val="24"/>
          <w:szCs w:val="24"/>
        </w:rPr>
        <w:t>Voksne og ældre</w:t>
      </w:r>
    </w:p>
    <w:p w14:paraId="377ABF5E" w14:textId="77777777" w:rsidR="00071ABC" w:rsidRPr="00C93E04" w:rsidRDefault="00071ABC" w:rsidP="004B12F8">
      <w:pPr>
        <w:ind w:left="851"/>
        <w:rPr>
          <w:sz w:val="24"/>
          <w:szCs w:val="24"/>
        </w:rPr>
      </w:pPr>
      <w:r w:rsidRPr="00C93E04">
        <w:rPr>
          <w:sz w:val="24"/>
          <w:szCs w:val="24"/>
        </w:rPr>
        <w:t xml:space="preserve">1-2 kapsler (0,2-0,4 ml i </w:t>
      </w:r>
      <w:proofErr w:type="spellStart"/>
      <w:r w:rsidRPr="00C93E04">
        <w:rPr>
          <w:sz w:val="24"/>
          <w:szCs w:val="24"/>
        </w:rPr>
        <w:t>enterokapsel</w:t>
      </w:r>
      <w:proofErr w:type="spellEnd"/>
      <w:r w:rsidRPr="00C93E04">
        <w:rPr>
          <w:sz w:val="24"/>
          <w:szCs w:val="24"/>
        </w:rPr>
        <w:t>) op til tre gange om dagen.</w:t>
      </w:r>
    </w:p>
    <w:p w14:paraId="7B0C54EF" w14:textId="77777777" w:rsidR="00071ABC" w:rsidRPr="00C93E04" w:rsidRDefault="00071ABC" w:rsidP="004B12F8">
      <w:pPr>
        <w:ind w:left="851"/>
        <w:rPr>
          <w:sz w:val="24"/>
          <w:szCs w:val="24"/>
        </w:rPr>
      </w:pPr>
    </w:p>
    <w:p w14:paraId="23234239" w14:textId="77777777" w:rsidR="00071ABC" w:rsidRPr="00C93E04" w:rsidRDefault="00071ABC" w:rsidP="004B12F8">
      <w:pPr>
        <w:ind w:left="851"/>
        <w:rPr>
          <w:i/>
          <w:iCs/>
          <w:sz w:val="24"/>
          <w:szCs w:val="24"/>
        </w:rPr>
      </w:pPr>
      <w:r w:rsidRPr="00C93E04">
        <w:rPr>
          <w:i/>
          <w:sz w:val="24"/>
          <w:szCs w:val="24"/>
        </w:rPr>
        <w:lastRenderedPageBreak/>
        <w:t>Børn og unge over 8 år</w:t>
      </w:r>
    </w:p>
    <w:p w14:paraId="1AB03FAE" w14:textId="77777777" w:rsidR="00071ABC" w:rsidRPr="00C93E04" w:rsidRDefault="00071ABC" w:rsidP="004B12F8">
      <w:pPr>
        <w:ind w:left="851"/>
        <w:rPr>
          <w:sz w:val="24"/>
          <w:szCs w:val="24"/>
        </w:rPr>
      </w:pPr>
      <w:r w:rsidRPr="00C93E04">
        <w:rPr>
          <w:sz w:val="24"/>
          <w:szCs w:val="24"/>
        </w:rPr>
        <w:t xml:space="preserve">1 kapsel (0,2 ml i </w:t>
      </w:r>
      <w:proofErr w:type="spellStart"/>
      <w:r w:rsidRPr="00C93E04">
        <w:rPr>
          <w:sz w:val="24"/>
          <w:szCs w:val="24"/>
        </w:rPr>
        <w:t>enterokapsel</w:t>
      </w:r>
      <w:proofErr w:type="spellEnd"/>
      <w:r w:rsidRPr="00C93E04">
        <w:rPr>
          <w:sz w:val="24"/>
          <w:szCs w:val="24"/>
        </w:rPr>
        <w:t>) op til tre gange om dagen.</w:t>
      </w:r>
    </w:p>
    <w:p w14:paraId="7687A7CF" w14:textId="77777777" w:rsidR="00071ABC" w:rsidRPr="00C93E04" w:rsidRDefault="00071ABC" w:rsidP="004B12F8">
      <w:pPr>
        <w:ind w:left="851"/>
        <w:rPr>
          <w:sz w:val="24"/>
          <w:szCs w:val="24"/>
        </w:rPr>
      </w:pPr>
    </w:p>
    <w:p w14:paraId="4D3DB9D8" w14:textId="3C3D368B" w:rsidR="00071ABC" w:rsidRPr="00C93E04" w:rsidRDefault="00071ABC" w:rsidP="004B12F8">
      <w:pPr>
        <w:ind w:left="851"/>
        <w:rPr>
          <w:sz w:val="24"/>
          <w:szCs w:val="24"/>
        </w:rPr>
      </w:pPr>
      <w:proofErr w:type="spellStart"/>
      <w:r w:rsidRPr="00C93E04">
        <w:rPr>
          <w:sz w:val="24"/>
          <w:szCs w:val="24"/>
        </w:rPr>
        <w:t>Entolex</w:t>
      </w:r>
      <w:proofErr w:type="spellEnd"/>
      <w:r w:rsidRPr="00C93E04">
        <w:rPr>
          <w:sz w:val="24"/>
          <w:szCs w:val="24"/>
        </w:rPr>
        <w:t xml:space="preserve"> anbefales ikke til børn under 8 år (se pkt. 4.4 og 5.3).</w:t>
      </w:r>
    </w:p>
    <w:p w14:paraId="540F60DE" w14:textId="77777777" w:rsidR="00071ABC" w:rsidRPr="00C93E04" w:rsidRDefault="00071ABC" w:rsidP="004B12F8">
      <w:pPr>
        <w:ind w:left="851"/>
        <w:rPr>
          <w:sz w:val="24"/>
          <w:szCs w:val="24"/>
        </w:rPr>
      </w:pPr>
    </w:p>
    <w:p w14:paraId="6D0416D6" w14:textId="77777777" w:rsidR="00071ABC" w:rsidRPr="00C93E04" w:rsidRDefault="00071ABC" w:rsidP="004B12F8">
      <w:pPr>
        <w:ind w:left="851"/>
        <w:rPr>
          <w:i/>
          <w:iCs/>
          <w:sz w:val="24"/>
          <w:szCs w:val="24"/>
        </w:rPr>
      </w:pPr>
      <w:r w:rsidRPr="00C93E04">
        <w:rPr>
          <w:i/>
          <w:sz w:val="24"/>
          <w:szCs w:val="24"/>
        </w:rPr>
        <w:t>Behandlingens varighed</w:t>
      </w:r>
    </w:p>
    <w:p w14:paraId="50ED090D" w14:textId="77777777" w:rsidR="00071ABC" w:rsidRPr="00C93E04" w:rsidRDefault="00071ABC" w:rsidP="004B12F8">
      <w:pPr>
        <w:ind w:left="851"/>
        <w:rPr>
          <w:sz w:val="24"/>
          <w:szCs w:val="24"/>
        </w:rPr>
      </w:pPr>
      <w:proofErr w:type="spellStart"/>
      <w:r w:rsidRPr="00C93E04">
        <w:rPr>
          <w:sz w:val="24"/>
          <w:szCs w:val="24"/>
        </w:rPr>
        <w:t>Enterokapslerne</w:t>
      </w:r>
      <w:proofErr w:type="spellEnd"/>
      <w:r w:rsidRPr="00C93E04">
        <w:rPr>
          <w:sz w:val="24"/>
          <w:szCs w:val="24"/>
        </w:rPr>
        <w:t xml:space="preserve"> bør tages, indtil symptomerne forsvinder, normalt inden for en eller to uger. I tilfælde af at symptomerne er mere vedvarende, kan anvendelsen af </w:t>
      </w:r>
      <w:proofErr w:type="spellStart"/>
      <w:r w:rsidRPr="00C93E04">
        <w:rPr>
          <w:sz w:val="24"/>
          <w:szCs w:val="24"/>
        </w:rPr>
        <w:t>enterokapslerne</w:t>
      </w:r>
      <w:proofErr w:type="spellEnd"/>
      <w:r w:rsidRPr="00C93E04">
        <w:rPr>
          <w:sz w:val="24"/>
          <w:szCs w:val="24"/>
        </w:rPr>
        <w:t xml:space="preserve"> fortsættes i en periode på op til højst 3 måneder pr. behandling.</w:t>
      </w:r>
    </w:p>
    <w:p w14:paraId="3081148F" w14:textId="77777777" w:rsidR="00071ABC" w:rsidRPr="00C93E04" w:rsidRDefault="00071ABC" w:rsidP="004B12F8">
      <w:pPr>
        <w:ind w:left="851"/>
        <w:rPr>
          <w:sz w:val="24"/>
          <w:szCs w:val="24"/>
        </w:rPr>
      </w:pPr>
    </w:p>
    <w:p w14:paraId="62FE8DCF" w14:textId="77777777" w:rsidR="00071ABC" w:rsidRPr="00C93E04" w:rsidRDefault="00071ABC" w:rsidP="004B12F8">
      <w:pPr>
        <w:ind w:left="851"/>
        <w:rPr>
          <w:sz w:val="24"/>
          <w:szCs w:val="24"/>
          <w:u w:val="single"/>
        </w:rPr>
      </w:pPr>
      <w:r w:rsidRPr="00C93E04">
        <w:rPr>
          <w:sz w:val="24"/>
          <w:szCs w:val="24"/>
          <w:u w:val="single"/>
        </w:rPr>
        <w:t xml:space="preserve">Administration </w:t>
      </w:r>
    </w:p>
    <w:p w14:paraId="5A933290" w14:textId="77777777" w:rsidR="00071ABC" w:rsidRPr="00C93E04" w:rsidRDefault="00071ABC" w:rsidP="004B12F8">
      <w:pPr>
        <w:ind w:left="851"/>
        <w:rPr>
          <w:sz w:val="24"/>
          <w:szCs w:val="24"/>
        </w:rPr>
      </w:pPr>
      <w:r w:rsidRPr="00C93E04">
        <w:rPr>
          <w:sz w:val="24"/>
          <w:szCs w:val="24"/>
        </w:rPr>
        <w:t>Kapslen/kapslerne skal indtages 30 minutter før et måltid med en rigelig mængde kold væske (helst et glas koldt vand).</w:t>
      </w:r>
    </w:p>
    <w:p w14:paraId="5C079B86" w14:textId="77777777" w:rsidR="00071ABC" w:rsidRPr="00C93E04" w:rsidRDefault="00071ABC" w:rsidP="004B12F8">
      <w:pPr>
        <w:ind w:left="851"/>
        <w:rPr>
          <w:sz w:val="24"/>
          <w:szCs w:val="24"/>
        </w:rPr>
      </w:pPr>
    </w:p>
    <w:p w14:paraId="2AE63C06" w14:textId="77777777" w:rsidR="00071ABC" w:rsidRPr="00C93E04" w:rsidRDefault="00071ABC" w:rsidP="004B12F8">
      <w:pPr>
        <w:ind w:left="851"/>
        <w:rPr>
          <w:sz w:val="24"/>
          <w:szCs w:val="24"/>
        </w:rPr>
      </w:pPr>
      <w:r w:rsidRPr="00C93E04">
        <w:rPr>
          <w:sz w:val="24"/>
          <w:szCs w:val="24"/>
        </w:rPr>
        <w:t>Kapslerne skal sluges hele, dvs. de må ikke knuses eller tygges (se pkt. 4.4).</w:t>
      </w:r>
    </w:p>
    <w:p w14:paraId="026171F5" w14:textId="77777777" w:rsidR="009260DE" w:rsidRPr="00C93E04" w:rsidRDefault="009260DE" w:rsidP="009260DE">
      <w:pPr>
        <w:tabs>
          <w:tab w:val="left" w:pos="851"/>
        </w:tabs>
        <w:ind w:left="851"/>
        <w:rPr>
          <w:sz w:val="24"/>
          <w:szCs w:val="24"/>
        </w:rPr>
      </w:pPr>
    </w:p>
    <w:p w14:paraId="6F5D81BE" w14:textId="77777777" w:rsidR="009260DE" w:rsidRPr="00C93E04" w:rsidRDefault="009260DE" w:rsidP="009260DE">
      <w:pPr>
        <w:tabs>
          <w:tab w:val="left" w:pos="851"/>
        </w:tabs>
        <w:ind w:left="851" w:hanging="851"/>
        <w:rPr>
          <w:b/>
          <w:sz w:val="24"/>
          <w:szCs w:val="24"/>
        </w:rPr>
      </w:pPr>
      <w:r w:rsidRPr="00C93E04">
        <w:rPr>
          <w:b/>
          <w:sz w:val="24"/>
          <w:szCs w:val="24"/>
        </w:rPr>
        <w:t>4.3</w:t>
      </w:r>
      <w:r w:rsidRPr="00C93E04">
        <w:rPr>
          <w:b/>
          <w:sz w:val="24"/>
          <w:szCs w:val="24"/>
        </w:rPr>
        <w:tab/>
        <w:t>Kontraindikationer</w:t>
      </w:r>
    </w:p>
    <w:p w14:paraId="5B108BD4" w14:textId="77777777" w:rsidR="00071ABC" w:rsidRPr="00C93E04" w:rsidRDefault="00071ABC" w:rsidP="004B12F8">
      <w:pPr>
        <w:pStyle w:val="Listeafsnit"/>
        <w:numPr>
          <w:ilvl w:val="0"/>
          <w:numId w:val="8"/>
        </w:numPr>
        <w:tabs>
          <w:tab w:val="clear" w:pos="567"/>
        </w:tabs>
        <w:ind w:left="1276" w:hanging="425"/>
        <w:rPr>
          <w:sz w:val="24"/>
          <w:szCs w:val="24"/>
        </w:rPr>
      </w:pPr>
      <w:r w:rsidRPr="00C93E04">
        <w:rPr>
          <w:sz w:val="24"/>
          <w:szCs w:val="24"/>
        </w:rPr>
        <w:t>Overfølsomhed over for pebermynteolie, mentol eller over for et eller flere af hjælpestofferne anført i pkt. 6.1.</w:t>
      </w:r>
    </w:p>
    <w:p w14:paraId="24D133F6" w14:textId="77777777" w:rsidR="00071ABC" w:rsidRPr="00C93E04" w:rsidRDefault="00071ABC" w:rsidP="004B12F8">
      <w:pPr>
        <w:pStyle w:val="Listeafsnit"/>
        <w:numPr>
          <w:ilvl w:val="0"/>
          <w:numId w:val="8"/>
        </w:numPr>
        <w:tabs>
          <w:tab w:val="clear" w:pos="567"/>
        </w:tabs>
        <w:ind w:left="1276" w:hanging="425"/>
        <w:rPr>
          <w:sz w:val="24"/>
          <w:szCs w:val="24"/>
        </w:rPr>
      </w:pPr>
      <w:r w:rsidRPr="00C93E04">
        <w:rPr>
          <w:sz w:val="24"/>
          <w:szCs w:val="24"/>
        </w:rPr>
        <w:t xml:space="preserve">Patienter med leversygdom, </w:t>
      </w:r>
      <w:proofErr w:type="spellStart"/>
      <w:r w:rsidRPr="00C93E04">
        <w:rPr>
          <w:sz w:val="24"/>
          <w:szCs w:val="24"/>
        </w:rPr>
        <w:t>kolangitis</w:t>
      </w:r>
      <w:proofErr w:type="spellEnd"/>
      <w:r w:rsidRPr="00C93E04">
        <w:rPr>
          <w:sz w:val="24"/>
          <w:szCs w:val="24"/>
        </w:rPr>
        <w:t xml:space="preserve">, </w:t>
      </w:r>
      <w:proofErr w:type="spellStart"/>
      <w:r w:rsidRPr="00C93E04">
        <w:rPr>
          <w:sz w:val="24"/>
          <w:szCs w:val="24"/>
        </w:rPr>
        <w:t>aklorhydri</w:t>
      </w:r>
      <w:proofErr w:type="spellEnd"/>
      <w:r w:rsidRPr="00C93E04">
        <w:rPr>
          <w:sz w:val="24"/>
          <w:szCs w:val="24"/>
        </w:rPr>
        <w:t>, galdesten og alle andre galdevejssygdomme.</w:t>
      </w:r>
    </w:p>
    <w:p w14:paraId="56E0ED79" w14:textId="77777777" w:rsidR="009260DE" w:rsidRPr="00C93E04" w:rsidRDefault="009260DE" w:rsidP="009260DE">
      <w:pPr>
        <w:tabs>
          <w:tab w:val="left" w:pos="851"/>
        </w:tabs>
        <w:ind w:left="851"/>
        <w:rPr>
          <w:sz w:val="24"/>
          <w:szCs w:val="24"/>
        </w:rPr>
      </w:pPr>
    </w:p>
    <w:p w14:paraId="0E030D28" w14:textId="77777777" w:rsidR="009260DE" w:rsidRPr="00C93E04" w:rsidRDefault="009260DE" w:rsidP="009260DE">
      <w:pPr>
        <w:tabs>
          <w:tab w:val="left" w:pos="851"/>
        </w:tabs>
        <w:ind w:left="851" w:hanging="851"/>
        <w:rPr>
          <w:b/>
          <w:sz w:val="24"/>
          <w:szCs w:val="24"/>
        </w:rPr>
      </w:pPr>
      <w:r w:rsidRPr="00C93E04">
        <w:rPr>
          <w:b/>
          <w:sz w:val="24"/>
          <w:szCs w:val="24"/>
        </w:rPr>
        <w:t>4.4</w:t>
      </w:r>
      <w:r w:rsidRPr="00C93E04">
        <w:rPr>
          <w:b/>
          <w:sz w:val="24"/>
          <w:szCs w:val="24"/>
        </w:rPr>
        <w:tab/>
        <w:t>Særlige advarsler og forsigtighedsregler vedrørende brugen</w:t>
      </w:r>
    </w:p>
    <w:p w14:paraId="09A13E6F" w14:textId="77777777" w:rsidR="00071ABC" w:rsidRPr="00C93E04" w:rsidRDefault="00071ABC" w:rsidP="004B12F8">
      <w:pPr>
        <w:ind w:left="851"/>
        <w:rPr>
          <w:sz w:val="24"/>
          <w:szCs w:val="24"/>
        </w:rPr>
      </w:pPr>
      <w:r w:rsidRPr="00C93E04">
        <w:rPr>
          <w:sz w:val="24"/>
          <w:szCs w:val="24"/>
        </w:rPr>
        <w:t>Overskrid ikke den anførte dosis.</w:t>
      </w:r>
    </w:p>
    <w:p w14:paraId="09E4EBB0" w14:textId="77777777" w:rsidR="00071ABC" w:rsidRPr="00C93E04" w:rsidRDefault="00071ABC" w:rsidP="004B12F8">
      <w:pPr>
        <w:ind w:left="851"/>
        <w:rPr>
          <w:sz w:val="24"/>
          <w:szCs w:val="24"/>
        </w:rPr>
      </w:pPr>
    </w:p>
    <w:p w14:paraId="2E327DBB" w14:textId="136246A5" w:rsidR="00071ABC" w:rsidRPr="00C93E04" w:rsidRDefault="00071ABC" w:rsidP="004B12F8">
      <w:pPr>
        <w:ind w:left="851"/>
        <w:rPr>
          <w:sz w:val="24"/>
          <w:szCs w:val="24"/>
        </w:rPr>
      </w:pPr>
      <w:proofErr w:type="spellStart"/>
      <w:r w:rsidRPr="00C93E04">
        <w:rPr>
          <w:sz w:val="24"/>
          <w:szCs w:val="24"/>
        </w:rPr>
        <w:t>Entolex</w:t>
      </w:r>
      <w:proofErr w:type="spellEnd"/>
      <w:r w:rsidRPr="00C93E04">
        <w:rPr>
          <w:sz w:val="24"/>
          <w:szCs w:val="24"/>
        </w:rPr>
        <w:t xml:space="preserve"> bør ikke anvendes til børn under 8 år på grund af manglende data om sikkerhed og effekt og på grund af tilstedeværelsen af </w:t>
      </w:r>
      <w:proofErr w:type="spellStart"/>
      <w:r w:rsidRPr="00C93E04">
        <w:rPr>
          <w:sz w:val="24"/>
          <w:szCs w:val="24"/>
        </w:rPr>
        <w:t>pulegon</w:t>
      </w:r>
      <w:proofErr w:type="spellEnd"/>
      <w:r w:rsidRPr="00C93E04">
        <w:rPr>
          <w:sz w:val="24"/>
          <w:szCs w:val="24"/>
        </w:rPr>
        <w:t xml:space="preserve"> og </w:t>
      </w:r>
      <w:proofErr w:type="spellStart"/>
      <w:r w:rsidRPr="00C93E04">
        <w:rPr>
          <w:sz w:val="24"/>
          <w:szCs w:val="24"/>
        </w:rPr>
        <w:t>menthofuran</w:t>
      </w:r>
      <w:proofErr w:type="spellEnd"/>
      <w:r w:rsidRPr="00C93E04">
        <w:rPr>
          <w:sz w:val="24"/>
          <w:szCs w:val="24"/>
        </w:rPr>
        <w:t xml:space="preserve"> (se pkt. 5.3).</w:t>
      </w:r>
    </w:p>
    <w:p w14:paraId="620E2AA6" w14:textId="77777777" w:rsidR="00071ABC" w:rsidRPr="00C93E04" w:rsidRDefault="00071ABC" w:rsidP="004B12F8">
      <w:pPr>
        <w:ind w:left="851"/>
        <w:rPr>
          <w:sz w:val="24"/>
          <w:szCs w:val="24"/>
        </w:rPr>
      </w:pPr>
    </w:p>
    <w:p w14:paraId="54871997" w14:textId="3C3CDABE" w:rsidR="00071ABC" w:rsidRPr="00C93E04" w:rsidRDefault="00071ABC" w:rsidP="004B12F8">
      <w:pPr>
        <w:ind w:left="851"/>
        <w:rPr>
          <w:sz w:val="24"/>
          <w:szCs w:val="24"/>
        </w:rPr>
      </w:pPr>
      <w:r w:rsidRPr="00C93E04">
        <w:rPr>
          <w:sz w:val="24"/>
          <w:szCs w:val="24"/>
        </w:rPr>
        <w:t xml:space="preserve">Særlig forsigtighed skal udvises ved indtagelse af </w:t>
      </w:r>
      <w:proofErr w:type="spellStart"/>
      <w:r w:rsidRPr="00C93E04">
        <w:rPr>
          <w:sz w:val="24"/>
          <w:szCs w:val="24"/>
        </w:rPr>
        <w:t>Entolex</w:t>
      </w:r>
      <w:proofErr w:type="spellEnd"/>
      <w:r w:rsidRPr="00C93E04">
        <w:rPr>
          <w:sz w:val="24"/>
          <w:szCs w:val="24"/>
        </w:rPr>
        <w:t>:</w:t>
      </w:r>
    </w:p>
    <w:p w14:paraId="5DED9649" w14:textId="77777777" w:rsidR="00071ABC" w:rsidRPr="00C93E04" w:rsidRDefault="00071ABC" w:rsidP="004B12F8">
      <w:pPr>
        <w:ind w:left="851"/>
        <w:rPr>
          <w:sz w:val="24"/>
          <w:szCs w:val="24"/>
        </w:rPr>
      </w:pPr>
    </w:p>
    <w:p w14:paraId="7EAB65F4" w14:textId="50AF2C1D" w:rsidR="00071ABC" w:rsidRPr="00C93E04" w:rsidRDefault="00071ABC" w:rsidP="00C93E04">
      <w:pPr>
        <w:pStyle w:val="Listeafsnit"/>
        <w:numPr>
          <w:ilvl w:val="0"/>
          <w:numId w:val="9"/>
        </w:numPr>
        <w:tabs>
          <w:tab w:val="clear" w:pos="567"/>
        </w:tabs>
        <w:spacing w:line="240" w:lineRule="auto"/>
        <w:ind w:left="1276" w:hanging="425"/>
        <w:rPr>
          <w:sz w:val="24"/>
          <w:szCs w:val="24"/>
        </w:rPr>
      </w:pPr>
      <w:r w:rsidRPr="00C93E04">
        <w:rPr>
          <w:sz w:val="24"/>
          <w:szCs w:val="24"/>
        </w:rPr>
        <w:t xml:space="preserve">Kapslen skal sluges hel, dvs. ikke knuses eller tygges, da det frigiver pebermynteolien for tidligt, hvilket kan forårsage lokal irritation af munden og </w:t>
      </w:r>
      <w:proofErr w:type="spellStart"/>
      <w:r w:rsidRPr="00C93E04">
        <w:rPr>
          <w:sz w:val="24"/>
          <w:szCs w:val="24"/>
        </w:rPr>
        <w:t>øsofagus</w:t>
      </w:r>
      <w:proofErr w:type="spellEnd"/>
      <w:r w:rsidRPr="00C93E04">
        <w:rPr>
          <w:sz w:val="24"/>
          <w:szCs w:val="24"/>
        </w:rPr>
        <w:t>.</w:t>
      </w:r>
    </w:p>
    <w:p w14:paraId="10733003" w14:textId="0A46683F" w:rsidR="00071ABC" w:rsidRPr="00C93E04" w:rsidRDefault="00071ABC" w:rsidP="00C93E04">
      <w:pPr>
        <w:pStyle w:val="Listeafsnit"/>
        <w:numPr>
          <w:ilvl w:val="0"/>
          <w:numId w:val="9"/>
        </w:numPr>
        <w:tabs>
          <w:tab w:val="clear" w:pos="567"/>
        </w:tabs>
        <w:spacing w:line="240" w:lineRule="auto"/>
        <w:ind w:left="1276" w:hanging="425"/>
        <w:rPr>
          <w:sz w:val="24"/>
          <w:szCs w:val="24"/>
        </w:rPr>
      </w:pPr>
      <w:r w:rsidRPr="00C93E04">
        <w:rPr>
          <w:sz w:val="24"/>
          <w:szCs w:val="24"/>
        </w:rPr>
        <w:t>Patienter, som allerede lider af halsbrand og spiserørsbrok, kan muligvis opleve en forværring af dette symptom efter indtagelse af pebermynteolie. Behandlingen skal seponeres hos disse patienter.</w:t>
      </w:r>
    </w:p>
    <w:p w14:paraId="2E05ABFF" w14:textId="5DCE8C97" w:rsidR="00071ABC" w:rsidRPr="00C93E04" w:rsidRDefault="00071ABC" w:rsidP="00C93E04">
      <w:pPr>
        <w:pStyle w:val="Listeafsnit"/>
        <w:numPr>
          <w:ilvl w:val="0"/>
          <w:numId w:val="9"/>
        </w:numPr>
        <w:tabs>
          <w:tab w:val="clear" w:pos="567"/>
        </w:tabs>
        <w:spacing w:line="240" w:lineRule="auto"/>
        <w:ind w:left="1276" w:hanging="425"/>
        <w:rPr>
          <w:sz w:val="24"/>
          <w:szCs w:val="24"/>
        </w:rPr>
      </w:pPr>
      <w:r w:rsidRPr="00C93E04">
        <w:rPr>
          <w:sz w:val="24"/>
          <w:szCs w:val="24"/>
        </w:rPr>
        <w:t>Andre lægemidler, som indeholder pebermynteolie, skal undgås under brugen af dette lægemiddel.</w:t>
      </w:r>
    </w:p>
    <w:p w14:paraId="2AA4255D" w14:textId="746BCCEA" w:rsidR="00071ABC" w:rsidRPr="00C93E04" w:rsidRDefault="00071ABC" w:rsidP="00C93E04">
      <w:pPr>
        <w:pStyle w:val="Listeafsnit"/>
        <w:numPr>
          <w:ilvl w:val="0"/>
          <w:numId w:val="9"/>
        </w:numPr>
        <w:tabs>
          <w:tab w:val="clear" w:pos="567"/>
        </w:tabs>
        <w:spacing w:line="240" w:lineRule="auto"/>
        <w:ind w:left="1276" w:hanging="425"/>
        <w:rPr>
          <w:sz w:val="24"/>
          <w:szCs w:val="24"/>
        </w:rPr>
      </w:pPr>
      <w:r w:rsidRPr="00C93E04">
        <w:rPr>
          <w:sz w:val="24"/>
          <w:szCs w:val="24"/>
        </w:rPr>
        <w:t>Kontakt lægen eller apotekspersonalet, hvis symptomerne forværres under brugen af dette lægemiddel.</w:t>
      </w:r>
    </w:p>
    <w:p w14:paraId="763A1E73" w14:textId="77777777" w:rsidR="00071ABC" w:rsidRPr="00C93E04" w:rsidRDefault="00071ABC" w:rsidP="004B12F8">
      <w:pPr>
        <w:ind w:left="851"/>
        <w:rPr>
          <w:sz w:val="24"/>
          <w:szCs w:val="24"/>
        </w:rPr>
      </w:pPr>
    </w:p>
    <w:p w14:paraId="2EAF0E6D" w14:textId="327A50AF" w:rsidR="00071ABC" w:rsidRPr="00C93E04" w:rsidRDefault="00071ABC" w:rsidP="004B12F8">
      <w:pPr>
        <w:ind w:left="851"/>
        <w:rPr>
          <w:sz w:val="24"/>
          <w:szCs w:val="24"/>
        </w:rPr>
      </w:pPr>
      <w:r w:rsidRPr="00C93E04">
        <w:rPr>
          <w:sz w:val="24"/>
          <w:szCs w:val="24"/>
        </w:rPr>
        <w:t>Dette lægemiddel indeholder mindre end 1 mmol (23 mg) natrium pr. kapsel, dvs. det er i det væsentlige natriumfrit.</w:t>
      </w:r>
    </w:p>
    <w:p w14:paraId="2CC04C33" w14:textId="77777777" w:rsidR="009260DE" w:rsidRPr="00C93E04" w:rsidRDefault="009260DE" w:rsidP="009260DE">
      <w:pPr>
        <w:tabs>
          <w:tab w:val="left" w:pos="851"/>
        </w:tabs>
        <w:ind w:left="851"/>
        <w:rPr>
          <w:sz w:val="24"/>
          <w:szCs w:val="24"/>
        </w:rPr>
      </w:pPr>
    </w:p>
    <w:p w14:paraId="68380EE6" w14:textId="77777777" w:rsidR="009260DE" w:rsidRPr="00C93E04" w:rsidRDefault="009260DE" w:rsidP="009260DE">
      <w:pPr>
        <w:tabs>
          <w:tab w:val="left" w:pos="851"/>
        </w:tabs>
        <w:ind w:left="851" w:hanging="851"/>
        <w:rPr>
          <w:b/>
          <w:sz w:val="24"/>
          <w:szCs w:val="24"/>
        </w:rPr>
      </w:pPr>
      <w:r w:rsidRPr="00C93E04">
        <w:rPr>
          <w:b/>
          <w:sz w:val="24"/>
          <w:szCs w:val="24"/>
        </w:rPr>
        <w:t>4.5</w:t>
      </w:r>
      <w:r w:rsidRPr="00C93E04">
        <w:rPr>
          <w:b/>
          <w:sz w:val="24"/>
          <w:szCs w:val="24"/>
        </w:rPr>
        <w:tab/>
        <w:t>Interaktion med andre lægemidler og andre former for interaktion</w:t>
      </w:r>
    </w:p>
    <w:p w14:paraId="6C7A47BF" w14:textId="77777777" w:rsidR="00071ABC" w:rsidRPr="00C93E04" w:rsidRDefault="00071ABC" w:rsidP="004B12F8">
      <w:pPr>
        <w:ind w:left="851"/>
        <w:rPr>
          <w:sz w:val="24"/>
          <w:szCs w:val="24"/>
        </w:rPr>
      </w:pPr>
      <w:r w:rsidRPr="00C93E04">
        <w:rPr>
          <w:sz w:val="24"/>
          <w:szCs w:val="24"/>
        </w:rPr>
        <w:t xml:space="preserve">Samtidig indtagelse af mad eller </w:t>
      </w:r>
      <w:proofErr w:type="spellStart"/>
      <w:r w:rsidRPr="00C93E04">
        <w:rPr>
          <w:sz w:val="24"/>
          <w:szCs w:val="24"/>
        </w:rPr>
        <w:t>antacida</w:t>
      </w:r>
      <w:proofErr w:type="spellEnd"/>
      <w:r w:rsidRPr="00C93E04">
        <w:rPr>
          <w:sz w:val="24"/>
          <w:szCs w:val="24"/>
        </w:rPr>
        <w:t xml:space="preserve"> kan forårsage for tidlig frigivelse af kapslens indhold. </w:t>
      </w:r>
    </w:p>
    <w:p w14:paraId="2A1F5623" w14:textId="7AF619DE" w:rsidR="00071ABC" w:rsidRPr="00C93E04" w:rsidRDefault="00071ABC" w:rsidP="004B12F8">
      <w:pPr>
        <w:ind w:left="851"/>
        <w:rPr>
          <w:sz w:val="24"/>
          <w:szCs w:val="24"/>
        </w:rPr>
      </w:pPr>
      <w:r w:rsidRPr="00C93E04">
        <w:rPr>
          <w:sz w:val="24"/>
          <w:szCs w:val="24"/>
        </w:rPr>
        <w:t xml:space="preserve">Andre lægemidler, der bruges til at mindske produktionen af mavesyre, såsom histamin-2-blokkere og </w:t>
      </w:r>
      <w:proofErr w:type="spellStart"/>
      <w:r w:rsidRPr="00C93E04">
        <w:rPr>
          <w:sz w:val="24"/>
          <w:szCs w:val="24"/>
        </w:rPr>
        <w:t>protonpumpehæmmere</w:t>
      </w:r>
      <w:proofErr w:type="spellEnd"/>
      <w:r w:rsidRPr="00C93E04">
        <w:rPr>
          <w:sz w:val="24"/>
          <w:szCs w:val="24"/>
        </w:rPr>
        <w:t xml:space="preserve"> kan medføre for tidlig opløsning af det syreresistente </w:t>
      </w:r>
      <w:r w:rsidRPr="00C93E04">
        <w:rPr>
          <w:color w:val="000000"/>
          <w:sz w:val="24"/>
          <w:szCs w:val="24"/>
        </w:rPr>
        <w:t>overtræk</w:t>
      </w:r>
      <w:r w:rsidRPr="00C93E04">
        <w:rPr>
          <w:sz w:val="24"/>
          <w:szCs w:val="24"/>
        </w:rPr>
        <w:t>, og bør undgås.</w:t>
      </w:r>
    </w:p>
    <w:p w14:paraId="2F655D69" w14:textId="19761B40" w:rsidR="0092375D" w:rsidRDefault="0092375D">
      <w:pPr>
        <w:rPr>
          <w:sz w:val="24"/>
          <w:szCs w:val="24"/>
        </w:rPr>
      </w:pPr>
      <w:r>
        <w:rPr>
          <w:sz w:val="24"/>
          <w:szCs w:val="24"/>
        </w:rPr>
        <w:br w:type="page"/>
      </w:r>
    </w:p>
    <w:p w14:paraId="63001946" w14:textId="77777777" w:rsidR="009260DE" w:rsidRPr="00C93E04" w:rsidRDefault="009260DE" w:rsidP="009260DE">
      <w:pPr>
        <w:tabs>
          <w:tab w:val="left" w:pos="851"/>
        </w:tabs>
        <w:ind w:left="851"/>
        <w:rPr>
          <w:sz w:val="24"/>
          <w:szCs w:val="24"/>
        </w:rPr>
      </w:pPr>
    </w:p>
    <w:p w14:paraId="5EBD4069" w14:textId="77777777" w:rsidR="009260DE" w:rsidRPr="00C93E04" w:rsidRDefault="009260DE" w:rsidP="009260DE">
      <w:pPr>
        <w:tabs>
          <w:tab w:val="left" w:pos="851"/>
        </w:tabs>
        <w:ind w:left="851" w:hanging="851"/>
        <w:rPr>
          <w:b/>
          <w:sz w:val="24"/>
          <w:szCs w:val="24"/>
        </w:rPr>
      </w:pPr>
      <w:r w:rsidRPr="00C93E04">
        <w:rPr>
          <w:b/>
          <w:sz w:val="24"/>
          <w:szCs w:val="24"/>
        </w:rPr>
        <w:t>4.6</w:t>
      </w:r>
      <w:r w:rsidRPr="00C93E04">
        <w:rPr>
          <w:b/>
          <w:sz w:val="24"/>
          <w:szCs w:val="24"/>
        </w:rPr>
        <w:tab/>
      </w:r>
      <w:r w:rsidR="0071241E" w:rsidRPr="00C93E04">
        <w:rPr>
          <w:b/>
          <w:sz w:val="24"/>
          <w:szCs w:val="24"/>
        </w:rPr>
        <w:t>Fertilitet, g</w:t>
      </w:r>
      <w:r w:rsidRPr="00C93E04">
        <w:rPr>
          <w:b/>
          <w:sz w:val="24"/>
          <w:szCs w:val="24"/>
        </w:rPr>
        <w:t>raviditet og amning</w:t>
      </w:r>
    </w:p>
    <w:p w14:paraId="375C5999" w14:textId="77777777" w:rsidR="00C93E04" w:rsidRDefault="00C93E04" w:rsidP="004B12F8">
      <w:pPr>
        <w:ind w:left="851"/>
        <w:rPr>
          <w:sz w:val="24"/>
          <w:szCs w:val="24"/>
        </w:rPr>
      </w:pPr>
    </w:p>
    <w:p w14:paraId="31F09F21" w14:textId="73FFCCAF" w:rsidR="00071ABC" w:rsidRPr="00C93E04" w:rsidRDefault="00071ABC" w:rsidP="004B12F8">
      <w:pPr>
        <w:ind w:left="851"/>
        <w:rPr>
          <w:bCs/>
          <w:sz w:val="24"/>
          <w:szCs w:val="24"/>
          <w:u w:val="single"/>
        </w:rPr>
      </w:pPr>
      <w:r w:rsidRPr="00C93E04">
        <w:rPr>
          <w:sz w:val="24"/>
          <w:szCs w:val="24"/>
          <w:u w:val="single"/>
        </w:rPr>
        <w:t>Graviditet</w:t>
      </w:r>
    </w:p>
    <w:p w14:paraId="77158801" w14:textId="5D2E0E32" w:rsidR="00071ABC" w:rsidRPr="00C93E04" w:rsidRDefault="00071ABC" w:rsidP="004B12F8">
      <w:pPr>
        <w:ind w:left="851"/>
        <w:rPr>
          <w:bCs/>
          <w:sz w:val="24"/>
          <w:szCs w:val="24"/>
        </w:rPr>
      </w:pPr>
      <w:r w:rsidRPr="00C93E04">
        <w:rPr>
          <w:sz w:val="24"/>
          <w:szCs w:val="24"/>
        </w:rPr>
        <w:t>Der foreligger ingen data om sikkerhed under graviditet. Data fra dyreforsøg er utilstrækkelige med henblik på reproduktionstoksicitet (se pkt. 5.3). Da der ikke foreligger tilstrækkelige data, frarådes lægemidlet under graviditet.</w:t>
      </w:r>
    </w:p>
    <w:p w14:paraId="100F9876" w14:textId="77777777" w:rsidR="00071ABC" w:rsidRPr="00C93E04" w:rsidRDefault="00071ABC" w:rsidP="004B12F8">
      <w:pPr>
        <w:ind w:left="851"/>
        <w:rPr>
          <w:bCs/>
          <w:sz w:val="24"/>
          <w:szCs w:val="24"/>
        </w:rPr>
      </w:pPr>
    </w:p>
    <w:p w14:paraId="4158915A" w14:textId="77777777" w:rsidR="00071ABC" w:rsidRPr="00C93E04" w:rsidRDefault="00071ABC" w:rsidP="004B12F8">
      <w:pPr>
        <w:ind w:left="851"/>
        <w:rPr>
          <w:bCs/>
          <w:sz w:val="24"/>
          <w:szCs w:val="24"/>
          <w:u w:val="single"/>
        </w:rPr>
      </w:pPr>
      <w:r w:rsidRPr="00C93E04">
        <w:rPr>
          <w:sz w:val="24"/>
          <w:szCs w:val="24"/>
          <w:u w:val="single"/>
        </w:rPr>
        <w:t>Amning</w:t>
      </w:r>
    </w:p>
    <w:p w14:paraId="3CFF1117" w14:textId="221A2F6A" w:rsidR="00071ABC" w:rsidRPr="00C93E04" w:rsidRDefault="00071ABC" w:rsidP="004B12F8">
      <w:pPr>
        <w:ind w:left="851"/>
        <w:rPr>
          <w:bCs/>
          <w:sz w:val="24"/>
          <w:szCs w:val="24"/>
        </w:rPr>
      </w:pPr>
      <w:r w:rsidRPr="00C93E04">
        <w:rPr>
          <w:sz w:val="24"/>
          <w:szCs w:val="24"/>
        </w:rPr>
        <w:t>Det er ukendt, om bestanddele af pebermynteolie udskilles med modermælken. Der foreligger ingen data om sikkerhed under amning. Det kan ikke udelukkes, at der er en risiko for børn, der bliver ammet. Da der ikke foreligger tilstrækkelige data, frarådes lægemidlet under amning.</w:t>
      </w:r>
    </w:p>
    <w:p w14:paraId="203F6710" w14:textId="77777777" w:rsidR="00071ABC" w:rsidRPr="00C93E04" w:rsidRDefault="00071ABC" w:rsidP="004B12F8">
      <w:pPr>
        <w:ind w:left="851"/>
        <w:rPr>
          <w:bCs/>
          <w:sz w:val="24"/>
          <w:szCs w:val="24"/>
        </w:rPr>
      </w:pPr>
    </w:p>
    <w:p w14:paraId="3B61A422" w14:textId="77777777" w:rsidR="00071ABC" w:rsidRPr="00C93E04" w:rsidRDefault="00071ABC" w:rsidP="004B12F8">
      <w:pPr>
        <w:ind w:left="851"/>
        <w:rPr>
          <w:bCs/>
          <w:sz w:val="24"/>
          <w:szCs w:val="24"/>
          <w:u w:val="single"/>
        </w:rPr>
      </w:pPr>
      <w:r w:rsidRPr="00C93E04">
        <w:rPr>
          <w:sz w:val="24"/>
          <w:szCs w:val="24"/>
          <w:u w:val="single"/>
        </w:rPr>
        <w:t>Fertilitet</w:t>
      </w:r>
    </w:p>
    <w:p w14:paraId="2BE28598" w14:textId="6199B0D9" w:rsidR="00071ABC" w:rsidRPr="00C93E04" w:rsidRDefault="00071ABC" w:rsidP="004B12F8">
      <w:pPr>
        <w:ind w:left="851"/>
        <w:rPr>
          <w:bCs/>
          <w:sz w:val="24"/>
          <w:szCs w:val="24"/>
        </w:rPr>
      </w:pPr>
      <w:r w:rsidRPr="00C93E04">
        <w:rPr>
          <w:sz w:val="24"/>
          <w:szCs w:val="24"/>
        </w:rPr>
        <w:t>Der foreligger ingen data om virkningen på fertilitet.</w:t>
      </w:r>
    </w:p>
    <w:p w14:paraId="116F6959" w14:textId="77777777" w:rsidR="009260DE" w:rsidRPr="00C93E04" w:rsidRDefault="009260DE" w:rsidP="009260DE">
      <w:pPr>
        <w:tabs>
          <w:tab w:val="left" w:pos="851"/>
        </w:tabs>
        <w:ind w:left="851"/>
        <w:rPr>
          <w:sz w:val="24"/>
          <w:szCs w:val="24"/>
        </w:rPr>
      </w:pPr>
    </w:p>
    <w:p w14:paraId="7A2923CA" w14:textId="77777777" w:rsidR="009260DE" w:rsidRPr="00C93E04" w:rsidRDefault="009260DE" w:rsidP="009260DE">
      <w:pPr>
        <w:tabs>
          <w:tab w:val="left" w:pos="851"/>
        </w:tabs>
        <w:ind w:left="851" w:hanging="851"/>
        <w:rPr>
          <w:b/>
          <w:sz w:val="24"/>
          <w:szCs w:val="24"/>
        </w:rPr>
      </w:pPr>
      <w:r w:rsidRPr="00C93E04">
        <w:rPr>
          <w:b/>
          <w:sz w:val="24"/>
          <w:szCs w:val="24"/>
        </w:rPr>
        <w:t>4.7</w:t>
      </w:r>
      <w:r w:rsidRPr="00C93E04">
        <w:rPr>
          <w:b/>
          <w:sz w:val="24"/>
          <w:szCs w:val="24"/>
        </w:rPr>
        <w:tab/>
        <w:t xml:space="preserve">Virkning på evnen til at føre motorkøretøj </w:t>
      </w:r>
      <w:r w:rsidR="0071241E" w:rsidRPr="00C93E04">
        <w:rPr>
          <w:b/>
          <w:sz w:val="24"/>
          <w:szCs w:val="24"/>
        </w:rPr>
        <w:t>og</w:t>
      </w:r>
      <w:r w:rsidRPr="00C93E04">
        <w:rPr>
          <w:b/>
          <w:sz w:val="24"/>
          <w:szCs w:val="24"/>
        </w:rPr>
        <w:t xml:space="preserve"> betjene maskiner</w:t>
      </w:r>
    </w:p>
    <w:p w14:paraId="06F4B9AF" w14:textId="77777777" w:rsidR="00C93E04" w:rsidRDefault="00C93E04" w:rsidP="004B12F8">
      <w:pPr>
        <w:ind w:left="851"/>
        <w:rPr>
          <w:sz w:val="24"/>
          <w:szCs w:val="24"/>
        </w:rPr>
      </w:pPr>
      <w:r>
        <w:rPr>
          <w:sz w:val="24"/>
          <w:szCs w:val="24"/>
        </w:rPr>
        <w:t>Ikke mærkning.</w:t>
      </w:r>
    </w:p>
    <w:p w14:paraId="623750EE" w14:textId="2CC7C59C" w:rsidR="00071ABC" w:rsidRPr="00C93E04" w:rsidRDefault="00071ABC" w:rsidP="004B12F8">
      <w:pPr>
        <w:ind w:left="851"/>
        <w:rPr>
          <w:sz w:val="24"/>
          <w:szCs w:val="24"/>
        </w:rPr>
      </w:pPr>
      <w:proofErr w:type="spellStart"/>
      <w:r w:rsidRPr="00C93E04">
        <w:rPr>
          <w:sz w:val="24"/>
          <w:szCs w:val="24"/>
        </w:rPr>
        <w:t>Entolex</w:t>
      </w:r>
      <w:proofErr w:type="spellEnd"/>
      <w:r w:rsidRPr="00C93E04">
        <w:rPr>
          <w:sz w:val="24"/>
          <w:szCs w:val="24"/>
        </w:rPr>
        <w:t xml:space="preserve"> påvirker ikke eller kun i ubetydelig grad evnen til at føre motorkøretøj og betjene maskiner.</w:t>
      </w:r>
    </w:p>
    <w:p w14:paraId="4CBB528C" w14:textId="77777777" w:rsidR="009260DE" w:rsidRPr="00C93E04" w:rsidRDefault="009260DE" w:rsidP="009260DE">
      <w:pPr>
        <w:tabs>
          <w:tab w:val="left" w:pos="851"/>
        </w:tabs>
        <w:ind w:left="851"/>
        <w:rPr>
          <w:sz w:val="24"/>
          <w:szCs w:val="24"/>
        </w:rPr>
      </w:pPr>
    </w:p>
    <w:p w14:paraId="495AAFB5" w14:textId="77777777" w:rsidR="009260DE" w:rsidRPr="00C93E04" w:rsidRDefault="009260DE" w:rsidP="009260DE">
      <w:pPr>
        <w:tabs>
          <w:tab w:val="left" w:pos="851"/>
        </w:tabs>
        <w:ind w:left="851" w:hanging="851"/>
        <w:rPr>
          <w:b/>
          <w:sz w:val="24"/>
          <w:szCs w:val="24"/>
        </w:rPr>
      </w:pPr>
      <w:r w:rsidRPr="00C93E04">
        <w:rPr>
          <w:b/>
          <w:sz w:val="24"/>
          <w:szCs w:val="24"/>
        </w:rPr>
        <w:t>4.8</w:t>
      </w:r>
      <w:r w:rsidRPr="00C93E04">
        <w:rPr>
          <w:b/>
          <w:sz w:val="24"/>
          <w:szCs w:val="24"/>
        </w:rPr>
        <w:tab/>
        <w:t>Bivirkninger</w:t>
      </w:r>
    </w:p>
    <w:p w14:paraId="1BB1A708" w14:textId="77777777" w:rsidR="00071ABC" w:rsidRPr="00C93E04" w:rsidRDefault="00071ABC" w:rsidP="004B12F8">
      <w:pPr>
        <w:ind w:left="851"/>
        <w:rPr>
          <w:sz w:val="24"/>
          <w:szCs w:val="24"/>
        </w:rPr>
      </w:pPr>
      <w:r w:rsidRPr="00C93E04">
        <w:rPr>
          <w:sz w:val="24"/>
          <w:szCs w:val="24"/>
        </w:rPr>
        <w:t xml:space="preserve">Bivirkningerne er anført herunder i henhold til </w:t>
      </w:r>
      <w:proofErr w:type="spellStart"/>
      <w:r w:rsidRPr="00C93E04">
        <w:rPr>
          <w:sz w:val="24"/>
          <w:szCs w:val="24"/>
        </w:rPr>
        <w:t>MedDRA</w:t>
      </w:r>
      <w:proofErr w:type="spellEnd"/>
      <w:r w:rsidRPr="00C93E04">
        <w:rPr>
          <w:sz w:val="24"/>
          <w:szCs w:val="24"/>
        </w:rPr>
        <w:t>-systemorganklasse og den anbefalede benævnelse ved brug af følgende hyppighedskonvention: meget almindelig (≥ 1/10); almindelig (≥ 1/100, &lt; 1/10); ikke almindelig (≥ 1/1.000, &lt; 1/100), sjælden (</w:t>
      </w:r>
      <w:r w:rsidRPr="00C93E04">
        <w:rPr>
          <w:sz w:val="24"/>
          <w:szCs w:val="24"/>
        </w:rPr>
        <w:sym w:font="Symbol" w:char="F0B3"/>
      </w:r>
      <w:r w:rsidRPr="00C93E04">
        <w:rPr>
          <w:sz w:val="24"/>
          <w:szCs w:val="24"/>
        </w:rPr>
        <w:t> 1/10.000 til &lt; 1/1.000); meget sjælden (&lt; 1/10.000); ikke kendt (kan ikke estimeres ud fra forhåndenværende data).</w:t>
      </w:r>
    </w:p>
    <w:p w14:paraId="0961AEFB" w14:textId="77777777" w:rsidR="00071ABC" w:rsidRPr="00C93E04" w:rsidRDefault="00071ABC" w:rsidP="00071ABC">
      <w:pPr>
        <w:rPr>
          <w:sz w:val="24"/>
          <w:szCs w:val="24"/>
        </w:rPr>
      </w:pPr>
    </w:p>
    <w:tbl>
      <w:tblPr>
        <w:tblStyle w:val="Tabel-Gitter"/>
        <w:tblW w:w="5000" w:type="pct"/>
        <w:tblInd w:w="0" w:type="dxa"/>
        <w:tblLook w:val="04A0" w:firstRow="1" w:lastRow="0" w:firstColumn="1" w:lastColumn="0" w:noHBand="0" w:noVBand="1"/>
      </w:tblPr>
      <w:tblGrid>
        <w:gridCol w:w="3208"/>
        <w:gridCol w:w="2209"/>
        <w:gridCol w:w="4211"/>
      </w:tblGrid>
      <w:tr w:rsidR="00071ABC" w:rsidRPr="00C93E04" w14:paraId="51E6BC75" w14:textId="77777777" w:rsidTr="004B12F8">
        <w:tc>
          <w:tcPr>
            <w:tcW w:w="1666" w:type="pct"/>
            <w:tcBorders>
              <w:top w:val="single" w:sz="4" w:space="0" w:color="auto"/>
              <w:left w:val="single" w:sz="4" w:space="0" w:color="auto"/>
              <w:bottom w:val="single" w:sz="4" w:space="0" w:color="auto"/>
              <w:right w:val="single" w:sz="4" w:space="0" w:color="auto"/>
            </w:tcBorders>
            <w:hideMark/>
          </w:tcPr>
          <w:p w14:paraId="03829B32" w14:textId="77777777" w:rsidR="00071ABC" w:rsidRPr="00C93E04" w:rsidRDefault="00071ABC">
            <w:pPr>
              <w:rPr>
                <w:b/>
                <w:bCs/>
                <w:i/>
                <w:iCs/>
                <w:sz w:val="24"/>
                <w:szCs w:val="24"/>
              </w:rPr>
            </w:pPr>
            <w:r w:rsidRPr="00C93E04">
              <w:rPr>
                <w:b/>
                <w:i/>
                <w:sz w:val="24"/>
                <w:szCs w:val="24"/>
              </w:rPr>
              <w:t xml:space="preserve">Systemorganklasse i henhold til </w:t>
            </w:r>
            <w:proofErr w:type="spellStart"/>
            <w:r w:rsidRPr="00C93E04">
              <w:rPr>
                <w:b/>
                <w:i/>
                <w:sz w:val="24"/>
                <w:szCs w:val="24"/>
              </w:rPr>
              <w:t>MedDRA</w:t>
            </w:r>
            <w:proofErr w:type="spellEnd"/>
          </w:p>
        </w:tc>
        <w:tc>
          <w:tcPr>
            <w:tcW w:w="1147" w:type="pct"/>
            <w:tcBorders>
              <w:top w:val="single" w:sz="4" w:space="0" w:color="auto"/>
              <w:left w:val="single" w:sz="4" w:space="0" w:color="auto"/>
              <w:bottom w:val="single" w:sz="4" w:space="0" w:color="auto"/>
              <w:right w:val="single" w:sz="4" w:space="0" w:color="auto"/>
            </w:tcBorders>
            <w:hideMark/>
          </w:tcPr>
          <w:p w14:paraId="44886FA2" w14:textId="77777777" w:rsidR="00071ABC" w:rsidRPr="00C93E04" w:rsidRDefault="00071ABC">
            <w:pPr>
              <w:rPr>
                <w:sz w:val="24"/>
                <w:szCs w:val="24"/>
              </w:rPr>
            </w:pPr>
            <w:r w:rsidRPr="00C93E04">
              <w:rPr>
                <w:b/>
                <w:i/>
                <w:sz w:val="24"/>
                <w:szCs w:val="24"/>
              </w:rPr>
              <w:t xml:space="preserve">Hyppighed i henhold til </w:t>
            </w:r>
            <w:proofErr w:type="spellStart"/>
            <w:r w:rsidRPr="00C93E04">
              <w:rPr>
                <w:b/>
                <w:i/>
                <w:sz w:val="24"/>
                <w:szCs w:val="24"/>
              </w:rPr>
              <w:t>MedDRA</w:t>
            </w:r>
            <w:proofErr w:type="spellEnd"/>
          </w:p>
        </w:tc>
        <w:tc>
          <w:tcPr>
            <w:tcW w:w="2187" w:type="pct"/>
            <w:tcBorders>
              <w:top w:val="single" w:sz="4" w:space="0" w:color="auto"/>
              <w:left w:val="single" w:sz="4" w:space="0" w:color="auto"/>
              <w:bottom w:val="single" w:sz="4" w:space="0" w:color="auto"/>
              <w:right w:val="single" w:sz="4" w:space="0" w:color="auto"/>
            </w:tcBorders>
            <w:hideMark/>
          </w:tcPr>
          <w:p w14:paraId="412F629B" w14:textId="77777777" w:rsidR="00071ABC" w:rsidRPr="00C93E04" w:rsidRDefault="00071ABC">
            <w:pPr>
              <w:rPr>
                <w:b/>
                <w:bCs/>
                <w:i/>
                <w:iCs/>
                <w:sz w:val="24"/>
                <w:szCs w:val="24"/>
              </w:rPr>
            </w:pPr>
            <w:r w:rsidRPr="00C93E04">
              <w:rPr>
                <w:b/>
                <w:i/>
                <w:sz w:val="24"/>
                <w:szCs w:val="24"/>
              </w:rPr>
              <w:t>Bivirkning</w:t>
            </w:r>
          </w:p>
        </w:tc>
      </w:tr>
      <w:tr w:rsidR="00071ABC" w:rsidRPr="00C93E04" w14:paraId="1FEF0177" w14:textId="77777777" w:rsidTr="004B12F8">
        <w:tc>
          <w:tcPr>
            <w:tcW w:w="1666" w:type="pct"/>
            <w:tcBorders>
              <w:top w:val="single" w:sz="4" w:space="0" w:color="auto"/>
              <w:left w:val="single" w:sz="4" w:space="0" w:color="auto"/>
              <w:bottom w:val="single" w:sz="4" w:space="0" w:color="auto"/>
              <w:right w:val="single" w:sz="4" w:space="0" w:color="auto"/>
            </w:tcBorders>
          </w:tcPr>
          <w:p w14:paraId="656857D3" w14:textId="38C32CCA" w:rsidR="00071ABC" w:rsidRPr="00C93E04" w:rsidRDefault="00071ABC" w:rsidP="004B12F8">
            <w:pPr>
              <w:rPr>
                <w:sz w:val="24"/>
                <w:szCs w:val="24"/>
              </w:rPr>
            </w:pPr>
            <w:r w:rsidRPr="00C93E04">
              <w:rPr>
                <w:sz w:val="24"/>
                <w:szCs w:val="24"/>
              </w:rPr>
              <w:t>Immunsystemet</w:t>
            </w:r>
          </w:p>
        </w:tc>
        <w:tc>
          <w:tcPr>
            <w:tcW w:w="1147" w:type="pct"/>
            <w:tcBorders>
              <w:top w:val="single" w:sz="4" w:space="0" w:color="auto"/>
              <w:left w:val="single" w:sz="4" w:space="0" w:color="auto"/>
              <w:bottom w:val="single" w:sz="4" w:space="0" w:color="auto"/>
              <w:right w:val="single" w:sz="4" w:space="0" w:color="auto"/>
            </w:tcBorders>
            <w:hideMark/>
          </w:tcPr>
          <w:p w14:paraId="6EFE2911" w14:textId="77777777" w:rsidR="00071ABC" w:rsidRPr="00C93E04" w:rsidRDefault="00071ABC">
            <w:pPr>
              <w:rPr>
                <w:sz w:val="24"/>
                <w:szCs w:val="24"/>
              </w:rPr>
            </w:pPr>
            <w:r w:rsidRPr="00C93E04">
              <w:rPr>
                <w:sz w:val="24"/>
                <w:szCs w:val="24"/>
              </w:rPr>
              <w:t>Ikke kendt</w:t>
            </w:r>
          </w:p>
        </w:tc>
        <w:tc>
          <w:tcPr>
            <w:tcW w:w="2187" w:type="pct"/>
            <w:tcBorders>
              <w:top w:val="single" w:sz="4" w:space="0" w:color="auto"/>
              <w:left w:val="single" w:sz="4" w:space="0" w:color="auto"/>
              <w:bottom w:val="single" w:sz="4" w:space="0" w:color="auto"/>
              <w:right w:val="single" w:sz="4" w:space="0" w:color="auto"/>
            </w:tcBorders>
            <w:hideMark/>
          </w:tcPr>
          <w:p w14:paraId="277A7534" w14:textId="77777777" w:rsidR="00071ABC" w:rsidRPr="00C93E04" w:rsidRDefault="00071ABC">
            <w:pPr>
              <w:rPr>
                <w:sz w:val="24"/>
                <w:szCs w:val="24"/>
                <w:highlight w:val="yellow"/>
              </w:rPr>
            </w:pPr>
            <w:r w:rsidRPr="00C93E04">
              <w:rPr>
                <w:sz w:val="24"/>
                <w:szCs w:val="24"/>
              </w:rPr>
              <w:t xml:space="preserve">Overfølsomhed, </w:t>
            </w:r>
            <w:proofErr w:type="spellStart"/>
            <w:r w:rsidRPr="00C93E04">
              <w:rPr>
                <w:sz w:val="24"/>
                <w:szCs w:val="24"/>
              </w:rPr>
              <w:t>anafylaktisk</w:t>
            </w:r>
            <w:proofErr w:type="spellEnd"/>
            <w:r w:rsidRPr="00C93E04">
              <w:rPr>
                <w:sz w:val="24"/>
                <w:szCs w:val="24"/>
              </w:rPr>
              <w:t xml:space="preserve"> </w:t>
            </w:r>
            <w:proofErr w:type="spellStart"/>
            <w:r w:rsidRPr="00C93E04">
              <w:rPr>
                <w:sz w:val="24"/>
                <w:szCs w:val="24"/>
              </w:rPr>
              <w:t>shock</w:t>
            </w:r>
            <w:proofErr w:type="spellEnd"/>
          </w:p>
        </w:tc>
      </w:tr>
      <w:tr w:rsidR="00071ABC" w:rsidRPr="00C93E04" w14:paraId="4C3AB87C" w14:textId="77777777" w:rsidTr="004B12F8">
        <w:tc>
          <w:tcPr>
            <w:tcW w:w="1666" w:type="pct"/>
            <w:tcBorders>
              <w:top w:val="single" w:sz="4" w:space="0" w:color="auto"/>
              <w:left w:val="single" w:sz="4" w:space="0" w:color="auto"/>
              <w:bottom w:val="single" w:sz="4" w:space="0" w:color="auto"/>
              <w:right w:val="single" w:sz="4" w:space="0" w:color="auto"/>
            </w:tcBorders>
          </w:tcPr>
          <w:p w14:paraId="47D9089E" w14:textId="329A0E8F" w:rsidR="00071ABC" w:rsidRPr="00C93E04" w:rsidRDefault="00071ABC" w:rsidP="004B12F8">
            <w:pPr>
              <w:rPr>
                <w:sz w:val="24"/>
                <w:szCs w:val="24"/>
              </w:rPr>
            </w:pPr>
            <w:r w:rsidRPr="00C93E04">
              <w:rPr>
                <w:sz w:val="24"/>
                <w:szCs w:val="24"/>
              </w:rPr>
              <w:t>Nervesystemet</w:t>
            </w:r>
          </w:p>
        </w:tc>
        <w:tc>
          <w:tcPr>
            <w:tcW w:w="1147" w:type="pct"/>
            <w:tcBorders>
              <w:top w:val="single" w:sz="4" w:space="0" w:color="auto"/>
              <w:left w:val="single" w:sz="4" w:space="0" w:color="auto"/>
              <w:bottom w:val="single" w:sz="4" w:space="0" w:color="auto"/>
              <w:right w:val="single" w:sz="4" w:space="0" w:color="auto"/>
            </w:tcBorders>
            <w:hideMark/>
          </w:tcPr>
          <w:p w14:paraId="6C2C6E1C" w14:textId="77777777" w:rsidR="00071ABC" w:rsidRPr="00C93E04" w:rsidRDefault="00071ABC">
            <w:pPr>
              <w:rPr>
                <w:sz w:val="24"/>
                <w:szCs w:val="24"/>
              </w:rPr>
            </w:pPr>
            <w:r w:rsidRPr="00C93E04">
              <w:rPr>
                <w:sz w:val="24"/>
                <w:szCs w:val="24"/>
              </w:rPr>
              <w:t>Ikke kendt</w:t>
            </w:r>
          </w:p>
        </w:tc>
        <w:tc>
          <w:tcPr>
            <w:tcW w:w="2187" w:type="pct"/>
            <w:tcBorders>
              <w:top w:val="single" w:sz="4" w:space="0" w:color="auto"/>
              <w:left w:val="single" w:sz="4" w:space="0" w:color="auto"/>
              <w:bottom w:val="single" w:sz="4" w:space="0" w:color="auto"/>
              <w:right w:val="single" w:sz="4" w:space="0" w:color="auto"/>
            </w:tcBorders>
            <w:hideMark/>
          </w:tcPr>
          <w:p w14:paraId="7F892AC5" w14:textId="77777777" w:rsidR="00071ABC" w:rsidRPr="00C93E04" w:rsidRDefault="00071ABC">
            <w:pPr>
              <w:rPr>
                <w:sz w:val="24"/>
                <w:szCs w:val="24"/>
                <w:highlight w:val="yellow"/>
              </w:rPr>
            </w:pPr>
            <w:r w:rsidRPr="00C93E04">
              <w:rPr>
                <w:sz w:val="24"/>
                <w:szCs w:val="24"/>
              </w:rPr>
              <w:t xml:space="preserve">Hovedpine, </w:t>
            </w:r>
            <w:proofErr w:type="spellStart"/>
            <w:r w:rsidRPr="00C93E04">
              <w:rPr>
                <w:sz w:val="24"/>
                <w:szCs w:val="24"/>
              </w:rPr>
              <w:t>muskeltremor</w:t>
            </w:r>
            <w:proofErr w:type="spellEnd"/>
            <w:r w:rsidRPr="00C93E04">
              <w:rPr>
                <w:sz w:val="24"/>
                <w:szCs w:val="24"/>
              </w:rPr>
              <w:t xml:space="preserve">, </w:t>
            </w:r>
            <w:proofErr w:type="spellStart"/>
            <w:r w:rsidRPr="00C93E04">
              <w:rPr>
                <w:sz w:val="24"/>
                <w:szCs w:val="24"/>
              </w:rPr>
              <w:t>ataksi</w:t>
            </w:r>
            <w:proofErr w:type="spellEnd"/>
          </w:p>
        </w:tc>
      </w:tr>
      <w:tr w:rsidR="00071ABC" w:rsidRPr="00C93E04" w14:paraId="3C8518D7" w14:textId="77777777" w:rsidTr="004B12F8">
        <w:tc>
          <w:tcPr>
            <w:tcW w:w="1666" w:type="pct"/>
            <w:tcBorders>
              <w:top w:val="single" w:sz="4" w:space="0" w:color="auto"/>
              <w:left w:val="single" w:sz="4" w:space="0" w:color="auto"/>
              <w:bottom w:val="single" w:sz="4" w:space="0" w:color="auto"/>
              <w:right w:val="single" w:sz="4" w:space="0" w:color="auto"/>
            </w:tcBorders>
            <w:hideMark/>
          </w:tcPr>
          <w:p w14:paraId="03C43CB3" w14:textId="77777777" w:rsidR="00071ABC" w:rsidRPr="00C93E04" w:rsidRDefault="00071ABC">
            <w:pPr>
              <w:rPr>
                <w:sz w:val="24"/>
                <w:szCs w:val="24"/>
              </w:rPr>
            </w:pPr>
            <w:r w:rsidRPr="00C93E04">
              <w:rPr>
                <w:sz w:val="24"/>
                <w:szCs w:val="24"/>
              </w:rPr>
              <w:t>Øjne</w:t>
            </w:r>
          </w:p>
        </w:tc>
        <w:tc>
          <w:tcPr>
            <w:tcW w:w="1147" w:type="pct"/>
            <w:tcBorders>
              <w:top w:val="single" w:sz="4" w:space="0" w:color="auto"/>
              <w:left w:val="single" w:sz="4" w:space="0" w:color="auto"/>
              <w:bottom w:val="single" w:sz="4" w:space="0" w:color="auto"/>
              <w:right w:val="single" w:sz="4" w:space="0" w:color="auto"/>
            </w:tcBorders>
            <w:hideMark/>
          </w:tcPr>
          <w:p w14:paraId="1A5955BA" w14:textId="77777777" w:rsidR="00071ABC" w:rsidRPr="00C93E04" w:rsidRDefault="00071ABC">
            <w:pPr>
              <w:rPr>
                <w:sz w:val="24"/>
                <w:szCs w:val="24"/>
              </w:rPr>
            </w:pPr>
            <w:r w:rsidRPr="00C93E04">
              <w:rPr>
                <w:sz w:val="24"/>
                <w:szCs w:val="24"/>
              </w:rPr>
              <w:t>Almindelig</w:t>
            </w:r>
          </w:p>
        </w:tc>
        <w:tc>
          <w:tcPr>
            <w:tcW w:w="2187" w:type="pct"/>
            <w:tcBorders>
              <w:top w:val="single" w:sz="4" w:space="0" w:color="auto"/>
              <w:left w:val="single" w:sz="4" w:space="0" w:color="auto"/>
              <w:bottom w:val="single" w:sz="4" w:space="0" w:color="auto"/>
              <w:right w:val="single" w:sz="4" w:space="0" w:color="auto"/>
            </w:tcBorders>
          </w:tcPr>
          <w:p w14:paraId="10F25A76" w14:textId="5B2D613C" w:rsidR="00071ABC" w:rsidRPr="00C93E04" w:rsidRDefault="00071ABC" w:rsidP="004B12F8">
            <w:pPr>
              <w:rPr>
                <w:sz w:val="24"/>
                <w:szCs w:val="24"/>
              </w:rPr>
            </w:pPr>
            <w:r w:rsidRPr="00C93E04">
              <w:rPr>
                <w:sz w:val="24"/>
                <w:szCs w:val="24"/>
              </w:rPr>
              <w:t>Sløret syn</w:t>
            </w:r>
          </w:p>
        </w:tc>
      </w:tr>
      <w:tr w:rsidR="00071ABC" w:rsidRPr="00C93E04" w14:paraId="434818DC" w14:textId="77777777" w:rsidTr="004B12F8">
        <w:tc>
          <w:tcPr>
            <w:tcW w:w="1666" w:type="pct"/>
            <w:tcBorders>
              <w:top w:val="single" w:sz="4" w:space="0" w:color="auto"/>
              <w:left w:val="single" w:sz="4" w:space="0" w:color="auto"/>
              <w:bottom w:val="single" w:sz="4" w:space="0" w:color="auto"/>
              <w:right w:val="single" w:sz="4" w:space="0" w:color="auto"/>
            </w:tcBorders>
            <w:hideMark/>
          </w:tcPr>
          <w:p w14:paraId="5916BDE1" w14:textId="77777777" w:rsidR="00071ABC" w:rsidRPr="00C93E04" w:rsidRDefault="00071ABC">
            <w:pPr>
              <w:rPr>
                <w:sz w:val="24"/>
                <w:szCs w:val="24"/>
              </w:rPr>
            </w:pPr>
            <w:r w:rsidRPr="00C93E04">
              <w:rPr>
                <w:sz w:val="24"/>
                <w:szCs w:val="24"/>
              </w:rPr>
              <w:t>Hjerte</w:t>
            </w:r>
          </w:p>
        </w:tc>
        <w:tc>
          <w:tcPr>
            <w:tcW w:w="1147" w:type="pct"/>
            <w:tcBorders>
              <w:top w:val="single" w:sz="4" w:space="0" w:color="auto"/>
              <w:left w:val="single" w:sz="4" w:space="0" w:color="auto"/>
              <w:bottom w:val="single" w:sz="4" w:space="0" w:color="auto"/>
              <w:right w:val="single" w:sz="4" w:space="0" w:color="auto"/>
            </w:tcBorders>
            <w:hideMark/>
          </w:tcPr>
          <w:p w14:paraId="587F4F68" w14:textId="77777777" w:rsidR="00071ABC" w:rsidRPr="00C93E04" w:rsidRDefault="00071ABC">
            <w:pPr>
              <w:rPr>
                <w:sz w:val="24"/>
                <w:szCs w:val="24"/>
              </w:rPr>
            </w:pPr>
            <w:r w:rsidRPr="00C93E04">
              <w:rPr>
                <w:sz w:val="24"/>
                <w:szCs w:val="24"/>
              </w:rPr>
              <w:t>Ikke kendt</w:t>
            </w:r>
          </w:p>
        </w:tc>
        <w:tc>
          <w:tcPr>
            <w:tcW w:w="2187" w:type="pct"/>
            <w:tcBorders>
              <w:top w:val="single" w:sz="4" w:space="0" w:color="auto"/>
              <w:left w:val="single" w:sz="4" w:space="0" w:color="auto"/>
              <w:bottom w:val="single" w:sz="4" w:space="0" w:color="auto"/>
              <w:right w:val="single" w:sz="4" w:space="0" w:color="auto"/>
            </w:tcBorders>
          </w:tcPr>
          <w:p w14:paraId="18DBCCAF" w14:textId="76F81A1A" w:rsidR="00071ABC" w:rsidRPr="00C93E04" w:rsidRDefault="00071ABC" w:rsidP="004B12F8">
            <w:pPr>
              <w:rPr>
                <w:sz w:val="24"/>
                <w:szCs w:val="24"/>
              </w:rPr>
            </w:pPr>
            <w:r w:rsidRPr="00C93E04">
              <w:rPr>
                <w:sz w:val="24"/>
                <w:szCs w:val="24"/>
              </w:rPr>
              <w:t>Bradykardi</w:t>
            </w:r>
          </w:p>
        </w:tc>
      </w:tr>
      <w:tr w:rsidR="00071ABC" w:rsidRPr="00C93E04" w14:paraId="6079702B" w14:textId="77777777" w:rsidTr="004B12F8">
        <w:tc>
          <w:tcPr>
            <w:tcW w:w="1666" w:type="pct"/>
            <w:vMerge w:val="restart"/>
            <w:tcBorders>
              <w:top w:val="single" w:sz="4" w:space="0" w:color="auto"/>
              <w:left w:val="single" w:sz="4" w:space="0" w:color="auto"/>
              <w:bottom w:val="single" w:sz="4" w:space="0" w:color="auto"/>
              <w:right w:val="single" w:sz="4" w:space="0" w:color="auto"/>
            </w:tcBorders>
            <w:hideMark/>
          </w:tcPr>
          <w:p w14:paraId="3FEE8E1B" w14:textId="77777777" w:rsidR="00071ABC" w:rsidRPr="00C93E04" w:rsidRDefault="00071ABC">
            <w:pPr>
              <w:rPr>
                <w:sz w:val="24"/>
                <w:szCs w:val="24"/>
              </w:rPr>
            </w:pPr>
            <w:r w:rsidRPr="00C93E04">
              <w:rPr>
                <w:sz w:val="24"/>
                <w:szCs w:val="24"/>
              </w:rPr>
              <w:t>Mave-tarm-kanalen</w:t>
            </w:r>
          </w:p>
        </w:tc>
        <w:tc>
          <w:tcPr>
            <w:tcW w:w="1147" w:type="pct"/>
            <w:tcBorders>
              <w:top w:val="single" w:sz="4" w:space="0" w:color="auto"/>
              <w:left w:val="single" w:sz="4" w:space="0" w:color="auto"/>
              <w:bottom w:val="nil"/>
              <w:right w:val="single" w:sz="4" w:space="0" w:color="auto"/>
            </w:tcBorders>
            <w:hideMark/>
          </w:tcPr>
          <w:p w14:paraId="3DCE8803" w14:textId="77777777" w:rsidR="00071ABC" w:rsidRPr="00C93E04" w:rsidRDefault="00071ABC">
            <w:pPr>
              <w:rPr>
                <w:sz w:val="24"/>
                <w:szCs w:val="24"/>
              </w:rPr>
            </w:pPr>
            <w:r w:rsidRPr="00C93E04">
              <w:rPr>
                <w:sz w:val="24"/>
                <w:szCs w:val="24"/>
              </w:rPr>
              <w:t>Almindelig</w:t>
            </w:r>
          </w:p>
        </w:tc>
        <w:tc>
          <w:tcPr>
            <w:tcW w:w="2187" w:type="pct"/>
            <w:tcBorders>
              <w:top w:val="single" w:sz="4" w:space="0" w:color="auto"/>
              <w:left w:val="single" w:sz="4" w:space="0" w:color="auto"/>
              <w:bottom w:val="nil"/>
              <w:right w:val="single" w:sz="4" w:space="0" w:color="auto"/>
            </w:tcBorders>
            <w:hideMark/>
          </w:tcPr>
          <w:p w14:paraId="3744ABA3" w14:textId="77777777" w:rsidR="00071ABC" w:rsidRPr="00C93E04" w:rsidRDefault="00071ABC">
            <w:pPr>
              <w:rPr>
                <w:sz w:val="24"/>
                <w:szCs w:val="24"/>
                <w:highlight w:val="yellow"/>
              </w:rPr>
            </w:pPr>
            <w:r w:rsidRPr="00C93E04">
              <w:rPr>
                <w:sz w:val="24"/>
                <w:szCs w:val="24"/>
              </w:rPr>
              <w:t>Halsbrand, brændende fornemmelse perianalt, mundtørhed, kvalme, opkast</w:t>
            </w:r>
          </w:p>
        </w:tc>
      </w:tr>
      <w:tr w:rsidR="00071ABC" w:rsidRPr="00C93E04" w14:paraId="6E230055" w14:textId="77777777" w:rsidTr="004B12F8">
        <w:tc>
          <w:tcPr>
            <w:tcW w:w="1666" w:type="pct"/>
            <w:vMerge/>
            <w:tcBorders>
              <w:top w:val="single" w:sz="4" w:space="0" w:color="auto"/>
              <w:left w:val="single" w:sz="4" w:space="0" w:color="auto"/>
              <w:bottom w:val="single" w:sz="4" w:space="0" w:color="auto"/>
              <w:right w:val="single" w:sz="4" w:space="0" w:color="auto"/>
            </w:tcBorders>
            <w:vAlign w:val="center"/>
            <w:hideMark/>
          </w:tcPr>
          <w:p w14:paraId="2DD1074D" w14:textId="77777777" w:rsidR="00071ABC" w:rsidRPr="00C93E04" w:rsidRDefault="00071ABC">
            <w:pPr>
              <w:rPr>
                <w:sz w:val="24"/>
                <w:szCs w:val="24"/>
              </w:rPr>
            </w:pPr>
          </w:p>
        </w:tc>
        <w:tc>
          <w:tcPr>
            <w:tcW w:w="1147" w:type="pct"/>
            <w:tcBorders>
              <w:top w:val="nil"/>
              <w:left w:val="single" w:sz="4" w:space="0" w:color="auto"/>
              <w:bottom w:val="single" w:sz="4" w:space="0" w:color="auto"/>
              <w:right w:val="single" w:sz="4" w:space="0" w:color="auto"/>
            </w:tcBorders>
            <w:hideMark/>
          </w:tcPr>
          <w:p w14:paraId="4711DB1B" w14:textId="77777777" w:rsidR="00071ABC" w:rsidRPr="00C93E04" w:rsidRDefault="00071ABC">
            <w:pPr>
              <w:rPr>
                <w:sz w:val="24"/>
                <w:szCs w:val="24"/>
              </w:rPr>
            </w:pPr>
            <w:r w:rsidRPr="00C93E04">
              <w:rPr>
                <w:sz w:val="24"/>
                <w:szCs w:val="24"/>
              </w:rPr>
              <w:t>Ikke kendt</w:t>
            </w:r>
          </w:p>
        </w:tc>
        <w:tc>
          <w:tcPr>
            <w:tcW w:w="2187" w:type="pct"/>
            <w:tcBorders>
              <w:top w:val="nil"/>
              <w:left w:val="single" w:sz="4" w:space="0" w:color="auto"/>
              <w:bottom w:val="single" w:sz="4" w:space="0" w:color="auto"/>
              <w:right w:val="single" w:sz="4" w:space="0" w:color="auto"/>
            </w:tcBorders>
          </w:tcPr>
          <w:p w14:paraId="5311D4F1" w14:textId="270E5973" w:rsidR="00071ABC" w:rsidRPr="00C93E04" w:rsidRDefault="00071ABC" w:rsidP="004B12F8">
            <w:pPr>
              <w:rPr>
                <w:sz w:val="24"/>
                <w:szCs w:val="24"/>
                <w:highlight w:val="yellow"/>
              </w:rPr>
            </w:pPr>
            <w:r w:rsidRPr="00C93E04">
              <w:rPr>
                <w:sz w:val="24"/>
                <w:szCs w:val="24"/>
              </w:rPr>
              <w:t>Afføring med unormal lugt (med en lugt af mentol)</w:t>
            </w:r>
          </w:p>
        </w:tc>
      </w:tr>
      <w:tr w:rsidR="00071ABC" w:rsidRPr="00C93E04" w14:paraId="70B16068" w14:textId="77777777" w:rsidTr="004B12F8">
        <w:tc>
          <w:tcPr>
            <w:tcW w:w="1666" w:type="pct"/>
            <w:tcBorders>
              <w:top w:val="single" w:sz="4" w:space="0" w:color="auto"/>
              <w:left w:val="single" w:sz="4" w:space="0" w:color="auto"/>
              <w:bottom w:val="single" w:sz="4" w:space="0" w:color="auto"/>
              <w:right w:val="single" w:sz="4" w:space="0" w:color="auto"/>
            </w:tcBorders>
            <w:hideMark/>
          </w:tcPr>
          <w:p w14:paraId="4FD0B477" w14:textId="77777777" w:rsidR="00071ABC" w:rsidRPr="00C93E04" w:rsidRDefault="00071ABC">
            <w:pPr>
              <w:rPr>
                <w:sz w:val="24"/>
                <w:szCs w:val="24"/>
              </w:rPr>
            </w:pPr>
            <w:r w:rsidRPr="00C93E04">
              <w:rPr>
                <w:sz w:val="24"/>
                <w:szCs w:val="24"/>
              </w:rPr>
              <w:t>Hud og subkutane væv</w:t>
            </w:r>
          </w:p>
        </w:tc>
        <w:tc>
          <w:tcPr>
            <w:tcW w:w="1147" w:type="pct"/>
            <w:tcBorders>
              <w:top w:val="single" w:sz="4" w:space="0" w:color="auto"/>
              <w:left w:val="single" w:sz="4" w:space="0" w:color="auto"/>
              <w:bottom w:val="single" w:sz="4" w:space="0" w:color="auto"/>
              <w:right w:val="single" w:sz="4" w:space="0" w:color="auto"/>
            </w:tcBorders>
            <w:hideMark/>
          </w:tcPr>
          <w:p w14:paraId="14A80F2D" w14:textId="77777777" w:rsidR="00071ABC" w:rsidRPr="00C93E04" w:rsidRDefault="00071ABC">
            <w:pPr>
              <w:rPr>
                <w:sz w:val="24"/>
                <w:szCs w:val="24"/>
              </w:rPr>
            </w:pPr>
            <w:r w:rsidRPr="00C93E04">
              <w:rPr>
                <w:sz w:val="24"/>
                <w:szCs w:val="24"/>
              </w:rPr>
              <w:t>Ikke kendt</w:t>
            </w:r>
          </w:p>
        </w:tc>
        <w:tc>
          <w:tcPr>
            <w:tcW w:w="2187" w:type="pct"/>
            <w:tcBorders>
              <w:top w:val="single" w:sz="4" w:space="0" w:color="auto"/>
              <w:left w:val="single" w:sz="4" w:space="0" w:color="auto"/>
              <w:bottom w:val="single" w:sz="4" w:space="0" w:color="auto"/>
              <w:right w:val="single" w:sz="4" w:space="0" w:color="auto"/>
            </w:tcBorders>
          </w:tcPr>
          <w:p w14:paraId="52004DB1" w14:textId="6C8A49F2" w:rsidR="00071ABC" w:rsidRPr="00C93E04" w:rsidRDefault="00071ABC" w:rsidP="004B12F8">
            <w:pPr>
              <w:rPr>
                <w:sz w:val="24"/>
                <w:szCs w:val="24"/>
              </w:rPr>
            </w:pPr>
            <w:proofErr w:type="spellStart"/>
            <w:r w:rsidRPr="00C93E04">
              <w:rPr>
                <w:sz w:val="24"/>
                <w:szCs w:val="24"/>
              </w:rPr>
              <w:t>Erythematøst</w:t>
            </w:r>
            <w:proofErr w:type="spellEnd"/>
            <w:r w:rsidRPr="00C93E04">
              <w:rPr>
                <w:sz w:val="24"/>
                <w:szCs w:val="24"/>
              </w:rPr>
              <w:t xml:space="preserve"> udslæt</w:t>
            </w:r>
          </w:p>
        </w:tc>
      </w:tr>
      <w:tr w:rsidR="00071ABC" w:rsidRPr="00C93E04" w14:paraId="1B85958A" w14:textId="77777777" w:rsidTr="004B12F8">
        <w:tc>
          <w:tcPr>
            <w:tcW w:w="1666" w:type="pct"/>
            <w:tcBorders>
              <w:top w:val="single" w:sz="4" w:space="0" w:color="auto"/>
              <w:left w:val="single" w:sz="4" w:space="0" w:color="auto"/>
              <w:bottom w:val="single" w:sz="4" w:space="0" w:color="auto"/>
              <w:right w:val="single" w:sz="4" w:space="0" w:color="auto"/>
            </w:tcBorders>
            <w:hideMark/>
          </w:tcPr>
          <w:p w14:paraId="5FCC5F34" w14:textId="77777777" w:rsidR="00071ABC" w:rsidRPr="00C93E04" w:rsidRDefault="00071ABC">
            <w:pPr>
              <w:rPr>
                <w:sz w:val="24"/>
                <w:szCs w:val="24"/>
              </w:rPr>
            </w:pPr>
            <w:r w:rsidRPr="00C93E04">
              <w:rPr>
                <w:sz w:val="24"/>
                <w:szCs w:val="24"/>
              </w:rPr>
              <w:t>Nyrer og urinveje</w:t>
            </w:r>
          </w:p>
        </w:tc>
        <w:tc>
          <w:tcPr>
            <w:tcW w:w="1147" w:type="pct"/>
            <w:tcBorders>
              <w:top w:val="single" w:sz="4" w:space="0" w:color="auto"/>
              <w:left w:val="single" w:sz="4" w:space="0" w:color="auto"/>
              <w:bottom w:val="single" w:sz="4" w:space="0" w:color="auto"/>
              <w:right w:val="single" w:sz="4" w:space="0" w:color="auto"/>
            </w:tcBorders>
            <w:hideMark/>
          </w:tcPr>
          <w:p w14:paraId="3E6D3D9C" w14:textId="77777777" w:rsidR="00071ABC" w:rsidRPr="00C93E04" w:rsidRDefault="00071ABC">
            <w:pPr>
              <w:rPr>
                <w:sz w:val="24"/>
                <w:szCs w:val="24"/>
              </w:rPr>
            </w:pPr>
            <w:r w:rsidRPr="00C93E04">
              <w:rPr>
                <w:sz w:val="24"/>
                <w:szCs w:val="24"/>
              </w:rPr>
              <w:t>Ikke kendt</w:t>
            </w:r>
          </w:p>
        </w:tc>
        <w:tc>
          <w:tcPr>
            <w:tcW w:w="2187" w:type="pct"/>
            <w:tcBorders>
              <w:top w:val="single" w:sz="4" w:space="0" w:color="auto"/>
              <w:left w:val="single" w:sz="4" w:space="0" w:color="auto"/>
              <w:bottom w:val="single" w:sz="4" w:space="0" w:color="auto"/>
              <w:right w:val="single" w:sz="4" w:space="0" w:color="auto"/>
            </w:tcBorders>
          </w:tcPr>
          <w:p w14:paraId="03B395C7" w14:textId="1043B976" w:rsidR="00071ABC" w:rsidRPr="00C93E04" w:rsidRDefault="00071ABC" w:rsidP="004B12F8">
            <w:pPr>
              <w:rPr>
                <w:sz w:val="24"/>
                <w:szCs w:val="24"/>
                <w:highlight w:val="yellow"/>
              </w:rPr>
            </w:pPr>
            <w:r w:rsidRPr="00C93E04">
              <w:rPr>
                <w:sz w:val="24"/>
                <w:szCs w:val="24"/>
              </w:rPr>
              <w:t xml:space="preserve">Urin med unormal lugt (med en lugt af mentol), </w:t>
            </w:r>
            <w:proofErr w:type="spellStart"/>
            <w:r w:rsidRPr="00C93E04">
              <w:rPr>
                <w:sz w:val="24"/>
                <w:szCs w:val="24"/>
              </w:rPr>
              <w:t>dysuri</w:t>
            </w:r>
            <w:proofErr w:type="spellEnd"/>
          </w:p>
        </w:tc>
      </w:tr>
      <w:tr w:rsidR="00071ABC" w:rsidRPr="00C93E04" w14:paraId="1D2C1989" w14:textId="77777777" w:rsidTr="004B12F8">
        <w:tc>
          <w:tcPr>
            <w:tcW w:w="1666" w:type="pct"/>
            <w:tcBorders>
              <w:top w:val="single" w:sz="4" w:space="0" w:color="auto"/>
              <w:left w:val="single" w:sz="4" w:space="0" w:color="auto"/>
              <w:bottom w:val="single" w:sz="4" w:space="0" w:color="auto"/>
              <w:right w:val="single" w:sz="4" w:space="0" w:color="auto"/>
            </w:tcBorders>
            <w:hideMark/>
          </w:tcPr>
          <w:p w14:paraId="6EC682FB" w14:textId="77777777" w:rsidR="00071ABC" w:rsidRPr="00C93E04" w:rsidRDefault="00071ABC">
            <w:pPr>
              <w:rPr>
                <w:sz w:val="24"/>
                <w:szCs w:val="24"/>
              </w:rPr>
            </w:pPr>
            <w:r w:rsidRPr="00C93E04">
              <w:rPr>
                <w:sz w:val="24"/>
                <w:szCs w:val="24"/>
              </w:rPr>
              <w:t>Det reproduktive system og mammae</w:t>
            </w:r>
          </w:p>
        </w:tc>
        <w:tc>
          <w:tcPr>
            <w:tcW w:w="1147" w:type="pct"/>
            <w:tcBorders>
              <w:top w:val="single" w:sz="4" w:space="0" w:color="auto"/>
              <w:left w:val="single" w:sz="4" w:space="0" w:color="auto"/>
              <w:bottom w:val="single" w:sz="4" w:space="0" w:color="auto"/>
              <w:right w:val="single" w:sz="4" w:space="0" w:color="auto"/>
            </w:tcBorders>
            <w:hideMark/>
          </w:tcPr>
          <w:p w14:paraId="509BCBB2" w14:textId="77777777" w:rsidR="00071ABC" w:rsidRPr="00C93E04" w:rsidRDefault="00071ABC">
            <w:pPr>
              <w:rPr>
                <w:sz w:val="24"/>
                <w:szCs w:val="24"/>
              </w:rPr>
            </w:pPr>
            <w:r w:rsidRPr="00C93E04">
              <w:rPr>
                <w:sz w:val="24"/>
                <w:szCs w:val="24"/>
              </w:rPr>
              <w:t>Ikke kendt</w:t>
            </w:r>
          </w:p>
        </w:tc>
        <w:tc>
          <w:tcPr>
            <w:tcW w:w="2187" w:type="pct"/>
            <w:tcBorders>
              <w:top w:val="single" w:sz="4" w:space="0" w:color="auto"/>
              <w:left w:val="single" w:sz="4" w:space="0" w:color="auto"/>
              <w:bottom w:val="single" w:sz="4" w:space="0" w:color="auto"/>
              <w:right w:val="single" w:sz="4" w:space="0" w:color="auto"/>
            </w:tcBorders>
            <w:hideMark/>
          </w:tcPr>
          <w:p w14:paraId="03E256E4" w14:textId="77777777" w:rsidR="00071ABC" w:rsidRPr="00C93E04" w:rsidRDefault="00071ABC">
            <w:pPr>
              <w:rPr>
                <w:sz w:val="24"/>
                <w:szCs w:val="24"/>
                <w:highlight w:val="yellow"/>
              </w:rPr>
            </w:pPr>
            <w:r w:rsidRPr="00C93E04">
              <w:rPr>
                <w:sz w:val="24"/>
                <w:szCs w:val="24"/>
              </w:rPr>
              <w:t>Inflammation af penishovedet</w:t>
            </w:r>
          </w:p>
        </w:tc>
      </w:tr>
    </w:tbl>
    <w:p w14:paraId="3FDC52CB" w14:textId="77777777" w:rsidR="00071ABC" w:rsidRPr="00C93E04" w:rsidRDefault="00071ABC" w:rsidP="00071ABC">
      <w:pPr>
        <w:autoSpaceDE w:val="0"/>
        <w:autoSpaceDN w:val="0"/>
        <w:adjustRightInd w:val="0"/>
        <w:rPr>
          <w:sz w:val="24"/>
          <w:szCs w:val="24"/>
          <w:highlight w:val="yellow"/>
        </w:rPr>
      </w:pPr>
    </w:p>
    <w:p w14:paraId="02610E2A" w14:textId="77777777" w:rsidR="00071ABC" w:rsidRPr="00C93E04" w:rsidRDefault="00071ABC" w:rsidP="004B12F8">
      <w:pPr>
        <w:ind w:left="851"/>
        <w:rPr>
          <w:sz w:val="24"/>
          <w:szCs w:val="24"/>
          <w:u w:val="single"/>
        </w:rPr>
      </w:pPr>
      <w:r w:rsidRPr="00C93E04">
        <w:rPr>
          <w:sz w:val="24"/>
          <w:szCs w:val="24"/>
          <w:u w:val="single"/>
        </w:rPr>
        <w:t>Indberetning af formodede bivirkninger</w:t>
      </w:r>
    </w:p>
    <w:p w14:paraId="6069219F" w14:textId="77777777" w:rsidR="00071ABC" w:rsidRPr="00C93E04" w:rsidRDefault="00071ABC" w:rsidP="004B12F8">
      <w:pPr>
        <w:ind w:left="851"/>
        <w:rPr>
          <w:sz w:val="24"/>
          <w:szCs w:val="24"/>
        </w:rPr>
      </w:pPr>
      <w:r w:rsidRPr="00C93E04">
        <w:rPr>
          <w:sz w:val="24"/>
          <w:szCs w:val="24"/>
        </w:rPr>
        <w:t>Når lægemidlet er godkendt, er indberetning af formodede bivirkninger vigtig. Det muliggør løbende overvågning af benefit/</w:t>
      </w:r>
      <w:proofErr w:type="spellStart"/>
      <w:r w:rsidRPr="00C93E04">
        <w:rPr>
          <w:sz w:val="24"/>
          <w:szCs w:val="24"/>
        </w:rPr>
        <w:t>risk</w:t>
      </w:r>
      <w:proofErr w:type="spellEnd"/>
      <w:r w:rsidRPr="00C93E04">
        <w:rPr>
          <w:sz w:val="24"/>
          <w:szCs w:val="24"/>
        </w:rPr>
        <w:t>-forholdet for lægemidlet. Sundhedspersoner anmodes om at indberette alle formodede bivirkninger til</w:t>
      </w:r>
      <w:r w:rsidRPr="00C93E04">
        <w:rPr>
          <w:sz w:val="24"/>
          <w:szCs w:val="24"/>
        </w:rPr>
        <w:br/>
      </w:r>
    </w:p>
    <w:p w14:paraId="3C3BABBA" w14:textId="77777777" w:rsidR="00071ABC" w:rsidRPr="00C93E04" w:rsidRDefault="00071ABC" w:rsidP="004B12F8">
      <w:pPr>
        <w:ind w:left="851"/>
        <w:rPr>
          <w:sz w:val="24"/>
          <w:szCs w:val="24"/>
        </w:rPr>
      </w:pPr>
      <w:r w:rsidRPr="00C93E04">
        <w:rPr>
          <w:sz w:val="24"/>
          <w:szCs w:val="24"/>
        </w:rPr>
        <w:lastRenderedPageBreak/>
        <w:t>Lægemiddelstyrelsen</w:t>
      </w:r>
      <w:r w:rsidRPr="00C93E04">
        <w:rPr>
          <w:sz w:val="24"/>
          <w:szCs w:val="24"/>
        </w:rPr>
        <w:br/>
        <w:t>Axel Heides Gade 1</w:t>
      </w:r>
      <w:r w:rsidRPr="00C93E04">
        <w:rPr>
          <w:sz w:val="24"/>
          <w:szCs w:val="24"/>
        </w:rPr>
        <w:br/>
        <w:t>DK-2300 København S</w:t>
      </w:r>
    </w:p>
    <w:p w14:paraId="5837DCAE" w14:textId="77777777" w:rsidR="00071ABC" w:rsidRPr="00C93E04" w:rsidRDefault="00071ABC" w:rsidP="004B12F8">
      <w:pPr>
        <w:ind w:left="851"/>
        <w:rPr>
          <w:noProof/>
          <w:sz w:val="24"/>
          <w:szCs w:val="24"/>
        </w:rPr>
      </w:pPr>
      <w:r w:rsidRPr="00C93E04">
        <w:rPr>
          <w:noProof/>
          <w:sz w:val="24"/>
          <w:szCs w:val="24"/>
        </w:rPr>
        <w:t xml:space="preserve">Websted: </w:t>
      </w:r>
      <w:hyperlink r:id="rId8" w:history="1">
        <w:r w:rsidRPr="00C93E04">
          <w:rPr>
            <w:rStyle w:val="Hyperlink"/>
            <w:noProof/>
            <w:sz w:val="24"/>
            <w:szCs w:val="24"/>
          </w:rPr>
          <w:t>www.meldenbivirkning.dk</w:t>
        </w:r>
      </w:hyperlink>
      <w:r w:rsidRPr="00C93E04">
        <w:rPr>
          <w:noProof/>
          <w:sz w:val="24"/>
          <w:szCs w:val="24"/>
        </w:rPr>
        <w:t xml:space="preserve"> </w:t>
      </w:r>
    </w:p>
    <w:p w14:paraId="0422339A" w14:textId="77777777" w:rsidR="009260DE" w:rsidRPr="00C93E04" w:rsidRDefault="009260DE" w:rsidP="00A10294">
      <w:pPr>
        <w:tabs>
          <w:tab w:val="left" w:pos="851"/>
        </w:tabs>
        <w:ind w:left="851"/>
        <w:rPr>
          <w:sz w:val="24"/>
          <w:szCs w:val="24"/>
        </w:rPr>
      </w:pPr>
    </w:p>
    <w:p w14:paraId="2F224B20" w14:textId="77777777" w:rsidR="009260DE" w:rsidRPr="00C93E04" w:rsidRDefault="009260DE" w:rsidP="009260DE">
      <w:pPr>
        <w:tabs>
          <w:tab w:val="left" w:pos="851"/>
        </w:tabs>
        <w:ind w:left="851" w:hanging="851"/>
        <w:rPr>
          <w:b/>
          <w:sz w:val="24"/>
          <w:szCs w:val="24"/>
        </w:rPr>
      </w:pPr>
      <w:r w:rsidRPr="00C93E04">
        <w:rPr>
          <w:b/>
          <w:sz w:val="24"/>
          <w:szCs w:val="24"/>
        </w:rPr>
        <w:t>4.9</w:t>
      </w:r>
      <w:r w:rsidRPr="00C93E04">
        <w:rPr>
          <w:b/>
          <w:sz w:val="24"/>
          <w:szCs w:val="24"/>
        </w:rPr>
        <w:tab/>
        <w:t>Overdosering</w:t>
      </w:r>
    </w:p>
    <w:p w14:paraId="583E5F5A" w14:textId="77777777" w:rsidR="00071ABC" w:rsidRPr="00C93E04" w:rsidRDefault="00071ABC" w:rsidP="004B12F8">
      <w:pPr>
        <w:ind w:left="851"/>
        <w:rPr>
          <w:sz w:val="24"/>
          <w:szCs w:val="24"/>
        </w:rPr>
      </w:pPr>
      <w:r w:rsidRPr="00C93E04">
        <w:rPr>
          <w:sz w:val="24"/>
          <w:szCs w:val="24"/>
        </w:rPr>
        <w:t xml:space="preserve">Overdosering kan forårsage alvorlige symptomer i mave-tarm-kanalen, diarré, </w:t>
      </w:r>
      <w:proofErr w:type="spellStart"/>
      <w:r w:rsidRPr="00C93E04">
        <w:rPr>
          <w:sz w:val="24"/>
          <w:szCs w:val="24"/>
        </w:rPr>
        <w:t>rektal</w:t>
      </w:r>
      <w:proofErr w:type="spellEnd"/>
      <w:r w:rsidRPr="00C93E04">
        <w:rPr>
          <w:sz w:val="24"/>
          <w:szCs w:val="24"/>
        </w:rPr>
        <w:t xml:space="preserve"> </w:t>
      </w:r>
      <w:proofErr w:type="spellStart"/>
      <w:r w:rsidRPr="00C93E04">
        <w:rPr>
          <w:sz w:val="24"/>
          <w:szCs w:val="24"/>
        </w:rPr>
        <w:t>ulceration</w:t>
      </w:r>
      <w:proofErr w:type="spellEnd"/>
      <w:r w:rsidRPr="00C93E04">
        <w:rPr>
          <w:sz w:val="24"/>
          <w:szCs w:val="24"/>
        </w:rPr>
        <w:t xml:space="preserve">, epileptiske krampeanfald, tab af bevidsthed, apnø, kvalme og hjerterytmeforstyrrelser, </w:t>
      </w:r>
      <w:proofErr w:type="spellStart"/>
      <w:r w:rsidRPr="00C93E04">
        <w:rPr>
          <w:sz w:val="24"/>
          <w:szCs w:val="24"/>
        </w:rPr>
        <w:t>ataksi</w:t>
      </w:r>
      <w:proofErr w:type="spellEnd"/>
      <w:r w:rsidRPr="00C93E04">
        <w:rPr>
          <w:sz w:val="24"/>
          <w:szCs w:val="24"/>
        </w:rPr>
        <w:t xml:space="preserve"> og andre CNS-symptomer, sandsynligvis på grund af indholdet af mentol.</w:t>
      </w:r>
    </w:p>
    <w:p w14:paraId="6BDCE42C" w14:textId="77777777" w:rsidR="00071ABC" w:rsidRPr="00C93E04" w:rsidRDefault="00071ABC" w:rsidP="004B12F8">
      <w:pPr>
        <w:ind w:left="851"/>
        <w:rPr>
          <w:sz w:val="24"/>
          <w:szCs w:val="24"/>
        </w:rPr>
      </w:pPr>
    </w:p>
    <w:p w14:paraId="142A5C15" w14:textId="77777777" w:rsidR="00071ABC" w:rsidRPr="00C93E04" w:rsidRDefault="00071ABC" w:rsidP="004B12F8">
      <w:pPr>
        <w:ind w:left="851"/>
        <w:rPr>
          <w:sz w:val="24"/>
          <w:szCs w:val="24"/>
        </w:rPr>
      </w:pPr>
      <w:r w:rsidRPr="00C93E04">
        <w:rPr>
          <w:sz w:val="24"/>
          <w:szCs w:val="24"/>
        </w:rPr>
        <w:t xml:space="preserve">I tilfælde af en overdosering skal mavesækken tømmes ved </w:t>
      </w:r>
      <w:r w:rsidRPr="00C93E04">
        <w:rPr>
          <w:color w:val="000000"/>
          <w:sz w:val="24"/>
          <w:szCs w:val="24"/>
        </w:rPr>
        <w:t>hjælp af </w:t>
      </w:r>
      <w:r w:rsidRPr="00C93E04">
        <w:rPr>
          <w:sz w:val="24"/>
          <w:szCs w:val="24"/>
        </w:rPr>
        <w:t>ventrikelskylning. Observation og symptombehandling skal udføres efter behov.</w:t>
      </w:r>
    </w:p>
    <w:p w14:paraId="5623A87B" w14:textId="77777777" w:rsidR="009260DE" w:rsidRPr="00C93E04" w:rsidRDefault="009260DE" w:rsidP="009260DE">
      <w:pPr>
        <w:tabs>
          <w:tab w:val="left" w:pos="851"/>
        </w:tabs>
        <w:ind w:left="851"/>
        <w:rPr>
          <w:sz w:val="24"/>
          <w:szCs w:val="24"/>
        </w:rPr>
      </w:pPr>
    </w:p>
    <w:p w14:paraId="31035ACA" w14:textId="77777777" w:rsidR="009260DE" w:rsidRPr="00C93E04" w:rsidRDefault="009260DE" w:rsidP="009260DE">
      <w:pPr>
        <w:tabs>
          <w:tab w:val="left" w:pos="851"/>
        </w:tabs>
        <w:ind w:left="851" w:hanging="851"/>
        <w:rPr>
          <w:b/>
          <w:sz w:val="24"/>
          <w:szCs w:val="24"/>
        </w:rPr>
      </w:pPr>
      <w:r w:rsidRPr="00C93E04">
        <w:rPr>
          <w:b/>
          <w:sz w:val="24"/>
          <w:szCs w:val="24"/>
        </w:rPr>
        <w:t>4.10</w:t>
      </w:r>
      <w:r w:rsidRPr="00C93E04">
        <w:rPr>
          <w:b/>
          <w:sz w:val="24"/>
          <w:szCs w:val="24"/>
        </w:rPr>
        <w:tab/>
        <w:t>Udlevering</w:t>
      </w:r>
    </w:p>
    <w:p w14:paraId="68BEC4A2" w14:textId="07F9FCFB" w:rsidR="009260DE" w:rsidRPr="00C93E04" w:rsidRDefault="00C93E04" w:rsidP="009260DE">
      <w:pPr>
        <w:tabs>
          <w:tab w:val="left" w:pos="851"/>
        </w:tabs>
        <w:ind w:left="851"/>
        <w:rPr>
          <w:sz w:val="24"/>
          <w:szCs w:val="24"/>
        </w:rPr>
      </w:pPr>
      <w:r>
        <w:rPr>
          <w:sz w:val="24"/>
          <w:szCs w:val="24"/>
        </w:rPr>
        <w:t>HF</w:t>
      </w:r>
    </w:p>
    <w:p w14:paraId="798A5F1A" w14:textId="77777777" w:rsidR="009260DE" w:rsidRPr="00C93E04" w:rsidRDefault="009260DE" w:rsidP="009260DE">
      <w:pPr>
        <w:tabs>
          <w:tab w:val="left" w:pos="851"/>
        </w:tabs>
        <w:ind w:left="851"/>
        <w:rPr>
          <w:sz w:val="24"/>
          <w:szCs w:val="24"/>
        </w:rPr>
      </w:pPr>
    </w:p>
    <w:p w14:paraId="4C6F69FF" w14:textId="77777777" w:rsidR="009260DE" w:rsidRPr="00C93E04" w:rsidRDefault="009260DE" w:rsidP="009260DE">
      <w:pPr>
        <w:tabs>
          <w:tab w:val="left" w:pos="851"/>
        </w:tabs>
        <w:ind w:left="851"/>
        <w:rPr>
          <w:sz w:val="24"/>
          <w:szCs w:val="24"/>
        </w:rPr>
      </w:pPr>
    </w:p>
    <w:p w14:paraId="694237B9" w14:textId="77777777" w:rsidR="009260DE" w:rsidRPr="00C93E04" w:rsidRDefault="009260DE" w:rsidP="009260DE">
      <w:pPr>
        <w:tabs>
          <w:tab w:val="left" w:pos="851"/>
        </w:tabs>
        <w:ind w:left="851" w:hanging="851"/>
        <w:rPr>
          <w:b/>
          <w:sz w:val="24"/>
          <w:szCs w:val="24"/>
        </w:rPr>
      </w:pPr>
      <w:r w:rsidRPr="00C93E04">
        <w:rPr>
          <w:b/>
          <w:sz w:val="24"/>
          <w:szCs w:val="24"/>
        </w:rPr>
        <w:t>5.</w:t>
      </w:r>
      <w:r w:rsidRPr="00C93E04">
        <w:rPr>
          <w:b/>
          <w:sz w:val="24"/>
          <w:szCs w:val="24"/>
        </w:rPr>
        <w:tab/>
        <w:t>FARMAKOLOGISKE EGENSKABER</w:t>
      </w:r>
    </w:p>
    <w:p w14:paraId="2C60971D" w14:textId="77777777" w:rsidR="009260DE" w:rsidRPr="00C93E04" w:rsidRDefault="009260DE" w:rsidP="009260DE">
      <w:pPr>
        <w:tabs>
          <w:tab w:val="left" w:pos="851"/>
        </w:tabs>
        <w:ind w:left="851"/>
        <w:rPr>
          <w:sz w:val="24"/>
          <w:szCs w:val="24"/>
        </w:rPr>
      </w:pPr>
    </w:p>
    <w:p w14:paraId="10920463" w14:textId="77777777" w:rsidR="009260DE" w:rsidRPr="00C93E04" w:rsidRDefault="009260DE" w:rsidP="009260DE">
      <w:pPr>
        <w:tabs>
          <w:tab w:val="num" w:pos="851"/>
        </w:tabs>
        <w:ind w:left="851" w:hanging="851"/>
        <w:rPr>
          <w:b/>
          <w:sz w:val="24"/>
          <w:szCs w:val="24"/>
        </w:rPr>
      </w:pPr>
      <w:r w:rsidRPr="00C93E04">
        <w:rPr>
          <w:b/>
          <w:sz w:val="24"/>
          <w:szCs w:val="24"/>
        </w:rPr>
        <w:t>5.1</w:t>
      </w:r>
      <w:r w:rsidRPr="00C93E04">
        <w:rPr>
          <w:b/>
          <w:sz w:val="24"/>
          <w:szCs w:val="24"/>
        </w:rPr>
        <w:tab/>
      </w:r>
      <w:proofErr w:type="spellStart"/>
      <w:r w:rsidRPr="00C93E04">
        <w:rPr>
          <w:b/>
          <w:sz w:val="24"/>
          <w:szCs w:val="24"/>
        </w:rPr>
        <w:t>Farmakodynamiske</w:t>
      </w:r>
      <w:proofErr w:type="spellEnd"/>
      <w:r w:rsidRPr="00C93E04">
        <w:rPr>
          <w:b/>
          <w:sz w:val="24"/>
          <w:szCs w:val="24"/>
        </w:rPr>
        <w:t xml:space="preserve"> egenskaber</w:t>
      </w:r>
    </w:p>
    <w:p w14:paraId="63365103" w14:textId="77777777" w:rsidR="00071ABC" w:rsidRPr="00C93E04" w:rsidRDefault="00071ABC" w:rsidP="00C93E04">
      <w:pPr>
        <w:ind w:left="851"/>
        <w:rPr>
          <w:sz w:val="24"/>
          <w:szCs w:val="24"/>
        </w:rPr>
      </w:pPr>
      <w:proofErr w:type="spellStart"/>
      <w:r w:rsidRPr="00C93E04">
        <w:rPr>
          <w:sz w:val="24"/>
          <w:szCs w:val="24"/>
        </w:rPr>
        <w:t>Farmakoterapeutisk</w:t>
      </w:r>
      <w:proofErr w:type="spellEnd"/>
      <w:r w:rsidRPr="00C93E04">
        <w:rPr>
          <w:sz w:val="24"/>
          <w:szCs w:val="24"/>
        </w:rPr>
        <w:t xml:space="preserve"> klassifikation: Andre midler mod funktionelle </w:t>
      </w:r>
      <w:proofErr w:type="spellStart"/>
      <w:r w:rsidRPr="00C93E04">
        <w:rPr>
          <w:sz w:val="24"/>
          <w:szCs w:val="24"/>
        </w:rPr>
        <w:t>gastrointestinelle</w:t>
      </w:r>
      <w:proofErr w:type="spellEnd"/>
      <w:r w:rsidRPr="00C93E04">
        <w:rPr>
          <w:sz w:val="24"/>
          <w:szCs w:val="24"/>
        </w:rPr>
        <w:t xml:space="preserve"> forstyrrelser, ATC-kode: A03AX15</w:t>
      </w:r>
    </w:p>
    <w:p w14:paraId="35CEC5C5" w14:textId="77777777" w:rsidR="00071ABC" w:rsidRPr="00C93E04" w:rsidRDefault="00071ABC" w:rsidP="00C93E04">
      <w:pPr>
        <w:ind w:left="851"/>
        <w:rPr>
          <w:sz w:val="24"/>
          <w:szCs w:val="24"/>
        </w:rPr>
      </w:pPr>
    </w:p>
    <w:p w14:paraId="5885DCB3" w14:textId="60226FA3" w:rsidR="00071ABC" w:rsidRPr="00C93E04" w:rsidRDefault="00071ABC" w:rsidP="00C93E04">
      <w:pPr>
        <w:ind w:left="851"/>
        <w:rPr>
          <w:sz w:val="24"/>
          <w:szCs w:val="24"/>
        </w:rPr>
      </w:pPr>
      <w:r w:rsidRPr="00C93E04">
        <w:rPr>
          <w:i/>
          <w:sz w:val="24"/>
          <w:szCs w:val="24"/>
        </w:rPr>
        <w:t xml:space="preserve">In </w:t>
      </w:r>
      <w:proofErr w:type="spellStart"/>
      <w:r w:rsidRPr="00C93E04">
        <w:rPr>
          <w:i/>
          <w:sz w:val="24"/>
          <w:szCs w:val="24"/>
        </w:rPr>
        <w:t>vivo</w:t>
      </w:r>
      <w:proofErr w:type="spellEnd"/>
      <w:r w:rsidRPr="00C93E04">
        <w:rPr>
          <w:sz w:val="24"/>
          <w:szCs w:val="24"/>
        </w:rPr>
        <w:t>-studier:</w:t>
      </w:r>
    </w:p>
    <w:p w14:paraId="22709978" w14:textId="3C334DD0" w:rsidR="00071ABC" w:rsidRPr="00C93E04" w:rsidRDefault="00071ABC" w:rsidP="00C93E04">
      <w:pPr>
        <w:ind w:left="851"/>
        <w:rPr>
          <w:sz w:val="24"/>
          <w:szCs w:val="24"/>
        </w:rPr>
      </w:pPr>
      <w:r w:rsidRPr="00C93E04">
        <w:rPr>
          <w:sz w:val="24"/>
          <w:szCs w:val="24"/>
        </w:rPr>
        <w:t xml:space="preserve">En række studier af raske forsøgspersoner eller patienter har påvist, at pebermynteolie, som administreres </w:t>
      </w:r>
      <w:proofErr w:type="spellStart"/>
      <w:r w:rsidRPr="00C93E04">
        <w:rPr>
          <w:sz w:val="24"/>
          <w:szCs w:val="24"/>
        </w:rPr>
        <w:t>intraluminalt</w:t>
      </w:r>
      <w:proofErr w:type="spellEnd"/>
      <w:r w:rsidRPr="00C93E04">
        <w:rPr>
          <w:sz w:val="24"/>
          <w:szCs w:val="24"/>
        </w:rPr>
        <w:t xml:space="preserve"> (mavesæk eller tyktarm) eller oralt, har en </w:t>
      </w:r>
      <w:proofErr w:type="spellStart"/>
      <w:r w:rsidRPr="00C93E04">
        <w:rPr>
          <w:sz w:val="24"/>
          <w:szCs w:val="24"/>
        </w:rPr>
        <w:t>spasmolytisk</w:t>
      </w:r>
      <w:proofErr w:type="spellEnd"/>
      <w:r w:rsidRPr="00C93E04">
        <w:rPr>
          <w:sz w:val="24"/>
          <w:szCs w:val="24"/>
        </w:rPr>
        <w:t xml:space="preserve"> virkning på den glatte muskulatur i mave-tarm-kanalen.</w:t>
      </w:r>
    </w:p>
    <w:p w14:paraId="54BC4D49" w14:textId="77777777" w:rsidR="00071ABC" w:rsidRPr="00C93E04" w:rsidRDefault="00071ABC" w:rsidP="00C93E04">
      <w:pPr>
        <w:ind w:left="851"/>
        <w:rPr>
          <w:sz w:val="24"/>
          <w:szCs w:val="24"/>
        </w:rPr>
      </w:pPr>
    </w:p>
    <w:p w14:paraId="56EDC84E" w14:textId="173CFE2E" w:rsidR="00071ABC" w:rsidRPr="00C93E04" w:rsidRDefault="00071ABC" w:rsidP="00C93E04">
      <w:pPr>
        <w:ind w:left="851"/>
        <w:rPr>
          <w:sz w:val="24"/>
          <w:szCs w:val="24"/>
        </w:rPr>
      </w:pPr>
      <w:r w:rsidRPr="00C93E04">
        <w:rPr>
          <w:sz w:val="24"/>
          <w:szCs w:val="24"/>
        </w:rPr>
        <w:t xml:space="preserve">Pebermynte lader til at øge galdeproduktionen. Pebermynteoliens </w:t>
      </w:r>
      <w:proofErr w:type="spellStart"/>
      <w:r w:rsidRPr="00C93E04">
        <w:rPr>
          <w:sz w:val="24"/>
          <w:szCs w:val="24"/>
        </w:rPr>
        <w:t>koleretiske</w:t>
      </w:r>
      <w:proofErr w:type="spellEnd"/>
      <w:r w:rsidRPr="00C93E04">
        <w:rPr>
          <w:sz w:val="24"/>
          <w:szCs w:val="24"/>
        </w:rPr>
        <w:t xml:space="preserve"> og skumdæmpende virkning spiller også en rolle i forbindelse med den </w:t>
      </w:r>
      <w:proofErr w:type="spellStart"/>
      <w:r w:rsidRPr="00C93E04">
        <w:rPr>
          <w:sz w:val="24"/>
          <w:szCs w:val="24"/>
        </w:rPr>
        <w:t>spasmolytiske</w:t>
      </w:r>
      <w:proofErr w:type="spellEnd"/>
      <w:r w:rsidRPr="00C93E04">
        <w:rPr>
          <w:sz w:val="24"/>
          <w:szCs w:val="24"/>
        </w:rPr>
        <w:t xml:space="preserve"> virkning, hvilket mindsker udspilningen af maven, ubehaget og </w:t>
      </w:r>
      <w:proofErr w:type="spellStart"/>
      <w:r w:rsidRPr="00C93E04">
        <w:rPr>
          <w:sz w:val="24"/>
          <w:szCs w:val="24"/>
        </w:rPr>
        <w:t>abdominalsmerte</w:t>
      </w:r>
      <w:proofErr w:type="spellEnd"/>
      <w:r w:rsidRPr="00C93E04">
        <w:rPr>
          <w:sz w:val="24"/>
          <w:szCs w:val="24"/>
        </w:rPr>
        <w:t>.</w:t>
      </w:r>
    </w:p>
    <w:p w14:paraId="7B2A298E" w14:textId="77777777" w:rsidR="00071ABC" w:rsidRPr="00C93E04" w:rsidRDefault="00071ABC" w:rsidP="00C93E04">
      <w:pPr>
        <w:ind w:left="851"/>
        <w:rPr>
          <w:sz w:val="24"/>
          <w:szCs w:val="24"/>
        </w:rPr>
      </w:pPr>
    </w:p>
    <w:p w14:paraId="1B8928E5" w14:textId="19EFE77B" w:rsidR="00071ABC" w:rsidRPr="00C93E04" w:rsidRDefault="00071ABC" w:rsidP="00C93E04">
      <w:pPr>
        <w:ind w:left="851"/>
        <w:rPr>
          <w:sz w:val="24"/>
          <w:szCs w:val="24"/>
        </w:rPr>
      </w:pPr>
      <w:r w:rsidRPr="00C93E04">
        <w:rPr>
          <w:sz w:val="24"/>
          <w:szCs w:val="24"/>
        </w:rPr>
        <w:t xml:space="preserve">Ved systematisk gennemgang og metaanalyser viser placebokontrollerede studier, at pebermynteolie forbedrer </w:t>
      </w:r>
      <w:proofErr w:type="spellStart"/>
      <w:r w:rsidRPr="00C93E04">
        <w:rPr>
          <w:sz w:val="24"/>
          <w:szCs w:val="24"/>
        </w:rPr>
        <w:t>abdominal</w:t>
      </w:r>
      <w:proofErr w:type="spellEnd"/>
      <w:r w:rsidRPr="00C93E04">
        <w:rPr>
          <w:sz w:val="24"/>
          <w:szCs w:val="24"/>
        </w:rPr>
        <w:t xml:space="preserve"> smerte og globale </w:t>
      </w:r>
      <w:r w:rsidRPr="00C93E04">
        <w:rPr>
          <w:i/>
          <w:sz w:val="24"/>
          <w:szCs w:val="24"/>
        </w:rPr>
        <w:t xml:space="preserve">IBS (Irritable </w:t>
      </w:r>
      <w:proofErr w:type="spellStart"/>
      <w:r w:rsidRPr="00C93E04">
        <w:rPr>
          <w:i/>
          <w:sz w:val="24"/>
          <w:szCs w:val="24"/>
        </w:rPr>
        <w:t>Bowel</w:t>
      </w:r>
      <w:proofErr w:type="spellEnd"/>
      <w:r w:rsidRPr="00C93E04">
        <w:rPr>
          <w:i/>
          <w:sz w:val="24"/>
          <w:szCs w:val="24"/>
        </w:rPr>
        <w:t xml:space="preserve"> </w:t>
      </w:r>
      <w:proofErr w:type="spellStart"/>
      <w:proofErr w:type="gramStart"/>
      <w:r w:rsidRPr="00C93E04">
        <w:rPr>
          <w:i/>
          <w:sz w:val="24"/>
          <w:szCs w:val="24"/>
        </w:rPr>
        <w:t>Syndrome</w:t>
      </w:r>
      <w:proofErr w:type="spellEnd"/>
      <w:r w:rsidRPr="00C93E04">
        <w:rPr>
          <w:i/>
          <w:sz w:val="24"/>
          <w:szCs w:val="24"/>
        </w:rPr>
        <w:t>)</w:t>
      </w:r>
      <w:r w:rsidRPr="00C93E04">
        <w:rPr>
          <w:sz w:val="24"/>
          <w:szCs w:val="24"/>
        </w:rPr>
        <w:t>-</w:t>
      </w:r>
      <w:proofErr w:type="gramEnd"/>
      <w:r w:rsidRPr="00C93E04">
        <w:rPr>
          <w:sz w:val="24"/>
          <w:szCs w:val="24"/>
        </w:rPr>
        <w:t>symptomer.</w:t>
      </w:r>
    </w:p>
    <w:p w14:paraId="55FF4A5E" w14:textId="77777777" w:rsidR="009260DE" w:rsidRPr="00C93E04" w:rsidRDefault="009260DE" w:rsidP="009260DE">
      <w:pPr>
        <w:tabs>
          <w:tab w:val="left" w:pos="851"/>
        </w:tabs>
        <w:ind w:left="851"/>
        <w:rPr>
          <w:sz w:val="24"/>
          <w:szCs w:val="24"/>
        </w:rPr>
      </w:pPr>
    </w:p>
    <w:p w14:paraId="3DD4E625" w14:textId="77777777" w:rsidR="009260DE" w:rsidRPr="00C93E04" w:rsidRDefault="009260DE" w:rsidP="009260DE">
      <w:pPr>
        <w:tabs>
          <w:tab w:val="left" w:pos="851"/>
        </w:tabs>
        <w:ind w:left="851" w:hanging="851"/>
        <w:rPr>
          <w:b/>
          <w:sz w:val="24"/>
          <w:szCs w:val="24"/>
        </w:rPr>
      </w:pPr>
      <w:r w:rsidRPr="00C93E04">
        <w:rPr>
          <w:b/>
          <w:sz w:val="24"/>
          <w:szCs w:val="24"/>
        </w:rPr>
        <w:t>5.2</w:t>
      </w:r>
      <w:r w:rsidRPr="00C93E04">
        <w:rPr>
          <w:b/>
          <w:sz w:val="24"/>
          <w:szCs w:val="24"/>
        </w:rPr>
        <w:tab/>
      </w:r>
      <w:proofErr w:type="spellStart"/>
      <w:r w:rsidRPr="00C93E04">
        <w:rPr>
          <w:b/>
          <w:sz w:val="24"/>
          <w:szCs w:val="24"/>
        </w:rPr>
        <w:t>Farmakokinetiske</w:t>
      </w:r>
      <w:proofErr w:type="spellEnd"/>
      <w:r w:rsidRPr="00C93E04">
        <w:rPr>
          <w:b/>
          <w:sz w:val="24"/>
          <w:szCs w:val="24"/>
        </w:rPr>
        <w:t xml:space="preserve"> egenskaber</w:t>
      </w:r>
    </w:p>
    <w:p w14:paraId="48AEC771" w14:textId="77777777" w:rsidR="00C93E04" w:rsidRDefault="00C93E04" w:rsidP="00C93E04">
      <w:pPr>
        <w:ind w:left="851"/>
        <w:rPr>
          <w:sz w:val="24"/>
          <w:szCs w:val="24"/>
        </w:rPr>
      </w:pPr>
    </w:p>
    <w:p w14:paraId="62B0754B" w14:textId="7426037A" w:rsidR="00071ABC" w:rsidRPr="00C93E04" w:rsidRDefault="00071ABC" w:rsidP="00C93E04">
      <w:pPr>
        <w:ind w:left="851"/>
        <w:rPr>
          <w:iCs/>
          <w:noProof/>
          <w:sz w:val="24"/>
          <w:szCs w:val="24"/>
          <w:u w:val="single"/>
        </w:rPr>
      </w:pPr>
      <w:r w:rsidRPr="00C93E04">
        <w:rPr>
          <w:sz w:val="24"/>
          <w:szCs w:val="24"/>
          <w:u w:val="single"/>
        </w:rPr>
        <w:t>Absorption</w:t>
      </w:r>
    </w:p>
    <w:p w14:paraId="2690B29D" w14:textId="77777777" w:rsidR="00071ABC" w:rsidRPr="00C93E04" w:rsidRDefault="00071ABC" w:rsidP="00C93E04">
      <w:pPr>
        <w:ind w:left="851"/>
        <w:rPr>
          <w:iCs/>
          <w:noProof/>
          <w:sz w:val="24"/>
          <w:szCs w:val="24"/>
        </w:rPr>
      </w:pPr>
      <w:r w:rsidRPr="00C93E04">
        <w:rPr>
          <w:sz w:val="24"/>
          <w:szCs w:val="24"/>
        </w:rPr>
        <w:t xml:space="preserve">Mentol og andre </w:t>
      </w:r>
      <w:proofErr w:type="spellStart"/>
      <w:r w:rsidRPr="00C93E04">
        <w:rPr>
          <w:sz w:val="24"/>
          <w:szCs w:val="24"/>
        </w:rPr>
        <w:t>terpenbestanddele</w:t>
      </w:r>
      <w:proofErr w:type="spellEnd"/>
      <w:r w:rsidRPr="00C93E04">
        <w:rPr>
          <w:sz w:val="24"/>
          <w:szCs w:val="24"/>
        </w:rPr>
        <w:t xml:space="preserve"> i pebermynteolie er fedtopløselige og absorberes hurtigt i den proksimale del af tyndtarmen.</w:t>
      </w:r>
    </w:p>
    <w:p w14:paraId="1820E7E3" w14:textId="77777777" w:rsidR="00071ABC" w:rsidRPr="00C93E04" w:rsidRDefault="00071ABC" w:rsidP="00C93E04">
      <w:pPr>
        <w:ind w:left="851"/>
        <w:rPr>
          <w:iCs/>
          <w:noProof/>
          <w:sz w:val="24"/>
          <w:szCs w:val="24"/>
        </w:rPr>
      </w:pPr>
    </w:p>
    <w:p w14:paraId="416CA171" w14:textId="77777777" w:rsidR="00071ABC" w:rsidRPr="00C93E04" w:rsidRDefault="00071ABC" w:rsidP="00C93E04">
      <w:pPr>
        <w:ind w:left="851"/>
        <w:rPr>
          <w:iCs/>
          <w:noProof/>
          <w:sz w:val="24"/>
          <w:szCs w:val="24"/>
          <w:u w:val="single"/>
        </w:rPr>
      </w:pPr>
      <w:r w:rsidRPr="00C93E04">
        <w:rPr>
          <w:sz w:val="24"/>
          <w:szCs w:val="24"/>
          <w:u w:val="single"/>
        </w:rPr>
        <w:t>Elimination</w:t>
      </w:r>
    </w:p>
    <w:p w14:paraId="7F7A4BCE" w14:textId="77777777" w:rsidR="00071ABC" w:rsidRPr="00C93E04" w:rsidRDefault="00071ABC" w:rsidP="00C93E04">
      <w:pPr>
        <w:ind w:left="851"/>
        <w:rPr>
          <w:iCs/>
          <w:noProof/>
          <w:sz w:val="24"/>
          <w:szCs w:val="24"/>
        </w:rPr>
      </w:pPr>
      <w:r w:rsidRPr="00C93E04">
        <w:rPr>
          <w:sz w:val="24"/>
          <w:szCs w:val="24"/>
        </w:rPr>
        <w:t xml:space="preserve">I en vis grad udskilles mentol og andre </w:t>
      </w:r>
      <w:proofErr w:type="spellStart"/>
      <w:r w:rsidRPr="00C93E04">
        <w:rPr>
          <w:sz w:val="24"/>
          <w:szCs w:val="24"/>
        </w:rPr>
        <w:t>terpenbestanddele</w:t>
      </w:r>
      <w:proofErr w:type="spellEnd"/>
      <w:r w:rsidRPr="00C93E04">
        <w:rPr>
          <w:sz w:val="24"/>
          <w:szCs w:val="24"/>
        </w:rPr>
        <w:t xml:space="preserve"> i pebermynteolie i form af </w:t>
      </w:r>
      <w:proofErr w:type="spellStart"/>
      <w:r w:rsidRPr="00C93E04">
        <w:rPr>
          <w:sz w:val="24"/>
          <w:szCs w:val="24"/>
        </w:rPr>
        <w:t>gluconorid</w:t>
      </w:r>
      <w:proofErr w:type="spellEnd"/>
      <w:r w:rsidRPr="00C93E04">
        <w:rPr>
          <w:sz w:val="24"/>
          <w:szCs w:val="24"/>
        </w:rPr>
        <w:t>. Det højeste niveau af udskillelse af mentol i urinen var lavere og sekretionen var forsinket ved brug af præparater med modificeret frigivelse sammenlignet med præparater med umiddelbar frigivelse.</w:t>
      </w:r>
    </w:p>
    <w:p w14:paraId="11BB2349" w14:textId="77777777" w:rsidR="00071ABC" w:rsidRPr="00C93E04" w:rsidRDefault="00071ABC" w:rsidP="00C93E04">
      <w:pPr>
        <w:ind w:left="851"/>
        <w:rPr>
          <w:iCs/>
          <w:noProof/>
          <w:sz w:val="24"/>
          <w:szCs w:val="24"/>
        </w:rPr>
      </w:pPr>
    </w:p>
    <w:p w14:paraId="53456E53" w14:textId="637655A4" w:rsidR="00071ABC" w:rsidRPr="00C93E04" w:rsidRDefault="00071ABC" w:rsidP="00C93E04">
      <w:pPr>
        <w:ind w:left="851"/>
        <w:rPr>
          <w:iCs/>
          <w:noProof/>
          <w:sz w:val="24"/>
          <w:szCs w:val="24"/>
        </w:rPr>
      </w:pPr>
      <w:r w:rsidRPr="00C93E04">
        <w:rPr>
          <w:sz w:val="24"/>
          <w:szCs w:val="24"/>
        </w:rPr>
        <w:t>I et klinisk studie med pebermynteolie og et klinisk studie med mentol blev der beskrevet en vis hæmning af CYP3A4-aktiviteten.</w:t>
      </w:r>
    </w:p>
    <w:p w14:paraId="7DB57A1A" w14:textId="77777777" w:rsidR="009260DE" w:rsidRPr="00C93E04" w:rsidRDefault="009260DE" w:rsidP="009260DE">
      <w:pPr>
        <w:tabs>
          <w:tab w:val="left" w:pos="851"/>
        </w:tabs>
        <w:ind w:left="851"/>
        <w:rPr>
          <w:sz w:val="24"/>
          <w:szCs w:val="24"/>
        </w:rPr>
      </w:pPr>
    </w:p>
    <w:p w14:paraId="361A4416" w14:textId="77777777" w:rsidR="009260DE" w:rsidRPr="00C93E04" w:rsidRDefault="009260DE" w:rsidP="009260DE">
      <w:pPr>
        <w:tabs>
          <w:tab w:val="left" w:pos="851"/>
        </w:tabs>
        <w:ind w:left="851" w:hanging="851"/>
        <w:rPr>
          <w:b/>
          <w:sz w:val="24"/>
          <w:szCs w:val="24"/>
        </w:rPr>
      </w:pPr>
      <w:r w:rsidRPr="00C93E04">
        <w:rPr>
          <w:b/>
          <w:sz w:val="24"/>
          <w:szCs w:val="24"/>
        </w:rPr>
        <w:t>5.3</w:t>
      </w:r>
      <w:r w:rsidRPr="00C93E04">
        <w:rPr>
          <w:b/>
          <w:sz w:val="24"/>
          <w:szCs w:val="24"/>
        </w:rPr>
        <w:tab/>
      </w:r>
      <w:r w:rsidR="00BD7931" w:rsidRPr="00C93E04">
        <w:rPr>
          <w:b/>
          <w:sz w:val="24"/>
          <w:szCs w:val="24"/>
        </w:rPr>
        <w:t>Non-</w:t>
      </w:r>
      <w:r w:rsidRPr="00C93E04">
        <w:rPr>
          <w:b/>
          <w:sz w:val="24"/>
          <w:szCs w:val="24"/>
        </w:rPr>
        <w:t>kliniske sikkerhedsdata</w:t>
      </w:r>
    </w:p>
    <w:p w14:paraId="172F47EB" w14:textId="77777777" w:rsidR="00071ABC" w:rsidRPr="00C93E04" w:rsidRDefault="00071ABC" w:rsidP="00C93E04">
      <w:pPr>
        <w:ind w:left="851"/>
        <w:rPr>
          <w:sz w:val="24"/>
          <w:szCs w:val="24"/>
        </w:rPr>
      </w:pPr>
      <w:r w:rsidRPr="00C93E04">
        <w:rPr>
          <w:sz w:val="24"/>
          <w:szCs w:val="24"/>
        </w:rPr>
        <w:t xml:space="preserve">Pebermynteolie var negativ i to </w:t>
      </w:r>
      <w:r w:rsidRPr="00C93E04">
        <w:rPr>
          <w:i/>
          <w:sz w:val="24"/>
          <w:szCs w:val="24"/>
        </w:rPr>
        <w:t xml:space="preserve">in </w:t>
      </w:r>
      <w:proofErr w:type="spellStart"/>
      <w:r w:rsidRPr="00C93E04">
        <w:rPr>
          <w:i/>
          <w:sz w:val="24"/>
          <w:szCs w:val="24"/>
        </w:rPr>
        <w:t>vitro</w:t>
      </w:r>
      <w:proofErr w:type="spellEnd"/>
      <w:r w:rsidRPr="00C93E04">
        <w:rPr>
          <w:sz w:val="24"/>
          <w:szCs w:val="24"/>
        </w:rPr>
        <w:t xml:space="preserve">-tests for genotoksicitet, </w:t>
      </w:r>
      <w:proofErr w:type="spellStart"/>
      <w:r w:rsidRPr="00C93E04">
        <w:rPr>
          <w:sz w:val="24"/>
          <w:szCs w:val="24"/>
        </w:rPr>
        <w:t>Ames</w:t>
      </w:r>
      <w:proofErr w:type="spellEnd"/>
      <w:r w:rsidRPr="00C93E04">
        <w:rPr>
          <w:sz w:val="24"/>
          <w:szCs w:val="24"/>
        </w:rPr>
        <w:t xml:space="preserve">-testen, </w:t>
      </w:r>
      <w:proofErr w:type="spellStart"/>
      <w:r w:rsidRPr="00C93E04">
        <w:rPr>
          <w:sz w:val="24"/>
          <w:szCs w:val="24"/>
        </w:rPr>
        <w:t>muselymfomtesten</w:t>
      </w:r>
      <w:proofErr w:type="spellEnd"/>
      <w:r w:rsidRPr="00C93E04">
        <w:rPr>
          <w:sz w:val="24"/>
          <w:szCs w:val="24"/>
        </w:rPr>
        <w:t xml:space="preserve"> og i den kombinerede </w:t>
      </w:r>
      <w:proofErr w:type="spellStart"/>
      <w:r w:rsidRPr="00C93E04">
        <w:rPr>
          <w:sz w:val="24"/>
          <w:szCs w:val="24"/>
        </w:rPr>
        <w:t>mikronukleus</w:t>
      </w:r>
      <w:proofErr w:type="spellEnd"/>
      <w:r w:rsidRPr="00C93E04">
        <w:rPr>
          <w:sz w:val="24"/>
          <w:szCs w:val="24"/>
        </w:rPr>
        <w:t>/</w:t>
      </w:r>
      <w:proofErr w:type="spellStart"/>
      <w:r w:rsidRPr="00C93E04">
        <w:rPr>
          <w:sz w:val="24"/>
          <w:szCs w:val="24"/>
        </w:rPr>
        <w:t>Comet</w:t>
      </w:r>
      <w:proofErr w:type="spellEnd"/>
      <w:r w:rsidRPr="00C93E04">
        <w:rPr>
          <w:sz w:val="24"/>
          <w:szCs w:val="24"/>
        </w:rPr>
        <w:t xml:space="preserve">-test </w:t>
      </w:r>
      <w:r w:rsidRPr="00C93E04">
        <w:rPr>
          <w:i/>
          <w:iCs/>
          <w:sz w:val="24"/>
          <w:szCs w:val="24"/>
        </w:rPr>
        <w:t xml:space="preserve">in </w:t>
      </w:r>
      <w:proofErr w:type="spellStart"/>
      <w:r w:rsidRPr="00C93E04">
        <w:rPr>
          <w:i/>
          <w:iCs/>
          <w:sz w:val="24"/>
          <w:szCs w:val="24"/>
        </w:rPr>
        <w:t>vivo</w:t>
      </w:r>
      <w:proofErr w:type="spellEnd"/>
      <w:r w:rsidRPr="00C93E04">
        <w:rPr>
          <w:sz w:val="24"/>
          <w:szCs w:val="24"/>
        </w:rPr>
        <w:t xml:space="preserve"> (slimhindeceller fra lever, nyre og blære) hos hunrotter.</w:t>
      </w:r>
    </w:p>
    <w:p w14:paraId="0BE6AFB5" w14:textId="77777777" w:rsidR="00071ABC" w:rsidRPr="00C93E04" w:rsidRDefault="00071ABC" w:rsidP="00C93E04">
      <w:pPr>
        <w:ind w:left="851"/>
        <w:rPr>
          <w:sz w:val="24"/>
          <w:szCs w:val="24"/>
        </w:rPr>
      </w:pPr>
    </w:p>
    <w:p w14:paraId="2BEF621C" w14:textId="77777777" w:rsidR="00071ABC" w:rsidRPr="00C93E04" w:rsidRDefault="00071ABC" w:rsidP="00C93E04">
      <w:pPr>
        <w:ind w:left="851"/>
        <w:rPr>
          <w:sz w:val="24"/>
          <w:szCs w:val="24"/>
        </w:rPr>
      </w:pPr>
      <w:r w:rsidRPr="00C93E04">
        <w:rPr>
          <w:sz w:val="24"/>
          <w:szCs w:val="24"/>
        </w:rPr>
        <w:t xml:space="preserve">Der er ikke gennemført test af reproduktionstoksicitet og </w:t>
      </w:r>
      <w:proofErr w:type="spellStart"/>
      <w:r w:rsidRPr="00C93E04">
        <w:rPr>
          <w:sz w:val="24"/>
          <w:szCs w:val="24"/>
        </w:rPr>
        <w:t>karcinogent</w:t>
      </w:r>
      <w:proofErr w:type="spellEnd"/>
      <w:r w:rsidRPr="00C93E04">
        <w:rPr>
          <w:sz w:val="24"/>
          <w:szCs w:val="24"/>
        </w:rPr>
        <w:t xml:space="preserve"> potentiale.</w:t>
      </w:r>
    </w:p>
    <w:p w14:paraId="19939E39" w14:textId="77777777" w:rsidR="00071ABC" w:rsidRPr="00C93E04" w:rsidRDefault="00071ABC" w:rsidP="00C93E04">
      <w:pPr>
        <w:ind w:left="851"/>
        <w:rPr>
          <w:sz w:val="24"/>
          <w:szCs w:val="24"/>
        </w:rPr>
      </w:pPr>
    </w:p>
    <w:p w14:paraId="4F29A036" w14:textId="77777777" w:rsidR="00071ABC" w:rsidRPr="00C93E04" w:rsidRDefault="00071ABC" w:rsidP="00C93E04">
      <w:pPr>
        <w:ind w:left="851"/>
        <w:rPr>
          <w:i/>
          <w:iCs/>
          <w:sz w:val="24"/>
          <w:szCs w:val="24"/>
        </w:rPr>
      </w:pPr>
      <w:proofErr w:type="spellStart"/>
      <w:r w:rsidRPr="00C93E04">
        <w:rPr>
          <w:i/>
          <w:sz w:val="24"/>
          <w:szCs w:val="24"/>
        </w:rPr>
        <w:t>Pulegon</w:t>
      </w:r>
      <w:proofErr w:type="spellEnd"/>
      <w:r w:rsidRPr="00C93E04">
        <w:rPr>
          <w:i/>
          <w:sz w:val="24"/>
          <w:szCs w:val="24"/>
        </w:rPr>
        <w:t xml:space="preserve"> og </w:t>
      </w:r>
      <w:proofErr w:type="spellStart"/>
      <w:r w:rsidRPr="00C93E04">
        <w:rPr>
          <w:i/>
          <w:sz w:val="24"/>
          <w:szCs w:val="24"/>
        </w:rPr>
        <w:t>mentofuran</w:t>
      </w:r>
      <w:proofErr w:type="spellEnd"/>
      <w:r w:rsidRPr="00C93E04">
        <w:rPr>
          <w:i/>
          <w:sz w:val="24"/>
          <w:szCs w:val="24"/>
        </w:rPr>
        <w:t xml:space="preserve"> (≤ 2,5 % af den æteriske olie)</w:t>
      </w:r>
    </w:p>
    <w:p w14:paraId="0AF4179B" w14:textId="65C3CE15" w:rsidR="00071ABC" w:rsidRPr="00C93E04" w:rsidRDefault="00071ABC" w:rsidP="00C93E04">
      <w:pPr>
        <w:ind w:left="851"/>
        <w:rPr>
          <w:sz w:val="24"/>
          <w:szCs w:val="24"/>
        </w:rPr>
      </w:pPr>
      <w:r w:rsidRPr="00C93E04">
        <w:rPr>
          <w:sz w:val="24"/>
          <w:szCs w:val="24"/>
        </w:rPr>
        <w:t xml:space="preserve">Det er påvist, at </w:t>
      </w:r>
      <w:proofErr w:type="spellStart"/>
      <w:r w:rsidRPr="00C93E04">
        <w:rPr>
          <w:sz w:val="24"/>
          <w:szCs w:val="24"/>
        </w:rPr>
        <w:t>pulegon</w:t>
      </w:r>
      <w:proofErr w:type="spellEnd"/>
      <w:r w:rsidRPr="00C93E04">
        <w:rPr>
          <w:sz w:val="24"/>
          <w:szCs w:val="24"/>
        </w:rPr>
        <w:t xml:space="preserve"> og stoffets metabolitter forårsager </w:t>
      </w:r>
      <w:proofErr w:type="spellStart"/>
      <w:r w:rsidRPr="00C93E04">
        <w:rPr>
          <w:sz w:val="24"/>
          <w:szCs w:val="24"/>
        </w:rPr>
        <w:t>karcinogenicitet</w:t>
      </w:r>
      <w:proofErr w:type="spellEnd"/>
      <w:r w:rsidRPr="00C93E04">
        <w:rPr>
          <w:sz w:val="24"/>
          <w:szCs w:val="24"/>
        </w:rPr>
        <w:t xml:space="preserve"> i leveren og urinvejene hos rotter og mus. På baggrund af resultater fra en række </w:t>
      </w:r>
      <w:r w:rsidRPr="00C93E04">
        <w:rPr>
          <w:i/>
          <w:sz w:val="24"/>
          <w:szCs w:val="24"/>
        </w:rPr>
        <w:t xml:space="preserve">in </w:t>
      </w:r>
      <w:proofErr w:type="spellStart"/>
      <w:r w:rsidRPr="00C93E04">
        <w:rPr>
          <w:i/>
          <w:sz w:val="24"/>
          <w:szCs w:val="24"/>
        </w:rPr>
        <w:t>vitro</w:t>
      </w:r>
      <w:proofErr w:type="spellEnd"/>
      <w:r w:rsidRPr="00C93E04">
        <w:rPr>
          <w:sz w:val="24"/>
          <w:szCs w:val="24"/>
        </w:rPr>
        <w:t xml:space="preserve">- og </w:t>
      </w:r>
      <w:r w:rsidRPr="00C93E04">
        <w:rPr>
          <w:i/>
          <w:sz w:val="24"/>
          <w:szCs w:val="24"/>
        </w:rPr>
        <w:t xml:space="preserve">in </w:t>
      </w:r>
      <w:proofErr w:type="spellStart"/>
      <w:r w:rsidRPr="00C93E04">
        <w:rPr>
          <w:i/>
          <w:sz w:val="24"/>
          <w:szCs w:val="24"/>
        </w:rPr>
        <w:t>vivo</w:t>
      </w:r>
      <w:proofErr w:type="spellEnd"/>
      <w:r w:rsidRPr="00C93E04">
        <w:rPr>
          <w:i/>
          <w:sz w:val="24"/>
          <w:szCs w:val="24"/>
        </w:rPr>
        <w:t>-</w:t>
      </w:r>
      <w:r w:rsidRPr="00C93E04">
        <w:rPr>
          <w:sz w:val="24"/>
          <w:szCs w:val="24"/>
        </w:rPr>
        <w:t xml:space="preserve">gentoksicitetsstudier anses </w:t>
      </w:r>
      <w:proofErr w:type="spellStart"/>
      <w:r w:rsidRPr="00C93E04">
        <w:rPr>
          <w:sz w:val="24"/>
          <w:szCs w:val="24"/>
        </w:rPr>
        <w:t>pulegon</w:t>
      </w:r>
      <w:proofErr w:type="spellEnd"/>
      <w:r w:rsidRPr="00C93E04">
        <w:rPr>
          <w:sz w:val="24"/>
          <w:szCs w:val="24"/>
        </w:rPr>
        <w:t xml:space="preserve"> og </w:t>
      </w:r>
      <w:proofErr w:type="spellStart"/>
      <w:r w:rsidRPr="00C93E04">
        <w:rPr>
          <w:sz w:val="24"/>
          <w:szCs w:val="24"/>
        </w:rPr>
        <w:t>mentofuran</w:t>
      </w:r>
      <w:proofErr w:type="spellEnd"/>
      <w:r w:rsidRPr="00C93E04">
        <w:rPr>
          <w:sz w:val="24"/>
          <w:szCs w:val="24"/>
        </w:rPr>
        <w:t xml:space="preserve"> for at være ikke-gentoksiske karcinogener. Mekanismen klassificeres som værende forbundet med vedvarende </w:t>
      </w:r>
      <w:proofErr w:type="spellStart"/>
      <w:r w:rsidRPr="00C93E04">
        <w:rPr>
          <w:sz w:val="24"/>
          <w:szCs w:val="24"/>
        </w:rPr>
        <w:t>cytotoksicitet</w:t>
      </w:r>
      <w:proofErr w:type="spellEnd"/>
      <w:r w:rsidRPr="00C93E04">
        <w:rPr>
          <w:sz w:val="24"/>
          <w:szCs w:val="24"/>
        </w:rPr>
        <w:t xml:space="preserve">, som fører til regenerativ </w:t>
      </w:r>
      <w:proofErr w:type="spellStart"/>
      <w:r w:rsidRPr="00C93E04">
        <w:rPr>
          <w:sz w:val="24"/>
          <w:szCs w:val="24"/>
        </w:rPr>
        <w:t>celleproliferation</w:t>
      </w:r>
      <w:proofErr w:type="spellEnd"/>
      <w:r w:rsidRPr="00C93E04">
        <w:rPr>
          <w:sz w:val="24"/>
          <w:szCs w:val="24"/>
        </w:rPr>
        <w:t xml:space="preserve"> på grund af høje doser.</w:t>
      </w:r>
    </w:p>
    <w:p w14:paraId="513A3C92" w14:textId="77777777" w:rsidR="00071ABC" w:rsidRPr="00C93E04" w:rsidRDefault="00071ABC" w:rsidP="00C93E04">
      <w:pPr>
        <w:ind w:left="851"/>
        <w:rPr>
          <w:sz w:val="24"/>
          <w:szCs w:val="24"/>
        </w:rPr>
      </w:pPr>
    </w:p>
    <w:p w14:paraId="42328DC6" w14:textId="77777777" w:rsidR="00071ABC" w:rsidRPr="00C93E04" w:rsidRDefault="00071ABC" w:rsidP="00C93E04">
      <w:pPr>
        <w:ind w:left="851"/>
        <w:rPr>
          <w:i/>
          <w:iCs/>
          <w:sz w:val="24"/>
          <w:szCs w:val="24"/>
        </w:rPr>
      </w:pPr>
      <w:r w:rsidRPr="00C93E04">
        <w:rPr>
          <w:i/>
          <w:sz w:val="24"/>
          <w:szCs w:val="24"/>
        </w:rPr>
        <w:t xml:space="preserve">Indhold af </w:t>
      </w:r>
      <w:proofErr w:type="spellStart"/>
      <w:r w:rsidRPr="00C93E04">
        <w:rPr>
          <w:i/>
          <w:sz w:val="24"/>
          <w:szCs w:val="24"/>
        </w:rPr>
        <w:t>pulegon</w:t>
      </w:r>
      <w:proofErr w:type="spellEnd"/>
      <w:r w:rsidRPr="00C93E04">
        <w:rPr>
          <w:i/>
          <w:sz w:val="24"/>
          <w:szCs w:val="24"/>
        </w:rPr>
        <w:t xml:space="preserve"> og </w:t>
      </w:r>
      <w:proofErr w:type="spellStart"/>
      <w:r w:rsidRPr="00C93E04">
        <w:rPr>
          <w:i/>
          <w:sz w:val="24"/>
          <w:szCs w:val="24"/>
        </w:rPr>
        <w:t>mentofuran</w:t>
      </w:r>
      <w:proofErr w:type="spellEnd"/>
    </w:p>
    <w:p w14:paraId="2875AB84" w14:textId="77777777" w:rsidR="00071ABC" w:rsidRPr="00C93E04" w:rsidRDefault="00071ABC" w:rsidP="00C93E04">
      <w:pPr>
        <w:ind w:left="851"/>
        <w:rPr>
          <w:sz w:val="24"/>
          <w:szCs w:val="24"/>
        </w:rPr>
      </w:pPr>
    </w:p>
    <w:p w14:paraId="45419E7A" w14:textId="77777777" w:rsidR="00071ABC" w:rsidRPr="00C93E04" w:rsidRDefault="00071ABC" w:rsidP="00C93E04">
      <w:pPr>
        <w:ind w:left="851"/>
        <w:rPr>
          <w:sz w:val="24"/>
          <w:szCs w:val="24"/>
        </w:rPr>
      </w:pPr>
      <w:r w:rsidRPr="00C93E04">
        <w:rPr>
          <w:sz w:val="24"/>
          <w:szCs w:val="24"/>
        </w:rPr>
        <w:t xml:space="preserve">En </w:t>
      </w:r>
      <w:proofErr w:type="spellStart"/>
      <w:r w:rsidRPr="00C93E04">
        <w:rPr>
          <w:sz w:val="24"/>
          <w:szCs w:val="24"/>
        </w:rPr>
        <w:t>Entolex</w:t>
      </w:r>
      <w:proofErr w:type="spellEnd"/>
      <w:r w:rsidRPr="00C93E04">
        <w:rPr>
          <w:sz w:val="24"/>
          <w:szCs w:val="24"/>
        </w:rPr>
        <w:t xml:space="preserve">-kapsel indeholder ikke mere end 4,6 mg </w:t>
      </w:r>
      <w:proofErr w:type="spellStart"/>
      <w:r w:rsidRPr="00C93E04">
        <w:rPr>
          <w:sz w:val="24"/>
          <w:szCs w:val="24"/>
        </w:rPr>
        <w:t>pulegon</w:t>
      </w:r>
      <w:proofErr w:type="spellEnd"/>
      <w:r w:rsidRPr="00C93E04">
        <w:rPr>
          <w:sz w:val="24"/>
          <w:szCs w:val="24"/>
        </w:rPr>
        <w:t xml:space="preserve"> og </w:t>
      </w:r>
      <w:proofErr w:type="spellStart"/>
      <w:r w:rsidRPr="00C93E04">
        <w:rPr>
          <w:sz w:val="24"/>
          <w:szCs w:val="24"/>
        </w:rPr>
        <w:t>mentofuran</w:t>
      </w:r>
      <w:proofErr w:type="spellEnd"/>
      <w:r w:rsidRPr="00C93E04">
        <w:rPr>
          <w:sz w:val="24"/>
          <w:szCs w:val="24"/>
        </w:rPr>
        <w:t>.</w:t>
      </w:r>
    </w:p>
    <w:p w14:paraId="016978A7" w14:textId="7D0D4F8A" w:rsidR="00071ABC" w:rsidRPr="00C93E04" w:rsidRDefault="00071ABC" w:rsidP="00C93E04">
      <w:pPr>
        <w:ind w:left="851"/>
        <w:rPr>
          <w:sz w:val="24"/>
          <w:szCs w:val="24"/>
        </w:rPr>
      </w:pPr>
      <w:r w:rsidRPr="00C93E04">
        <w:rPr>
          <w:sz w:val="24"/>
          <w:szCs w:val="24"/>
        </w:rPr>
        <w:t xml:space="preserve">Den daglige eksponering bør være under 37,5 mg </w:t>
      </w:r>
      <w:proofErr w:type="spellStart"/>
      <w:r w:rsidRPr="00C93E04">
        <w:rPr>
          <w:sz w:val="24"/>
          <w:szCs w:val="24"/>
        </w:rPr>
        <w:t>pulegon</w:t>
      </w:r>
      <w:proofErr w:type="spellEnd"/>
      <w:r w:rsidRPr="00C93E04">
        <w:rPr>
          <w:sz w:val="24"/>
          <w:szCs w:val="24"/>
        </w:rPr>
        <w:t xml:space="preserve"> og </w:t>
      </w:r>
      <w:proofErr w:type="spellStart"/>
      <w:r w:rsidRPr="00C93E04">
        <w:rPr>
          <w:sz w:val="24"/>
          <w:szCs w:val="24"/>
        </w:rPr>
        <w:t>mentofuran</w:t>
      </w:r>
      <w:proofErr w:type="spellEnd"/>
      <w:r w:rsidRPr="00C93E04">
        <w:rPr>
          <w:sz w:val="24"/>
          <w:szCs w:val="24"/>
        </w:rPr>
        <w:t xml:space="preserve"> pr. person og pr. dag. For voksne og ældre er den maksimale daglige eksponering af </w:t>
      </w:r>
      <w:proofErr w:type="spellStart"/>
      <w:r w:rsidRPr="00C93E04">
        <w:rPr>
          <w:sz w:val="24"/>
          <w:szCs w:val="24"/>
        </w:rPr>
        <w:t>pulegon</w:t>
      </w:r>
      <w:proofErr w:type="spellEnd"/>
      <w:r w:rsidRPr="00C93E04">
        <w:rPr>
          <w:sz w:val="24"/>
          <w:szCs w:val="24"/>
        </w:rPr>
        <w:t xml:space="preserve"> og </w:t>
      </w:r>
      <w:proofErr w:type="spellStart"/>
      <w:r w:rsidRPr="00C93E04">
        <w:rPr>
          <w:sz w:val="24"/>
          <w:szCs w:val="24"/>
        </w:rPr>
        <w:t>mentofuran</w:t>
      </w:r>
      <w:proofErr w:type="spellEnd"/>
      <w:r w:rsidRPr="00C93E04">
        <w:rPr>
          <w:sz w:val="24"/>
          <w:szCs w:val="24"/>
        </w:rPr>
        <w:t xml:space="preserve"> 27,6 mg pr. dag med en daglig dosering på 2 </w:t>
      </w:r>
      <w:proofErr w:type="spellStart"/>
      <w:r w:rsidRPr="00C93E04">
        <w:rPr>
          <w:sz w:val="24"/>
          <w:szCs w:val="24"/>
        </w:rPr>
        <w:t>Entolex</w:t>
      </w:r>
      <w:proofErr w:type="spellEnd"/>
      <w:r w:rsidRPr="00C93E04">
        <w:rPr>
          <w:sz w:val="24"/>
          <w:szCs w:val="24"/>
        </w:rPr>
        <w:t>-kapsler 3 gange daglig.</w:t>
      </w:r>
    </w:p>
    <w:p w14:paraId="46465956" w14:textId="77777777" w:rsidR="00071ABC" w:rsidRPr="00C93E04" w:rsidRDefault="00071ABC" w:rsidP="00C93E04">
      <w:pPr>
        <w:ind w:left="851"/>
        <w:rPr>
          <w:sz w:val="24"/>
          <w:szCs w:val="24"/>
        </w:rPr>
      </w:pPr>
    </w:p>
    <w:p w14:paraId="13DE1AB4" w14:textId="77777777" w:rsidR="00071ABC" w:rsidRPr="00C93E04" w:rsidRDefault="00071ABC" w:rsidP="00C93E04">
      <w:pPr>
        <w:ind w:left="851"/>
        <w:rPr>
          <w:sz w:val="24"/>
          <w:szCs w:val="24"/>
        </w:rPr>
      </w:pPr>
      <w:r w:rsidRPr="00C93E04">
        <w:rPr>
          <w:sz w:val="24"/>
          <w:szCs w:val="24"/>
        </w:rPr>
        <w:t xml:space="preserve">For børn bør den daglige eksponering være under 0,75 mg </w:t>
      </w:r>
      <w:proofErr w:type="spellStart"/>
      <w:r w:rsidRPr="00C93E04">
        <w:rPr>
          <w:sz w:val="24"/>
          <w:szCs w:val="24"/>
        </w:rPr>
        <w:t>pulegon</w:t>
      </w:r>
      <w:proofErr w:type="spellEnd"/>
      <w:r w:rsidRPr="00C93E04">
        <w:rPr>
          <w:sz w:val="24"/>
          <w:szCs w:val="24"/>
        </w:rPr>
        <w:t xml:space="preserve"> og </w:t>
      </w:r>
      <w:proofErr w:type="spellStart"/>
      <w:r w:rsidRPr="00C93E04">
        <w:rPr>
          <w:sz w:val="24"/>
          <w:szCs w:val="24"/>
        </w:rPr>
        <w:t>mentofuran</w:t>
      </w:r>
      <w:proofErr w:type="spellEnd"/>
      <w:r w:rsidRPr="00C93E04">
        <w:rPr>
          <w:sz w:val="24"/>
          <w:szCs w:val="24"/>
        </w:rPr>
        <w:t xml:space="preserve"> pr. kg legemsvægt pr. dag. Indtagelse af 3 </w:t>
      </w:r>
      <w:proofErr w:type="spellStart"/>
      <w:r w:rsidRPr="00C93E04">
        <w:rPr>
          <w:sz w:val="24"/>
          <w:szCs w:val="24"/>
        </w:rPr>
        <w:t>Entolex</w:t>
      </w:r>
      <w:proofErr w:type="spellEnd"/>
      <w:r w:rsidRPr="00C93E04">
        <w:rPr>
          <w:sz w:val="24"/>
          <w:szCs w:val="24"/>
        </w:rPr>
        <w:t xml:space="preserve">-kapsler hos børn på 8 år med en legemsvægt på 20 kg overstiger ikke den maksimale daglige dosis </w:t>
      </w:r>
      <w:proofErr w:type="spellStart"/>
      <w:r w:rsidRPr="00C93E04">
        <w:rPr>
          <w:sz w:val="24"/>
          <w:szCs w:val="24"/>
        </w:rPr>
        <w:t>pulegon</w:t>
      </w:r>
      <w:proofErr w:type="spellEnd"/>
      <w:r w:rsidRPr="00C93E04">
        <w:rPr>
          <w:sz w:val="24"/>
          <w:szCs w:val="24"/>
        </w:rPr>
        <w:t xml:space="preserve"> og </w:t>
      </w:r>
      <w:proofErr w:type="spellStart"/>
      <w:r w:rsidRPr="00C93E04">
        <w:rPr>
          <w:sz w:val="24"/>
          <w:szCs w:val="24"/>
        </w:rPr>
        <w:t>mentofuran</w:t>
      </w:r>
      <w:proofErr w:type="spellEnd"/>
      <w:r w:rsidRPr="00C93E04">
        <w:rPr>
          <w:sz w:val="24"/>
          <w:szCs w:val="24"/>
        </w:rPr>
        <w:t>.</w:t>
      </w:r>
    </w:p>
    <w:p w14:paraId="700555EE" w14:textId="77777777" w:rsidR="009260DE" w:rsidRPr="00C93E04" w:rsidRDefault="009260DE" w:rsidP="009260DE">
      <w:pPr>
        <w:tabs>
          <w:tab w:val="left" w:pos="851"/>
        </w:tabs>
        <w:ind w:left="851"/>
        <w:rPr>
          <w:sz w:val="24"/>
          <w:szCs w:val="24"/>
        </w:rPr>
      </w:pPr>
    </w:p>
    <w:p w14:paraId="17BE6D65" w14:textId="77777777" w:rsidR="009260DE" w:rsidRPr="00C93E04" w:rsidRDefault="009260DE" w:rsidP="009260DE">
      <w:pPr>
        <w:tabs>
          <w:tab w:val="left" w:pos="851"/>
        </w:tabs>
        <w:ind w:left="851"/>
        <w:rPr>
          <w:sz w:val="24"/>
          <w:szCs w:val="24"/>
        </w:rPr>
      </w:pPr>
    </w:p>
    <w:p w14:paraId="7F777EC0" w14:textId="77777777" w:rsidR="009260DE" w:rsidRPr="00C93E04" w:rsidRDefault="009260DE" w:rsidP="009260DE">
      <w:pPr>
        <w:tabs>
          <w:tab w:val="left" w:pos="851"/>
        </w:tabs>
        <w:ind w:left="851" w:hanging="851"/>
        <w:rPr>
          <w:b/>
          <w:sz w:val="24"/>
          <w:szCs w:val="24"/>
        </w:rPr>
      </w:pPr>
      <w:r w:rsidRPr="00C93E04">
        <w:rPr>
          <w:b/>
          <w:sz w:val="24"/>
          <w:szCs w:val="24"/>
        </w:rPr>
        <w:t>6.</w:t>
      </w:r>
      <w:r w:rsidRPr="00C93E04">
        <w:rPr>
          <w:b/>
          <w:sz w:val="24"/>
          <w:szCs w:val="24"/>
        </w:rPr>
        <w:tab/>
        <w:t>FARMACEUTISKE OPLYSNINGER</w:t>
      </w:r>
    </w:p>
    <w:p w14:paraId="26467B65" w14:textId="77777777" w:rsidR="009260DE" w:rsidRPr="00C93E04" w:rsidRDefault="009260DE" w:rsidP="009260DE">
      <w:pPr>
        <w:tabs>
          <w:tab w:val="left" w:pos="851"/>
        </w:tabs>
        <w:ind w:left="851"/>
        <w:rPr>
          <w:sz w:val="24"/>
          <w:szCs w:val="24"/>
        </w:rPr>
      </w:pPr>
    </w:p>
    <w:p w14:paraId="78F89E0A" w14:textId="77777777" w:rsidR="009260DE" w:rsidRPr="00C93E04" w:rsidRDefault="009260DE" w:rsidP="009260DE">
      <w:pPr>
        <w:tabs>
          <w:tab w:val="left" w:pos="851"/>
        </w:tabs>
        <w:ind w:left="851" w:hanging="851"/>
        <w:rPr>
          <w:b/>
          <w:sz w:val="24"/>
          <w:szCs w:val="24"/>
        </w:rPr>
      </w:pPr>
      <w:r w:rsidRPr="00C93E04">
        <w:rPr>
          <w:b/>
          <w:sz w:val="24"/>
          <w:szCs w:val="24"/>
        </w:rPr>
        <w:t>6.1</w:t>
      </w:r>
      <w:r w:rsidRPr="00C93E04">
        <w:rPr>
          <w:b/>
          <w:sz w:val="24"/>
          <w:szCs w:val="24"/>
        </w:rPr>
        <w:tab/>
        <w:t>Hjælpestoffer</w:t>
      </w:r>
    </w:p>
    <w:p w14:paraId="3C6F9899" w14:textId="77777777" w:rsidR="00071ABC" w:rsidRPr="00C93E04" w:rsidRDefault="00071ABC" w:rsidP="00C93E04">
      <w:pPr>
        <w:ind w:left="851"/>
        <w:rPr>
          <w:sz w:val="24"/>
          <w:szCs w:val="24"/>
        </w:rPr>
      </w:pPr>
      <w:r w:rsidRPr="00C93E04">
        <w:rPr>
          <w:sz w:val="24"/>
          <w:szCs w:val="24"/>
        </w:rPr>
        <w:t>Gelatine</w:t>
      </w:r>
    </w:p>
    <w:p w14:paraId="203E0B0A" w14:textId="77777777" w:rsidR="00071ABC" w:rsidRPr="00C93E04" w:rsidRDefault="00071ABC" w:rsidP="00C93E04">
      <w:pPr>
        <w:ind w:left="851"/>
        <w:rPr>
          <w:sz w:val="24"/>
          <w:szCs w:val="24"/>
        </w:rPr>
      </w:pPr>
      <w:r w:rsidRPr="00C93E04">
        <w:rPr>
          <w:sz w:val="24"/>
          <w:szCs w:val="24"/>
        </w:rPr>
        <w:t>Glycerol</w:t>
      </w:r>
    </w:p>
    <w:p w14:paraId="073A2FDD" w14:textId="694C196F" w:rsidR="00071ABC" w:rsidRPr="00C93E04" w:rsidRDefault="00071ABC" w:rsidP="00C93E04">
      <w:pPr>
        <w:ind w:left="851"/>
        <w:rPr>
          <w:sz w:val="24"/>
          <w:szCs w:val="24"/>
        </w:rPr>
      </w:pPr>
      <w:r w:rsidRPr="00C93E04">
        <w:rPr>
          <w:sz w:val="24"/>
          <w:szCs w:val="24"/>
        </w:rPr>
        <w:t>Vand, renset</w:t>
      </w:r>
    </w:p>
    <w:p w14:paraId="5E4AF1B9" w14:textId="77777777" w:rsidR="00071ABC" w:rsidRPr="00C93E04" w:rsidRDefault="00071ABC" w:rsidP="00C93E04">
      <w:pPr>
        <w:ind w:left="851"/>
        <w:rPr>
          <w:sz w:val="24"/>
          <w:szCs w:val="24"/>
        </w:rPr>
      </w:pPr>
      <w:proofErr w:type="spellStart"/>
      <w:r w:rsidRPr="00C93E04">
        <w:rPr>
          <w:sz w:val="24"/>
          <w:szCs w:val="24"/>
        </w:rPr>
        <w:t>Ethylcellulose</w:t>
      </w:r>
      <w:proofErr w:type="spellEnd"/>
    </w:p>
    <w:p w14:paraId="7C282823" w14:textId="77777777" w:rsidR="00071ABC" w:rsidRPr="00C93E04" w:rsidRDefault="00071ABC" w:rsidP="00C93E04">
      <w:pPr>
        <w:ind w:left="851"/>
        <w:rPr>
          <w:sz w:val="24"/>
          <w:szCs w:val="24"/>
        </w:rPr>
      </w:pPr>
      <w:proofErr w:type="spellStart"/>
      <w:r w:rsidRPr="00C93E04">
        <w:rPr>
          <w:sz w:val="24"/>
          <w:szCs w:val="24"/>
        </w:rPr>
        <w:t>Natriumalginat</w:t>
      </w:r>
      <w:proofErr w:type="spellEnd"/>
    </w:p>
    <w:p w14:paraId="2B98B011" w14:textId="5A206181" w:rsidR="00071ABC" w:rsidRPr="00C93E04" w:rsidRDefault="00071ABC" w:rsidP="00C93E04">
      <w:pPr>
        <w:ind w:left="851"/>
        <w:rPr>
          <w:sz w:val="24"/>
          <w:szCs w:val="24"/>
        </w:rPr>
      </w:pPr>
      <w:r w:rsidRPr="00C93E04">
        <w:rPr>
          <w:sz w:val="24"/>
          <w:szCs w:val="24"/>
        </w:rPr>
        <w:t xml:space="preserve">Triglycerider, middelkædelængde </w:t>
      </w:r>
    </w:p>
    <w:p w14:paraId="1BA73EA4" w14:textId="77777777" w:rsidR="00071ABC" w:rsidRPr="00C93E04" w:rsidRDefault="00071ABC" w:rsidP="00C93E04">
      <w:pPr>
        <w:ind w:left="851"/>
        <w:rPr>
          <w:sz w:val="24"/>
          <w:szCs w:val="24"/>
        </w:rPr>
      </w:pPr>
      <w:r w:rsidRPr="00C93E04">
        <w:rPr>
          <w:sz w:val="24"/>
          <w:szCs w:val="24"/>
        </w:rPr>
        <w:t>Stearinsyre</w:t>
      </w:r>
    </w:p>
    <w:p w14:paraId="7A1AD179" w14:textId="77777777" w:rsidR="00071ABC" w:rsidRPr="00C93E04" w:rsidRDefault="00071ABC" w:rsidP="00C93E04">
      <w:pPr>
        <w:ind w:left="851"/>
        <w:rPr>
          <w:sz w:val="24"/>
          <w:szCs w:val="24"/>
        </w:rPr>
      </w:pPr>
      <w:r w:rsidRPr="00C93E04">
        <w:rPr>
          <w:sz w:val="24"/>
          <w:szCs w:val="24"/>
        </w:rPr>
        <w:t>Oliesyre</w:t>
      </w:r>
    </w:p>
    <w:p w14:paraId="00AC2E7D" w14:textId="77777777" w:rsidR="009260DE" w:rsidRPr="00C93E04" w:rsidRDefault="009260DE" w:rsidP="009260DE">
      <w:pPr>
        <w:tabs>
          <w:tab w:val="left" w:pos="851"/>
        </w:tabs>
        <w:ind w:left="851"/>
        <w:rPr>
          <w:sz w:val="24"/>
          <w:szCs w:val="24"/>
        </w:rPr>
      </w:pPr>
    </w:p>
    <w:p w14:paraId="68803093" w14:textId="77777777" w:rsidR="009260DE" w:rsidRPr="00C93E04" w:rsidRDefault="009260DE" w:rsidP="009260DE">
      <w:pPr>
        <w:tabs>
          <w:tab w:val="left" w:pos="851"/>
        </w:tabs>
        <w:ind w:left="851" w:hanging="851"/>
        <w:rPr>
          <w:b/>
          <w:sz w:val="24"/>
          <w:szCs w:val="24"/>
        </w:rPr>
      </w:pPr>
      <w:r w:rsidRPr="00C93E04">
        <w:rPr>
          <w:b/>
          <w:sz w:val="24"/>
          <w:szCs w:val="24"/>
        </w:rPr>
        <w:t>6.2</w:t>
      </w:r>
      <w:r w:rsidRPr="00C93E04">
        <w:rPr>
          <w:b/>
          <w:sz w:val="24"/>
          <w:szCs w:val="24"/>
        </w:rPr>
        <w:tab/>
        <w:t>Uforligeligheder</w:t>
      </w:r>
    </w:p>
    <w:p w14:paraId="040E464C" w14:textId="77777777" w:rsidR="00071ABC" w:rsidRPr="00C93E04" w:rsidRDefault="00071ABC" w:rsidP="00C93E04">
      <w:pPr>
        <w:ind w:left="851"/>
        <w:rPr>
          <w:sz w:val="24"/>
          <w:szCs w:val="24"/>
        </w:rPr>
      </w:pPr>
      <w:r w:rsidRPr="00C93E04">
        <w:rPr>
          <w:sz w:val="24"/>
          <w:szCs w:val="24"/>
        </w:rPr>
        <w:t>Ikke relevant</w:t>
      </w:r>
    </w:p>
    <w:p w14:paraId="24F2AC84" w14:textId="77777777" w:rsidR="009260DE" w:rsidRPr="00C93E04" w:rsidRDefault="009260DE" w:rsidP="009260DE">
      <w:pPr>
        <w:tabs>
          <w:tab w:val="left" w:pos="851"/>
        </w:tabs>
        <w:ind w:left="851"/>
        <w:rPr>
          <w:sz w:val="24"/>
          <w:szCs w:val="24"/>
        </w:rPr>
      </w:pPr>
    </w:p>
    <w:p w14:paraId="0CD0F7E2" w14:textId="77777777" w:rsidR="009260DE" w:rsidRPr="00C93E04" w:rsidRDefault="009260DE" w:rsidP="009260DE">
      <w:pPr>
        <w:tabs>
          <w:tab w:val="left" w:pos="851"/>
        </w:tabs>
        <w:ind w:left="851" w:hanging="851"/>
        <w:rPr>
          <w:b/>
          <w:sz w:val="24"/>
          <w:szCs w:val="24"/>
        </w:rPr>
      </w:pPr>
      <w:r w:rsidRPr="00C93E04">
        <w:rPr>
          <w:b/>
          <w:sz w:val="24"/>
          <w:szCs w:val="24"/>
        </w:rPr>
        <w:t>6.3</w:t>
      </w:r>
      <w:r w:rsidRPr="00C93E04">
        <w:rPr>
          <w:b/>
          <w:sz w:val="24"/>
          <w:szCs w:val="24"/>
        </w:rPr>
        <w:tab/>
        <w:t>Opbevaringstid</w:t>
      </w:r>
    </w:p>
    <w:p w14:paraId="04ED1E18" w14:textId="77777777" w:rsidR="00071ABC" w:rsidRPr="00C93E04" w:rsidRDefault="00071ABC" w:rsidP="00C93E04">
      <w:pPr>
        <w:ind w:left="851"/>
        <w:rPr>
          <w:sz w:val="24"/>
          <w:szCs w:val="24"/>
        </w:rPr>
      </w:pPr>
      <w:r w:rsidRPr="00C93E04">
        <w:rPr>
          <w:sz w:val="24"/>
          <w:szCs w:val="24"/>
        </w:rPr>
        <w:t>3 år.</w:t>
      </w:r>
    </w:p>
    <w:p w14:paraId="034B8397" w14:textId="77777777" w:rsidR="009260DE" w:rsidRPr="00C93E04" w:rsidRDefault="009260DE" w:rsidP="009260DE">
      <w:pPr>
        <w:tabs>
          <w:tab w:val="left" w:pos="851"/>
        </w:tabs>
        <w:ind w:left="851"/>
        <w:rPr>
          <w:sz w:val="24"/>
          <w:szCs w:val="24"/>
        </w:rPr>
      </w:pPr>
    </w:p>
    <w:p w14:paraId="0303E1F8" w14:textId="77777777" w:rsidR="009260DE" w:rsidRPr="00C93E04" w:rsidRDefault="009260DE" w:rsidP="009260DE">
      <w:pPr>
        <w:tabs>
          <w:tab w:val="left" w:pos="851"/>
        </w:tabs>
        <w:ind w:left="851" w:hanging="851"/>
        <w:rPr>
          <w:b/>
          <w:sz w:val="24"/>
          <w:szCs w:val="24"/>
        </w:rPr>
      </w:pPr>
      <w:r w:rsidRPr="00C93E04">
        <w:rPr>
          <w:b/>
          <w:sz w:val="24"/>
          <w:szCs w:val="24"/>
        </w:rPr>
        <w:t>6.4</w:t>
      </w:r>
      <w:r w:rsidRPr="00C93E04">
        <w:rPr>
          <w:b/>
          <w:sz w:val="24"/>
          <w:szCs w:val="24"/>
        </w:rPr>
        <w:tab/>
        <w:t>Særlige opbevaringsforhold</w:t>
      </w:r>
    </w:p>
    <w:p w14:paraId="1F6DD847" w14:textId="77777777" w:rsidR="00071ABC" w:rsidRPr="00C93E04" w:rsidRDefault="00071ABC" w:rsidP="00C93E04">
      <w:pPr>
        <w:ind w:left="851"/>
        <w:rPr>
          <w:noProof/>
          <w:sz w:val="24"/>
          <w:szCs w:val="24"/>
        </w:rPr>
      </w:pPr>
      <w:r w:rsidRPr="00C93E04">
        <w:rPr>
          <w:sz w:val="24"/>
          <w:szCs w:val="24"/>
        </w:rPr>
        <w:t>Opbevares ved temperaturer under 30 °C.</w:t>
      </w:r>
    </w:p>
    <w:p w14:paraId="540EDE67" w14:textId="77777777" w:rsidR="00071ABC" w:rsidRPr="00C93E04" w:rsidRDefault="00071ABC" w:rsidP="00C93E04">
      <w:pPr>
        <w:ind w:left="851"/>
        <w:rPr>
          <w:noProof/>
          <w:sz w:val="24"/>
          <w:szCs w:val="24"/>
        </w:rPr>
      </w:pPr>
      <w:r w:rsidRPr="00C93E04">
        <w:rPr>
          <w:noProof/>
          <w:sz w:val="24"/>
          <w:szCs w:val="24"/>
        </w:rPr>
        <w:t>Opbevares utilgængeligt for børn.</w:t>
      </w:r>
    </w:p>
    <w:p w14:paraId="7DAF7646" w14:textId="77777777" w:rsidR="009260DE" w:rsidRPr="00C93E04" w:rsidRDefault="009260DE" w:rsidP="009260DE">
      <w:pPr>
        <w:tabs>
          <w:tab w:val="left" w:pos="851"/>
        </w:tabs>
        <w:ind w:left="851"/>
        <w:rPr>
          <w:sz w:val="24"/>
          <w:szCs w:val="24"/>
        </w:rPr>
      </w:pPr>
    </w:p>
    <w:p w14:paraId="4F595D34" w14:textId="77777777" w:rsidR="009260DE" w:rsidRPr="00C93E04" w:rsidRDefault="009260DE" w:rsidP="009260DE">
      <w:pPr>
        <w:tabs>
          <w:tab w:val="left" w:pos="851"/>
        </w:tabs>
        <w:ind w:left="851" w:hanging="851"/>
        <w:rPr>
          <w:b/>
          <w:sz w:val="24"/>
          <w:szCs w:val="24"/>
        </w:rPr>
      </w:pPr>
      <w:r w:rsidRPr="00C93E04">
        <w:rPr>
          <w:b/>
          <w:sz w:val="24"/>
          <w:szCs w:val="24"/>
        </w:rPr>
        <w:t>6.5</w:t>
      </w:r>
      <w:r w:rsidRPr="00C93E04">
        <w:rPr>
          <w:b/>
          <w:sz w:val="24"/>
          <w:szCs w:val="24"/>
        </w:rPr>
        <w:tab/>
        <w:t>Emballagetype og pakningsstørrelser</w:t>
      </w:r>
    </w:p>
    <w:p w14:paraId="34DB416A" w14:textId="77777777" w:rsidR="00071ABC" w:rsidRPr="00C93E04" w:rsidRDefault="00071ABC" w:rsidP="00C93E04">
      <w:pPr>
        <w:ind w:left="851"/>
        <w:rPr>
          <w:sz w:val="24"/>
          <w:szCs w:val="24"/>
        </w:rPr>
      </w:pPr>
      <w:proofErr w:type="spellStart"/>
      <w:r w:rsidRPr="00C93E04">
        <w:rPr>
          <w:sz w:val="24"/>
          <w:szCs w:val="24"/>
        </w:rPr>
        <w:t>Entolex</w:t>
      </w:r>
      <w:proofErr w:type="spellEnd"/>
      <w:r w:rsidRPr="00C93E04">
        <w:rPr>
          <w:sz w:val="24"/>
          <w:szCs w:val="24"/>
        </w:rPr>
        <w:t xml:space="preserve"> bløde enterokapsler er pakket i PVC/PVDC/aluminium blisterpakninger.</w:t>
      </w:r>
    </w:p>
    <w:p w14:paraId="5A69409F" w14:textId="77777777" w:rsidR="00071ABC" w:rsidRPr="00C93E04" w:rsidRDefault="00071ABC" w:rsidP="00C93E04">
      <w:pPr>
        <w:ind w:left="851"/>
        <w:rPr>
          <w:sz w:val="24"/>
          <w:szCs w:val="24"/>
        </w:rPr>
      </w:pPr>
      <w:r w:rsidRPr="00C93E04">
        <w:rPr>
          <w:sz w:val="24"/>
          <w:szCs w:val="24"/>
        </w:rPr>
        <w:lastRenderedPageBreak/>
        <w:t>Kartonbokser med blisterpakninger med 30, 60, 90 og 120 kapsler</w:t>
      </w:r>
    </w:p>
    <w:p w14:paraId="12E0E7AF" w14:textId="77777777" w:rsidR="00071ABC" w:rsidRPr="00C93E04" w:rsidRDefault="00071ABC" w:rsidP="00C93E04">
      <w:pPr>
        <w:ind w:left="851"/>
        <w:rPr>
          <w:sz w:val="24"/>
          <w:szCs w:val="24"/>
        </w:rPr>
      </w:pPr>
    </w:p>
    <w:p w14:paraId="5924E8D5" w14:textId="77777777" w:rsidR="00071ABC" w:rsidRPr="00C93E04" w:rsidRDefault="00071ABC" w:rsidP="00C93E04">
      <w:pPr>
        <w:ind w:left="851"/>
        <w:rPr>
          <w:sz w:val="24"/>
          <w:szCs w:val="24"/>
        </w:rPr>
      </w:pPr>
      <w:r w:rsidRPr="00C93E04">
        <w:rPr>
          <w:sz w:val="24"/>
          <w:szCs w:val="24"/>
        </w:rPr>
        <w:t>Ikke alle pakningsstørrelser er nødvendigvis markedsført.</w:t>
      </w:r>
    </w:p>
    <w:p w14:paraId="2F48C8C6" w14:textId="77777777" w:rsidR="009260DE" w:rsidRPr="00C93E04" w:rsidRDefault="009260DE" w:rsidP="009260DE">
      <w:pPr>
        <w:tabs>
          <w:tab w:val="left" w:pos="851"/>
        </w:tabs>
        <w:ind w:left="851"/>
        <w:rPr>
          <w:sz w:val="24"/>
          <w:szCs w:val="24"/>
        </w:rPr>
      </w:pPr>
    </w:p>
    <w:p w14:paraId="164B2A06" w14:textId="77777777" w:rsidR="009260DE" w:rsidRPr="00C93E04" w:rsidRDefault="009260DE" w:rsidP="009260DE">
      <w:pPr>
        <w:tabs>
          <w:tab w:val="left" w:pos="851"/>
        </w:tabs>
        <w:ind w:left="851" w:hanging="851"/>
        <w:rPr>
          <w:b/>
          <w:sz w:val="24"/>
          <w:szCs w:val="24"/>
        </w:rPr>
      </w:pPr>
      <w:r w:rsidRPr="00C93E04">
        <w:rPr>
          <w:b/>
          <w:sz w:val="24"/>
          <w:szCs w:val="24"/>
        </w:rPr>
        <w:t>6.6</w:t>
      </w:r>
      <w:r w:rsidRPr="00C93E04">
        <w:rPr>
          <w:b/>
          <w:sz w:val="24"/>
          <w:szCs w:val="24"/>
        </w:rPr>
        <w:tab/>
        <w:t xml:space="preserve">Regler for </w:t>
      </w:r>
      <w:r w:rsidR="00BD7931" w:rsidRPr="00C93E04">
        <w:rPr>
          <w:b/>
          <w:sz w:val="24"/>
          <w:szCs w:val="24"/>
        </w:rPr>
        <w:t>bortskaffelse</w:t>
      </w:r>
      <w:r w:rsidRPr="00C93E04">
        <w:rPr>
          <w:b/>
          <w:sz w:val="24"/>
          <w:szCs w:val="24"/>
        </w:rPr>
        <w:t xml:space="preserve"> og anden håndtering</w:t>
      </w:r>
    </w:p>
    <w:p w14:paraId="57C0AE2C" w14:textId="77777777" w:rsidR="00071ABC" w:rsidRPr="00C93E04" w:rsidRDefault="00071ABC" w:rsidP="00C93E04">
      <w:pPr>
        <w:ind w:left="851"/>
        <w:rPr>
          <w:sz w:val="24"/>
          <w:szCs w:val="24"/>
        </w:rPr>
      </w:pPr>
      <w:r w:rsidRPr="00C93E04">
        <w:rPr>
          <w:sz w:val="24"/>
          <w:szCs w:val="24"/>
        </w:rPr>
        <w:t>Ingen særlige forholdsregler.</w:t>
      </w:r>
    </w:p>
    <w:p w14:paraId="15E6B3BD" w14:textId="77777777" w:rsidR="00071ABC" w:rsidRPr="00C93E04" w:rsidRDefault="00071ABC" w:rsidP="00C93E04">
      <w:pPr>
        <w:ind w:left="851"/>
        <w:rPr>
          <w:sz w:val="24"/>
          <w:szCs w:val="24"/>
        </w:rPr>
      </w:pPr>
    </w:p>
    <w:p w14:paraId="4E8A26C3" w14:textId="77777777" w:rsidR="00071ABC" w:rsidRPr="00C93E04" w:rsidRDefault="00071ABC" w:rsidP="00C93E04">
      <w:pPr>
        <w:ind w:left="851"/>
        <w:rPr>
          <w:sz w:val="24"/>
          <w:szCs w:val="24"/>
        </w:rPr>
      </w:pPr>
      <w:r w:rsidRPr="00C93E04">
        <w:rPr>
          <w:sz w:val="24"/>
          <w:szCs w:val="24"/>
        </w:rPr>
        <w:t>Ikke anvendt lægemiddel samt affald heraf skal bortskaffes i henhold til lokale retningslinjer.</w:t>
      </w:r>
    </w:p>
    <w:p w14:paraId="4CE03F04" w14:textId="77777777" w:rsidR="009260DE" w:rsidRPr="00C93E04" w:rsidRDefault="009260DE" w:rsidP="000730CA">
      <w:pPr>
        <w:tabs>
          <w:tab w:val="left" w:pos="851"/>
        </w:tabs>
        <w:ind w:left="851"/>
        <w:rPr>
          <w:sz w:val="24"/>
          <w:szCs w:val="24"/>
        </w:rPr>
      </w:pPr>
    </w:p>
    <w:p w14:paraId="51DE5E4F" w14:textId="77777777" w:rsidR="009260DE" w:rsidRPr="00C93E04" w:rsidRDefault="009260DE" w:rsidP="009260DE">
      <w:pPr>
        <w:tabs>
          <w:tab w:val="left" w:pos="851"/>
        </w:tabs>
        <w:ind w:left="851" w:hanging="851"/>
        <w:rPr>
          <w:b/>
          <w:sz w:val="24"/>
          <w:szCs w:val="24"/>
        </w:rPr>
      </w:pPr>
      <w:r w:rsidRPr="00C93E04">
        <w:rPr>
          <w:b/>
          <w:sz w:val="24"/>
          <w:szCs w:val="24"/>
        </w:rPr>
        <w:t>7.</w:t>
      </w:r>
      <w:r w:rsidRPr="00C93E04">
        <w:rPr>
          <w:b/>
          <w:sz w:val="24"/>
          <w:szCs w:val="24"/>
        </w:rPr>
        <w:tab/>
        <w:t>INDEHAVER AF MARKEDSFØRINGSTILLADELSEN</w:t>
      </w:r>
    </w:p>
    <w:p w14:paraId="228D1C49" w14:textId="77777777" w:rsidR="00071ABC" w:rsidRPr="00C93E04" w:rsidRDefault="00071ABC" w:rsidP="00C93E04">
      <w:pPr>
        <w:ind w:left="851"/>
        <w:rPr>
          <w:sz w:val="24"/>
          <w:szCs w:val="24"/>
        </w:rPr>
      </w:pPr>
      <w:r w:rsidRPr="00C93E04">
        <w:rPr>
          <w:sz w:val="24"/>
          <w:szCs w:val="24"/>
        </w:rPr>
        <w:t>Sana Pharma Medical AS</w:t>
      </w:r>
    </w:p>
    <w:p w14:paraId="1A82EB7F" w14:textId="77777777" w:rsidR="00071ABC" w:rsidRPr="00C93E04" w:rsidRDefault="00071ABC" w:rsidP="00C93E04">
      <w:pPr>
        <w:ind w:left="851"/>
        <w:rPr>
          <w:sz w:val="24"/>
          <w:szCs w:val="24"/>
          <w:lang w:val="nb-NO"/>
        </w:rPr>
      </w:pPr>
      <w:r w:rsidRPr="00C93E04">
        <w:rPr>
          <w:sz w:val="24"/>
          <w:szCs w:val="24"/>
          <w:lang w:val="nb-NO"/>
        </w:rPr>
        <w:t>Philip Pedersens vei 20</w:t>
      </w:r>
    </w:p>
    <w:p w14:paraId="2B912BD9" w14:textId="77777777" w:rsidR="00071ABC" w:rsidRPr="00C93E04" w:rsidRDefault="00071ABC" w:rsidP="00C93E04">
      <w:pPr>
        <w:ind w:left="851"/>
        <w:rPr>
          <w:sz w:val="24"/>
          <w:szCs w:val="24"/>
          <w:lang w:val="nb-NO"/>
        </w:rPr>
      </w:pPr>
      <w:r w:rsidRPr="00C93E04">
        <w:rPr>
          <w:sz w:val="24"/>
          <w:szCs w:val="24"/>
          <w:lang w:val="nb-NO"/>
        </w:rPr>
        <w:t xml:space="preserve">1366 Lysaker </w:t>
      </w:r>
    </w:p>
    <w:p w14:paraId="7B4BECF5" w14:textId="77777777" w:rsidR="00071ABC" w:rsidRPr="00C93E04" w:rsidRDefault="00071ABC" w:rsidP="00C93E04">
      <w:pPr>
        <w:ind w:left="851"/>
        <w:rPr>
          <w:sz w:val="24"/>
          <w:szCs w:val="24"/>
          <w:lang w:val="nb-NO"/>
        </w:rPr>
      </w:pPr>
      <w:r w:rsidRPr="00C93E04">
        <w:rPr>
          <w:sz w:val="24"/>
          <w:szCs w:val="24"/>
          <w:lang w:val="nb-NO"/>
        </w:rPr>
        <w:t>Norge</w:t>
      </w:r>
    </w:p>
    <w:p w14:paraId="6448E36D" w14:textId="77777777" w:rsidR="00641C65" w:rsidRPr="00C93E04" w:rsidRDefault="00641C65" w:rsidP="009260DE">
      <w:pPr>
        <w:tabs>
          <w:tab w:val="left" w:pos="851"/>
        </w:tabs>
        <w:ind w:left="851"/>
        <w:rPr>
          <w:sz w:val="24"/>
          <w:szCs w:val="24"/>
        </w:rPr>
      </w:pPr>
    </w:p>
    <w:p w14:paraId="5B49B618" w14:textId="77777777" w:rsidR="009260DE" w:rsidRPr="00C93E04" w:rsidRDefault="009260DE" w:rsidP="009260DE">
      <w:pPr>
        <w:tabs>
          <w:tab w:val="left" w:pos="851"/>
        </w:tabs>
        <w:ind w:left="851" w:hanging="851"/>
        <w:rPr>
          <w:b/>
          <w:sz w:val="24"/>
          <w:szCs w:val="24"/>
        </w:rPr>
      </w:pPr>
      <w:r w:rsidRPr="00C93E04">
        <w:rPr>
          <w:b/>
          <w:sz w:val="24"/>
          <w:szCs w:val="24"/>
        </w:rPr>
        <w:t>8.</w:t>
      </w:r>
      <w:r w:rsidRPr="00C93E04">
        <w:rPr>
          <w:b/>
          <w:sz w:val="24"/>
          <w:szCs w:val="24"/>
        </w:rPr>
        <w:tab/>
        <w:t>MARKEDSFØRINGSTILLADELSESNUMMER (</w:t>
      </w:r>
      <w:r w:rsidR="00BF6243" w:rsidRPr="00C93E04">
        <w:rPr>
          <w:b/>
          <w:sz w:val="24"/>
          <w:szCs w:val="24"/>
        </w:rPr>
        <w:t>-</w:t>
      </w:r>
      <w:r w:rsidRPr="00C93E04">
        <w:rPr>
          <w:b/>
          <w:sz w:val="24"/>
          <w:szCs w:val="24"/>
        </w:rPr>
        <w:t>NUMRE)</w:t>
      </w:r>
    </w:p>
    <w:p w14:paraId="35DBAD55" w14:textId="1E4402F8" w:rsidR="009260DE" w:rsidRPr="00C93E04" w:rsidRDefault="00071ABC" w:rsidP="009260DE">
      <w:pPr>
        <w:tabs>
          <w:tab w:val="left" w:pos="851"/>
        </w:tabs>
        <w:ind w:left="851"/>
        <w:rPr>
          <w:sz w:val="24"/>
          <w:szCs w:val="24"/>
        </w:rPr>
      </w:pPr>
      <w:r w:rsidRPr="00C93E04">
        <w:rPr>
          <w:sz w:val="24"/>
          <w:szCs w:val="24"/>
        </w:rPr>
        <w:t>69261</w:t>
      </w:r>
    </w:p>
    <w:p w14:paraId="47955DF6" w14:textId="77777777" w:rsidR="009260DE" w:rsidRPr="00C93E04" w:rsidRDefault="009260DE" w:rsidP="009260DE">
      <w:pPr>
        <w:tabs>
          <w:tab w:val="left" w:pos="851"/>
        </w:tabs>
        <w:ind w:left="851"/>
        <w:jc w:val="both"/>
        <w:rPr>
          <w:sz w:val="24"/>
          <w:szCs w:val="24"/>
        </w:rPr>
      </w:pPr>
    </w:p>
    <w:p w14:paraId="4842762A" w14:textId="77777777" w:rsidR="009260DE" w:rsidRPr="00C93E04" w:rsidRDefault="009260DE" w:rsidP="009260DE">
      <w:pPr>
        <w:tabs>
          <w:tab w:val="left" w:pos="851"/>
        </w:tabs>
        <w:ind w:left="851" w:hanging="851"/>
        <w:rPr>
          <w:b/>
          <w:sz w:val="24"/>
          <w:szCs w:val="24"/>
        </w:rPr>
      </w:pPr>
      <w:r w:rsidRPr="00C93E04">
        <w:rPr>
          <w:b/>
          <w:sz w:val="24"/>
          <w:szCs w:val="24"/>
        </w:rPr>
        <w:t>9.</w:t>
      </w:r>
      <w:r w:rsidRPr="00C93E04">
        <w:rPr>
          <w:b/>
          <w:sz w:val="24"/>
          <w:szCs w:val="24"/>
        </w:rPr>
        <w:tab/>
        <w:t>DATO FOR FØRSTE MARKEDSFØRINGSTILLADELSE</w:t>
      </w:r>
    </w:p>
    <w:p w14:paraId="38BC1442" w14:textId="06EB3233" w:rsidR="009260DE" w:rsidRPr="00C93E04" w:rsidRDefault="0053175A" w:rsidP="009260DE">
      <w:pPr>
        <w:tabs>
          <w:tab w:val="left" w:pos="851"/>
        </w:tabs>
        <w:ind w:left="851"/>
        <w:rPr>
          <w:sz w:val="24"/>
          <w:szCs w:val="24"/>
        </w:rPr>
      </w:pPr>
      <w:r>
        <w:rPr>
          <w:sz w:val="24"/>
          <w:szCs w:val="24"/>
        </w:rPr>
        <w:t>14. april 2025</w:t>
      </w:r>
    </w:p>
    <w:p w14:paraId="2261EA24" w14:textId="77777777" w:rsidR="009260DE" w:rsidRPr="00C93E04" w:rsidRDefault="009260DE" w:rsidP="009260DE">
      <w:pPr>
        <w:tabs>
          <w:tab w:val="left" w:pos="851"/>
        </w:tabs>
        <w:ind w:left="851"/>
        <w:rPr>
          <w:sz w:val="24"/>
          <w:szCs w:val="24"/>
        </w:rPr>
      </w:pPr>
    </w:p>
    <w:p w14:paraId="21602977" w14:textId="77777777" w:rsidR="009260DE" w:rsidRPr="00C93E04" w:rsidRDefault="009260DE" w:rsidP="009260DE">
      <w:pPr>
        <w:tabs>
          <w:tab w:val="left" w:pos="851"/>
        </w:tabs>
        <w:ind w:left="851" w:hanging="851"/>
        <w:rPr>
          <w:b/>
          <w:sz w:val="24"/>
          <w:szCs w:val="24"/>
        </w:rPr>
      </w:pPr>
      <w:r w:rsidRPr="00C93E04">
        <w:rPr>
          <w:b/>
          <w:sz w:val="24"/>
          <w:szCs w:val="24"/>
        </w:rPr>
        <w:t>10.</w:t>
      </w:r>
      <w:r w:rsidRPr="00C93E04">
        <w:rPr>
          <w:b/>
          <w:sz w:val="24"/>
          <w:szCs w:val="24"/>
        </w:rPr>
        <w:tab/>
        <w:t>DATO FOR ÆNDRING AF TEKSTEN</w:t>
      </w:r>
    </w:p>
    <w:p w14:paraId="01239187" w14:textId="09F0F158" w:rsidR="009260DE" w:rsidRPr="00C93E04" w:rsidRDefault="00071ABC" w:rsidP="009260DE">
      <w:pPr>
        <w:tabs>
          <w:tab w:val="left" w:pos="851"/>
        </w:tabs>
        <w:ind w:left="851"/>
        <w:rPr>
          <w:sz w:val="24"/>
          <w:szCs w:val="24"/>
        </w:rPr>
      </w:pPr>
      <w:r w:rsidRPr="00C93E04">
        <w:rPr>
          <w:sz w:val="24"/>
          <w:szCs w:val="24"/>
        </w:rPr>
        <w:t>-</w:t>
      </w:r>
    </w:p>
    <w:sectPr w:rsidR="009260DE" w:rsidRPr="00C93E0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07FB3" w14:textId="77777777" w:rsidR="006F1CE0" w:rsidRDefault="006F1CE0">
      <w:r>
        <w:separator/>
      </w:r>
    </w:p>
  </w:endnote>
  <w:endnote w:type="continuationSeparator" w:id="0">
    <w:p w14:paraId="00D623F7" w14:textId="77777777" w:rsidR="006F1CE0" w:rsidRDefault="006F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312B" w14:textId="77777777" w:rsidR="000259B9" w:rsidRDefault="000259B9">
    <w:pPr>
      <w:pStyle w:val="Sidefod"/>
      <w:pBdr>
        <w:bottom w:val="single" w:sz="6" w:space="1" w:color="auto"/>
      </w:pBdr>
    </w:pPr>
  </w:p>
  <w:p w14:paraId="1EB2126E" w14:textId="77777777" w:rsidR="000259B9" w:rsidRDefault="000259B9" w:rsidP="00C42586">
    <w:pPr>
      <w:pStyle w:val="Sidefod"/>
      <w:tabs>
        <w:tab w:val="clear" w:pos="4819"/>
        <w:tab w:val="left" w:pos="8505"/>
      </w:tabs>
      <w:rPr>
        <w:i/>
        <w:sz w:val="18"/>
        <w:szCs w:val="18"/>
      </w:rPr>
    </w:pPr>
  </w:p>
  <w:p w14:paraId="3079D2FD" w14:textId="673334B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2375D">
      <w:rPr>
        <w:i/>
        <w:noProof/>
        <w:sz w:val="18"/>
        <w:szCs w:val="18"/>
      </w:rPr>
      <w:t>Entolex, bløde enterokapsler 182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4A340" w14:textId="77777777" w:rsidR="006F1CE0" w:rsidRDefault="006F1CE0">
      <w:r>
        <w:separator/>
      </w:r>
    </w:p>
  </w:footnote>
  <w:footnote w:type="continuationSeparator" w:id="0">
    <w:p w14:paraId="27191B2D" w14:textId="77777777" w:rsidR="006F1CE0" w:rsidRDefault="006F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C554158"/>
    <w:multiLevelType w:val="hybridMultilevel"/>
    <w:tmpl w:val="FC40A5F4"/>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8A3B3A"/>
    <w:multiLevelType w:val="hybridMultilevel"/>
    <w:tmpl w:val="9DBE2DC8"/>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56A4507"/>
    <w:multiLevelType w:val="hybridMultilevel"/>
    <w:tmpl w:val="DAE4FEB6"/>
    <w:lvl w:ilvl="0" w:tplc="FFFFFFFF">
      <w:start w:val="1"/>
      <w:numFmt w:val="bullet"/>
      <w:lvlText w:val="-"/>
      <w:lvlJc w:val="left"/>
      <w:pPr>
        <w:ind w:left="720" w:hanging="360"/>
      </w:p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E0"/>
    <w:rsid w:val="000259B9"/>
    <w:rsid w:val="00041491"/>
    <w:rsid w:val="00050D16"/>
    <w:rsid w:val="00071ABC"/>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B12F8"/>
    <w:rsid w:val="004E3B12"/>
    <w:rsid w:val="0053175A"/>
    <w:rsid w:val="00532310"/>
    <w:rsid w:val="00565F0F"/>
    <w:rsid w:val="00594A86"/>
    <w:rsid w:val="00596D86"/>
    <w:rsid w:val="00637F5A"/>
    <w:rsid w:val="00641C65"/>
    <w:rsid w:val="006560B1"/>
    <w:rsid w:val="006756DD"/>
    <w:rsid w:val="006F1CE0"/>
    <w:rsid w:val="0071241E"/>
    <w:rsid w:val="00737275"/>
    <w:rsid w:val="00740EEC"/>
    <w:rsid w:val="0078011A"/>
    <w:rsid w:val="00782AF4"/>
    <w:rsid w:val="00790EE7"/>
    <w:rsid w:val="007B6649"/>
    <w:rsid w:val="0082576E"/>
    <w:rsid w:val="008876AB"/>
    <w:rsid w:val="0089346F"/>
    <w:rsid w:val="00907F75"/>
    <w:rsid w:val="0092375D"/>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3E04"/>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FA3F6"/>
  <w15:chartTrackingRefBased/>
  <w15:docId w15:val="{8C98CE96-C4DA-421F-B69E-613BC60B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71ABC"/>
    <w:pPr>
      <w:spacing w:before="120" w:after="120"/>
      <w:jc w:val="both"/>
    </w:pPr>
    <w:rPr>
      <w:sz w:val="22"/>
    </w:rPr>
  </w:style>
  <w:style w:type="paragraph" w:styleId="Listeafsnit">
    <w:name w:val="List Paragraph"/>
    <w:basedOn w:val="Normal"/>
    <w:uiPriority w:val="34"/>
    <w:qFormat/>
    <w:rsid w:val="00071ABC"/>
    <w:pPr>
      <w:tabs>
        <w:tab w:val="left" w:pos="567"/>
      </w:tabs>
      <w:spacing w:line="260" w:lineRule="exact"/>
      <w:ind w:left="720"/>
      <w:contextualSpacing/>
    </w:pPr>
    <w:rPr>
      <w:sz w:val="22"/>
    </w:rPr>
  </w:style>
  <w:style w:type="character" w:styleId="Hyperlink">
    <w:name w:val="Hyperlink"/>
    <w:semiHidden/>
    <w:unhideWhenUsed/>
    <w:rsid w:val="00071ABC"/>
    <w:rPr>
      <w:color w:val="0000FF"/>
      <w:u w:val="single"/>
    </w:rPr>
  </w:style>
  <w:style w:type="table" w:styleId="Tabel-Gitter">
    <w:name w:val="Table Grid"/>
    <w:basedOn w:val="Tabel-Normal"/>
    <w:rsid w:val="00071ABC"/>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14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9690322">
      <w:bodyDiv w:val="1"/>
      <w:marLeft w:val="0"/>
      <w:marRight w:val="0"/>
      <w:marTop w:val="0"/>
      <w:marBottom w:val="0"/>
      <w:divBdr>
        <w:top w:val="none" w:sz="0" w:space="0" w:color="auto"/>
        <w:left w:val="none" w:sz="0" w:space="0" w:color="auto"/>
        <w:bottom w:val="none" w:sz="0" w:space="0" w:color="auto"/>
        <w:right w:val="none" w:sz="0" w:space="0" w:color="auto"/>
      </w:divBdr>
    </w:div>
    <w:div w:id="436676169">
      <w:bodyDiv w:val="1"/>
      <w:marLeft w:val="0"/>
      <w:marRight w:val="0"/>
      <w:marTop w:val="0"/>
      <w:marBottom w:val="0"/>
      <w:divBdr>
        <w:top w:val="none" w:sz="0" w:space="0" w:color="auto"/>
        <w:left w:val="none" w:sz="0" w:space="0" w:color="auto"/>
        <w:bottom w:val="none" w:sz="0" w:space="0" w:color="auto"/>
        <w:right w:val="none" w:sz="0" w:space="0" w:color="auto"/>
      </w:divBdr>
    </w:div>
    <w:div w:id="588348983">
      <w:bodyDiv w:val="1"/>
      <w:marLeft w:val="0"/>
      <w:marRight w:val="0"/>
      <w:marTop w:val="0"/>
      <w:marBottom w:val="0"/>
      <w:divBdr>
        <w:top w:val="none" w:sz="0" w:space="0" w:color="auto"/>
        <w:left w:val="none" w:sz="0" w:space="0" w:color="auto"/>
        <w:bottom w:val="none" w:sz="0" w:space="0" w:color="auto"/>
        <w:right w:val="none" w:sz="0" w:space="0" w:color="auto"/>
      </w:divBdr>
    </w:div>
    <w:div w:id="726613653">
      <w:bodyDiv w:val="1"/>
      <w:marLeft w:val="0"/>
      <w:marRight w:val="0"/>
      <w:marTop w:val="0"/>
      <w:marBottom w:val="0"/>
      <w:divBdr>
        <w:top w:val="none" w:sz="0" w:space="0" w:color="auto"/>
        <w:left w:val="none" w:sz="0" w:space="0" w:color="auto"/>
        <w:bottom w:val="none" w:sz="0" w:space="0" w:color="auto"/>
        <w:right w:val="none" w:sz="0" w:space="0" w:color="auto"/>
      </w:divBdr>
    </w:div>
    <w:div w:id="807167293">
      <w:bodyDiv w:val="1"/>
      <w:marLeft w:val="0"/>
      <w:marRight w:val="0"/>
      <w:marTop w:val="0"/>
      <w:marBottom w:val="0"/>
      <w:divBdr>
        <w:top w:val="none" w:sz="0" w:space="0" w:color="auto"/>
        <w:left w:val="none" w:sz="0" w:space="0" w:color="auto"/>
        <w:bottom w:val="none" w:sz="0" w:space="0" w:color="auto"/>
        <w:right w:val="none" w:sz="0" w:space="0" w:color="auto"/>
      </w:divBdr>
    </w:div>
    <w:div w:id="843592098">
      <w:bodyDiv w:val="1"/>
      <w:marLeft w:val="0"/>
      <w:marRight w:val="0"/>
      <w:marTop w:val="0"/>
      <w:marBottom w:val="0"/>
      <w:divBdr>
        <w:top w:val="none" w:sz="0" w:space="0" w:color="auto"/>
        <w:left w:val="none" w:sz="0" w:space="0" w:color="auto"/>
        <w:bottom w:val="none" w:sz="0" w:space="0" w:color="auto"/>
        <w:right w:val="none" w:sz="0" w:space="0" w:color="auto"/>
      </w:divBdr>
    </w:div>
    <w:div w:id="920531316">
      <w:bodyDiv w:val="1"/>
      <w:marLeft w:val="0"/>
      <w:marRight w:val="0"/>
      <w:marTop w:val="0"/>
      <w:marBottom w:val="0"/>
      <w:divBdr>
        <w:top w:val="none" w:sz="0" w:space="0" w:color="auto"/>
        <w:left w:val="none" w:sz="0" w:space="0" w:color="auto"/>
        <w:bottom w:val="none" w:sz="0" w:space="0" w:color="auto"/>
        <w:right w:val="none" w:sz="0" w:space="0" w:color="auto"/>
      </w:divBdr>
    </w:div>
    <w:div w:id="947614682">
      <w:bodyDiv w:val="1"/>
      <w:marLeft w:val="0"/>
      <w:marRight w:val="0"/>
      <w:marTop w:val="0"/>
      <w:marBottom w:val="0"/>
      <w:divBdr>
        <w:top w:val="none" w:sz="0" w:space="0" w:color="auto"/>
        <w:left w:val="none" w:sz="0" w:space="0" w:color="auto"/>
        <w:bottom w:val="none" w:sz="0" w:space="0" w:color="auto"/>
        <w:right w:val="none" w:sz="0" w:space="0" w:color="auto"/>
      </w:divBdr>
    </w:div>
    <w:div w:id="1031226124">
      <w:bodyDiv w:val="1"/>
      <w:marLeft w:val="0"/>
      <w:marRight w:val="0"/>
      <w:marTop w:val="0"/>
      <w:marBottom w:val="0"/>
      <w:divBdr>
        <w:top w:val="none" w:sz="0" w:space="0" w:color="auto"/>
        <w:left w:val="none" w:sz="0" w:space="0" w:color="auto"/>
        <w:bottom w:val="none" w:sz="0" w:space="0" w:color="auto"/>
        <w:right w:val="none" w:sz="0" w:space="0" w:color="auto"/>
      </w:divBdr>
    </w:div>
    <w:div w:id="1194614971">
      <w:bodyDiv w:val="1"/>
      <w:marLeft w:val="0"/>
      <w:marRight w:val="0"/>
      <w:marTop w:val="0"/>
      <w:marBottom w:val="0"/>
      <w:divBdr>
        <w:top w:val="none" w:sz="0" w:space="0" w:color="auto"/>
        <w:left w:val="none" w:sz="0" w:space="0" w:color="auto"/>
        <w:bottom w:val="none" w:sz="0" w:space="0" w:color="auto"/>
        <w:right w:val="none" w:sz="0" w:space="0" w:color="auto"/>
      </w:divBdr>
    </w:div>
    <w:div w:id="1201360723">
      <w:bodyDiv w:val="1"/>
      <w:marLeft w:val="0"/>
      <w:marRight w:val="0"/>
      <w:marTop w:val="0"/>
      <w:marBottom w:val="0"/>
      <w:divBdr>
        <w:top w:val="none" w:sz="0" w:space="0" w:color="auto"/>
        <w:left w:val="none" w:sz="0" w:space="0" w:color="auto"/>
        <w:bottom w:val="none" w:sz="0" w:space="0" w:color="auto"/>
        <w:right w:val="none" w:sz="0" w:space="0" w:color="auto"/>
      </w:divBdr>
    </w:div>
    <w:div w:id="1311907432">
      <w:bodyDiv w:val="1"/>
      <w:marLeft w:val="0"/>
      <w:marRight w:val="0"/>
      <w:marTop w:val="0"/>
      <w:marBottom w:val="0"/>
      <w:divBdr>
        <w:top w:val="none" w:sz="0" w:space="0" w:color="auto"/>
        <w:left w:val="none" w:sz="0" w:space="0" w:color="auto"/>
        <w:bottom w:val="none" w:sz="0" w:space="0" w:color="auto"/>
        <w:right w:val="none" w:sz="0" w:space="0" w:color="auto"/>
      </w:divBdr>
    </w:div>
    <w:div w:id="1382482212">
      <w:bodyDiv w:val="1"/>
      <w:marLeft w:val="0"/>
      <w:marRight w:val="0"/>
      <w:marTop w:val="0"/>
      <w:marBottom w:val="0"/>
      <w:divBdr>
        <w:top w:val="none" w:sz="0" w:space="0" w:color="auto"/>
        <w:left w:val="none" w:sz="0" w:space="0" w:color="auto"/>
        <w:bottom w:val="none" w:sz="0" w:space="0" w:color="auto"/>
        <w:right w:val="none" w:sz="0" w:space="0" w:color="auto"/>
      </w:divBdr>
    </w:div>
    <w:div w:id="1437628335">
      <w:bodyDiv w:val="1"/>
      <w:marLeft w:val="0"/>
      <w:marRight w:val="0"/>
      <w:marTop w:val="0"/>
      <w:marBottom w:val="0"/>
      <w:divBdr>
        <w:top w:val="none" w:sz="0" w:space="0" w:color="auto"/>
        <w:left w:val="none" w:sz="0" w:space="0" w:color="auto"/>
        <w:bottom w:val="none" w:sz="0" w:space="0" w:color="auto"/>
        <w:right w:val="none" w:sz="0" w:space="0" w:color="auto"/>
      </w:divBdr>
    </w:div>
    <w:div w:id="1823766793">
      <w:bodyDiv w:val="1"/>
      <w:marLeft w:val="0"/>
      <w:marRight w:val="0"/>
      <w:marTop w:val="0"/>
      <w:marBottom w:val="0"/>
      <w:divBdr>
        <w:top w:val="none" w:sz="0" w:space="0" w:color="auto"/>
        <w:left w:val="none" w:sz="0" w:space="0" w:color="auto"/>
        <w:bottom w:val="none" w:sz="0" w:space="0" w:color="auto"/>
        <w:right w:val="none" w:sz="0" w:space="0" w:color="auto"/>
      </w:divBdr>
    </w:div>
    <w:div w:id="1860507212">
      <w:bodyDiv w:val="1"/>
      <w:marLeft w:val="0"/>
      <w:marRight w:val="0"/>
      <w:marTop w:val="0"/>
      <w:marBottom w:val="0"/>
      <w:divBdr>
        <w:top w:val="none" w:sz="0" w:space="0" w:color="auto"/>
        <w:left w:val="none" w:sz="0" w:space="0" w:color="auto"/>
        <w:bottom w:val="none" w:sz="0" w:space="0" w:color="auto"/>
        <w:right w:val="none" w:sz="0" w:space="0" w:color="auto"/>
      </w:divBdr>
    </w:div>
    <w:div w:id="1921989520">
      <w:bodyDiv w:val="1"/>
      <w:marLeft w:val="0"/>
      <w:marRight w:val="0"/>
      <w:marTop w:val="0"/>
      <w:marBottom w:val="0"/>
      <w:divBdr>
        <w:top w:val="none" w:sz="0" w:space="0" w:color="auto"/>
        <w:left w:val="none" w:sz="0" w:space="0" w:color="auto"/>
        <w:bottom w:val="none" w:sz="0" w:space="0" w:color="auto"/>
        <w:right w:val="none" w:sz="0" w:space="0" w:color="auto"/>
      </w:divBdr>
    </w:div>
    <w:div w:id="1987008987">
      <w:bodyDiv w:val="1"/>
      <w:marLeft w:val="0"/>
      <w:marRight w:val="0"/>
      <w:marTop w:val="0"/>
      <w:marBottom w:val="0"/>
      <w:divBdr>
        <w:top w:val="none" w:sz="0" w:space="0" w:color="auto"/>
        <w:left w:val="none" w:sz="0" w:space="0" w:color="auto"/>
        <w:bottom w:val="none" w:sz="0" w:space="0" w:color="auto"/>
        <w:right w:val="none" w:sz="0" w:space="0" w:color="auto"/>
      </w:divBdr>
    </w:div>
    <w:div w:id="2058314576">
      <w:bodyDiv w:val="1"/>
      <w:marLeft w:val="0"/>
      <w:marRight w:val="0"/>
      <w:marTop w:val="0"/>
      <w:marBottom w:val="0"/>
      <w:divBdr>
        <w:top w:val="none" w:sz="0" w:space="0" w:color="auto"/>
        <w:left w:val="none" w:sz="0" w:space="0" w:color="auto"/>
        <w:bottom w:val="none" w:sz="0" w:space="0" w:color="auto"/>
        <w:right w:val="none" w:sz="0" w:space="0" w:color="auto"/>
      </w:divBdr>
    </w:div>
    <w:div w:id="21326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33</TotalTime>
  <Pages>6</Pages>
  <Words>1307</Words>
  <Characters>8325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2023021287, MT</dc:description>
  <cp:lastModifiedBy>Gitte Jørgensen</cp:lastModifiedBy>
  <cp:revision>6</cp:revision>
  <cp:lastPrinted>2012-08-22T08:53:00Z</cp:lastPrinted>
  <dcterms:created xsi:type="dcterms:W3CDTF">2025-04-09T10:49:00Z</dcterms:created>
  <dcterms:modified xsi:type="dcterms:W3CDTF">2025-04-14T06:15:00Z</dcterms:modified>
</cp:coreProperties>
</file>