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BB" w:rsidRPr="00955972" w:rsidRDefault="002776BB" w:rsidP="002776BB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0F294A3B" wp14:editId="3E117D05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BB" w:rsidRPr="00FA26E3" w:rsidRDefault="004B53E6" w:rsidP="002776BB">
      <w:pPr>
        <w:tabs>
          <w:tab w:val="left" w:pos="8222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2776B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marts</w:t>
      </w:r>
      <w:r w:rsidR="002776BB">
        <w:rPr>
          <w:b/>
          <w:sz w:val="24"/>
          <w:szCs w:val="24"/>
        </w:rPr>
        <w:t xml:space="preserve"> 20</w:t>
      </w:r>
      <w:r w:rsidR="00D73BE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</w:p>
    <w:p w:rsidR="002776BB" w:rsidRDefault="002776BB" w:rsidP="002776BB">
      <w:pPr>
        <w:tabs>
          <w:tab w:val="left" w:pos="8222"/>
        </w:tabs>
        <w:rPr>
          <w:sz w:val="24"/>
          <w:szCs w:val="24"/>
        </w:rPr>
      </w:pPr>
    </w:p>
    <w:p w:rsidR="002776BB" w:rsidRDefault="002776BB" w:rsidP="002776BB">
      <w:pPr>
        <w:tabs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jc w:val="center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PRODUKTRESUMÉ</w:t>
      </w:r>
    </w:p>
    <w:p w:rsidR="002776BB" w:rsidRPr="00CC5759" w:rsidRDefault="002776BB" w:rsidP="002776B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jc w:val="center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for</w:t>
      </w:r>
    </w:p>
    <w:p w:rsidR="002776BB" w:rsidRPr="00CC5759" w:rsidRDefault="002776BB" w:rsidP="002776B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CC5759">
        <w:rPr>
          <w:b/>
          <w:sz w:val="24"/>
          <w:szCs w:val="24"/>
        </w:rPr>
        <w:t>Adaxio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</w:t>
      </w:r>
      <w:r w:rsidRPr="00CC5759">
        <w:rPr>
          <w:b/>
          <w:sz w:val="24"/>
          <w:szCs w:val="24"/>
        </w:rPr>
        <w:t>, shampoo</w:t>
      </w:r>
    </w:p>
    <w:p w:rsidR="002776BB" w:rsidRPr="00CC5759" w:rsidRDefault="002776BB" w:rsidP="002776BB">
      <w:pPr>
        <w:tabs>
          <w:tab w:val="left" w:pos="8222"/>
        </w:tabs>
        <w:jc w:val="both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jc w:val="both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0.</w:t>
      </w:r>
      <w:r w:rsidRPr="00CC5759">
        <w:rPr>
          <w:b/>
          <w:sz w:val="24"/>
          <w:szCs w:val="24"/>
        </w:rPr>
        <w:tab/>
        <w:t>D.SP.NR.</w:t>
      </w:r>
    </w:p>
    <w:p w:rsidR="002776BB" w:rsidRPr="00CC5759" w:rsidRDefault="002776BB" w:rsidP="002776BB">
      <w:pPr>
        <w:tabs>
          <w:tab w:val="left" w:pos="8222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28930</w:t>
      </w:r>
    </w:p>
    <w:p w:rsidR="002776BB" w:rsidRPr="00CC5759" w:rsidRDefault="002776BB" w:rsidP="002776BB">
      <w:pPr>
        <w:tabs>
          <w:tab w:val="left" w:pos="8222"/>
        </w:tabs>
        <w:ind w:left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1.</w:t>
      </w:r>
      <w:r w:rsidRPr="00CC5759">
        <w:rPr>
          <w:b/>
          <w:sz w:val="24"/>
          <w:szCs w:val="24"/>
        </w:rPr>
        <w:tab/>
        <w:t>VETERINÆRLÆGEMIDLETS NAVN</w:t>
      </w:r>
    </w:p>
    <w:p w:rsidR="002776BB" w:rsidRPr="00CC5759" w:rsidRDefault="002776BB" w:rsidP="002776BB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Adaxio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</w:p>
    <w:p w:rsidR="002776BB" w:rsidRPr="00CC5759" w:rsidRDefault="002776BB" w:rsidP="002776BB">
      <w:pPr>
        <w:tabs>
          <w:tab w:val="left" w:pos="8222"/>
        </w:tabs>
        <w:ind w:left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2.</w:t>
      </w:r>
      <w:r w:rsidRPr="00CC5759">
        <w:rPr>
          <w:b/>
          <w:sz w:val="24"/>
          <w:szCs w:val="24"/>
        </w:rPr>
        <w:tab/>
        <w:t>KVALITATIV OG KVANTITATIV SAMMENSÆTNING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Hver ml indeholder:</w:t>
      </w:r>
    </w:p>
    <w:p w:rsidR="002776BB" w:rsidRPr="00CC5759" w:rsidRDefault="002776BB" w:rsidP="002776BB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C5759">
        <w:rPr>
          <w:sz w:val="24"/>
          <w:szCs w:val="24"/>
          <w:u w:val="single"/>
        </w:rPr>
        <w:t>Aktive stoffer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C5759">
        <w:rPr>
          <w:sz w:val="24"/>
          <w:szCs w:val="24"/>
        </w:rPr>
        <w:t>Klorhexidindigluconat</w:t>
      </w:r>
      <w:proofErr w:type="spellEnd"/>
      <w:r w:rsidRPr="00CC5759">
        <w:rPr>
          <w:sz w:val="24"/>
          <w:szCs w:val="24"/>
        </w:rPr>
        <w:t xml:space="preserve"> 20 mg (svarende til 11,26 mg </w:t>
      </w:r>
      <w:proofErr w:type="spellStart"/>
      <w:r w:rsidRPr="00CC5759">
        <w:rPr>
          <w:sz w:val="24"/>
          <w:szCs w:val="24"/>
        </w:rPr>
        <w:t>klorhexidin</w:t>
      </w:r>
      <w:proofErr w:type="spellEnd"/>
      <w:r w:rsidRPr="00CC5759">
        <w:rPr>
          <w:sz w:val="24"/>
          <w:szCs w:val="24"/>
        </w:rPr>
        <w:t>).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C5759">
        <w:rPr>
          <w:sz w:val="24"/>
          <w:szCs w:val="24"/>
        </w:rPr>
        <w:t>Miconazolnitrat</w:t>
      </w:r>
      <w:proofErr w:type="spellEnd"/>
      <w:r w:rsidRPr="00CC5759">
        <w:rPr>
          <w:sz w:val="24"/>
          <w:szCs w:val="24"/>
        </w:rPr>
        <w:t xml:space="preserve"> 20 mg (svarende til 17,37 mg </w:t>
      </w:r>
      <w:proofErr w:type="spellStart"/>
      <w:r w:rsidRPr="00CC5759">
        <w:rPr>
          <w:sz w:val="24"/>
          <w:szCs w:val="24"/>
        </w:rPr>
        <w:t>miconazol</w:t>
      </w:r>
      <w:proofErr w:type="spellEnd"/>
      <w:r w:rsidRPr="00CC5759">
        <w:rPr>
          <w:sz w:val="24"/>
          <w:szCs w:val="24"/>
        </w:rPr>
        <w:t>).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C5759">
        <w:rPr>
          <w:sz w:val="24"/>
          <w:szCs w:val="24"/>
          <w:u w:val="single"/>
        </w:rPr>
        <w:t>Hjælpestoffer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C5759">
        <w:rPr>
          <w:sz w:val="24"/>
          <w:szCs w:val="24"/>
        </w:rPr>
        <w:t>Methylchloroisothiazolin</w:t>
      </w:r>
      <w:proofErr w:type="spellEnd"/>
      <w:r w:rsidRPr="00CC5759">
        <w:rPr>
          <w:sz w:val="24"/>
          <w:szCs w:val="24"/>
        </w:rPr>
        <w:t xml:space="preserve"> 0,0075 mg.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C5759">
        <w:rPr>
          <w:sz w:val="24"/>
          <w:szCs w:val="24"/>
        </w:rPr>
        <w:t>Methylisothiazolin</w:t>
      </w:r>
      <w:proofErr w:type="spellEnd"/>
      <w:r w:rsidRPr="00CC5759">
        <w:rPr>
          <w:sz w:val="24"/>
          <w:szCs w:val="24"/>
        </w:rPr>
        <w:t xml:space="preserve"> 0,0025 mg.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Benzoesyre (E210) 1,35 mg.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Alle hjælpestoffer er anført under pkt. 6.1.</w:t>
      </w:r>
    </w:p>
    <w:p w:rsidR="002776BB" w:rsidRPr="00CC5759" w:rsidRDefault="002776BB" w:rsidP="002776BB">
      <w:pPr>
        <w:tabs>
          <w:tab w:val="left" w:pos="8222"/>
        </w:tabs>
        <w:ind w:left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3.</w:t>
      </w:r>
      <w:r w:rsidRPr="00CC5759">
        <w:rPr>
          <w:b/>
          <w:sz w:val="24"/>
          <w:szCs w:val="24"/>
        </w:rPr>
        <w:tab/>
        <w:t>LÆGEMIDDELFORM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Shampoo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Klar gullig til gul væske.</w:t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4.</w:t>
      </w:r>
      <w:r w:rsidRPr="00CC5759">
        <w:rPr>
          <w:b/>
          <w:sz w:val="24"/>
          <w:szCs w:val="24"/>
        </w:rPr>
        <w:tab/>
        <w:t>KLINISKE OPLYSNINGER</w:t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CC5759">
        <w:rPr>
          <w:b/>
          <w:sz w:val="24"/>
          <w:szCs w:val="24"/>
        </w:rPr>
        <w:t>4.1</w:t>
      </w:r>
      <w:r w:rsidRPr="00CC5759">
        <w:rPr>
          <w:b/>
          <w:sz w:val="24"/>
          <w:szCs w:val="24"/>
        </w:rPr>
        <w:tab/>
        <w:t>Dyrearter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Hund</w:t>
      </w:r>
    </w:p>
    <w:p w:rsidR="002776BB" w:rsidRPr="00CC5759" w:rsidRDefault="002776BB" w:rsidP="002776BB">
      <w:pPr>
        <w:tabs>
          <w:tab w:val="left" w:pos="8222"/>
        </w:tabs>
        <w:ind w:left="851"/>
        <w:rPr>
          <w:sz w:val="24"/>
          <w:szCs w:val="24"/>
        </w:rPr>
      </w:pPr>
    </w:p>
    <w:p w:rsidR="002776BB" w:rsidRPr="00CC5759" w:rsidRDefault="002776BB" w:rsidP="002776BB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CC5759">
        <w:rPr>
          <w:b/>
          <w:szCs w:val="24"/>
        </w:rPr>
        <w:t>4.2</w:t>
      </w:r>
      <w:r w:rsidRPr="00CC5759">
        <w:rPr>
          <w:b/>
          <w:szCs w:val="24"/>
        </w:rPr>
        <w:tab/>
        <w:t>Terapeutiske indikationer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 xml:space="preserve">Til behandling af og kontrol med </w:t>
      </w:r>
      <w:proofErr w:type="spellStart"/>
      <w:r w:rsidRPr="00CC5759">
        <w:rPr>
          <w:sz w:val="24"/>
          <w:szCs w:val="24"/>
        </w:rPr>
        <w:t>seborrhaeisk</w:t>
      </w:r>
      <w:proofErr w:type="spellEnd"/>
      <w:r w:rsidRPr="00CC5759">
        <w:rPr>
          <w:sz w:val="24"/>
          <w:szCs w:val="24"/>
        </w:rPr>
        <w:t xml:space="preserve"> </w:t>
      </w:r>
      <w:proofErr w:type="spellStart"/>
      <w:r w:rsidRPr="00CC5759">
        <w:rPr>
          <w:sz w:val="24"/>
          <w:szCs w:val="24"/>
        </w:rPr>
        <w:t>dermatitis</w:t>
      </w:r>
      <w:proofErr w:type="spellEnd"/>
      <w:r w:rsidRPr="00CC5759">
        <w:rPr>
          <w:sz w:val="24"/>
          <w:szCs w:val="24"/>
        </w:rPr>
        <w:t xml:space="preserve"> associeret med </w:t>
      </w:r>
      <w:proofErr w:type="spellStart"/>
      <w:r w:rsidRPr="00CC5759">
        <w:rPr>
          <w:i/>
          <w:sz w:val="24"/>
          <w:szCs w:val="24"/>
        </w:rPr>
        <w:t>Mallassezia</w:t>
      </w:r>
      <w:proofErr w:type="spellEnd"/>
      <w:r w:rsidRPr="00CC5759">
        <w:rPr>
          <w:i/>
          <w:sz w:val="24"/>
          <w:szCs w:val="24"/>
        </w:rPr>
        <w:t xml:space="preserve"> </w:t>
      </w:r>
      <w:proofErr w:type="spellStart"/>
      <w:r w:rsidRPr="00CC5759">
        <w:rPr>
          <w:i/>
          <w:sz w:val="24"/>
          <w:szCs w:val="24"/>
        </w:rPr>
        <w:t>pachydermatis</w:t>
      </w:r>
      <w:proofErr w:type="spellEnd"/>
      <w:r w:rsidRPr="00CC5759">
        <w:rPr>
          <w:sz w:val="24"/>
          <w:szCs w:val="24"/>
        </w:rPr>
        <w:t xml:space="preserve"> og/eller </w:t>
      </w:r>
      <w:proofErr w:type="spellStart"/>
      <w:r w:rsidRPr="00CC5759">
        <w:rPr>
          <w:i/>
          <w:sz w:val="24"/>
          <w:szCs w:val="24"/>
        </w:rPr>
        <w:t>Stafylococcus</w:t>
      </w:r>
      <w:proofErr w:type="spellEnd"/>
      <w:r w:rsidRPr="00CC5759">
        <w:rPr>
          <w:i/>
          <w:sz w:val="24"/>
          <w:szCs w:val="24"/>
        </w:rPr>
        <w:t xml:space="preserve"> </w:t>
      </w:r>
      <w:proofErr w:type="spellStart"/>
      <w:r w:rsidRPr="00CC5759">
        <w:rPr>
          <w:i/>
          <w:sz w:val="24"/>
          <w:szCs w:val="24"/>
        </w:rPr>
        <w:t>pseudintermedius</w:t>
      </w:r>
      <w:proofErr w:type="spellEnd"/>
      <w:r w:rsidRPr="00CC5759">
        <w:rPr>
          <w:sz w:val="24"/>
          <w:szCs w:val="24"/>
        </w:rPr>
        <w:t>.</w:t>
      </w:r>
    </w:p>
    <w:p w:rsidR="002776BB" w:rsidRDefault="002776BB" w:rsidP="002776BB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2776BB" w:rsidRPr="00CC5759" w:rsidRDefault="002776BB" w:rsidP="002776BB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:rsidR="002776BB" w:rsidRPr="00CC5759" w:rsidRDefault="002776BB" w:rsidP="002776BB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CC5759">
        <w:rPr>
          <w:b/>
          <w:szCs w:val="24"/>
        </w:rPr>
        <w:t>4.3</w:t>
      </w:r>
      <w:r w:rsidRPr="00CC5759">
        <w:rPr>
          <w:b/>
          <w:szCs w:val="24"/>
        </w:rPr>
        <w:tab/>
        <w:t>Kontraindikationer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Bør ikke anvendes i tilfælde af overfølsomhed over for de aktive stoffer eller over for et eller flere af hjælpestofferne.</w:t>
      </w:r>
    </w:p>
    <w:p w:rsidR="002776BB" w:rsidRPr="00CC5759" w:rsidRDefault="002776BB" w:rsidP="002776BB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4.4</w:t>
      </w:r>
      <w:r w:rsidRPr="00CC5759">
        <w:rPr>
          <w:b/>
          <w:sz w:val="24"/>
          <w:szCs w:val="24"/>
        </w:rPr>
        <w:tab/>
        <w:t>Særlige advarsler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For at forhindre at infektionen genopstår skal passende forholdsregler tages i dyrets omgivelser (f.eks. rengøring og desinficering af hundebur, hundekurv).</w:t>
      </w:r>
    </w:p>
    <w:p w:rsidR="002776BB" w:rsidRPr="00CC5759" w:rsidRDefault="002776BB" w:rsidP="002776BB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4.5</w:t>
      </w:r>
      <w:r w:rsidRPr="00CC5759">
        <w:rPr>
          <w:b/>
          <w:sz w:val="24"/>
          <w:szCs w:val="24"/>
        </w:rPr>
        <w:tab/>
        <w:t>Særlige forsigtighedsregler vedrørende brugen</w:t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ab/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ab/>
        <w:t>Særlige forsigtighedsregler for dyret</w:t>
      </w:r>
    </w:p>
    <w:p w:rsidR="002776BB" w:rsidRPr="00CC5759" w:rsidRDefault="002776BB" w:rsidP="002776BB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Der bør tages hensyn til den officielle, nationale og regionale antibiotikapolitik ved anvendelse af produktet.</w:t>
      </w:r>
    </w:p>
    <w:p w:rsidR="002776BB" w:rsidRPr="00CC5759" w:rsidRDefault="002776BB" w:rsidP="002776BB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Undgå at dyret inhalerer produktet eller får det i øjnene, øregangene, næse eller mund under behandlingen.</w:t>
      </w:r>
    </w:p>
    <w:p w:rsidR="002776BB" w:rsidRPr="00CC5759" w:rsidRDefault="002776BB" w:rsidP="002776BB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I tilfælde af utilsigtet kontakt med øjnene skylles med rigeligt vand.</w:t>
      </w:r>
    </w:p>
    <w:p w:rsidR="002776BB" w:rsidRPr="00CC5759" w:rsidRDefault="002776BB" w:rsidP="002776BB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Kontakt dyrlægen hvis øjenirritationen fortsætter.</w:t>
      </w:r>
    </w:p>
    <w:p w:rsidR="002776BB" w:rsidRPr="00CC5759" w:rsidRDefault="002776BB" w:rsidP="002776BB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</w:p>
    <w:p w:rsidR="002776BB" w:rsidRDefault="002776BB" w:rsidP="002776BB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Undgå at dyret slikker sig selv under behandlingen og skylningen, eller indtil pelsen er tør. Hvalpe bør ikke have adgang til behandlede moderdyr, før pelsen er tør.</w:t>
      </w:r>
    </w:p>
    <w:p w:rsidR="002776BB" w:rsidRDefault="002776BB" w:rsidP="002776BB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Brug af produktet, som afviger fra produktresumeet kan forårsage udvikling af resistens hos dyrets hudbakterier.</w:t>
      </w:r>
    </w:p>
    <w:p w:rsidR="002776BB" w:rsidRPr="00CC5759" w:rsidRDefault="002776BB" w:rsidP="002776BB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sz w:val="24"/>
          <w:szCs w:val="24"/>
        </w:rPr>
        <w:tab/>
      </w:r>
      <w:r w:rsidRPr="00CC5759">
        <w:rPr>
          <w:b/>
          <w:sz w:val="24"/>
          <w:szCs w:val="24"/>
        </w:rPr>
        <w:t>Særlige forsigtighedsregler for personer, der administrerer lægemidlet</w:t>
      </w:r>
    </w:p>
    <w:p w:rsidR="002776BB" w:rsidRPr="00CC5759" w:rsidRDefault="002776BB" w:rsidP="002776BB">
      <w:pPr>
        <w:pStyle w:val="Listeafsnit"/>
        <w:numPr>
          <w:ilvl w:val="0"/>
          <w:numId w:val="4"/>
        </w:numPr>
        <w:tabs>
          <w:tab w:val="clear" w:pos="567"/>
          <w:tab w:val="left" w:pos="1134"/>
        </w:tabs>
        <w:spacing w:line="240" w:lineRule="auto"/>
        <w:ind w:left="1134" w:hanging="283"/>
        <w:rPr>
          <w:sz w:val="24"/>
          <w:szCs w:val="24"/>
        </w:rPr>
      </w:pPr>
      <w:r w:rsidRPr="00CC5759">
        <w:rPr>
          <w:sz w:val="24"/>
          <w:szCs w:val="24"/>
        </w:rPr>
        <w:t xml:space="preserve">Mennesker med kendt overfølsomhed over for </w:t>
      </w:r>
      <w:proofErr w:type="spellStart"/>
      <w:r w:rsidRPr="00CC5759">
        <w:rPr>
          <w:sz w:val="24"/>
          <w:szCs w:val="24"/>
        </w:rPr>
        <w:t>klorhexidin</w:t>
      </w:r>
      <w:proofErr w:type="spellEnd"/>
      <w:r w:rsidRPr="00CC5759">
        <w:rPr>
          <w:sz w:val="24"/>
          <w:szCs w:val="24"/>
        </w:rPr>
        <w:t xml:space="preserve">, </w:t>
      </w:r>
      <w:proofErr w:type="spellStart"/>
      <w:r w:rsidRPr="00CC5759">
        <w:rPr>
          <w:sz w:val="24"/>
          <w:szCs w:val="24"/>
        </w:rPr>
        <w:t>miconazol</w:t>
      </w:r>
      <w:proofErr w:type="spellEnd"/>
      <w:r w:rsidRPr="00CC5759">
        <w:rPr>
          <w:sz w:val="24"/>
          <w:szCs w:val="24"/>
        </w:rPr>
        <w:t xml:space="preserve"> eller et eller flere af hjælpestofferne bør undgå kontakt med produktet.</w:t>
      </w:r>
    </w:p>
    <w:p w:rsidR="002776BB" w:rsidRPr="00CC5759" w:rsidRDefault="002776BB" w:rsidP="002776BB">
      <w:pPr>
        <w:pStyle w:val="Listeafsnit"/>
        <w:numPr>
          <w:ilvl w:val="0"/>
          <w:numId w:val="4"/>
        </w:numPr>
        <w:tabs>
          <w:tab w:val="clear" w:pos="567"/>
          <w:tab w:val="left" w:pos="1134"/>
        </w:tabs>
        <w:spacing w:line="240" w:lineRule="auto"/>
        <w:ind w:left="1134" w:hanging="283"/>
        <w:rPr>
          <w:sz w:val="24"/>
          <w:szCs w:val="24"/>
        </w:rPr>
      </w:pPr>
      <w:r w:rsidRPr="00CC5759">
        <w:rPr>
          <w:sz w:val="24"/>
          <w:szCs w:val="24"/>
        </w:rPr>
        <w:t>Produktet kan forårsage overfølsomhed efter hudkontakt. Hvis du udvikler symptomer efter kontakt f.eks. hudkløe søg lægehjælp og vis etiketten eller indlægssedlen til lægen.</w:t>
      </w:r>
    </w:p>
    <w:p w:rsidR="002776BB" w:rsidRPr="00CC5759" w:rsidRDefault="002776BB" w:rsidP="002776BB">
      <w:pPr>
        <w:pStyle w:val="Listeafsnit"/>
        <w:numPr>
          <w:ilvl w:val="0"/>
          <w:numId w:val="4"/>
        </w:numPr>
        <w:tabs>
          <w:tab w:val="clear" w:pos="567"/>
          <w:tab w:val="left" w:pos="1134"/>
        </w:tabs>
        <w:spacing w:line="240" w:lineRule="auto"/>
        <w:ind w:left="1134" w:hanging="283"/>
        <w:rPr>
          <w:sz w:val="24"/>
          <w:szCs w:val="24"/>
        </w:rPr>
      </w:pPr>
      <w:r w:rsidRPr="00CC5759">
        <w:rPr>
          <w:sz w:val="24"/>
          <w:szCs w:val="24"/>
        </w:rPr>
        <w:t xml:space="preserve">Utilsigtet øjenkontakt med ufortyndet produkt kan forårsage alvorlig øjenirritation. Undgå øjenkontakt. I tilfælde af utilsigtet øjenkontakt skylles med rigeligt vand. Søg læge hvis irritationen fortsætter. </w:t>
      </w:r>
    </w:p>
    <w:p w:rsidR="002776BB" w:rsidRPr="00CC5759" w:rsidRDefault="002776BB" w:rsidP="002776BB">
      <w:pPr>
        <w:pStyle w:val="Listeafsnit"/>
        <w:numPr>
          <w:ilvl w:val="0"/>
          <w:numId w:val="4"/>
        </w:numPr>
        <w:tabs>
          <w:tab w:val="clear" w:pos="567"/>
          <w:tab w:val="left" w:pos="1134"/>
        </w:tabs>
        <w:spacing w:line="240" w:lineRule="auto"/>
        <w:ind w:left="1134" w:hanging="283"/>
        <w:rPr>
          <w:sz w:val="24"/>
          <w:szCs w:val="24"/>
        </w:rPr>
      </w:pPr>
      <w:r w:rsidRPr="00CC5759">
        <w:rPr>
          <w:sz w:val="24"/>
          <w:szCs w:val="24"/>
        </w:rPr>
        <w:t xml:space="preserve">Produktet kan medføre hudirritation. Undgå langvarig kontakt med </w:t>
      </w:r>
      <w:proofErr w:type="spellStart"/>
      <w:r w:rsidRPr="00CC5759">
        <w:rPr>
          <w:sz w:val="24"/>
          <w:szCs w:val="24"/>
        </w:rPr>
        <w:t>shampoo’en</w:t>
      </w:r>
      <w:proofErr w:type="spellEnd"/>
      <w:r w:rsidRPr="00CC5759">
        <w:rPr>
          <w:sz w:val="24"/>
          <w:szCs w:val="24"/>
        </w:rPr>
        <w:t xml:space="preserve"> ved forsigtig vask og tørring af hænderne.</w:t>
      </w:r>
    </w:p>
    <w:p w:rsidR="002776BB" w:rsidRPr="00CC5759" w:rsidRDefault="002776BB" w:rsidP="002776BB">
      <w:pPr>
        <w:pStyle w:val="Listeafsnit"/>
        <w:numPr>
          <w:ilvl w:val="0"/>
          <w:numId w:val="4"/>
        </w:numPr>
        <w:tabs>
          <w:tab w:val="clear" w:pos="567"/>
          <w:tab w:val="left" w:pos="1134"/>
        </w:tabs>
        <w:spacing w:line="240" w:lineRule="auto"/>
        <w:ind w:left="1134" w:hanging="283"/>
        <w:rPr>
          <w:sz w:val="24"/>
          <w:szCs w:val="24"/>
        </w:rPr>
      </w:pPr>
      <w:r w:rsidRPr="00CC5759">
        <w:rPr>
          <w:sz w:val="24"/>
          <w:szCs w:val="24"/>
        </w:rPr>
        <w:t>Undgå unødvendig håndtering af behandlede dyr umiddelbart efter behandlingen.</w:t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4.6</w:t>
      </w:r>
      <w:r w:rsidRPr="00CC5759">
        <w:rPr>
          <w:b/>
          <w:sz w:val="24"/>
          <w:szCs w:val="24"/>
        </w:rPr>
        <w:tab/>
        <w:t>Bivirkninger</w:t>
      </w: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meget sjældne tilfælde kan hunden udvikle en hudreaktion (kløe, rødme) efter behandling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meget </w:t>
      </w:r>
      <w:r w:rsidRPr="00CC5759">
        <w:rPr>
          <w:sz w:val="24"/>
          <w:szCs w:val="24"/>
        </w:rPr>
        <w:t xml:space="preserve">sjældne tilfælde kan en </w:t>
      </w:r>
      <w:proofErr w:type="spellStart"/>
      <w:r w:rsidRPr="00CC5759">
        <w:rPr>
          <w:sz w:val="24"/>
          <w:szCs w:val="24"/>
        </w:rPr>
        <w:t>atopisk</w:t>
      </w:r>
      <w:proofErr w:type="spellEnd"/>
      <w:r w:rsidRPr="00CC5759">
        <w:rPr>
          <w:sz w:val="24"/>
          <w:szCs w:val="24"/>
        </w:rPr>
        <w:t xml:space="preserve"> hund udvikle en </w:t>
      </w:r>
      <w:proofErr w:type="spellStart"/>
      <w:r w:rsidRPr="00CC5759">
        <w:rPr>
          <w:sz w:val="24"/>
          <w:szCs w:val="24"/>
        </w:rPr>
        <w:t>pruritisk</w:t>
      </w:r>
      <w:proofErr w:type="spellEnd"/>
      <w:r w:rsidRPr="00CC5759">
        <w:rPr>
          <w:sz w:val="24"/>
          <w:szCs w:val="24"/>
        </w:rPr>
        <w:t xml:space="preserve"> og/eller </w:t>
      </w:r>
      <w:proofErr w:type="spellStart"/>
      <w:r w:rsidRPr="00CC5759">
        <w:rPr>
          <w:sz w:val="24"/>
          <w:szCs w:val="24"/>
        </w:rPr>
        <w:t>erythematøs</w:t>
      </w:r>
      <w:proofErr w:type="spellEnd"/>
      <w:r w:rsidRPr="00CC5759">
        <w:rPr>
          <w:sz w:val="24"/>
          <w:szCs w:val="24"/>
        </w:rPr>
        <w:t xml:space="preserve"> reaktion efter behandling.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Hyppigheden af bivirkninger er defineret som: </w:t>
      </w: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Meget almindelig (flere end 1 ud af 10 behandlede dyr, der viser bivirkninger i løbet af en behandling) </w:t>
      </w: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 Almindelige (flere end 1, men færre end 10 dyr af 100 behandlede dyr)</w:t>
      </w: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 Ikke almindelige (flere end 1, men færre end 10 dyr af 1.000 behandlede dyr)</w:t>
      </w: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 Sjældne (flere end 1, men færre end 10 dyr ud af 10.000 behandlede dyr)</w:t>
      </w: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 Meget sjælden (færre end 1 dyr ud af 10.000 behandlede dyr, herunder isolerede rapporter)</w:t>
      </w: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4.7</w:t>
      </w:r>
      <w:r w:rsidRPr="00CC5759">
        <w:rPr>
          <w:b/>
          <w:sz w:val="24"/>
          <w:szCs w:val="24"/>
        </w:rPr>
        <w:tab/>
        <w:t>Drægtighed, diegivning eller æglægning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 xml:space="preserve">Undersøgelser af laboratoriedyr har ikke afsløret </w:t>
      </w:r>
      <w:proofErr w:type="spellStart"/>
      <w:r w:rsidRPr="00CC5759">
        <w:rPr>
          <w:sz w:val="24"/>
          <w:szCs w:val="24"/>
        </w:rPr>
        <w:t>teratogene</w:t>
      </w:r>
      <w:proofErr w:type="spellEnd"/>
      <w:r w:rsidRPr="00CC5759">
        <w:rPr>
          <w:sz w:val="24"/>
          <w:szCs w:val="24"/>
        </w:rPr>
        <w:t xml:space="preserve"> virkninger, </w:t>
      </w:r>
      <w:proofErr w:type="spellStart"/>
      <w:r w:rsidRPr="00CC5759">
        <w:rPr>
          <w:sz w:val="24"/>
          <w:szCs w:val="24"/>
        </w:rPr>
        <w:t>føtal</w:t>
      </w:r>
      <w:proofErr w:type="spellEnd"/>
      <w:r w:rsidRPr="00CC5759">
        <w:rPr>
          <w:sz w:val="24"/>
          <w:szCs w:val="24"/>
        </w:rPr>
        <w:t xml:space="preserve"> eller </w:t>
      </w:r>
      <w:proofErr w:type="spellStart"/>
      <w:r w:rsidRPr="00CC5759">
        <w:rPr>
          <w:sz w:val="24"/>
          <w:szCs w:val="24"/>
        </w:rPr>
        <w:t>maternel</w:t>
      </w:r>
      <w:proofErr w:type="spellEnd"/>
      <w:r w:rsidRPr="00CC5759">
        <w:rPr>
          <w:sz w:val="24"/>
          <w:szCs w:val="24"/>
        </w:rPr>
        <w:t xml:space="preserve"> toksicitet pga. </w:t>
      </w:r>
      <w:proofErr w:type="spellStart"/>
      <w:r w:rsidRPr="00CC5759">
        <w:rPr>
          <w:sz w:val="24"/>
          <w:szCs w:val="24"/>
        </w:rPr>
        <w:t>klorhexidin</w:t>
      </w:r>
      <w:proofErr w:type="spellEnd"/>
      <w:r w:rsidRPr="00CC5759">
        <w:rPr>
          <w:sz w:val="24"/>
          <w:szCs w:val="24"/>
        </w:rPr>
        <w:t xml:space="preserve"> eller </w:t>
      </w:r>
      <w:proofErr w:type="spellStart"/>
      <w:r w:rsidRPr="00CC5759">
        <w:rPr>
          <w:sz w:val="24"/>
          <w:szCs w:val="24"/>
        </w:rPr>
        <w:t>miconazol</w:t>
      </w:r>
      <w:proofErr w:type="spellEnd"/>
      <w:r w:rsidRPr="00CC5759">
        <w:rPr>
          <w:sz w:val="24"/>
          <w:szCs w:val="24"/>
        </w:rPr>
        <w:t xml:space="preserve"> ved de anbefalede doser. Sikkerheden ved anvendelse til drægtige og </w:t>
      </w:r>
      <w:proofErr w:type="spellStart"/>
      <w:r w:rsidRPr="00CC5759">
        <w:rPr>
          <w:sz w:val="24"/>
          <w:szCs w:val="24"/>
        </w:rPr>
        <w:t>lakterende</w:t>
      </w:r>
      <w:proofErr w:type="spellEnd"/>
      <w:r w:rsidRPr="00CC5759">
        <w:rPr>
          <w:sz w:val="24"/>
          <w:szCs w:val="24"/>
        </w:rPr>
        <w:t xml:space="preserve"> hunde er imidlertid ikke undersøgt. Produktet bør derfor kun bruges efter den ansvarlige dyrlæges vurdering af fordele og ulemper.</w:t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4.8</w:t>
      </w:r>
      <w:r w:rsidRPr="00CC5759">
        <w:rPr>
          <w:b/>
          <w:sz w:val="24"/>
          <w:szCs w:val="24"/>
        </w:rPr>
        <w:tab/>
        <w:t>Interaktion med andre lægemidler og andre former for interaktion</w:t>
      </w: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 xml:space="preserve">Der foreligger ingen oplysninger om interaktioner med andre </w:t>
      </w:r>
      <w:proofErr w:type="spellStart"/>
      <w:r w:rsidRPr="00CC5759">
        <w:rPr>
          <w:sz w:val="24"/>
          <w:szCs w:val="24"/>
        </w:rPr>
        <w:t>topikalt</w:t>
      </w:r>
      <w:proofErr w:type="spellEnd"/>
      <w:r w:rsidRPr="00CC5759">
        <w:rPr>
          <w:sz w:val="24"/>
          <w:szCs w:val="24"/>
        </w:rPr>
        <w:t xml:space="preserve"> anvendte produkter.</w:t>
      </w: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4.9</w:t>
      </w:r>
      <w:r w:rsidRPr="00CC5759">
        <w:rPr>
          <w:b/>
          <w:sz w:val="24"/>
          <w:szCs w:val="24"/>
        </w:rPr>
        <w:tab/>
        <w:t>Dosering og indgivelsesmåde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C5759">
        <w:rPr>
          <w:sz w:val="24"/>
          <w:szCs w:val="24"/>
        </w:rPr>
        <w:t>Kutan</w:t>
      </w:r>
      <w:proofErr w:type="spellEnd"/>
      <w:r w:rsidRPr="00CC5759">
        <w:rPr>
          <w:sz w:val="24"/>
          <w:szCs w:val="24"/>
        </w:rPr>
        <w:t xml:space="preserve"> anvendelse.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Som en generel regel anvendes shampoo 2 gange ugentlig, indtil symptomerne aftager, og herefter 1 gang ugentlig eller efter behov for at holde tilstanden under kontrol.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 xml:space="preserve">Dyret skylles grundigt med rent vand, og produktet appliceres flere steder og masseres ind i pelsen. Der anvendes tilstrækkeligt til at frembringe skum i pelsen og på huden. Sørg for at </w:t>
      </w:r>
      <w:proofErr w:type="spellStart"/>
      <w:r w:rsidRPr="00CC5759">
        <w:rPr>
          <w:sz w:val="24"/>
          <w:szCs w:val="24"/>
        </w:rPr>
        <w:t>shampoo’en</w:t>
      </w:r>
      <w:proofErr w:type="spellEnd"/>
      <w:r w:rsidRPr="00CC5759">
        <w:rPr>
          <w:sz w:val="24"/>
          <w:szCs w:val="24"/>
        </w:rPr>
        <w:t xml:space="preserve"> appliceres rundt om læberne, under halen og mellem tæerne. Lad dyret stå 10 min. efter behandlingen, og skyl derpå med rent vand og efterfølgende naturlig tørring i et varmt, trækfrit miljø.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6521" w:type="dxa"/>
        <w:jc w:val="center"/>
        <w:tblLook w:val="0000" w:firstRow="0" w:lastRow="0" w:firstColumn="0" w:lastColumn="0" w:noHBand="0" w:noVBand="0"/>
      </w:tblPr>
      <w:tblGrid>
        <w:gridCol w:w="1985"/>
        <w:gridCol w:w="1597"/>
        <w:gridCol w:w="2939"/>
      </w:tblGrid>
      <w:tr w:rsidR="002776BB" w:rsidRPr="00CC5759" w:rsidTr="00AB5E79">
        <w:trPr>
          <w:trHeight w:val="300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34"/>
              </w:tabs>
              <w:ind w:left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851"/>
              </w:tabs>
              <w:ind w:left="851" w:hanging="741"/>
              <w:jc w:val="both"/>
              <w:rPr>
                <w:b/>
                <w:color w:val="000000"/>
                <w:sz w:val="24"/>
                <w:szCs w:val="24"/>
              </w:rPr>
            </w:pPr>
            <w:r w:rsidRPr="00CC5759">
              <w:rPr>
                <w:b/>
                <w:color w:val="000000"/>
                <w:sz w:val="24"/>
                <w:szCs w:val="24"/>
              </w:rPr>
              <w:t>Antal behandlinger i 200 ml flaske</w:t>
            </w:r>
          </w:p>
        </w:tc>
      </w:tr>
      <w:tr w:rsidR="002776BB" w:rsidRPr="00CC5759" w:rsidTr="00AB5E79">
        <w:trPr>
          <w:trHeight w:val="300"/>
          <w:jc w:val="center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76BB" w:rsidRPr="00CC5759" w:rsidRDefault="002776BB" w:rsidP="00AB5E79">
            <w:pPr>
              <w:tabs>
                <w:tab w:val="left" w:pos="34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851"/>
              </w:tabs>
              <w:ind w:left="851" w:hanging="741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korthårede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851"/>
              </w:tabs>
              <w:ind w:left="851" w:hanging="741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langhårede</w:t>
            </w:r>
          </w:p>
        </w:tc>
      </w:tr>
      <w:tr w:rsidR="002776BB" w:rsidRPr="00CC5759" w:rsidTr="00AB5E79">
        <w:trPr>
          <w:trHeight w:val="3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34"/>
              </w:tabs>
              <w:ind w:left="34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 xml:space="preserve">Op til 15 kg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175"/>
              </w:tabs>
              <w:ind w:left="175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851"/>
              </w:tabs>
              <w:ind w:left="851" w:hanging="741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6</w:t>
            </w:r>
          </w:p>
        </w:tc>
      </w:tr>
      <w:tr w:rsidR="002776BB" w:rsidRPr="00CC5759" w:rsidTr="00AB5E79">
        <w:trPr>
          <w:trHeight w:val="3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34"/>
              </w:tabs>
              <w:ind w:left="34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16-24 kg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175"/>
              </w:tabs>
              <w:ind w:left="175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851"/>
              </w:tabs>
              <w:ind w:left="851" w:hanging="741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776BB" w:rsidRPr="00CC5759" w:rsidTr="00AB5E79">
        <w:trPr>
          <w:trHeight w:val="3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34"/>
              </w:tabs>
              <w:ind w:left="34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25 kg eller mere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175"/>
              </w:tabs>
              <w:ind w:left="175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851"/>
              </w:tabs>
              <w:ind w:left="851" w:hanging="741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6520" w:type="dxa"/>
        <w:tblInd w:w="1560" w:type="dxa"/>
        <w:tblLook w:val="0000" w:firstRow="0" w:lastRow="0" w:firstColumn="0" w:lastColumn="0" w:noHBand="0" w:noVBand="0"/>
      </w:tblPr>
      <w:tblGrid>
        <w:gridCol w:w="1984"/>
        <w:gridCol w:w="1594"/>
        <w:gridCol w:w="2942"/>
      </w:tblGrid>
      <w:tr w:rsidR="002776BB" w:rsidRPr="00CC5759" w:rsidTr="00AB5E79">
        <w:trPr>
          <w:trHeight w:val="300"/>
        </w:trPr>
        <w:tc>
          <w:tcPr>
            <w:tcW w:w="1984" w:type="dxa"/>
            <w:vMerge w:val="restart"/>
            <w:tcBorders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0"/>
              </w:tabs>
              <w:ind w:right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188"/>
              </w:tabs>
              <w:ind w:left="188" w:right="176" w:hanging="13"/>
              <w:rPr>
                <w:b/>
                <w:color w:val="000000"/>
                <w:sz w:val="24"/>
                <w:szCs w:val="24"/>
              </w:rPr>
            </w:pPr>
            <w:r w:rsidRPr="00CC5759">
              <w:rPr>
                <w:b/>
                <w:color w:val="000000"/>
                <w:sz w:val="24"/>
                <w:szCs w:val="24"/>
              </w:rPr>
              <w:t>Antal behandlinger i 500 ml flaske</w:t>
            </w:r>
          </w:p>
        </w:tc>
      </w:tr>
      <w:tr w:rsidR="002776BB" w:rsidRPr="00CC5759" w:rsidTr="00AB5E79">
        <w:trPr>
          <w:trHeight w:val="300"/>
        </w:trPr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76BB" w:rsidRPr="00CC5759" w:rsidRDefault="002776BB" w:rsidP="00AB5E79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188"/>
              </w:tabs>
              <w:ind w:left="188" w:right="176" w:hanging="13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korthårede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188"/>
              </w:tabs>
              <w:ind w:left="188" w:right="176" w:hanging="13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langhårede</w:t>
            </w:r>
          </w:p>
        </w:tc>
      </w:tr>
      <w:tr w:rsidR="002776BB" w:rsidRPr="00CC5759" w:rsidTr="00AB5E79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 xml:space="preserve">Op til 15 kg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188"/>
              </w:tabs>
              <w:ind w:left="188" w:right="176" w:hanging="13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141"/>
              </w:tabs>
              <w:ind w:left="188" w:right="176" w:hanging="47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15</w:t>
            </w:r>
          </w:p>
        </w:tc>
      </w:tr>
      <w:tr w:rsidR="002776BB" w:rsidRPr="00CC5759" w:rsidTr="00AB5E79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16-24 kg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188"/>
              </w:tabs>
              <w:ind w:left="188" w:right="176" w:hanging="13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141"/>
              </w:tabs>
              <w:ind w:left="188" w:right="176" w:hanging="47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2776BB" w:rsidRPr="00CC5759" w:rsidTr="00AB5E79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25 kg eller mere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188"/>
              </w:tabs>
              <w:ind w:left="188" w:right="176" w:hanging="13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6BB" w:rsidRPr="00CC5759" w:rsidRDefault="002776BB" w:rsidP="00AB5E79">
            <w:pPr>
              <w:tabs>
                <w:tab w:val="left" w:pos="141"/>
              </w:tabs>
              <w:ind w:left="188" w:right="176" w:hanging="47"/>
              <w:jc w:val="both"/>
              <w:rPr>
                <w:color w:val="000000"/>
                <w:sz w:val="24"/>
                <w:szCs w:val="24"/>
              </w:rPr>
            </w:pPr>
            <w:r w:rsidRPr="00CC5759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4.10</w:t>
      </w:r>
      <w:r w:rsidRPr="00CC5759">
        <w:rPr>
          <w:b/>
          <w:sz w:val="24"/>
          <w:szCs w:val="24"/>
        </w:rPr>
        <w:tab/>
        <w:t>Overdosering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Ingen data tilgængelige.</w:t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4.11</w:t>
      </w:r>
      <w:r w:rsidRPr="00CC5759">
        <w:rPr>
          <w:b/>
          <w:sz w:val="24"/>
          <w:szCs w:val="24"/>
        </w:rPr>
        <w:tab/>
        <w:t>Tilbageholdelsestid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CC5759">
        <w:rPr>
          <w:sz w:val="24"/>
          <w:szCs w:val="24"/>
        </w:rPr>
        <w:t>Ikke relevant.</w:t>
      </w:r>
    </w:p>
    <w:p w:rsidR="002776BB" w:rsidRPr="00CC5759" w:rsidRDefault="002776BB" w:rsidP="002776BB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5.</w:t>
      </w:r>
      <w:r w:rsidRPr="00CC5759">
        <w:rPr>
          <w:b/>
          <w:sz w:val="24"/>
          <w:szCs w:val="24"/>
        </w:rPr>
        <w:tab/>
        <w:t>FARMAKOLOGISKE EGENSKABER</w:t>
      </w:r>
    </w:p>
    <w:p w:rsidR="002776BB" w:rsidRDefault="002776BB" w:rsidP="002776BB">
      <w:pPr>
        <w:tabs>
          <w:tab w:val="left" w:pos="851"/>
        </w:tabs>
        <w:ind w:left="851"/>
        <w:rPr>
          <w:rFonts w:ascii="TimesNewRoman,Italic" w:hAnsi="TimesNewRoman,Italic"/>
          <w:sz w:val="24"/>
          <w:szCs w:val="24"/>
        </w:rPr>
      </w:pPr>
    </w:p>
    <w:p w:rsidR="002776BB" w:rsidRPr="007E6BB5" w:rsidRDefault="002776BB" w:rsidP="002776BB">
      <w:pPr>
        <w:tabs>
          <w:tab w:val="left" w:pos="851"/>
        </w:tabs>
        <w:ind w:left="851"/>
        <w:rPr>
          <w:rFonts w:ascii="TimesNewRoman,Italic" w:hAnsi="TimesNewRoman,Italic"/>
          <w:sz w:val="24"/>
          <w:szCs w:val="24"/>
        </w:rPr>
      </w:pPr>
      <w:proofErr w:type="spellStart"/>
      <w:r w:rsidRPr="007E6BB5">
        <w:rPr>
          <w:rFonts w:ascii="TimesNewRoman,Italic" w:hAnsi="TimesNewRoman,Italic"/>
          <w:sz w:val="24"/>
          <w:szCs w:val="24"/>
        </w:rPr>
        <w:t>Farmakoterapeutisk</w:t>
      </w:r>
      <w:proofErr w:type="spellEnd"/>
      <w:r w:rsidRPr="007E6BB5">
        <w:rPr>
          <w:rFonts w:ascii="TimesNewRoman,Italic" w:hAnsi="TimesNewRoman,Italic"/>
          <w:sz w:val="24"/>
          <w:szCs w:val="24"/>
        </w:rPr>
        <w:t xml:space="preserve"> gruppe: </w:t>
      </w:r>
      <w:proofErr w:type="spellStart"/>
      <w:r>
        <w:rPr>
          <w:rFonts w:ascii="TimesNewRoman,Italic" w:hAnsi="TimesNewRoman,Italic"/>
          <w:sz w:val="24"/>
          <w:szCs w:val="24"/>
        </w:rPr>
        <w:t>Antiseptika</w:t>
      </w:r>
      <w:proofErr w:type="spellEnd"/>
      <w:r>
        <w:rPr>
          <w:rFonts w:ascii="TimesNewRoman,Italic" w:hAnsi="TimesNewRoman,Italic"/>
          <w:sz w:val="24"/>
          <w:szCs w:val="24"/>
        </w:rPr>
        <w:t xml:space="preserve"> og </w:t>
      </w:r>
      <w:proofErr w:type="spellStart"/>
      <w:r>
        <w:rPr>
          <w:rFonts w:ascii="TimesNewRoman,Italic" w:hAnsi="TimesNewRoman,Italic"/>
          <w:sz w:val="24"/>
          <w:szCs w:val="24"/>
        </w:rPr>
        <w:t>disinfektanter</w:t>
      </w:r>
      <w:proofErr w:type="spellEnd"/>
      <w:r>
        <w:rPr>
          <w:rFonts w:ascii="TimesNewRoman,Italic" w:hAnsi="TimesNewRoman,Italic"/>
          <w:sz w:val="24"/>
          <w:szCs w:val="24"/>
        </w:rPr>
        <w:t>.</w:t>
      </w:r>
    </w:p>
    <w:p w:rsidR="002776BB" w:rsidRPr="007E6BB5" w:rsidRDefault="002776BB" w:rsidP="002776BB">
      <w:pPr>
        <w:tabs>
          <w:tab w:val="left" w:pos="851"/>
        </w:tabs>
        <w:ind w:left="851"/>
        <w:rPr>
          <w:rFonts w:ascii="TimesNewRoman,Italic" w:hAnsi="TimesNewRoman,Italic"/>
          <w:sz w:val="24"/>
          <w:szCs w:val="24"/>
        </w:rPr>
      </w:pPr>
      <w:proofErr w:type="spellStart"/>
      <w:r w:rsidRPr="007E6BB5">
        <w:rPr>
          <w:rFonts w:ascii="TimesNewRoman,Italic" w:hAnsi="TimesNewRoman,Italic"/>
          <w:sz w:val="24"/>
          <w:szCs w:val="24"/>
        </w:rPr>
        <w:t>ATCvet</w:t>
      </w:r>
      <w:proofErr w:type="spellEnd"/>
      <w:r w:rsidRPr="007E6BB5">
        <w:rPr>
          <w:rFonts w:ascii="TimesNewRoman,Italic" w:hAnsi="TimesNewRoman,Italic"/>
          <w:sz w:val="24"/>
          <w:szCs w:val="24"/>
        </w:rPr>
        <w:t>-kode: QD</w:t>
      </w:r>
      <w:r>
        <w:rPr>
          <w:rFonts w:ascii="TimesNewRoman,Italic" w:hAnsi="TimesNewRoman,Italic"/>
          <w:sz w:val="24"/>
          <w:szCs w:val="24"/>
        </w:rPr>
        <w:t xml:space="preserve"> </w:t>
      </w:r>
      <w:r w:rsidRPr="007E6BB5">
        <w:rPr>
          <w:rFonts w:ascii="TimesNewRoman,Italic" w:hAnsi="TimesNewRoman,Italic"/>
          <w:sz w:val="24"/>
          <w:szCs w:val="24"/>
        </w:rPr>
        <w:t>08</w:t>
      </w:r>
      <w:r>
        <w:rPr>
          <w:rFonts w:ascii="TimesNewRoman,Italic" w:hAnsi="TimesNewRoman,Italic"/>
          <w:sz w:val="24"/>
          <w:szCs w:val="24"/>
        </w:rPr>
        <w:t xml:space="preserve"> </w:t>
      </w:r>
      <w:r w:rsidRPr="007E6BB5">
        <w:rPr>
          <w:rFonts w:ascii="TimesNewRoman,Italic" w:hAnsi="TimesNewRoman,Italic"/>
          <w:sz w:val="24"/>
          <w:szCs w:val="24"/>
        </w:rPr>
        <w:t>AC</w:t>
      </w:r>
      <w:r>
        <w:rPr>
          <w:rFonts w:ascii="TimesNewRoman,Italic" w:hAnsi="TimesNewRoman,Italic"/>
          <w:sz w:val="24"/>
          <w:szCs w:val="24"/>
        </w:rPr>
        <w:t xml:space="preserve"> </w:t>
      </w:r>
      <w:r w:rsidRPr="007E6BB5">
        <w:rPr>
          <w:rFonts w:ascii="TimesNewRoman,Italic" w:hAnsi="TimesNewRoman,Italic"/>
          <w:sz w:val="24"/>
          <w:szCs w:val="24"/>
        </w:rPr>
        <w:t>52.</w:t>
      </w:r>
    </w:p>
    <w:p w:rsidR="002776BB" w:rsidRDefault="002776BB" w:rsidP="002776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lastRenderedPageBreak/>
        <w:t>5.1</w:t>
      </w:r>
      <w:r w:rsidRPr="00CC5759">
        <w:rPr>
          <w:b/>
          <w:sz w:val="24"/>
          <w:szCs w:val="24"/>
        </w:rPr>
        <w:tab/>
      </w:r>
      <w:proofErr w:type="spellStart"/>
      <w:r w:rsidRPr="00CC5759">
        <w:rPr>
          <w:b/>
          <w:sz w:val="24"/>
          <w:szCs w:val="24"/>
        </w:rPr>
        <w:t>Farmakodynamiske</w:t>
      </w:r>
      <w:proofErr w:type="spellEnd"/>
      <w:r w:rsidRPr="00CC5759">
        <w:rPr>
          <w:b/>
          <w:sz w:val="24"/>
          <w:szCs w:val="24"/>
        </w:rPr>
        <w:t xml:space="preserve"> egenskaber</w:t>
      </w:r>
    </w:p>
    <w:p w:rsidR="002776BB" w:rsidRDefault="002776BB" w:rsidP="002776BB">
      <w:pPr>
        <w:tabs>
          <w:tab w:val="left" w:pos="851"/>
        </w:tabs>
        <w:ind w:left="851" w:hanging="567"/>
        <w:rPr>
          <w:sz w:val="24"/>
          <w:szCs w:val="24"/>
          <w:u w:val="single"/>
        </w:rPr>
      </w:pP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7E6BB5">
        <w:rPr>
          <w:sz w:val="24"/>
          <w:szCs w:val="24"/>
          <w:u w:val="single"/>
        </w:rPr>
        <w:t>Klorhexidindigluconat</w:t>
      </w:r>
      <w:proofErr w:type="spellEnd"/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E6BB5">
        <w:rPr>
          <w:sz w:val="24"/>
          <w:szCs w:val="24"/>
        </w:rPr>
        <w:t>Klorhexidindigluconat</w:t>
      </w:r>
      <w:proofErr w:type="spellEnd"/>
      <w:r w:rsidRPr="007E6BB5">
        <w:rPr>
          <w:sz w:val="24"/>
          <w:szCs w:val="24"/>
        </w:rPr>
        <w:t xml:space="preserve"> (</w:t>
      </w:r>
      <w:proofErr w:type="spellStart"/>
      <w:r w:rsidRPr="007E6BB5">
        <w:rPr>
          <w:sz w:val="24"/>
          <w:szCs w:val="24"/>
        </w:rPr>
        <w:t>ATCvet</w:t>
      </w:r>
      <w:proofErr w:type="spellEnd"/>
      <w:r w:rsidRPr="007E6BB5">
        <w:rPr>
          <w:sz w:val="24"/>
          <w:szCs w:val="24"/>
        </w:rPr>
        <w:t xml:space="preserve"> </w:t>
      </w:r>
      <w:proofErr w:type="spellStart"/>
      <w:r w:rsidRPr="007E6BB5">
        <w:rPr>
          <w:sz w:val="24"/>
          <w:szCs w:val="24"/>
        </w:rPr>
        <w:t>klassification</w:t>
      </w:r>
      <w:proofErr w:type="spellEnd"/>
      <w:r w:rsidRPr="007E6BB5">
        <w:rPr>
          <w:sz w:val="24"/>
          <w:szCs w:val="24"/>
        </w:rPr>
        <w:t xml:space="preserve"> QD08AC02) er et </w:t>
      </w:r>
      <w:proofErr w:type="spellStart"/>
      <w:r w:rsidRPr="007E6BB5">
        <w:rPr>
          <w:sz w:val="24"/>
          <w:szCs w:val="24"/>
        </w:rPr>
        <w:t>bisbiguanid</w:t>
      </w:r>
      <w:proofErr w:type="spellEnd"/>
      <w:r>
        <w:rPr>
          <w:sz w:val="24"/>
          <w:szCs w:val="24"/>
        </w:rPr>
        <w:t xml:space="preserve"> </w:t>
      </w:r>
      <w:r w:rsidRPr="007E6BB5">
        <w:rPr>
          <w:sz w:val="24"/>
          <w:szCs w:val="24"/>
        </w:rPr>
        <w:t xml:space="preserve">antimikrobielt stof, der virker på </w:t>
      </w:r>
      <w:proofErr w:type="spellStart"/>
      <w:r w:rsidRPr="007E6BB5">
        <w:rPr>
          <w:sz w:val="24"/>
          <w:szCs w:val="24"/>
        </w:rPr>
        <w:t>Gram-positive</w:t>
      </w:r>
      <w:proofErr w:type="spellEnd"/>
      <w:r w:rsidRPr="007E6BB5">
        <w:rPr>
          <w:sz w:val="24"/>
          <w:szCs w:val="24"/>
        </w:rPr>
        <w:t xml:space="preserve"> og </w:t>
      </w:r>
      <w:proofErr w:type="spellStart"/>
      <w:r w:rsidRPr="007E6BB5">
        <w:rPr>
          <w:sz w:val="24"/>
          <w:szCs w:val="24"/>
        </w:rPr>
        <w:t>Gram-negative</w:t>
      </w:r>
      <w:proofErr w:type="spellEnd"/>
      <w:r w:rsidRPr="007E6BB5">
        <w:rPr>
          <w:sz w:val="24"/>
          <w:szCs w:val="24"/>
        </w:rPr>
        <w:t xml:space="preserve"> bakterier. Virkningen er både baktericid og </w:t>
      </w:r>
      <w:proofErr w:type="spellStart"/>
      <w:r w:rsidRPr="007E6BB5">
        <w:rPr>
          <w:sz w:val="24"/>
          <w:szCs w:val="24"/>
        </w:rPr>
        <w:t>bakteriostatisk</w:t>
      </w:r>
      <w:proofErr w:type="spellEnd"/>
      <w:r w:rsidRPr="007E6BB5">
        <w:rPr>
          <w:sz w:val="24"/>
          <w:szCs w:val="24"/>
        </w:rPr>
        <w:t xml:space="preserve"> afhængig af den anvendte koncentration. Væksthæmning skyldes en påvirkning af mekanismerne ansvarlig for energitransport og sker ved en direkte effekt på ATP-ase. </w:t>
      </w:r>
      <w:proofErr w:type="spellStart"/>
      <w:r w:rsidRPr="007E6BB5">
        <w:rPr>
          <w:sz w:val="24"/>
          <w:szCs w:val="24"/>
        </w:rPr>
        <w:t>Klorhexidins</w:t>
      </w:r>
      <w:proofErr w:type="spellEnd"/>
      <w:r w:rsidRPr="007E6BB5">
        <w:rPr>
          <w:sz w:val="24"/>
          <w:szCs w:val="24"/>
        </w:rPr>
        <w:t xml:space="preserve"> </w:t>
      </w:r>
      <w:proofErr w:type="spellStart"/>
      <w:r w:rsidRPr="007E6BB5">
        <w:rPr>
          <w:sz w:val="24"/>
          <w:szCs w:val="24"/>
        </w:rPr>
        <w:t>bactericide</w:t>
      </w:r>
      <w:proofErr w:type="spellEnd"/>
      <w:r w:rsidRPr="007E6BB5">
        <w:rPr>
          <w:sz w:val="24"/>
          <w:szCs w:val="24"/>
        </w:rPr>
        <w:t xml:space="preserve"> effekt skyldes koagulation af indholdet i bakteriecellen.</w:t>
      </w: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E6BB5">
        <w:rPr>
          <w:sz w:val="24"/>
          <w:szCs w:val="24"/>
        </w:rPr>
        <w:t>Klorhexidindigluconat</w:t>
      </w:r>
      <w:proofErr w:type="spellEnd"/>
      <w:r w:rsidRPr="007E6BB5">
        <w:rPr>
          <w:sz w:val="24"/>
          <w:szCs w:val="24"/>
        </w:rPr>
        <w:t xml:space="preserve"> er medtaget i produktet pga. virkningen på </w:t>
      </w:r>
      <w:proofErr w:type="spellStart"/>
      <w:r w:rsidRPr="007E6BB5">
        <w:rPr>
          <w:i/>
          <w:sz w:val="24"/>
          <w:szCs w:val="24"/>
        </w:rPr>
        <w:t>Stafylococcus</w:t>
      </w:r>
      <w:proofErr w:type="spellEnd"/>
      <w:r w:rsidRPr="007E6BB5">
        <w:rPr>
          <w:i/>
          <w:sz w:val="24"/>
          <w:szCs w:val="24"/>
        </w:rPr>
        <w:t xml:space="preserve"> </w:t>
      </w:r>
      <w:proofErr w:type="spellStart"/>
      <w:r w:rsidRPr="007E6BB5">
        <w:rPr>
          <w:i/>
          <w:sz w:val="24"/>
          <w:szCs w:val="24"/>
        </w:rPr>
        <w:t>pseudintermedius</w:t>
      </w:r>
      <w:proofErr w:type="spellEnd"/>
      <w:r w:rsidRPr="007E6BB5">
        <w:rPr>
          <w:sz w:val="24"/>
          <w:szCs w:val="24"/>
        </w:rPr>
        <w:t xml:space="preserve">. I kliniske </w:t>
      </w:r>
      <w:proofErr w:type="spellStart"/>
      <w:r w:rsidRPr="007E6BB5">
        <w:rPr>
          <w:i/>
          <w:sz w:val="24"/>
          <w:szCs w:val="24"/>
        </w:rPr>
        <w:t>Stafylococcus</w:t>
      </w:r>
      <w:proofErr w:type="spellEnd"/>
      <w:r w:rsidRPr="007E6BB5">
        <w:rPr>
          <w:i/>
          <w:sz w:val="24"/>
          <w:szCs w:val="24"/>
        </w:rPr>
        <w:t xml:space="preserve"> </w:t>
      </w:r>
      <w:proofErr w:type="spellStart"/>
      <w:r w:rsidRPr="007E6BB5">
        <w:rPr>
          <w:i/>
          <w:sz w:val="24"/>
          <w:szCs w:val="24"/>
        </w:rPr>
        <w:t>pseudintermedius</w:t>
      </w:r>
      <w:proofErr w:type="spellEnd"/>
      <w:r w:rsidRPr="007E6BB5">
        <w:rPr>
          <w:sz w:val="24"/>
          <w:szCs w:val="24"/>
        </w:rPr>
        <w:t xml:space="preserve"> </w:t>
      </w:r>
      <w:proofErr w:type="spellStart"/>
      <w:r w:rsidRPr="007E6BB5">
        <w:rPr>
          <w:sz w:val="24"/>
          <w:szCs w:val="24"/>
        </w:rPr>
        <w:t>isolater</w:t>
      </w:r>
      <w:proofErr w:type="spellEnd"/>
      <w:r w:rsidRPr="007E6BB5">
        <w:rPr>
          <w:sz w:val="24"/>
          <w:szCs w:val="24"/>
        </w:rPr>
        <w:t xml:space="preserve"> findes typisk MIC-værdier på 2 mg/l (2005).</w:t>
      </w: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7E6BB5">
        <w:rPr>
          <w:sz w:val="24"/>
          <w:szCs w:val="24"/>
        </w:rPr>
        <w:t xml:space="preserve">Der er ikke rapporteret om resistens mod </w:t>
      </w:r>
      <w:proofErr w:type="spellStart"/>
      <w:r w:rsidRPr="007E6BB5">
        <w:rPr>
          <w:sz w:val="24"/>
          <w:szCs w:val="24"/>
        </w:rPr>
        <w:t>klorhexidin</w:t>
      </w:r>
      <w:proofErr w:type="spellEnd"/>
      <w:r w:rsidRPr="007E6BB5">
        <w:rPr>
          <w:sz w:val="24"/>
          <w:szCs w:val="24"/>
        </w:rPr>
        <w:t xml:space="preserve"> hos </w:t>
      </w:r>
      <w:proofErr w:type="spellStart"/>
      <w:r w:rsidRPr="007E6BB5">
        <w:rPr>
          <w:i/>
          <w:sz w:val="24"/>
          <w:szCs w:val="24"/>
        </w:rPr>
        <w:t>Stafylococcus</w:t>
      </w:r>
      <w:proofErr w:type="spellEnd"/>
      <w:r w:rsidRPr="007E6BB5">
        <w:rPr>
          <w:i/>
          <w:sz w:val="24"/>
          <w:szCs w:val="24"/>
        </w:rPr>
        <w:t xml:space="preserve"> </w:t>
      </w:r>
      <w:proofErr w:type="spellStart"/>
      <w:r w:rsidRPr="007E6BB5">
        <w:rPr>
          <w:i/>
          <w:sz w:val="24"/>
          <w:szCs w:val="24"/>
        </w:rPr>
        <w:t>pseudintermedius</w:t>
      </w:r>
      <w:proofErr w:type="spellEnd"/>
      <w:r w:rsidRPr="007E6BB5">
        <w:rPr>
          <w:sz w:val="24"/>
          <w:szCs w:val="24"/>
        </w:rPr>
        <w:t>.</w:t>
      </w: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Pr="00602868" w:rsidRDefault="002776BB" w:rsidP="002776BB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602868">
        <w:rPr>
          <w:sz w:val="24"/>
          <w:szCs w:val="24"/>
          <w:u w:val="single"/>
        </w:rPr>
        <w:t>Miconazolnitrat</w:t>
      </w:r>
      <w:proofErr w:type="spellEnd"/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E6BB5">
        <w:rPr>
          <w:sz w:val="24"/>
          <w:szCs w:val="24"/>
        </w:rPr>
        <w:t>Miconazolnitrat</w:t>
      </w:r>
      <w:proofErr w:type="spellEnd"/>
      <w:r w:rsidRPr="007E6BB5">
        <w:rPr>
          <w:sz w:val="24"/>
          <w:szCs w:val="24"/>
        </w:rPr>
        <w:t xml:space="preserve"> (</w:t>
      </w:r>
      <w:proofErr w:type="spellStart"/>
      <w:r w:rsidRPr="007E6BB5">
        <w:rPr>
          <w:sz w:val="24"/>
          <w:szCs w:val="24"/>
        </w:rPr>
        <w:t>ATCvet</w:t>
      </w:r>
      <w:proofErr w:type="spellEnd"/>
      <w:r w:rsidRPr="007E6BB5">
        <w:rPr>
          <w:sz w:val="24"/>
          <w:szCs w:val="24"/>
        </w:rPr>
        <w:t xml:space="preserve"> </w:t>
      </w:r>
      <w:proofErr w:type="spellStart"/>
      <w:r w:rsidRPr="007E6BB5">
        <w:rPr>
          <w:sz w:val="24"/>
          <w:szCs w:val="24"/>
        </w:rPr>
        <w:t>klassification</w:t>
      </w:r>
      <w:proofErr w:type="spellEnd"/>
      <w:r w:rsidRPr="007E6BB5">
        <w:rPr>
          <w:sz w:val="24"/>
          <w:szCs w:val="24"/>
        </w:rPr>
        <w:t xml:space="preserve"> QD01AC02) er et </w:t>
      </w:r>
      <w:proofErr w:type="spellStart"/>
      <w:r w:rsidRPr="007E6BB5">
        <w:rPr>
          <w:sz w:val="24"/>
          <w:szCs w:val="24"/>
        </w:rPr>
        <w:t>imidazol</w:t>
      </w:r>
      <w:proofErr w:type="spellEnd"/>
      <w:r w:rsidRPr="007E6BB5">
        <w:rPr>
          <w:sz w:val="24"/>
          <w:szCs w:val="24"/>
        </w:rPr>
        <w:t xml:space="preserve"> antisvampemiddel med virkning på gær f.eks. </w:t>
      </w:r>
      <w:proofErr w:type="spellStart"/>
      <w:r w:rsidRPr="007E6BB5">
        <w:rPr>
          <w:i/>
          <w:sz w:val="24"/>
          <w:szCs w:val="24"/>
        </w:rPr>
        <w:t>Malassezia</w:t>
      </w:r>
      <w:proofErr w:type="spellEnd"/>
      <w:r w:rsidRPr="007E6BB5">
        <w:rPr>
          <w:i/>
          <w:sz w:val="24"/>
          <w:szCs w:val="24"/>
        </w:rPr>
        <w:t xml:space="preserve"> </w:t>
      </w:r>
      <w:proofErr w:type="spellStart"/>
      <w:r w:rsidRPr="007E6BB5">
        <w:rPr>
          <w:i/>
          <w:sz w:val="24"/>
          <w:szCs w:val="24"/>
        </w:rPr>
        <w:t>pachydermatis</w:t>
      </w:r>
      <w:proofErr w:type="spellEnd"/>
      <w:r w:rsidRPr="007E6BB5">
        <w:rPr>
          <w:sz w:val="24"/>
          <w:szCs w:val="24"/>
        </w:rPr>
        <w:t>.</w:t>
      </w: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7E6BB5">
        <w:rPr>
          <w:sz w:val="24"/>
          <w:szCs w:val="24"/>
        </w:rPr>
        <w:t xml:space="preserve">Stoffet har både svampedræbende og svampehæmmende effekt afhængig af den anvendte koncentration. </w:t>
      </w:r>
      <w:proofErr w:type="spellStart"/>
      <w:r w:rsidRPr="007E6BB5">
        <w:rPr>
          <w:sz w:val="24"/>
          <w:szCs w:val="24"/>
        </w:rPr>
        <w:t>Miconazol</w:t>
      </w:r>
      <w:proofErr w:type="spellEnd"/>
      <w:r w:rsidRPr="007E6BB5">
        <w:rPr>
          <w:sz w:val="24"/>
          <w:szCs w:val="24"/>
        </w:rPr>
        <w:t xml:space="preserve"> hæmmer inkorporeringen af </w:t>
      </w:r>
      <w:proofErr w:type="spellStart"/>
      <w:r w:rsidRPr="007E6BB5">
        <w:rPr>
          <w:sz w:val="24"/>
          <w:szCs w:val="24"/>
        </w:rPr>
        <w:t>ergosterol</w:t>
      </w:r>
      <w:proofErr w:type="spellEnd"/>
      <w:r w:rsidRPr="007E6BB5">
        <w:rPr>
          <w:sz w:val="24"/>
          <w:szCs w:val="24"/>
        </w:rPr>
        <w:t xml:space="preserve"> i cellemembranen, som medfører en øget koncentration af </w:t>
      </w:r>
      <w:proofErr w:type="spellStart"/>
      <w:r w:rsidRPr="007E6BB5">
        <w:rPr>
          <w:sz w:val="24"/>
          <w:szCs w:val="24"/>
        </w:rPr>
        <w:t>cytotoksisk</w:t>
      </w:r>
      <w:proofErr w:type="spellEnd"/>
      <w:r w:rsidRPr="007E6BB5">
        <w:rPr>
          <w:sz w:val="24"/>
          <w:szCs w:val="24"/>
        </w:rPr>
        <w:t xml:space="preserve"> hydrogenperoxid i svampens cellevæg.</w:t>
      </w: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E6BB5">
        <w:rPr>
          <w:sz w:val="24"/>
          <w:szCs w:val="24"/>
        </w:rPr>
        <w:t>Miconazolnitrat</w:t>
      </w:r>
      <w:proofErr w:type="spellEnd"/>
      <w:r w:rsidRPr="007E6BB5">
        <w:rPr>
          <w:sz w:val="24"/>
          <w:szCs w:val="24"/>
        </w:rPr>
        <w:t xml:space="preserve"> er medtaget i produktet pga. dets aktivitet over for </w:t>
      </w:r>
      <w:proofErr w:type="spellStart"/>
      <w:r w:rsidRPr="007E6BB5">
        <w:rPr>
          <w:i/>
          <w:sz w:val="24"/>
          <w:szCs w:val="24"/>
        </w:rPr>
        <w:t>Malassezia</w:t>
      </w:r>
      <w:proofErr w:type="spellEnd"/>
      <w:r w:rsidRPr="007E6BB5">
        <w:rPr>
          <w:i/>
          <w:sz w:val="24"/>
          <w:szCs w:val="24"/>
        </w:rPr>
        <w:t xml:space="preserve"> </w:t>
      </w:r>
      <w:proofErr w:type="spellStart"/>
      <w:r w:rsidRPr="007E6BB5">
        <w:rPr>
          <w:i/>
          <w:sz w:val="24"/>
          <w:szCs w:val="24"/>
        </w:rPr>
        <w:t>pachydermatis</w:t>
      </w:r>
      <w:proofErr w:type="spellEnd"/>
      <w:r w:rsidRPr="007E6BB5">
        <w:rPr>
          <w:sz w:val="24"/>
          <w:szCs w:val="24"/>
        </w:rPr>
        <w:t xml:space="preserve">. I kliniske </w:t>
      </w:r>
      <w:proofErr w:type="spellStart"/>
      <w:r w:rsidRPr="007E6BB5">
        <w:rPr>
          <w:i/>
          <w:sz w:val="24"/>
          <w:szCs w:val="24"/>
        </w:rPr>
        <w:t>Malassezia</w:t>
      </w:r>
      <w:proofErr w:type="spellEnd"/>
      <w:r w:rsidRPr="007E6BB5">
        <w:rPr>
          <w:i/>
          <w:sz w:val="24"/>
          <w:szCs w:val="24"/>
        </w:rPr>
        <w:t xml:space="preserve"> </w:t>
      </w:r>
      <w:proofErr w:type="spellStart"/>
      <w:r w:rsidRPr="007E6BB5">
        <w:rPr>
          <w:i/>
          <w:sz w:val="24"/>
          <w:szCs w:val="24"/>
        </w:rPr>
        <w:t>pachydermatis</w:t>
      </w:r>
      <w:proofErr w:type="spellEnd"/>
      <w:r w:rsidRPr="007E6BB5">
        <w:rPr>
          <w:sz w:val="24"/>
          <w:szCs w:val="24"/>
        </w:rPr>
        <w:t xml:space="preserve"> </w:t>
      </w:r>
      <w:proofErr w:type="spellStart"/>
      <w:r w:rsidRPr="007E6BB5">
        <w:rPr>
          <w:sz w:val="24"/>
          <w:szCs w:val="24"/>
        </w:rPr>
        <w:t>isolater</w:t>
      </w:r>
      <w:proofErr w:type="spellEnd"/>
      <w:r w:rsidRPr="007E6BB5">
        <w:rPr>
          <w:sz w:val="24"/>
          <w:szCs w:val="24"/>
        </w:rPr>
        <w:t xml:space="preserve"> findes typiske MIC-værdier på 1-4 µg/ml (2012). Der er ikke rapporteret om resistens mod </w:t>
      </w:r>
      <w:proofErr w:type="spellStart"/>
      <w:r w:rsidRPr="007E6BB5">
        <w:rPr>
          <w:sz w:val="24"/>
          <w:szCs w:val="24"/>
        </w:rPr>
        <w:t>miconazol</w:t>
      </w:r>
      <w:proofErr w:type="spellEnd"/>
      <w:r w:rsidRPr="007E6BB5">
        <w:rPr>
          <w:sz w:val="24"/>
          <w:szCs w:val="24"/>
        </w:rPr>
        <w:t xml:space="preserve"> hos </w:t>
      </w:r>
      <w:proofErr w:type="spellStart"/>
      <w:r w:rsidRPr="007E6BB5">
        <w:rPr>
          <w:i/>
          <w:sz w:val="24"/>
          <w:szCs w:val="24"/>
        </w:rPr>
        <w:t>Malassezia</w:t>
      </w:r>
      <w:proofErr w:type="spellEnd"/>
      <w:r w:rsidRPr="007E6BB5">
        <w:rPr>
          <w:i/>
          <w:sz w:val="24"/>
          <w:szCs w:val="24"/>
        </w:rPr>
        <w:t xml:space="preserve"> </w:t>
      </w:r>
      <w:proofErr w:type="spellStart"/>
      <w:r w:rsidRPr="007E6BB5">
        <w:rPr>
          <w:i/>
          <w:sz w:val="24"/>
          <w:szCs w:val="24"/>
        </w:rPr>
        <w:t>pachydermatis</w:t>
      </w:r>
      <w:proofErr w:type="spellEnd"/>
      <w:r w:rsidRPr="007E6BB5">
        <w:rPr>
          <w:sz w:val="24"/>
          <w:szCs w:val="24"/>
        </w:rPr>
        <w:t>.</w:t>
      </w:r>
    </w:p>
    <w:p w:rsidR="002776BB" w:rsidRPr="00CC5759" w:rsidRDefault="002776BB" w:rsidP="002776B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CC5759">
        <w:rPr>
          <w:sz w:val="24"/>
          <w:szCs w:val="24"/>
        </w:rPr>
        <w:tab/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5.2</w:t>
      </w:r>
      <w:r w:rsidRPr="00CC5759">
        <w:rPr>
          <w:b/>
          <w:sz w:val="24"/>
          <w:szCs w:val="24"/>
        </w:rPr>
        <w:tab/>
      </w:r>
      <w:proofErr w:type="spellStart"/>
      <w:r w:rsidRPr="00CC5759">
        <w:rPr>
          <w:b/>
          <w:sz w:val="24"/>
          <w:szCs w:val="24"/>
        </w:rPr>
        <w:t>Farmakokinetiske</w:t>
      </w:r>
      <w:proofErr w:type="spellEnd"/>
      <w:r w:rsidRPr="00CC5759">
        <w:rPr>
          <w:b/>
          <w:sz w:val="24"/>
          <w:szCs w:val="24"/>
        </w:rPr>
        <w:t xml:space="preserve"> egenskaber</w:t>
      </w: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7E6BB5">
        <w:rPr>
          <w:sz w:val="24"/>
          <w:szCs w:val="24"/>
          <w:u w:val="single"/>
        </w:rPr>
        <w:t>Klorhexidindigluconat</w:t>
      </w:r>
      <w:proofErr w:type="spellEnd"/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7E6BB5">
        <w:rPr>
          <w:sz w:val="24"/>
          <w:szCs w:val="24"/>
        </w:rPr>
        <w:t xml:space="preserve">Der opnås høje koncentrationer af </w:t>
      </w:r>
      <w:proofErr w:type="spellStart"/>
      <w:r w:rsidRPr="007E6BB5">
        <w:rPr>
          <w:sz w:val="24"/>
          <w:szCs w:val="24"/>
        </w:rPr>
        <w:t>klorhexidindigluconat</w:t>
      </w:r>
      <w:proofErr w:type="spellEnd"/>
      <w:r w:rsidRPr="007E6BB5">
        <w:rPr>
          <w:sz w:val="24"/>
          <w:szCs w:val="24"/>
        </w:rPr>
        <w:t xml:space="preserve"> i hårlaget og på huden i de 10 minutter efter behandlingen. Koncentrationen i dette tidsrum er betydeligt over MIC for </w:t>
      </w:r>
      <w:proofErr w:type="spellStart"/>
      <w:r w:rsidRPr="007E6BB5">
        <w:rPr>
          <w:i/>
          <w:sz w:val="24"/>
          <w:szCs w:val="24"/>
        </w:rPr>
        <w:t>Stafylococcus</w:t>
      </w:r>
      <w:proofErr w:type="spellEnd"/>
      <w:r w:rsidRPr="007E6BB5">
        <w:rPr>
          <w:i/>
          <w:sz w:val="24"/>
          <w:szCs w:val="24"/>
        </w:rPr>
        <w:t xml:space="preserve"> </w:t>
      </w:r>
      <w:proofErr w:type="spellStart"/>
      <w:r w:rsidRPr="007E6BB5">
        <w:rPr>
          <w:i/>
          <w:sz w:val="24"/>
          <w:szCs w:val="24"/>
        </w:rPr>
        <w:t>pseudintermedius</w:t>
      </w:r>
      <w:proofErr w:type="spellEnd"/>
      <w:r w:rsidRPr="007E6BB5">
        <w:rPr>
          <w:sz w:val="24"/>
          <w:szCs w:val="24"/>
        </w:rPr>
        <w:t xml:space="preserve">. </w:t>
      </w:r>
      <w:proofErr w:type="spellStart"/>
      <w:r w:rsidRPr="007E6BB5">
        <w:rPr>
          <w:sz w:val="24"/>
          <w:szCs w:val="24"/>
        </w:rPr>
        <w:t>Klorhexidindigluconat</w:t>
      </w:r>
      <w:proofErr w:type="spellEnd"/>
      <w:r w:rsidRPr="007E6BB5">
        <w:rPr>
          <w:sz w:val="24"/>
          <w:szCs w:val="24"/>
        </w:rPr>
        <w:t xml:space="preserve"> absorberes dårligt fra fordøjelseskanalen efter oral optagelse. Der er ingen eller kun ringe </w:t>
      </w:r>
      <w:proofErr w:type="spellStart"/>
      <w:r w:rsidRPr="007E6BB5">
        <w:rPr>
          <w:sz w:val="24"/>
          <w:szCs w:val="24"/>
        </w:rPr>
        <w:t>perkutan</w:t>
      </w:r>
      <w:proofErr w:type="spellEnd"/>
      <w:r w:rsidRPr="007E6BB5">
        <w:rPr>
          <w:sz w:val="24"/>
          <w:szCs w:val="24"/>
        </w:rPr>
        <w:t xml:space="preserve"> absorption. Det er vist hos mennesker, at 26 % forbliver på huden 29 timer efter applikation.</w:t>
      </w: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7E6BB5">
        <w:rPr>
          <w:sz w:val="24"/>
          <w:szCs w:val="24"/>
          <w:u w:val="single"/>
        </w:rPr>
        <w:t>Miconazolnitrat</w:t>
      </w:r>
      <w:proofErr w:type="spellEnd"/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7E6BB5">
        <w:rPr>
          <w:sz w:val="24"/>
          <w:szCs w:val="24"/>
        </w:rPr>
        <w:t xml:space="preserve">Der opnås høje koncentrationer af </w:t>
      </w:r>
      <w:proofErr w:type="spellStart"/>
      <w:r w:rsidRPr="007E6BB5">
        <w:rPr>
          <w:sz w:val="24"/>
          <w:szCs w:val="24"/>
        </w:rPr>
        <w:t>miconazolnitrat</w:t>
      </w:r>
      <w:proofErr w:type="spellEnd"/>
      <w:r w:rsidRPr="007E6BB5">
        <w:rPr>
          <w:sz w:val="24"/>
          <w:szCs w:val="24"/>
        </w:rPr>
        <w:t xml:space="preserve"> i hårlagt og på huden i de 10 minutter efter behandlingen. Koncentratio</w:t>
      </w:r>
      <w:r>
        <w:rPr>
          <w:sz w:val="24"/>
          <w:szCs w:val="24"/>
        </w:rPr>
        <w:t>n</w:t>
      </w:r>
      <w:r w:rsidRPr="007E6BB5">
        <w:rPr>
          <w:sz w:val="24"/>
          <w:szCs w:val="24"/>
        </w:rPr>
        <w:t xml:space="preserve">en i dette tidsrum overstiger betydeligt MIC for </w:t>
      </w:r>
      <w:proofErr w:type="spellStart"/>
      <w:r w:rsidRPr="007E6BB5">
        <w:rPr>
          <w:sz w:val="24"/>
          <w:szCs w:val="24"/>
        </w:rPr>
        <w:t>Malassezia</w:t>
      </w:r>
      <w:proofErr w:type="spellEnd"/>
      <w:r w:rsidRPr="007E6BB5">
        <w:rPr>
          <w:sz w:val="24"/>
          <w:szCs w:val="24"/>
        </w:rPr>
        <w:t xml:space="preserve"> </w:t>
      </w:r>
      <w:proofErr w:type="spellStart"/>
      <w:r w:rsidRPr="007E6BB5">
        <w:rPr>
          <w:sz w:val="24"/>
          <w:szCs w:val="24"/>
        </w:rPr>
        <w:t>pachydermatis</w:t>
      </w:r>
      <w:proofErr w:type="spellEnd"/>
      <w:r w:rsidRPr="007E6BB5">
        <w:rPr>
          <w:sz w:val="24"/>
          <w:szCs w:val="24"/>
        </w:rPr>
        <w:t>.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7E6BB5">
        <w:rPr>
          <w:sz w:val="24"/>
          <w:szCs w:val="24"/>
        </w:rPr>
        <w:t xml:space="preserve">Efter </w:t>
      </w:r>
      <w:proofErr w:type="spellStart"/>
      <w:r w:rsidRPr="007E6BB5">
        <w:rPr>
          <w:sz w:val="24"/>
          <w:szCs w:val="24"/>
        </w:rPr>
        <w:t>topical</w:t>
      </w:r>
      <w:proofErr w:type="spellEnd"/>
      <w:r w:rsidRPr="007E6BB5">
        <w:rPr>
          <w:sz w:val="24"/>
          <w:szCs w:val="24"/>
        </w:rPr>
        <w:t xml:space="preserve"> anvendelse er absorptionen gennem hud eller </w:t>
      </w:r>
      <w:proofErr w:type="spellStart"/>
      <w:r w:rsidRPr="007E6BB5">
        <w:rPr>
          <w:sz w:val="24"/>
          <w:szCs w:val="24"/>
        </w:rPr>
        <w:t>mukøse</w:t>
      </w:r>
      <w:proofErr w:type="spellEnd"/>
      <w:r w:rsidRPr="007E6BB5">
        <w:rPr>
          <w:sz w:val="24"/>
          <w:szCs w:val="24"/>
        </w:rPr>
        <w:t xml:space="preserve"> membraner begrænset.</w:t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6.</w:t>
      </w:r>
      <w:r w:rsidRPr="00CC5759">
        <w:rPr>
          <w:b/>
          <w:sz w:val="24"/>
          <w:szCs w:val="24"/>
        </w:rPr>
        <w:tab/>
        <w:t>FARMACEUTISKE OPLYSNINGER</w:t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6.1</w:t>
      </w:r>
      <w:r w:rsidRPr="00CC5759">
        <w:rPr>
          <w:b/>
          <w:sz w:val="24"/>
          <w:szCs w:val="24"/>
        </w:rPr>
        <w:tab/>
        <w:t>Hjælpestoffer</w:t>
      </w: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E6BB5">
        <w:rPr>
          <w:sz w:val="24"/>
          <w:szCs w:val="24"/>
        </w:rPr>
        <w:t>Methylchloroisothiazolinon</w:t>
      </w:r>
      <w:proofErr w:type="spellEnd"/>
    </w:p>
    <w:p w:rsidR="002776BB" w:rsidRPr="007D4B3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D4B39">
        <w:rPr>
          <w:sz w:val="24"/>
          <w:szCs w:val="24"/>
        </w:rPr>
        <w:t>Methylisothiazolinon</w:t>
      </w:r>
      <w:proofErr w:type="spellEnd"/>
    </w:p>
    <w:p w:rsidR="002776BB" w:rsidRPr="007D4B3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D4B39">
        <w:rPr>
          <w:sz w:val="24"/>
          <w:szCs w:val="24"/>
        </w:rPr>
        <w:t>Macrogol</w:t>
      </w:r>
      <w:proofErr w:type="spellEnd"/>
      <w:r w:rsidRPr="007D4B39">
        <w:rPr>
          <w:sz w:val="24"/>
          <w:szCs w:val="24"/>
        </w:rPr>
        <w:t xml:space="preserve"> </w:t>
      </w:r>
      <w:proofErr w:type="spellStart"/>
      <w:r w:rsidRPr="007D4B39">
        <w:rPr>
          <w:sz w:val="24"/>
          <w:szCs w:val="24"/>
        </w:rPr>
        <w:t>laurylæter</w:t>
      </w:r>
      <w:proofErr w:type="spellEnd"/>
    </w:p>
    <w:p w:rsidR="002776BB" w:rsidRPr="007D4B3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D4B39">
        <w:rPr>
          <w:sz w:val="24"/>
          <w:szCs w:val="24"/>
        </w:rPr>
        <w:t>Cocamidopropylbetain</w:t>
      </w:r>
      <w:proofErr w:type="spellEnd"/>
    </w:p>
    <w:p w:rsidR="002776BB" w:rsidRPr="007D4B3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D4B39">
        <w:rPr>
          <w:sz w:val="24"/>
          <w:szCs w:val="24"/>
        </w:rPr>
        <w:t>Dinatriumcocoamphodiacetat</w:t>
      </w:r>
      <w:proofErr w:type="spellEnd"/>
    </w:p>
    <w:p w:rsidR="002776BB" w:rsidRPr="007D4B3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D4B39">
        <w:rPr>
          <w:sz w:val="24"/>
          <w:szCs w:val="24"/>
        </w:rPr>
        <w:lastRenderedPageBreak/>
        <w:t>Cetrimoniumchlorid</w:t>
      </w:r>
      <w:proofErr w:type="spellEnd"/>
    </w:p>
    <w:p w:rsidR="002776BB" w:rsidRPr="007D4B3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D4B39">
        <w:rPr>
          <w:sz w:val="24"/>
          <w:szCs w:val="24"/>
        </w:rPr>
        <w:t>Macrogol</w:t>
      </w:r>
      <w:proofErr w:type="spellEnd"/>
      <w:r w:rsidRPr="007D4B39">
        <w:rPr>
          <w:sz w:val="24"/>
          <w:szCs w:val="24"/>
        </w:rPr>
        <w:t xml:space="preserve"> 120 </w:t>
      </w:r>
      <w:proofErr w:type="spellStart"/>
      <w:r w:rsidRPr="007D4B39">
        <w:rPr>
          <w:sz w:val="24"/>
          <w:szCs w:val="24"/>
        </w:rPr>
        <w:t>methylglucosedioleat</w:t>
      </w:r>
      <w:proofErr w:type="spellEnd"/>
    </w:p>
    <w:p w:rsidR="002776BB" w:rsidRPr="007D4B3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D4B39">
        <w:rPr>
          <w:sz w:val="24"/>
          <w:szCs w:val="24"/>
        </w:rPr>
        <w:t>Magnesiumchlorid</w:t>
      </w:r>
      <w:proofErr w:type="spellEnd"/>
    </w:p>
    <w:p w:rsidR="002776BB" w:rsidRPr="007D4B3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D4B39">
        <w:rPr>
          <w:sz w:val="24"/>
          <w:szCs w:val="24"/>
        </w:rPr>
        <w:t>Natriumchlorid</w:t>
      </w:r>
      <w:proofErr w:type="spellEnd"/>
    </w:p>
    <w:p w:rsidR="002776BB" w:rsidRPr="007D4B3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7D4B39">
        <w:rPr>
          <w:sz w:val="24"/>
          <w:szCs w:val="24"/>
        </w:rPr>
        <w:t>Magnesiumnitrat</w:t>
      </w:r>
    </w:p>
    <w:p w:rsidR="002776BB" w:rsidRPr="007D4B3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7D4B39">
        <w:rPr>
          <w:sz w:val="24"/>
          <w:szCs w:val="24"/>
        </w:rPr>
        <w:t xml:space="preserve">Citronsyre </w:t>
      </w:r>
      <w:proofErr w:type="spellStart"/>
      <w:r w:rsidRPr="007D4B39">
        <w:rPr>
          <w:sz w:val="24"/>
          <w:szCs w:val="24"/>
        </w:rPr>
        <w:t>monohydrate</w:t>
      </w:r>
      <w:proofErr w:type="spellEnd"/>
      <w:r w:rsidRPr="007D4B39">
        <w:rPr>
          <w:sz w:val="24"/>
          <w:szCs w:val="24"/>
        </w:rPr>
        <w:t xml:space="preserve"> (til justering af pH)</w:t>
      </w:r>
    </w:p>
    <w:p w:rsidR="002776BB" w:rsidRPr="007D4B3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7D4B39">
        <w:rPr>
          <w:sz w:val="24"/>
          <w:szCs w:val="24"/>
        </w:rPr>
        <w:t>Benzoesyre (E210)</w:t>
      </w: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Sterilt vand</w:t>
      </w: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6.2</w:t>
      </w:r>
      <w:r w:rsidRPr="00CC5759">
        <w:rPr>
          <w:b/>
          <w:sz w:val="24"/>
          <w:szCs w:val="24"/>
        </w:rPr>
        <w:tab/>
        <w:t>Uforligeligheder</w:t>
      </w:r>
    </w:p>
    <w:p w:rsidR="002776BB" w:rsidRPr="00CC5759" w:rsidRDefault="002776BB" w:rsidP="002776B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CC5759">
        <w:rPr>
          <w:sz w:val="24"/>
          <w:szCs w:val="24"/>
        </w:rPr>
        <w:tab/>
      </w:r>
      <w:r>
        <w:rPr>
          <w:sz w:val="24"/>
          <w:szCs w:val="24"/>
        </w:rPr>
        <w:t>Ingen kendte.</w:t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6.3</w:t>
      </w:r>
      <w:r w:rsidRPr="00CC5759">
        <w:rPr>
          <w:b/>
          <w:sz w:val="24"/>
          <w:szCs w:val="24"/>
        </w:rPr>
        <w:tab/>
        <w:t>Opbevaringstid</w:t>
      </w:r>
    </w:p>
    <w:p w:rsidR="002776BB" w:rsidRPr="007E6BB5" w:rsidRDefault="002776BB" w:rsidP="002776BB">
      <w:pPr>
        <w:tabs>
          <w:tab w:val="left" w:pos="851"/>
        </w:tabs>
        <w:ind w:left="851" w:right="-318"/>
        <w:rPr>
          <w:sz w:val="24"/>
          <w:szCs w:val="24"/>
        </w:rPr>
      </w:pPr>
      <w:r>
        <w:rPr>
          <w:sz w:val="24"/>
          <w:szCs w:val="24"/>
        </w:rPr>
        <w:t xml:space="preserve">I salgspakning: 2 </w:t>
      </w:r>
      <w:r w:rsidRPr="007E6BB5">
        <w:rPr>
          <w:sz w:val="24"/>
          <w:szCs w:val="24"/>
        </w:rPr>
        <w:t>år.</w:t>
      </w:r>
    </w:p>
    <w:p w:rsidR="002776BB" w:rsidRPr="00CC5759" w:rsidRDefault="002776BB" w:rsidP="002776BB">
      <w:pPr>
        <w:tabs>
          <w:tab w:val="left" w:pos="851"/>
        </w:tabs>
        <w:ind w:left="851" w:right="-318"/>
        <w:rPr>
          <w:sz w:val="24"/>
          <w:szCs w:val="24"/>
        </w:rPr>
      </w:pPr>
      <w:r>
        <w:rPr>
          <w:sz w:val="24"/>
          <w:szCs w:val="24"/>
        </w:rPr>
        <w:t>E</w:t>
      </w:r>
      <w:r w:rsidRPr="007E6BB5">
        <w:rPr>
          <w:sz w:val="24"/>
          <w:szCs w:val="24"/>
        </w:rPr>
        <w:t>fter første åbning af den indre emballage: 3 måneder.</w:t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6.4</w:t>
      </w:r>
      <w:r w:rsidRPr="00CC5759">
        <w:rPr>
          <w:b/>
          <w:sz w:val="24"/>
          <w:szCs w:val="24"/>
        </w:rPr>
        <w:tab/>
        <w:t>Særlige opbevaringsforhold</w:t>
      </w:r>
    </w:p>
    <w:p w:rsidR="002776BB" w:rsidRPr="007E6BB5" w:rsidRDefault="002776BB" w:rsidP="002776BB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7E6BB5">
        <w:rPr>
          <w:noProof/>
          <w:sz w:val="24"/>
          <w:szCs w:val="24"/>
        </w:rPr>
        <w:t>Må ikke opbevares over 25</w:t>
      </w:r>
      <w:r>
        <w:rPr>
          <w:noProof/>
          <w:sz w:val="24"/>
          <w:szCs w:val="24"/>
        </w:rPr>
        <w:t xml:space="preserve"> </w:t>
      </w:r>
      <w:r w:rsidRPr="007E6BB5">
        <w:rPr>
          <w:noProof/>
          <w:sz w:val="24"/>
          <w:szCs w:val="24"/>
        </w:rPr>
        <w:t>°C.</w:t>
      </w:r>
    </w:p>
    <w:p w:rsidR="002776BB" w:rsidRPr="00CC5759" w:rsidRDefault="002776BB" w:rsidP="002776BB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7E6BB5">
        <w:rPr>
          <w:noProof/>
          <w:sz w:val="24"/>
          <w:szCs w:val="24"/>
        </w:rPr>
        <w:t>Må ikke opbevares i køleskab eller fryses.</w:t>
      </w:r>
    </w:p>
    <w:p w:rsidR="002776BB" w:rsidRPr="00CC5759" w:rsidRDefault="002776BB" w:rsidP="002776BB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6.5</w:t>
      </w:r>
      <w:r w:rsidRPr="00CC5759">
        <w:rPr>
          <w:b/>
          <w:sz w:val="24"/>
          <w:szCs w:val="24"/>
        </w:rPr>
        <w:tab/>
        <w:t>Emballage</w:t>
      </w: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</w:t>
      </w:r>
      <w:r w:rsidRPr="007E6BB5">
        <w:rPr>
          <w:sz w:val="24"/>
          <w:szCs w:val="24"/>
        </w:rPr>
        <w:t>vid</w:t>
      </w:r>
      <w:r>
        <w:rPr>
          <w:sz w:val="24"/>
          <w:szCs w:val="24"/>
        </w:rPr>
        <w:t>, halvgennemsigtig po</w:t>
      </w:r>
      <w:r w:rsidRPr="007E6BB5">
        <w:rPr>
          <w:sz w:val="24"/>
          <w:szCs w:val="24"/>
        </w:rPr>
        <w:t xml:space="preserve">lypropylenflaske med en oplukkelig </w:t>
      </w:r>
      <w:r>
        <w:rPr>
          <w:sz w:val="24"/>
          <w:szCs w:val="24"/>
        </w:rPr>
        <w:t>polypropylen-</w:t>
      </w:r>
      <w:r w:rsidRPr="007E6BB5">
        <w:rPr>
          <w:sz w:val="24"/>
          <w:szCs w:val="24"/>
        </w:rPr>
        <w:t>kappe.</w:t>
      </w:r>
    </w:p>
    <w:p w:rsidR="002776BB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</w:p>
    <w:p w:rsidR="002776BB" w:rsidRPr="0051394D" w:rsidRDefault="002776BB" w:rsidP="002776B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394D">
        <w:rPr>
          <w:sz w:val="24"/>
          <w:szCs w:val="24"/>
          <w:u w:val="single"/>
        </w:rPr>
        <w:t>Pakningsstørrelser</w:t>
      </w: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7E6BB5">
        <w:rPr>
          <w:sz w:val="24"/>
          <w:szCs w:val="24"/>
        </w:rPr>
        <w:t>Flaske med 200 ml</w:t>
      </w:r>
      <w:r>
        <w:rPr>
          <w:sz w:val="24"/>
          <w:szCs w:val="24"/>
        </w:rPr>
        <w:t xml:space="preserve"> eller </w:t>
      </w:r>
      <w:r w:rsidRPr="007E6BB5">
        <w:rPr>
          <w:sz w:val="24"/>
          <w:szCs w:val="24"/>
        </w:rPr>
        <w:t>500 ml.</w:t>
      </w:r>
    </w:p>
    <w:p w:rsidR="002776BB" w:rsidRPr="007E6BB5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7E6BB5">
        <w:rPr>
          <w:sz w:val="24"/>
          <w:szCs w:val="24"/>
        </w:rPr>
        <w:t>Æske med 1 f</w:t>
      </w:r>
      <w:r>
        <w:rPr>
          <w:sz w:val="24"/>
          <w:szCs w:val="24"/>
        </w:rPr>
        <w:t>laske med 200 ml eller</w:t>
      </w:r>
      <w:r w:rsidRPr="007E6BB5">
        <w:rPr>
          <w:sz w:val="24"/>
          <w:szCs w:val="24"/>
        </w:rPr>
        <w:t xml:space="preserve"> 500 ml.</w:t>
      </w:r>
    </w:p>
    <w:p w:rsidR="002776BB" w:rsidRPr="00CC5759" w:rsidRDefault="002776BB" w:rsidP="002776BB">
      <w:pPr>
        <w:tabs>
          <w:tab w:val="left" w:pos="851"/>
        </w:tabs>
        <w:ind w:left="851"/>
        <w:rPr>
          <w:sz w:val="24"/>
          <w:szCs w:val="24"/>
        </w:rPr>
      </w:pPr>
      <w:r w:rsidRPr="007E6BB5">
        <w:rPr>
          <w:sz w:val="24"/>
          <w:szCs w:val="24"/>
        </w:rPr>
        <w:t>Ikke alle pakningsstørrelser er nødvendigvis markedsført.</w:t>
      </w:r>
    </w:p>
    <w:p w:rsidR="002776BB" w:rsidRPr="00CC5759" w:rsidRDefault="002776BB" w:rsidP="002776B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6.6</w:t>
      </w:r>
      <w:r w:rsidRPr="00CC5759">
        <w:rPr>
          <w:b/>
          <w:sz w:val="24"/>
          <w:szCs w:val="24"/>
        </w:rPr>
        <w:tab/>
        <w:t>Særlige forholdsregler ved bortskaffelse af rester af lægemidlet eller affald</w:t>
      </w:r>
    </w:p>
    <w:p w:rsidR="002776BB" w:rsidRPr="00CC5759" w:rsidRDefault="002776BB" w:rsidP="002776BB">
      <w:pPr>
        <w:tabs>
          <w:tab w:val="left" w:pos="851"/>
        </w:tabs>
        <w:ind w:left="851" w:right="-318"/>
        <w:rPr>
          <w:sz w:val="24"/>
          <w:szCs w:val="24"/>
        </w:rPr>
      </w:pPr>
      <w:r w:rsidRPr="007E6BB5">
        <w:rPr>
          <w:sz w:val="24"/>
          <w:szCs w:val="24"/>
        </w:rPr>
        <w:t>Ikke anvendte ve</w:t>
      </w:r>
      <w:r>
        <w:rPr>
          <w:sz w:val="24"/>
          <w:szCs w:val="24"/>
        </w:rPr>
        <w:t>terinærlægemidler</w:t>
      </w:r>
      <w:r w:rsidRPr="007E6BB5">
        <w:rPr>
          <w:sz w:val="24"/>
          <w:szCs w:val="24"/>
        </w:rPr>
        <w:t xml:space="preserve"> samt affald heraf bør destrueres i henhold til lokale </w:t>
      </w:r>
      <w:proofErr w:type="spellStart"/>
      <w:r w:rsidRPr="007E6BB5">
        <w:rPr>
          <w:sz w:val="24"/>
          <w:szCs w:val="24"/>
        </w:rPr>
        <w:t>retningslinier</w:t>
      </w:r>
      <w:proofErr w:type="spellEnd"/>
      <w:r w:rsidRPr="007E6BB5">
        <w:rPr>
          <w:sz w:val="24"/>
          <w:szCs w:val="24"/>
        </w:rPr>
        <w:t>.</w:t>
      </w:r>
    </w:p>
    <w:p w:rsidR="002776BB" w:rsidRPr="00CC5759" w:rsidRDefault="002776BB" w:rsidP="002776B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7.</w:t>
      </w:r>
      <w:r w:rsidRPr="00CC5759">
        <w:rPr>
          <w:b/>
          <w:sz w:val="24"/>
          <w:szCs w:val="24"/>
        </w:rPr>
        <w:tab/>
        <w:t>INDEHAVER AF MARKEDSFØRINGSTILLADELSEN</w:t>
      </w:r>
    </w:p>
    <w:p w:rsidR="00D73BE3" w:rsidRPr="00433B66" w:rsidRDefault="00D73BE3" w:rsidP="00D73BE3">
      <w:pPr>
        <w:ind w:left="851" w:right="-318"/>
        <w:rPr>
          <w:sz w:val="24"/>
          <w:szCs w:val="24"/>
        </w:rPr>
      </w:pPr>
      <w:proofErr w:type="spellStart"/>
      <w:r w:rsidRPr="00433B66">
        <w:rPr>
          <w:sz w:val="24"/>
          <w:szCs w:val="24"/>
        </w:rPr>
        <w:t>Ceva</w:t>
      </w:r>
      <w:proofErr w:type="spellEnd"/>
      <w:r w:rsidRPr="00433B66">
        <w:rPr>
          <w:sz w:val="24"/>
          <w:szCs w:val="24"/>
        </w:rPr>
        <w:t xml:space="preserve"> </w:t>
      </w:r>
      <w:proofErr w:type="spellStart"/>
      <w:r w:rsidRPr="00433B66">
        <w:rPr>
          <w:sz w:val="24"/>
          <w:szCs w:val="24"/>
        </w:rPr>
        <w:t>Santé</w:t>
      </w:r>
      <w:proofErr w:type="spellEnd"/>
      <w:r w:rsidRPr="00433B66">
        <w:rPr>
          <w:sz w:val="24"/>
          <w:szCs w:val="24"/>
        </w:rPr>
        <w:t xml:space="preserve"> </w:t>
      </w:r>
      <w:proofErr w:type="spellStart"/>
      <w:r w:rsidRPr="00433B66">
        <w:rPr>
          <w:sz w:val="24"/>
          <w:szCs w:val="24"/>
        </w:rPr>
        <w:t>Animale</w:t>
      </w:r>
      <w:proofErr w:type="spellEnd"/>
    </w:p>
    <w:p w:rsidR="00D73BE3" w:rsidRPr="00433B66" w:rsidRDefault="00D73BE3" w:rsidP="00D73BE3">
      <w:pPr>
        <w:ind w:left="851" w:right="-318"/>
        <w:rPr>
          <w:sz w:val="24"/>
          <w:szCs w:val="24"/>
        </w:rPr>
      </w:pPr>
      <w:r w:rsidRPr="00433B66">
        <w:rPr>
          <w:sz w:val="24"/>
          <w:szCs w:val="24"/>
        </w:rPr>
        <w:t xml:space="preserve">10 avenue de la </w:t>
      </w:r>
      <w:proofErr w:type="spellStart"/>
      <w:r w:rsidRPr="00433B66">
        <w:rPr>
          <w:sz w:val="24"/>
          <w:szCs w:val="24"/>
        </w:rPr>
        <w:t>Ballastière</w:t>
      </w:r>
      <w:proofErr w:type="spellEnd"/>
    </w:p>
    <w:p w:rsidR="00D73BE3" w:rsidRPr="00433B66" w:rsidRDefault="00D73BE3" w:rsidP="00D73BE3">
      <w:pPr>
        <w:ind w:left="851" w:right="-318"/>
        <w:rPr>
          <w:sz w:val="24"/>
          <w:szCs w:val="24"/>
        </w:rPr>
      </w:pPr>
      <w:r w:rsidRPr="00433B66">
        <w:rPr>
          <w:sz w:val="24"/>
          <w:szCs w:val="24"/>
        </w:rPr>
        <w:t xml:space="preserve">33500 </w:t>
      </w:r>
      <w:proofErr w:type="spellStart"/>
      <w:r w:rsidRPr="00433B66">
        <w:rPr>
          <w:sz w:val="24"/>
          <w:szCs w:val="24"/>
        </w:rPr>
        <w:t>Libourne</w:t>
      </w:r>
      <w:proofErr w:type="spellEnd"/>
    </w:p>
    <w:p w:rsidR="00D73BE3" w:rsidRPr="00433B66" w:rsidRDefault="00D73BE3" w:rsidP="00D73BE3">
      <w:pPr>
        <w:ind w:left="851" w:right="-318"/>
        <w:rPr>
          <w:sz w:val="24"/>
          <w:szCs w:val="24"/>
        </w:rPr>
      </w:pPr>
      <w:r w:rsidRPr="00433B66">
        <w:rPr>
          <w:sz w:val="24"/>
          <w:szCs w:val="24"/>
        </w:rPr>
        <w:t>Frankrig</w:t>
      </w:r>
    </w:p>
    <w:p w:rsidR="00D73BE3" w:rsidRPr="00433B66" w:rsidRDefault="00D73BE3" w:rsidP="00D73BE3">
      <w:pPr>
        <w:ind w:left="851" w:right="-318"/>
        <w:rPr>
          <w:sz w:val="24"/>
          <w:szCs w:val="24"/>
        </w:rPr>
      </w:pPr>
    </w:p>
    <w:p w:rsidR="00D73BE3" w:rsidRPr="00433B66" w:rsidRDefault="00D73BE3" w:rsidP="00D73BE3">
      <w:pPr>
        <w:ind w:left="851" w:right="-318"/>
        <w:rPr>
          <w:b/>
          <w:sz w:val="24"/>
          <w:szCs w:val="24"/>
        </w:rPr>
      </w:pPr>
      <w:r w:rsidRPr="00433B66">
        <w:rPr>
          <w:b/>
          <w:sz w:val="24"/>
          <w:szCs w:val="24"/>
        </w:rPr>
        <w:t>Repræsentant</w:t>
      </w:r>
    </w:p>
    <w:p w:rsidR="004B53E6" w:rsidRPr="004B53E6" w:rsidRDefault="004B53E6" w:rsidP="004B53E6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4B53E6">
        <w:rPr>
          <w:sz w:val="24"/>
          <w:szCs w:val="24"/>
          <w:lang w:val="en-US"/>
        </w:rPr>
        <w:t>Ceva</w:t>
      </w:r>
      <w:proofErr w:type="spellEnd"/>
      <w:r w:rsidRPr="004B53E6">
        <w:rPr>
          <w:sz w:val="24"/>
          <w:szCs w:val="24"/>
          <w:lang w:val="en-US"/>
        </w:rPr>
        <w:t xml:space="preserve"> Animal Health A/S</w:t>
      </w:r>
    </w:p>
    <w:p w:rsidR="004B53E6" w:rsidRPr="004B53E6" w:rsidRDefault="004B53E6" w:rsidP="004B53E6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4B53E6">
        <w:rPr>
          <w:sz w:val="24"/>
          <w:szCs w:val="24"/>
          <w:lang w:val="en-US"/>
        </w:rPr>
        <w:t>Porschevej</w:t>
      </w:r>
      <w:proofErr w:type="spellEnd"/>
      <w:r w:rsidRPr="004B53E6">
        <w:rPr>
          <w:sz w:val="24"/>
          <w:szCs w:val="24"/>
          <w:lang w:val="en-US"/>
        </w:rPr>
        <w:t xml:space="preserve"> 12 </w:t>
      </w:r>
    </w:p>
    <w:p w:rsidR="002776BB" w:rsidRPr="006B1E8D" w:rsidRDefault="004B53E6" w:rsidP="004B53E6">
      <w:pPr>
        <w:tabs>
          <w:tab w:val="left" w:pos="851"/>
        </w:tabs>
        <w:ind w:left="851"/>
        <w:rPr>
          <w:bCs/>
          <w:sz w:val="24"/>
          <w:szCs w:val="24"/>
        </w:rPr>
      </w:pPr>
      <w:r w:rsidRPr="004B53E6">
        <w:rPr>
          <w:sz w:val="24"/>
          <w:szCs w:val="24"/>
          <w:lang w:val="en-US"/>
        </w:rPr>
        <w:t xml:space="preserve">7100 </w:t>
      </w:r>
      <w:proofErr w:type="spellStart"/>
      <w:r w:rsidRPr="004B53E6">
        <w:rPr>
          <w:sz w:val="24"/>
          <w:szCs w:val="24"/>
          <w:lang w:val="en-US"/>
        </w:rPr>
        <w:t>Vejle</w:t>
      </w:r>
      <w:proofErr w:type="spellEnd"/>
    </w:p>
    <w:p w:rsidR="002776BB" w:rsidRPr="006B1E8D" w:rsidRDefault="002776BB" w:rsidP="002776B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8.</w:t>
      </w:r>
      <w:r w:rsidRPr="00CC5759">
        <w:rPr>
          <w:b/>
          <w:sz w:val="24"/>
          <w:szCs w:val="24"/>
        </w:rPr>
        <w:tab/>
        <w:t>MARKEDSFØRINGSTILLADELSESNUMMER (NUMRE)</w:t>
      </w:r>
    </w:p>
    <w:p w:rsidR="002776BB" w:rsidRPr="00CC5759" w:rsidRDefault="002776BB" w:rsidP="002776B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CC5759">
        <w:rPr>
          <w:sz w:val="24"/>
          <w:szCs w:val="24"/>
        </w:rPr>
        <w:tab/>
      </w:r>
      <w:r>
        <w:rPr>
          <w:sz w:val="24"/>
          <w:szCs w:val="24"/>
        </w:rPr>
        <w:t>52960</w:t>
      </w:r>
    </w:p>
    <w:p w:rsidR="002776BB" w:rsidRPr="00CC5759" w:rsidRDefault="002776BB" w:rsidP="002776B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9.</w:t>
      </w:r>
      <w:r w:rsidRPr="00CC5759">
        <w:rPr>
          <w:b/>
          <w:sz w:val="24"/>
          <w:szCs w:val="24"/>
        </w:rPr>
        <w:tab/>
        <w:t>DATO FOR FØRSTE MARKEDSFØRINGSTILLADELSE</w:t>
      </w:r>
    </w:p>
    <w:p w:rsidR="002776BB" w:rsidRPr="00CC5759" w:rsidRDefault="002776BB" w:rsidP="002776B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CC5759">
        <w:rPr>
          <w:sz w:val="24"/>
          <w:szCs w:val="24"/>
        </w:rPr>
        <w:tab/>
      </w:r>
      <w:r>
        <w:rPr>
          <w:sz w:val="24"/>
          <w:szCs w:val="24"/>
        </w:rPr>
        <w:t>28. august 2014</w:t>
      </w:r>
    </w:p>
    <w:p w:rsidR="002776BB" w:rsidRPr="00CC5759" w:rsidRDefault="002776BB" w:rsidP="002776B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10.</w:t>
      </w:r>
      <w:r w:rsidRPr="00CC5759">
        <w:rPr>
          <w:b/>
          <w:sz w:val="24"/>
          <w:szCs w:val="24"/>
        </w:rPr>
        <w:tab/>
        <w:t>DATO FOR ÆNDRING AF TEKSTEN</w:t>
      </w:r>
    </w:p>
    <w:p w:rsidR="002776BB" w:rsidRPr="00CC5759" w:rsidRDefault="002776BB" w:rsidP="002776B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CC5759">
        <w:rPr>
          <w:sz w:val="24"/>
          <w:szCs w:val="24"/>
        </w:rPr>
        <w:tab/>
      </w:r>
      <w:r w:rsidR="004B53E6">
        <w:rPr>
          <w:sz w:val="24"/>
          <w:szCs w:val="24"/>
        </w:rPr>
        <w:t>22. marts 2023</w:t>
      </w:r>
    </w:p>
    <w:p w:rsidR="002776BB" w:rsidRPr="00CC5759" w:rsidRDefault="002776BB" w:rsidP="002776BB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2776BB" w:rsidRPr="00CC5759" w:rsidRDefault="002776BB" w:rsidP="002776B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C5759">
        <w:rPr>
          <w:b/>
          <w:sz w:val="24"/>
          <w:szCs w:val="24"/>
        </w:rPr>
        <w:t>11.</w:t>
      </w:r>
      <w:r w:rsidRPr="00CC5759">
        <w:rPr>
          <w:b/>
          <w:sz w:val="24"/>
          <w:szCs w:val="24"/>
        </w:rPr>
        <w:tab/>
        <w:t>UDLEVERINGSBESTEMMELSE</w:t>
      </w:r>
    </w:p>
    <w:p w:rsidR="002776BB" w:rsidRPr="006A6458" w:rsidRDefault="002776BB" w:rsidP="002776BB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 w:rsidRPr="00CC5759">
        <w:rPr>
          <w:szCs w:val="24"/>
        </w:rPr>
        <w:tab/>
      </w:r>
      <w:r>
        <w:rPr>
          <w:szCs w:val="24"/>
        </w:rPr>
        <w:t>B</w:t>
      </w:r>
    </w:p>
    <w:p w:rsidR="002776BB" w:rsidRPr="00C674EB" w:rsidRDefault="002776BB" w:rsidP="002776BB"/>
    <w:p w:rsidR="0003527F" w:rsidRPr="002776BB" w:rsidRDefault="0003527F" w:rsidP="002776BB"/>
    <w:sectPr w:rsidR="0003527F" w:rsidRPr="002776BB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BB" w:rsidRDefault="002776BB">
      <w:r>
        <w:separator/>
      </w:r>
    </w:p>
  </w:endnote>
  <w:endnote w:type="continuationSeparator" w:id="0">
    <w:p w:rsidR="002776BB" w:rsidRDefault="0027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72057F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72057F">
      <w:rPr>
        <w:i/>
        <w:snapToGrid w:val="0"/>
        <w:sz w:val="18"/>
      </w:rPr>
      <w:t>Adaxio</w:t>
    </w:r>
    <w:proofErr w:type="spellEnd"/>
    <w:r w:rsidRPr="0072057F">
      <w:rPr>
        <w:i/>
        <w:snapToGrid w:val="0"/>
        <w:sz w:val="18"/>
      </w:rPr>
      <w:t xml:space="preserve"> </w:t>
    </w:r>
    <w:proofErr w:type="spellStart"/>
    <w:r w:rsidRPr="0072057F">
      <w:rPr>
        <w:i/>
        <w:snapToGrid w:val="0"/>
        <w:sz w:val="18"/>
      </w:rPr>
      <w:t>Vet</w:t>
    </w:r>
    <w:proofErr w:type="spellEnd"/>
    <w:r w:rsidRPr="0072057F">
      <w:rPr>
        <w:i/>
        <w:snapToGrid w:val="0"/>
        <w:sz w:val="18"/>
      </w:rPr>
      <w:t>., shampoo 20+20 mg-ml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2776BB">
      <w:rPr>
        <w:i/>
        <w:noProof/>
        <w:snapToGrid w:val="0"/>
        <w:sz w:val="18"/>
      </w:rPr>
      <w:t>Dokument2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BB" w:rsidRDefault="002776BB">
      <w:r>
        <w:separator/>
      </w:r>
    </w:p>
  </w:footnote>
  <w:footnote w:type="continuationSeparator" w:id="0">
    <w:p w:rsidR="002776BB" w:rsidRDefault="0027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07588"/>
    <w:multiLevelType w:val="hybridMultilevel"/>
    <w:tmpl w:val="76D44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BB"/>
    <w:rsid w:val="0003527F"/>
    <w:rsid w:val="00065C7D"/>
    <w:rsid w:val="000C6CD4"/>
    <w:rsid w:val="001577E4"/>
    <w:rsid w:val="001858CA"/>
    <w:rsid w:val="001C4AEF"/>
    <w:rsid w:val="001D3CC5"/>
    <w:rsid w:val="002776BB"/>
    <w:rsid w:val="00322BDE"/>
    <w:rsid w:val="00406EE7"/>
    <w:rsid w:val="00407013"/>
    <w:rsid w:val="00433B66"/>
    <w:rsid w:val="004A62CC"/>
    <w:rsid w:val="004B53E6"/>
    <w:rsid w:val="00565A74"/>
    <w:rsid w:val="00590986"/>
    <w:rsid w:val="005B0036"/>
    <w:rsid w:val="005F5831"/>
    <w:rsid w:val="00662012"/>
    <w:rsid w:val="00666B01"/>
    <w:rsid w:val="006B1539"/>
    <w:rsid w:val="006D4B41"/>
    <w:rsid w:val="006F5621"/>
    <w:rsid w:val="0072057F"/>
    <w:rsid w:val="007E2A00"/>
    <w:rsid w:val="008010F2"/>
    <w:rsid w:val="009202AE"/>
    <w:rsid w:val="00932676"/>
    <w:rsid w:val="009D66C6"/>
    <w:rsid w:val="00A96525"/>
    <w:rsid w:val="00AE29E5"/>
    <w:rsid w:val="00AE5757"/>
    <w:rsid w:val="00B25EB8"/>
    <w:rsid w:val="00B5152D"/>
    <w:rsid w:val="00BC634B"/>
    <w:rsid w:val="00BF2AE0"/>
    <w:rsid w:val="00C479BF"/>
    <w:rsid w:val="00D567AA"/>
    <w:rsid w:val="00D73BE3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0E5F2"/>
  <w15:chartTrackingRefBased/>
  <w15:docId w15:val="{D31D7F91-C646-4B70-A889-FDA9BA9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2776BB"/>
    <w:pPr>
      <w:tabs>
        <w:tab w:val="left" w:pos="567"/>
      </w:tabs>
      <w:spacing w:line="260" w:lineRule="exact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2</TotalTime>
  <Pages>6</Pages>
  <Words>1127</Words>
  <Characters>7380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2022111731_x000d_
Ændring af repræsentant adresse</dc:description>
  <cp:lastModifiedBy>Marianne Ott Jensen</cp:lastModifiedBy>
  <cp:revision>3</cp:revision>
  <dcterms:created xsi:type="dcterms:W3CDTF">2023-03-22T07:35:00Z</dcterms:created>
  <dcterms:modified xsi:type="dcterms:W3CDTF">2023-03-22T07:37:00Z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