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0971" w:rsidRPr="008F49E1" w:rsidRDefault="00320971" w:rsidP="00320971">
      <w:pPr>
        <w:rPr>
          <w:sz w:val="24"/>
          <w:szCs w:val="24"/>
        </w:rPr>
      </w:pPr>
      <w:r w:rsidRPr="005B0036">
        <w:rPr>
          <w:noProof/>
          <w:sz w:val="24"/>
          <w:szCs w:val="24"/>
          <w:lang w:eastAsia="da-DK"/>
        </w:rPr>
        <w:drawing>
          <wp:inline distT="0" distB="0" distL="0" distR="0" wp14:anchorId="40099CA9" wp14:editId="4BCBDF87">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320971" w:rsidRPr="00406EE7" w:rsidRDefault="002D4E76" w:rsidP="002077C5">
      <w:pPr>
        <w:tabs>
          <w:tab w:val="right" w:pos="9356"/>
        </w:tabs>
        <w:jc w:val="right"/>
        <w:rPr>
          <w:b/>
          <w:sz w:val="24"/>
          <w:szCs w:val="24"/>
        </w:rPr>
      </w:pPr>
      <w:r>
        <w:rPr>
          <w:b/>
          <w:sz w:val="24"/>
          <w:szCs w:val="24"/>
        </w:rPr>
        <w:t>13. november 2024</w:t>
      </w:r>
    </w:p>
    <w:p w:rsidR="00320971" w:rsidRPr="00406EE7" w:rsidRDefault="00320971" w:rsidP="00320971">
      <w:pPr>
        <w:rPr>
          <w:sz w:val="24"/>
          <w:szCs w:val="24"/>
        </w:rPr>
      </w:pPr>
    </w:p>
    <w:p w:rsidR="00320971" w:rsidRDefault="00320971" w:rsidP="00320971">
      <w:pPr>
        <w:rPr>
          <w:sz w:val="24"/>
          <w:szCs w:val="24"/>
        </w:rPr>
      </w:pPr>
    </w:p>
    <w:p w:rsidR="00320971" w:rsidRPr="00406EE7" w:rsidRDefault="00320971" w:rsidP="00320971">
      <w:pPr>
        <w:rPr>
          <w:sz w:val="24"/>
          <w:szCs w:val="24"/>
        </w:rPr>
      </w:pPr>
    </w:p>
    <w:p w:rsidR="00320971" w:rsidRPr="00406EE7" w:rsidRDefault="00320971" w:rsidP="00320971">
      <w:pPr>
        <w:tabs>
          <w:tab w:val="left" w:pos="8222"/>
        </w:tabs>
        <w:jc w:val="center"/>
        <w:rPr>
          <w:b/>
          <w:sz w:val="24"/>
          <w:szCs w:val="24"/>
        </w:rPr>
      </w:pPr>
      <w:r w:rsidRPr="00406EE7">
        <w:rPr>
          <w:b/>
          <w:sz w:val="24"/>
          <w:szCs w:val="24"/>
        </w:rPr>
        <w:t>PRODUKTRESUMÉ</w:t>
      </w:r>
    </w:p>
    <w:p w:rsidR="00320971" w:rsidRPr="00406EE7" w:rsidRDefault="00320971" w:rsidP="00320971">
      <w:pPr>
        <w:tabs>
          <w:tab w:val="left" w:pos="8222"/>
        </w:tabs>
        <w:jc w:val="center"/>
        <w:rPr>
          <w:b/>
          <w:sz w:val="24"/>
          <w:szCs w:val="24"/>
        </w:rPr>
      </w:pPr>
    </w:p>
    <w:p w:rsidR="00320971" w:rsidRPr="00406EE7" w:rsidRDefault="00320971" w:rsidP="00320971">
      <w:pPr>
        <w:tabs>
          <w:tab w:val="left" w:pos="8222"/>
        </w:tabs>
        <w:jc w:val="center"/>
        <w:rPr>
          <w:b/>
          <w:sz w:val="24"/>
          <w:szCs w:val="24"/>
        </w:rPr>
      </w:pPr>
      <w:r w:rsidRPr="00406EE7">
        <w:rPr>
          <w:b/>
          <w:sz w:val="24"/>
          <w:szCs w:val="24"/>
        </w:rPr>
        <w:t>for</w:t>
      </w:r>
    </w:p>
    <w:p w:rsidR="00320971" w:rsidRPr="00406EE7" w:rsidRDefault="00320971" w:rsidP="00320971">
      <w:pPr>
        <w:tabs>
          <w:tab w:val="left" w:pos="8222"/>
        </w:tabs>
        <w:jc w:val="center"/>
        <w:rPr>
          <w:b/>
          <w:sz w:val="24"/>
          <w:szCs w:val="24"/>
        </w:rPr>
      </w:pPr>
    </w:p>
    <w:p w:rsidR="00320971" w:rsidRPr="00565A74" w:rsidRDefault="00320971" w:rsidP="00320971">
      <w:pPr>
        <w:tabs>
          <w:tab w:val="left" w:pos="8222"/>
        </w:tabs>
        <w:jc w:val="center"/>
        <w:rPr>
          <w:b/>
          <w:sz w:val="24"/>
          <w:szCs w:val="24"/>
        </w:rPr>
      </w:pPr>
      <w:proofErr w:type="spellStart"/>
      <w:r>
        <w:rPr>
          <w:b/>
          <w:sz w:val="24"/>
          <w:szCs w:val="24"/>
        </w:rPr>
        <w:t>Amproline</w:t>
      </w:r>
      <w:proofErr w:type="spellEnd"/>
      <w:r>
        <w:rPr>
          <w:b/>
          <w:sz w:val="24"/>
          <w:szCs w:val="24"/>
        </w:rPr>
        <w:t>, opløsning til anvendelse i drikkevand</w:t>
      </w:r>
    </w:p>
    <w:p w:rsidR="00320971" w:rsidRPr="00406EE7" w:rsidRDefault="00320971" w:rsidP="00320971">
      <w:pPr>
        <w:tabs>
          <w:tab w:val="left" w:pos="8222"/>
        </w:tabs>
        <w:jc w:val="both"/>
        <w:rPr>
          <w:sz w:val="24"/>
          <w:szCs w:val="24"/>
        </w:rPr>
      </w:pPr>
    </w:p>
    <w:p w:rsidR="00320971" w:rsidRPr="0088210A" w:rsidRDefault="00320971" w:rsidP="00320971">
      <w:pPr>
        <w:tabs>
          <w:tab w:val="left" w:pos="8222"/>
        </w:tabs>
        <w:ind w:left="851" w:hanging="851"/>
        <w:jc w:val="both"/>
        <w:rPr>
          <w:sz w:val="24"/>
          <w:szCs w:val="24"/>
        </w:rPr>
      </w:pPr>
    </w:p>
    <w:p w:rsidR="00320971" w:rsidRPr="0088210A" w:rsidRDefault="00320971" w:rsidP="00320971">
      <w:pPr>
        <w:tabs>
          <w:tab w:val="left" w:pos="8222"/>
        </w:tabs>
        <w:ind w:left="851" w:hanging="851"/>
        <w:rPr>
          <w:b/>
          <w:sz w:val="24"/>
          <w:szCs w:val="24"/>
        </w:rPr>
      </w:pPr>
      <w:r w:rsidRPr="0088210A">
        <w:rPr>
          <w:b/>
          <w:sz w:val="24"/>
          <w:szCs w:val="24"/>
        </w:rPr>
        <w:t>0.</w:t>
      </w:r>
      <w:r w:rsidRPr="0088210A">
        <w:rPr>
          <w:b/>
          <w:sz w:val="24"/>
          <w:szCs w:val="24"/>
        </w:rPr>
        <w:tab/>
        <w:t>D.SP.NR.</w:t>
      </w:r>
    </w:p>
    <w:p w:rsidR="00320971" w:rsidRPr="0088210A" w:rsidRDefault="00320971" w:rsidP="00320971">
      <w:pPr>
        <w:tabs>
          <w:tab w:val="left" w:pos="8222"/>
        </w:tabs>
        <w:ind w:left="851" w:hanging="851"/>
        <w:rPr>
          <w:sz w:val="24"/>
          <w:szCs w:val="24"/>
        </w:rPr>
      </w:pPr>
      <w:r>
        <w:rPr>
          <w:sz w:val="24"/>
          <w:szCs w:val="24"/>
        </w:rPr>
        <w:tab/>
      </w:r>
      <w:r w:rsidRPr="0088210A">
        <w:rPr>
          <w:sz w:val="24"/>
          <w:szCs w:val="24"/>
        </w:rPr>
        <w:t>31610</w:t>
      </w:r>
    </w:p>
    <w:p w:rsidR="00320971" w:rsidRPr="0088210A" w:rsidRDefault="00320971" w:rsidP="00320971">
      <w:pPr>
        <w:tabs>
          <w:tab w:val="left" w:pos="8222"/>
        </w:tabs>
        <w:ind w:left="851" w:hanging="851"/>
        <w:rPr>
          <w:sz w:val="24"/>
          <w:szCs w:val="24"/>
        </w:rPr>
      </w:pPr>
    </w:p>
    <w:p w:rsidR="00320971" w:rsidRPr="0088210A" w:rsidRDefault="00320971" w:rsidP="00320971">
      <w:pPr>
        <w:tabs>
          <w:tab w:val="left" w:pos="8222"/>
        </w:tabs>
        <w:ind w:left="851" w:hanging="851"/>
        <w:rPr>
          <w:b/>
          <w:sz w:val="24"/>
          <w:szCs w:val="24"/>
        </w:rPr>
      </w:pPr>
      <w:r w:rsidRPr="0088210A">
        <w:rPr>
          <w:b/>
          <w:sz w:val="24"/>
          <w:szCs w:val="24"/>
        </w:rPr>
        <w:t>1.</w:t>
      </w:r>
      <w:r w:rsidRPr="0088210A">
        <w:rPr>
          <w:b/>
          <w:sz w:val="24"/>
          <w:szCs w:val="24"/>
        </w:rPr>
        <w:tab/>
        <w:t>VETERINÆRLÆGEMIDLETS NAVN</w:t>
      </w:r>
    </w:p>
    <w:p w:rsidR="00D45102" w:rsidRDefault="00320971" w:rsidP="00D45102">
      <w:pPr>
        <w:tabs>
          <w:tab w:val="left" w:pos="8222"/>
        </w:tabs>
        <w:ind w:left="851" w:hanging="851"/>
        <w:rPr>
          <w:sz w:val="24"/>
          <w:szCs w:val="24"/>
        </w:rPr>
      </w:pPr>
      <w:r>
        <w:rPr>
          <w:sz w:val="24"/>
          <w:szCs w:val="24"/>
        </w:rPr>
        <w:tab/>
      </w:r>
      <w:proofErr w:type="spellStart"/>
      <w:r w:rsidR="00D45102">
        <w:rPr>
          <w:sz w:val="24"/>
          <w:szCs w:val="24"/>
        </w:rPr>
        <w:t>Amproline</w:t>
      </w:r>
      <w:proofErr w:type="spellEnd"/>
    </w:p>
    <w:p w:rsidR="00D45102" w:rsidRDefault="00D45102" w:rsidP="00D45102">
      <w:pPr>
        <w:tabs>
          <w:tab w:val="left" w:pos="8222"/>
        </w:tabs>
        <w:ind w:left="851" w:hanging="851"/>
        <w:rPr>
          <w:sz w:val="24"/>
          <w:szCs w:val="24"/>
        </w:rPr>
      </w:pPr>
    </w:p>
    <w:p w:rsidR="00D45102" w:rsidRDefault="00D45102" w:rsidP="00D45102">
      <w:pPr>
        <w:ind w:left="851"/>
        <w:rPr>
          <w:sz w:val="24"/>
          <w:szCs w:val="24"/>
        </w:rPr>
      </w:pPr>
      <w:r>
        <w:rPr>
          <w:sz w:val="24"/>
          <w:szCs w:val="24"/>
        </w:rPr>
        <w:t>Lægemiddelform: Opløsning til anvendelse i drikkevand</w:t>
      </w:r>
    </w:p>
    <w:p w:rsidR="00D45102" w:rsidRDefault="00D45102" w:rsidP="00D45102">
      <w:pPr>
        <w:ind w:left="851"/>
        <w:rPr>
          <w:sz w:val="24"/>
          <w:szCs w:val="24"/>
          <w:lang w:eastAsia="da-DK"/>
        </w:rPr>
      </w:pPr>
      <w:r>
        <w:rPr>
          <w:sz w:val="24"/>
          <w:szCs w:val="24"/>
          <w:lang w:eastAsia="da-DK"/>
        </w:rPr>
        <w:t>Styrke: 400 mg/ml</w:t>
      </w:r>
    </w:p>
    <w:p w:rsidR="00D45102" w:rsidRDefault="00D45102" w:rsidP="00D45102">
      <w:pPr>
        <w:tabs>
          <w:tab w:val="left" w:pos="8222"/>
        </w:tabs>
        <w:ind w:left="851" w:hanging="851"/>
        <w:rPr>
          <w:sz w:val="24"/>
          <w:szCs w:val="24"/>
        </w:rPr>
      </w:pPr>
    </w:p>
    <w:p w:rsidR="00D45102" w:rsidRDefault="00D45102" w:rsidP="00D45102">
      <w:pPr>
        <w:tabs>
          <w:tab w:val="left" w:pos="8222"/>
        </w:tabs>
        <w:ind w:left="851" w:hanging="851"/>
        <w:rPr>
          <w:sz w:val="24"/>
          <w:szCs w:val="24"/>
        </w:rPr>
      </w:pPr>
    </w:p>
    <w:p w:rsidR="00D45102" w:rsidRDefault="00D45102" w:rsidP="00D45102">
      <w:pPr>
        <w:tabs>
          <w:tab w:val="left" w:pos="8222"/>
        </w:tabs>
        <w:ind w:left="851" w:hanging="851"/>
        <w:rPr>
          <w:b/>
          <w:sz w:val="24"/>
          <w:szCs w:val="24"/>
        </w:rPr>
      </w:pPr>
      <w:r>
        <w:rPr>
          <w:b/>
          <w:sz w:val="24"/>
          <w:szCs w:val="24"/>
        </w:rPr>
        <w:t>2.</w:t>
      </w:r>
      <w:r>
        <w:rPr>
          <w:b/>
          <w:sz w:val="24"/>
          <w:szCs w:val="24"/>
        </w:rPr>
        <w:tab/>
        <w:t>KVALITATIV OG KVANTITATIV SAMMENSÆTNING</w:t>
      </w:r>
    </w:p>
    <w:p w:rsidR="00D45102" w:rsidRDefault="00D45102" w:rsidP="00D45102">
      <w:pPr>
        <w:ind w:left="851"/>
        <w:jc w:val="both"/>
        <w:rPr>
          <w:sz w:val="24"/>
          <w:szCs w:val="24"/>
        </w:rPr>
      </w:pPr>
    </w:p>
    <w:p w:rsidR="00D45102" w:rsidRDefault="00D45102" w:rsidP="00D45102">
      <w:pPr>
        <w:ind w:left="851"/>
        <w:jc w:val="both"/>
        <w:rPr>
          <w:sz w:val="24"/>
          <w:szCs w:val="24"/>
          <w:lang w:eastAsia="da-DK"/>
        </w:rPr>
      </w:pPr>
      <w:r>
        <w:rPr>
          <w:sz w:val="24"/>
          <w:szCs w:val="24"/>
        </w:rPr>
        <w:t>Hver ml indeholder:</w:t>
      </w:r>
    </w:p>
    <w:p w:rsidR="00D45102" w:rsidRDefault="00D45102" w:rsidP="00D45102">
      <w:pPr>
        <w:ind w:left="851"/>
        <w:jc w:val="both"/>
        <w:rPr>
          <w:sz w:val="24"/>
          <w:szCs w:val="24"/>
        </w:rPr>
      </w:pPr>
    </w:p>
    <w:p w:rsidR="00D45102" w:rsidRDefault="00D45102" w:rsidP="00D45102">
      <w:pPr>
        <w:ind w:left="851"/>
        <w:jc w:val="both"/>
        <w:rPr>
          <w:b/>
          <w:bCs/>
          <w:sz w:val="24"/>
          <w:szCs w:val="24"/>
        </w:rPr>
      </w:pPr>
      <w:r>
        <w:rPr>
          <w:b/>
          <w:bCs/>
          <w:sz w:val="24"/>
          <w:szCs w:val="24"/>
        </w:rPr>
        <w:t>Aktivt stof:</w:t>
      </w:r>
    </w:p>
    <w:p w:rsidR="00D45102" w:rsidRDefault="00D45102" w:rsidP="00D45102">
      <w:pPr>
        <w:tabs>
          <w:tab w:val="right" w:leader="dot" w:pos="7153"/>
        </w:tabs>
        <w:ind w:left="851"/>
        <w:rPr>
          <w:sz w:val="24"/>
          <w:szCs w:val="24"/>
        </w:rPr>
      </w:pPr>
      <w:proofErr w:type="spellStart"/>
      <w:r>
        <w:rPr>
          <w:sz w:val="24"/>
          <w:szCs w:val="24"/>
        </w:rPr>
        <w:t>Amprolium</w:t>
      </w:r>
      <w:proofErr w:type="spellEnd"/>
      <w:r>
        <w:rPr>
          <w:sz w:val="24"/>
          <w:szCs w:val="24"/>
        </w:rPr>
        <w:t xml:space="preserve"> </w:t>
      </w:r>
      <w:r>
        <w:rPr>
          <w:sz w:val="24"/>
          <w:szCs w:val="24"/>
        </w:rPr>
        <w:tab/>
        <w:t>400,0 mg</w:t>
      </w:r>
    </w:p>
    <w:p w:rsidR="00D45102" w:rsidRDefault="00D45102" w:rsidP="00D45102">
      <w:pPr>
        <w:tabs>
          <w:tab w:val="right" w:leader="dot" w:pos="7153"/>
        </w:tabs>
        <w:ind w:left="851"/>
        <w:rPr>
          <w:sz w:val="24"/>
          <w:szCs w:val="24"/>
        </w:rPr>
      </w:pPr>
      <w:r>
        <w:rPr>
          <w:sz w:val="24"/>
          <w:szCs w:val="24"/>
        </w:rPr>
        <w:t xml:space="preserve">(svarende til 452,4 mg </w:t>
      </w:r>
      <w:proofErr w:type="spellStart"/>
      <w:r>
        <w:rPr>
          <w:sz w:val="24"/>
          <w:szCs w:val="24"/>
        </w:rPr>
        <w:t>amproliumhydrochlorid</w:t>
      </w:r>
      <w:proofErr w:type="spellEnd"/>
      <w:r>
        <w:rPr>
          <w:sz w:val="24"/>
          <w:szCs w:val="24"/>
        </w:rPr>
        <w:t xml:space="preserve">) </w:t>
      </w:r>
    </w:p>
    <w:p w:rsidR="00D45102" w:rsidRDefault="00D45102" w:rsidP="00D45102">
      <w:pPr>
        <w:tabs>
          <w:tab w:val="right" w:leader="dot" w:pos="7153"/>
        </w:tabs>
        <w:ind w:left="851"/>
        <w:rPr>
          <w:sz w:val="24"/>
          <w:szCs w:val="24"/>
        </w:rPr>
      </w:pPr>
    </w:p>
    <w:p w:rsidR="00D45102" w:rsidRDefault="00D45102" w:rsidP="00D45102">
      <w:pPr>
        <w:tabs>
          <w:tab w:val="right" w:leader="dot" w:pos="7153"/>
        </w:tabs>
        <w:ind w:left="851"/>
        <w:rPr>
          <w:b/>
          <w:bCs/>
          <w:sz w:val="24"/>
          <w:szCs w:val="24"/>
        </w:rPr>
      </w:pPr>
      <w:r>
        <w:rPr>
          <w:b/>
          <w:bCs/>
          <w:sz w:val="24"/>
          <w:szCs w:val="24"/>
        </w:rPr>
        <w:t>Hjælpestoffer:</w:t>
      </w:r>
    </w:p>
    <w:p w:rsidR="00D45102" w:rsidRDefault="00D45102" w:rsidP="00D45102">
      <w:pPr>
        <w:tabs>
          <w:tab w:val="right" w:leader="dot" w:pos="7153"/>
        </w:tabs>
        <w:ind w:left="851"/>
        <w:rPr>
          <w:sz w:val="24"/>
          <w:szCs w:val="24"/>
        </w:rPr>
      </w:pPr>
    </w:p>
    <w:tbl>
      <w:tblPr>
        <w:tblW w:w="9287" w:type="dxa"/>
        <w:tblInd w:w="8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644"/>
      </w:tblGrid>
      <w:tr w:rsidR="00D45102" w:rsidTr="00D45102">
        <w:tc>
          <w:tcPr>
            <w:tcW w:w="4643" w:type="dxa"/>
            <w:tcBorders>
              <w:top w:val="single" w:sz="4" w:space="0" w:color="000000"/>
              <w:left w:val="single" w:sz="4" w:space="0" w:color="000000"/>
              <w:bottom w:val="single" w:sz="4" w:space="0" w:color="000000"/>
              <w:right w:val="single" w:sz="4" w:space="0" w:color="000000"/>
            </w:tcBorders>
            <w:vAlign w:val="center"/>
            <w:hideMark/>
          </w:tcPr>
          <w:p w:rsidR="00D45102" w:rsidRDefault="00D45102">
            <w:pPr>
              <w:spacing w:before="60" w:after="60"/>
              <w:rPr>
                <w:b/>
                <w:bCs/>
                <w:iCs/>
                <w:szCs w:val="22"/>
              </w:rPr>
            </w:pPr>
            <w:r>
              <w:rPr>
                <w:b/>
                <w:bCs/>
                <w:iCs/>
                <w:szCs w:val="22"/>
              </w:rPr>
              <w:t>Kvalitativ sammensætning af hjælpestoffer og andre bestanddele</w:t>
            </w:r>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D45102" w:rsidRDefault="00D45102">
            <w:pPr>
              <w:spacing w:before="60" w:after="60"/>
              <w:rPr>
                <w:b/>
                <w:bCs/>
                <w:iCs/>
                <w:szCs w:val="22"/>
              </w:rPr>
            </w:pPr>
            <w:r>
              <w:rPr>
                <w:b/>
                <w:bCs/>
                <w:iCs/>
                <w:szCs w:val="22"/>
              </w:rPr>
              <w:t>Kvantitativ sammensætning, hvis oplysningen er vigtig for korrekt administration af veterinærlægemidlet</w:t>
            </w:r>
          </w:p>
        </w:tc>
      </w:tr>
      <w:tr w:rsidR="00D45102" w:rsidTr="00D45102">
        <w:tc>
          <w:tcPr>
            <w:tcW w:w="4643" w:type="dxa"/>
            <w:tcBorders>
              <w:top w:val="single" w:sz="4" w:space="0" w:color="000000"/>
              <w:left w:val="single" w:sz="4" w:space="0" w:color="000000"/>
              <w:bottom w:val="single" w:sz="4" w:space="0" w:color="000000"/>
              <w:right w:val="single" w:sz="4" w:space="0" w:color="000000"/>
            </w:tcBorders>
            <w:vAlign w:val="center"/>
            <w:hideMark/>
          </w:tcPr>
          <w:p w:rsidR="00D45102" w:rsidRDefault="00D45102">
            <w:pPr>
              <w:spacing w:before="60" w:after="60"/>
              <w:ind w:left="567" w:hanging="567"/>
              <w:rPr>
                <w:iCs/>
                <w:szCs w:val="22"/>
              </w:rPr>
            </w:pPr>
            <w:proofErr w:type="spellStart"/>
            <w:r>
              <w:rPr>
                <w:sz w:val="24"/>
                <w:szCs w:val="24"/>
              </w:rPr>
              <w:t>Sorbinsyre</w:t>
            </w:r>
            <w:proofErr w:type="spellEnd"/>
            <w:r>
              <w:rPr>
                <w:sz w:val="24"/>
                <w:szCs w:val="24"/>
              </w:rPr>
              <w:t xml:space="preserve"> (E200)</w:t>
            </w:r>
          </w:p>
        </w:tc>
        <w:tc>
          <w:tcPr>
            <w:tcW w:w="4644" w:type="dxa"/>
            <w:tcBorders>
              <w:top w:val="single" w:sz="4" w:space="0" w:color="000000"/>
              <w:left w:val="single" w:sz="4" w:space="0" w:color="000000"/>
              <w:bottom w:val="single" w:sz="4" w:space="0" w:color="000000"/>
              <w:right w:val="single" w:sz="4" w:space="0" w:color="000000"/>
            </w:tcBorders>
            <w:vAlign w:val="center"/>
            <w:hideMark/>
          </w:tcPr>
          <w:p w:rsidR="00D45102" w:rsidRDefault="00D45102">
            <w:pPr>
              <w:spacing w:before="60" w:after="60"/>
              <w:rPr>
                <w:iCs/>
                <w:szCs w:val="22"/>
              </w:rPr>
            </w:pPr>
            <w:r>
              <w:rPr>
                <w:iCs/>
                <w:szCs w:val="22"/>
              </w:rPr>
              <w:t>0,5 mg</w:t>
            </w:r>
          </w:p>
        </w:tc>
      </w:tr>
      <w:tr w:rsidR="00D45102" w:rsidTr="00D45102">
        <w:tc>
          <w:tcPr>
            <w:tcW w:w="4643" w:type="dxa"/>
            <w:tcBorders>
              <w:top w:val="single" w:sz="4" w:space="0" w:color="000000"/>
              <w:left w:val="single" w:sz="4" w:space="0" w:color="000000"/>
              <w:bottom w:val="single" w:sz="4" w:space="0" w:color="000000"/>
              <w:right w:val="single" w:sz="4" w:space="0" w:color="000000"/>
            </w:tcBorders>
            <w:vAlign w:val="center"/>
            <w:hideMark/>
          </w:tcPr>
          <w:p w:rsidR="00D45102" w:rsidRDefault="00D45102">
            <w:pPr>
              <w:spacing w:before="60" w:after="60"/>
              <w:rPr>
                <w:iCs/>
                <w:szCs w:val="22"/>
              </w:rPr>
            </w:pPr>
            <w:r>
              <w:rPr>
                <w:iCs/>
                <w:szCs w:val="22"/>
              </w:rPr>
              <w:t>Renset vand</w:t>
            </w:r>
          </w:p>
        </w:tc>
        <w:tc>
          <w:tcPr>
            <w:tcW w:w="4644" w:type="dxa"/>
            <w:tcBorders>
              <w:top w:val="single" w:sz="4" w:space="0" w:color="000000"/>
              <w:left w:val="single" w:sz="4" w:space="0" w:color="000000"/>
              <w:bottom w:val="single" w:sz="4" w:space="0" w:color="000000"/>
              <w:right w:val="single" w:sz="4" w:space="0" w:color="000000"/>
            </w:tcBorders>
            <w:vAlign w:val="center"/>
          </w:tcPr>
          <w:p w:rsidR="00D45102" w:rsidRDefault="00D45102">
            <w:pPr>
              <w:spacing w:before="60" w:after="60"/>
              <w:rPr>
                <w:iCs/>
                <w:szCs w:val="22"/>
              </w:rPr>
            </w:pPr>
          </w:p>
        </w:tc>
      </w:tr>
    </w:tbl>
    <w:p w:rsidR="00D45102" w:rsidRDefault="00D45102" w:rsidP="00D45102">
      <w:pPr>
        <w:tabs>
          <w:tab w:val="right" w:leader="dot" w:pos="7153"/>
        </w:tabs>
        <w:ind w:left="851"/>
        <w:rPr>
          <w:sz w:val="24"/>
          <w:szCs w:val="24"/>
        </w:rPr>
      </w:pPr>
    </w:p>
    <w:p w:rsidR="00D45102" w:rsidRDefault="00D45102" w:rsidP="00D45102">
      <w:pPr>
        <w:ind w:left="851"/>
        <w:rPr>
          <w:sz w:val="24"/>
          <w:szCs w:val="24"/>
          <w:lang w:eastAsia="da-DK"/>
        </w:rPr>
      </w:pPr>
      <w:r>
        <w:rPr>
          <w:sz w:val="24"/>
          <w:szCs w:val="24"/>
        </w:rPr>
        <w:t>Opløsning til anvendelse i drikkevand</w:t>
      </w:r>
    </w:p>
    <w:p w:rsidR="00D45102" w:rsidRDefault="00D45102" w:rsidP="00D45102">
      <w:pPr>
        <w:ind w:left="851"/>
        <w:rPr>
          <w:sz w:val="24"/>
          <w:szCs w:val="24"/>
        </w:rPr>
      </w:pPr>
      <w:r>
        <w:rPr>
          <w:sz w:val="24"/>
          <w:szCs w:val="24"/>
        </w:rPr>
        <w:t>Klar og gul opløsning</w:t>
      </w:r>
    </w:p>
    <w:p w:rsidR="00D45102" w:rsidRDefault="00D45102" w:rsidP="00D45102">
      <w:pPr>
        <w:ind w:left="851"/>
        <w:jc w:val="both"/>
        <w:rPr>
          <w:sz w:val="24"/>
          <w:szCs w:val="24"/>
        </w:rPr>
      </w:pPr>
    </w:p>
    <w:p w:rsidR="00D45102" w:rsidRDefault="00D45102" w:rsidP="00D45102">
      <w:pPr>
        <w:tabs>
          <w:tab w:val="left" w:pos="8222"/>
        </w:tabs>
        <w:ind w:left="851" w:hanging="851"/>
        <w:rPr>
          <w:sz w:val="24"/>
          <w:szCs w:val="24"/>
        </w:rPr>
      </w:pPr>
    </w:p>
    <w:p w:rsidR="00D45102" w:rsidRDefault="00D45102" w:rsidP="00D45102">
      <w:pPr>
        <w:tabs>
          <w:tab w:val="left" w:pos="8222"/>
        </w:tabs>
        <w:ind w:left="851" w:hanging="851"/>
        <w:rPr>
          <w:b/>
          <w:sz w:val="24"/>
          <w:szCs w:val="24"/>
        </w:rPr>
      </w:pPr>
      <w:r>
        <w:rPr>
          <w:b/>
          <w:sz w:val="24"/>
          <w:szCs w:val="24"/>
        </w:rPr>
        <w:t>3.</w:t>
      </w:r>
      <w:r>
        <w:rPr>
          <w:b/>
          <w:sz w:val="24"/>
          <w:szCs w:val="24"/>
        </w:rPr>
        <w:tab/>
        <w:t>KLINISKE OPLYSNINGER</w:t>
      </w:r>
    </w:p>
    <w:p w:rsidR="00D45102" w:rsidRDefault="00D45102" w:rsidP="00D45102">
      <w:pPr>
        <w:tabs>
          <w:tab w:val="left" w:pos="851"/>
          <w:tab w:val="left" w:pos="8222"/>
        </w:tabs>
        <w:ind w:left="851" w:hanging="851"/>
        <w:rPr>
          <w:sz w:val="24"/>
          <w:szCs w:val="24"/>
        </w:rPr>
      </w:pPr>
    </w:p>
    <w:p w:rsidR="00D45102" w:rsidRDefault="00D45102" w:rsidP="00D45102">
      <w:pPr>
        <w:tabs>
          <w:tab w:val="left" w:pos="8222"/>
        </w:tabs>
        <w:ind w:left="851" w:hanging="851"/>
        <w:rPr>
          <w:b/>
          <w:sz w:val="24"/>
          <w:szCs w:val="24"/>
          <w:u w:val="single"/>
        </w:rPr>
      </w:pPr>
      <w:r>
        <w:rPr>
          <w:b/>
          <w:sz w:val="24"/>
          <w:szCs w:val="24"/>
        </w:rPr>
        <w:t>3.1</w:t>
      </w:r>
      <w:r>
        <w:rPr>
          <w:b/>
          <w:sz w:val="24"/>
          <w:szCs w:val="24"/>
        </w:rPr>
        <w:tab/>
        <w:t>Dyrearter som lægemidlet er beregnet til</w:t>
      </w:r>
    </w:p>
    <w:p w:rsidR="00D45102" w:rsidRDefault="00D45102" w:rsidP="00D45102">
      <w:pPr>
        <w:ind w:left="851"/>
        <w:jc w:val="both"/>
        <w:rPr>
          <w:sz w:val="24"/>
          <w:szCs w:val="24"/>
        </w:rPr>
      </w:pPr>
    </w:p>
    <w:p w:rsidR="00D45102" w:rsidRDefault="00D45102" w:rsidP="00D45102">
      <w:pPr>
        <w:ind w:left="851"/>
        <w:jc w:val="both"/>
        <w:rPr>
          <w:sz w:val="24"/>
          <w:szCs w:val="24"/>
          <w:lang w:eastAsia="da-DK"/>
        </w:rPr>
      </w:pPr>
      <w:r>
        <w:rPr>
          <w:sz w:val="24"/>
          <w:szCs w:val="24"/>
        </w:rPr>
        <w:t>Høns (slagtekyllinger, hønniker, æglæggere og avlshøns), kalkun.</w:t>
      </w:r>
    </w:p>
    <w:p w:rsidR="00D45102" w:rsidRDefault="00D45102" w:rsidP="00D45102">
      <w:pPr>
        <w:tabs>
          <w:tab w:val="left" w:pos="8222"/>
        </w:tabs>
        <w:ind w:left="851" w:hanging="851"/>
        <w:rPr>
          <w:sz w:val="24"/>
          <w:szCs w:val="24"/>
        </w:rPr>
      </w:pPr>
    </w:p>
    <w:p w:rsidR="00D45102" w:rsidRDefault="00D45102" w:rsidP="00D45102">
      <w:pPr>
        <w:pStyle w:val="Sidehoved"/>
        <w:tabs>
          <w:tab w:val="clear" w:pos="4819"/>
          <w:tab w:val="left" w:pos="8222"/>
        </w:tabs>
        <w:ind w:left="851" w:hanging="851"/>
        <w:rPr>
          <w:b/>
          <w:bCs/>
          <w:szCs w:val="24"/>
        </w:rPr>
      </w:pPr>
      <w:r>
        <w:rPr>
          <w:b/>
          <w:szCs w:val="24"/>
        </w:rPr>
        <w:t>3.2</w:t>
      </w:r>
      <w:r>
        <w:rPr>
          <w:b/>
          <w:szCs w:val="24"/>
        </w:rPr>
        <w:tab/>
        <w:t xml:space="preserve">Terapeutiske indikationer </w:t>
      </w:r>
      <w:r>
        <w:rPr>
          <w:b/>
          <w:bCs/>
        </w:rPr>
        <w:t>for hver dyreart, som lægemidlet er beregnet til</w:t>
      </w:r>
    </w:p>
    <w:p w:rsidR="00D45102" w:rsidRDefault="00D45102" w:rsidP="00D45102">
      <w:pPr>
        <w:ind w:left="851"/>
        <w:jc w:val="both"/>
        <w:rPr>
          <w:sz w:val="24"/>
        </w:rPr>
      </w:pPr>
    </w:p>
    <w:p w:rsidR="00D45102" w:rsidRDefault="00D45102" w:rsidP="00D45102">
      <w:pPr>
        <w:ind w:left="851"/>
        <w:jc w:val="both"/>
        <w:rPr>
          <w:sz w:val="22"/>
          <w:szCs w:val="22"/>
          <w:lang w:eastAsia="da-DK"/>
        </w:rPr>
      </w:pPr>
      <w:r>
        <w:rPr>
          <w:sz w:val="24"/>
        </w:rPr>
        <w:t>Behandling af tarmcoccidiose forårsaget af</w:t>
      </w:r>
      <w:r>
        <w:rPr>
          <w:i/>
          <w:sz w:val="24"/>
        </w:rPr>
        <w:t xml:space="preserve"> </w:t>
      </w:r>
      <w:proofErr w:type="spellStart"/>
      <w:r>
        <w:rPr>
          <w:i/>
          <w:sz w:val="24"/>
        </w:rPr>
        <w:t>Eimeria</w:t>
      </w:r>
      <w:proofErr w:type="spellEnd"/>
      <w:r>
        <w:rPr>
          <w:i/>
          <w:sz w:val="24"/>
        </w:rPr>
        <w:t xml:space="preserve"> </w:t>
      </w:r>
      <w:proofErr w:type="spellStart"/>
      <w:r>
        <w:rPr>
          <w:sz w:val="24"/>
        </w:rPr>
        <w:t>spp</w:t>
      </w:r>
      <w:proofErr w:type="spellEnd"/>
      <w:r>
        <w:rPr>
          <w:i/>
          <w:sz w:val="24"/>
        </w:rPr>
        <w:t>.</w:t>
      </w:r>
    </w:p>
    <w:p w:rsidR="00D45102" w:rsidRDefault="00D45102" w:rsidP="00D45102">
      <w:pPr>
        <w:pStyle w:val="Sidehoved"/>
        <w:tabs>
          <w:tab w:val="clear" w:pos="4819"/>
          <w:tab w:val="left" w:pos="8222"/>
        </w:tabs>
        <w:ind w:left="851" w:hanging="851"/>
        <w:rPr>
          <w:szCs w:val="24"/>
        </w:rPr>
      </w:pPr>
    </w:p>
    <w:p w:rsidR="00D45102" w:rsidRDefault="00D45102" w:rsidP="00D45102">
      <w:pPr>
        <w:pStyle w:val="Sidehoved"/>
        <w:tabs>
          <w:tab w:val="clear" w:pos="4819"/>
          <w:tab w:val="left" w:pos="851"/>
          <w:tab w:val="left" w:pos="8222"/>
        </w:tabs>
        <w:ind w:left="851" w:hanging="851"/>
        <w:rPr>
          <w:b/>
          <w:szCs w:val="24"/>
        </w:rPr>
      </w:pPr>
      <w:r>
        <w:rPr>
          <w:b/>
          <w:szCs w:val="24"/>
        </w:rPr>
        <w:t>3.3</w:t>
      </w:r>
      <w:r>
        <w:rPr>
          <w:b/>
          <w:szCs w:val="24"/>
        </w:rPr>
        <w:tab/>
        <w:t>Kontraindikationer</w:t>
      </w:r>
    </w:p>
    <w:p w:rsidR="00D45102" w:rsidRDefault="00D45102" w:rsidP="00D45102">
      <w:pPr>
        <w:ind w:left="851"/>
        <w:jc w:val="both"/>
        <w:rPr>
          <w:sz w:val="24"/>
          <w:szCs w:val="22"/>
        </w:rPr>
      </w:pPr>
      <w:bookmarkStart w:id="0" w:name="_Hlk14418770"/>
    </w:p>
    <w:p w:rsidR="00D45102" w:rsidRDefault="00D45102" w:rsidP="00D45102">
      <w:pPr>
        <w:ind w:left="851"/>
        <w:jc w:val="both"/>
        <w:rPr>
          <w:sz w:val="24"/>
          <w:szCs w:val="22"/>
          <w:lang w:eastAsia="da-DK"/>
        </w:rPr>
      </w:pPr>
      <w:r>
        <w:rPr>
          <w:sz w:val="24"/>
          <w:szCs w:val="22"/>
        </w:rPr>
        <w:t>Må ikke anvendes i tilfælde af overfølsomhed over for det aktive stof eller over for et eller flere af hjælpestofferne.</w:t>
      </w:r>
      <w:bookmarkEnd w:id="0"/>
    </w:p>
    <w:p w:rsidR="00D45102" w:rsidRDefault="00D45102" w:rsidP="00D45102">
      <w:pPr>
        <w:rPr>
          <w:szCs w:val="24"/>
        </w:rPr>
      </w:pPr>
    </w:p>
    <w:p w:rsidR="00D45102" w:rsidRDefault="00D45102" w:rsidP="00D45102">
      <w:pPr>
        <w:tabs>
          <w:tab w:val="left" w:pos="851"/>
          <w:tab w:val="left" w:pos="8222"/>
        </w:tabs>
        <w:ind w:left="851" w:hanging="851"/>
        <w:rPr>
          <w:b/>
          <w:sz w:val="24"/>
          <w:szCs w:val="24"/>
        </w:rPr>
      </w:pPr>
      <w:r>
        <w:rPr>
          <w:b/>
          <w:sz w:val="24"/>
          <w:szCs w:val="24"/>
        </w:rPr>
        <w:t>3.4</w:t>
      </w:r>
      <w:r>
        <w:rPr>
          <w:b/>
          <w:sz w:val="24"/>
          <w:szCs w:val="24"/>
        </w:rPr>
        <w:tab/>
        <w:t>Særlige advarsler</w:t>
      </w:r>
    </w:p>
    <w:p w:rsidR="00D45102" w:rsidRDefault="00D45102" w:rsidP="00D45102">
      <w:pPr>
        <w:ind w:left="851"/>
        <w:rPr>
          <w:sz w:val="24"/>
          <w:szCs w:val="24"/>
        </w:rPr>
      </w:pPr>
    </w:p>
    <w:p w:rsidR="00D45102" w:rsidRDefault="00D45102" w:rsidP="00D45102">
      <w:pPr>
        <w:ind w:left="851"/>
        <w:rPr>
          <w:sz w:val="24"/>
          <w:szCs w:val="24"/>
        </w:rPr>
      </w:pPr>
      <w:r>
        <w:rPr>
          <w:sz w:val="24"/>
          <w:szCs w:val="24"/>
        </w:rPr>
        <w:t xml:space="preserve">Som alle antimikrobielle midler kan hyppig og gentagen brug af </w:t>
      </w:r>
      <w:proofErr w:type="spellStart"/>
      <w:r>
        <w:rPr>
          <w:sz w:val="24"/>
          <w:szCs w:val="24"/>
        </w:rPr>
        <w:t>antiprotozomidler</w:t>
      </w:r>
      <w:proofErr w:type="spellEnd"/>
      <w:r>
        <w:rPr>
          <w:sz w:val="24"/>
          <w:szCs w:val="24"/>
        </w:rPr>
        <w:t xml:space="preserve"> fra samme klasse føre til resistensudvikling. Der er vist krydsresistens mellem </w:t>
      </w:r>
      <w:proofErr w:type="spellStart"/>
      <w:r>
        <w:rPr>
          <w:sz w:val="24"/>
          <w:szCs w:val="24"/>
        </w:rPr>
        <w:t>amprolium</w:t>
      </w:r>
      <w:proofErr w:type="spellEnd"/>
      <w:r>
        <w:rPr>
          <w:sz w:val="24"/>
          <w:szCs w:val="24"/>
        </w:rPr>
        <w:t xml:space="preserve"> o</w:t>
      </w:r>
      <w:r>
        <w:rPr>
          <w:sz w:val="22"/>
          <w:szCs w:val="22"/>
        </w:rPr>
        <w:t xml:space="preserve">g </w:t>
      </w:r>
      <w:proofErr w:type="spellStart"/>
      <w:r>
        <w:rPr>
          <w:sz w:val="24"/>
          <w:szCs w:val="24"/>
        </w:rPr>
        <w:t>anticoccidialer</w:t>
      </w:r>
      <w:proofErr w:type="spellEnd"/>
      <w:r>
        <w:rPr>
          <w:sz w:val="24"/>
          <w:szCs w:val="24"/>
        </w:rPr>
        <w:t>, der har samme virkningsmekanisme. Brug af veterinærlægemidlet/</w:t>
      </w:r>
      <w:proofErr w:type="spellStart"/>
      <w:r>
        <w:rPr>
          <w:sz w:val="24"/>
          <w:szCs w:val="24"/>
        </w:rPr>
        <w:t>amprolium</w:t>
      </w:r>
      <w:proofErr w:type="spellEnd"/>
      <w:r>
        <w:rPr>
          <w:sz w:val="24"/>
          <w:szCs w:val="24"/>
        </w:rPr>
        <w:t xml:space="preserve"> bør overvejes nøje, hvis resistensundersøgelser har vist resistens over for </w:t>
      </w:r>
      <w:proofErr w:type="spellStart"/>
      <w:r>
        <w:rPr>
          <w:sz w:val="24"/>
          <w:szCs w:val="24"/>
        </w:rPr>
        <w:t>amprolium</w:t>
      </w:r>
      <w:proofErr w:type="spellEnd"/>
      <w:r>
        <w:rPr>
          <w:sz w:val="24"/>
          <w:szCs w:val="24"/>
        </w:rPr>
        <w:t>/</w:t>
      </w:r>
      <w:proofErr w:type="spellStart"/>
      <w:r>
        <w:rPr>
          <w:sz w:val="24"/>
          <w:szCs w:val="24"/>
        </w:rPr>
        <w:t>anticoccidialer</w:t>
      </w:r>
      <w:proofErr w:type="spellEnd"/>
      <w:r>
        <w:rPr>
          <w:sz w:val="24"/>
          <w:szCs w:val="24"/>
        </w:rPr>
        <w:t>, da dets virkning kan være nedsat.</w:t>
      </w:r>
    </w:p>
    <w:p w:rsidR="00D45102" w:rsidRDefault="00D45102" w:rsidP="00D45102">
      <w:pPr>
        <w:ind w:left="851"/>
        <w:rPr>
          <w:sz w:val="24"/>
          <w:szCs w:val="24"/>
        </w:rPr>
      </w:pPr>
      <w:bookmarkStart w:id="1" w:name="_Hlk65227807"/>
      <w:r>
        <w:rPr>
          <w:sz w:val="24"/>
          <w:szCs w:val="24"/>
        </w:rPr>
        <w:t xml:space="preserve">Som med alle </w:t>
      </w:r>
      <w:proofErr w:type="spellStart"/>
      <w:r>
        <w:rPr>
          <w:sz w:val="24"/>
          <w:szCs w:val="24"/>
        </w:rPr>
        <w:t>anticoccidialer</w:t>
      </w:r>
      <w:proofErr w:type="spellEnd"/>
      <w:r>
        <w:rPr>
          <w:sz w:val="24"/>
          <w:szCs w:val="24"/>
        </w:rPr>
        <w:t>, kan langvarig anvendelse resultere i udvikling af resistente stammer.</w:t>
      </w:r>
      <w:bookmarkEnd w:id="1"/>
    </w:p>
    <w:p w:rsidR="00D45102" w:rsidRDefault="00D45102" w:rsidP="00D45102">
      <w:pPr>
        <w:ind w:left="851"/>
        <w:rPr>
          <w:sz w:val="24"/>
          <w:szCs w:val="24"/>
        </w:rPr>
      </w:pPr>
      <w:r>
        <w:rPr>
          <w:sz w:val="24"/>
          <w:szCs w:val="24"/>
        </w:rPr>
        <w:t>I tilfælde af at der bliver observeret manglende behandlingseffekt i løbet af behandlingen, skal det formidles videre til de nationale, kompetente myndigheder.</w:t>
      </w:r>
    </w:p>
    <w:p w:rsidR="00D45102" w:rsidRDefault="00D45102" w:rsidP="00D45102">
      <w:pPr>
        <w:pStyle w:val="Sidehoved"/>
        <w:tabs>
          <w:tab w:val="clear" w:pos="4819"/>
          <w:tab w:val="left" w:pos="8222"/>
        </w:tabs>
        <w:ind w:left="851" w:hanging="851"/>
        <w:rPr>
          <w:szCs w:val="24"/>
        </w:rPr>
      </w:pPr>
    </w:p>
    <w:p w:rsidR="00D45102" w:rsidRDefault="00D45102" w:rsidP="00D45102">
      <w:pPr>
        <w:tabs>
          <w:tab w:val="left" w:pos="851"/>
          <w:tab w:val="left" w:pos="8222"/>
        </w:tabs>
        <w:ind w:left="851" w:hanging="851"/>
        <w:rPr>
          <w:b/>
          <w:sz w:val="24"/>
          <w:szCs w:val="24"/>
        </w:rPr>
      </w:pPr>
      <w:r>
        <w:rPr>
          <w:b/>
          <w:sz w:val="24"/>
          <w:szCs w:val="24"/>
        </w:rPr>
        <w:t>3.5</w:t>
      </w:r>
      <w:r>
        <w:rPr>
          <w:b/>
          <w:sz w:val="24"/>
          <w:szCs w:val="24"/>
        </w:rPr>
        <w:tab/>
        <w:t>Særlige forsigtighedsregler vedrørende brugen</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rPr>
          <w:bCs/>
          <w:sz w:val="24"/>
          <w:szCs w:val="24"/>
          <w:u w:val="single"/>
        </w:rPr>
      </w:pPr>
      <w:r>
        <w:rPr>
          <w:bCs/>
          <w:sz w:val="24"/>
          <w:szCs w:val="24"/>
          <w:u w:val="single"/>
        </w:rPr>
        <w:t>Særlige forholdsregler vedrørende sikker brug hos de dyrearter, som lægemidlet er beregnet til</w:t>
      </w:r>
    </w:p>
    <w:p w:rsidR="00D45102" w:rsidRDefault="00D45102" w:rsidP="00D45102">
      <w:pPr>
        <w:ind w:left="851"/>
        <w:rPr>
          <w:sz w:val="24"/>
          <w:szCs w:val="24"/>
          <w:lang w:eastAsia="da-DK"/>
        </w:rPr>
      </w:pPr>
      <w:r>
        <w:rPr>
          <w:sz w:val="24"/>
          <w:szCs w:val="24"/>
        </w:rPr>
        <w:t>Veterinærlægemidlet er ikke tiltænkt som profylakse.</w:t>
      </w:r>
    </w:p>
    <w:p w:rsidR="00D45102" w:rsidRDefault="00D45102" w:rsidP="00D45102">
      <w:pPr>
        <w:ind w:left="851"/>
        <w:rPr>
          <w:sz w:val="24"/>
          <w:szCs w:val="24"/>
        </w:rPr>
      </w:pPr>
      <w:r>
        <w:rPr>
          <w:sz w:val="24"/>
          <w:szCs w:val="24"/>
        </w:rPr>
        <w:t xml:space="preserve">Veterinærlægemidlet skal forbeholdes tilfælde, hvor coccidiose bryder ud i forbindelse med mangel på vaccine, i tilfælde af </w:t>
      </w:r>
      <w:r>
        <w:rPr>
          <w:sz w:val="24"/>
          <w:szCs w:val="24"/>
          <w:lang w:eastAsia="en-GB"/>
        </w:rPr>
        <w:t xml:space="preserve">manglende effekt af </w:t>
      </w:r>
      <w:r>
        <w:rPr>
          <w:sz w:val="24"/>
          <w:szCs w:val="24"/>
        </w:rPr>
        <w:t xml:space="preserve">vaccinen og i vaccinerede besætninger, hvor alvorlige coccidiose-tilfælde er </w:t>
      </w:r>
      <w:r>
        <w:rPr>
          <w:sz w:val="24"/>
          <w:szCs w:val="24"/>
          <w:lang w:eastAsia="en-GB"/>
        </w:rPr>
        <w:t>diagnosticerede</w:t>
      </w:r>
      <w:r>
        <w:rPr>
          <w:sz w:val="24"/>
          <w:szCs w:val="24"/>
        </w:rPr>
        <w:t>, før immunitet er opnået.</w:t>
      </w:r>
    </w:p>
    <w:p w:rsidR="00D45102" w:rsidRDefault="00D45102" w:rsidP="00D45102">
      <w:pPr>
        <w:tabs>
          <w:tab w:val="left" w:pos="851"/>
        </w:tabs>
        <w:ind w:left="851"/>
        <w:rPr>
          <w:sz w:val="24"/>
          <w:szCs w:val="24"/>
        </w:rPr>
      </w:pPr>
      <w:r>
        <w:rPr>
          <w:sz w:val="24"/>
          <w:szCs w:val="24"/>
        </w:rPr>
        <w:t xml:space="preserve">Brug af veterinærlægemidlet bør baseres på identifikation og følsomhedstest af målpatogen(er). Hvis dette ikke er muligt, skal behandlingen baseres på epidemiologisk information og viden om </w:t>
      </w:r>
      <w:proofErr w:type="spellStart"/>
      <w:r>
        <w:rPr>
          <w:sz w:val="24"/>
          <w:szCs w:val="24"/>
        </w:rPr>
        <w:t>målpatogenernes</w:t>
      </w:r>
      <w:proofErr w:type="spellEnd"/>
      <w:r>
        <w:rPr>
          <w:sz w:val="24"/>
          <w:szCs w:val="24"/>
        </w:rPr>
        <w:t xml:space="preserve"> følsomhed på det enkelte landbrug eller på lokalt/regionalt plan. Veterinærlægemidlet skal bruges i overensstemmelse med officielle, nationale og regionale forordninger angående antimikrobielle stoffer.</w:t>
      </w:r>
    </w:p>
    <w:p w:rsidR="00D45102" w:rsidRDefault="00D45102" w:rsidP="00D45102">
      <w:pPr>
        <w:tabs>
          <w:tab w:val="left" w:pos="851"/>
        </w:tabs>
        <w:ind w:left="851"/>
        <w:rPr>
          <w:sz w:val="24"/>
          <w:szCs w:val="24"/>
        </w:rPr>
      </w:pPr>
    </w:p>
    <w:p w:rsidR="00D45102" w:rsidRDefault="00D45102" w:rsidP="00D45102">
      <w:pPr>
        <w:ind w:firstLine="851"/>
        <w:rPr>
          <w:sz w:val="24"/>
          <w:szCs w:val="24"/>
          <w:u w:val="single"/>
        </w:rPr>
      </w:pPr>
      <w:r>
        <w:rPr>
          <w:sz w:val="24"/>
          <w:szCs w:val="24"/>
          <w:u w:val="single"/>
        </w:rPr>
        <w:t>Særlige forholdsregler for personer, der administrerer veterinærlægemidlet til dyr</w:t>
      </w:r>
    </w:p>
    <w:p w:rsidR="00D45102" w:rsidRDefault="00D45102" w:rsidP="00D45102">
      <w:pPr>
        <w:ind w:left="851"/>
        <w:rPr>
          <w:sz w:val="24"/>
          <w:szCs w:val="24"/>
          <w:lang w:eastAsia="da-DK"/>
        </w:rPr>
      </w:pPr>
      <w:r>
        <w:rPr>
          <w:sz w:val="24"/>
          <w:szCs w:val="24"/>
        </w:rPr>
        <w:t xml:space="preserve">Veterinærlægemidlet er syreholdigt og kan forårsage irritation eller ætsning af hud, øjne, hals og luftveje. </w:t>
      </w:r>
    </w:p>
    <w:p w:rsidR="00D45102" w:rsidRDefault="00D45102" w:rsidP="00D45102">
      <w:pPr>
        <w:ind w:left="851"/>
        <w:rPr>
          <w:sz w:val="24"/>
          <w:szCs w:val="24"/>
        </w:rPr>
      </w:pPr>
      <w:r>
        <w:rPr>
          <w:sz w:val="24"/>
          <w:szCs w:val="24"/>
        </w:rPr>
        <w:t>Undgå al fysisk kontakt med veterinærlægemidlet, herunder alle dampe.</w:t>
      </w:r>
    </w:p>
    <w:p w:rsidR="00D45102" w:rsidRDefault="00D45102" w:rsidP="00D45102">
      <w:pPr>
        <w:ind w:left="851"/>
        <w:rPr>
          <w:sz w:val="24"/>
          <w:szCs w:val="24"/>
        </w:rPr>
      </w:pPr>
      <w:r>
        <w:rPr>
          <w:sz w:val="24"/>
          <w:szCs w:val="24"/>
        </w:rPr>
        <w:t>Spis, drik og ryg ikke, mens veterinærlægemidlet håndteres.</w:t>
      </w:r>
    </w:p>
    <w:p w:rsidR="00D45102" w:rsidRDefault="00D45102" w:rsidP="00D45102">
      <w:pPr>
        <w:ind w:left="851"/>
        <w:rPr>
          <w:sz w:val="24"/>
          <w:szCs w:val="24"/>
        </w:rPr>
      </w:pPr>
      <w:r>
        <w:t xml:space="preserve">Personligt beskyttelsesudstyr i form af </w:t>
      </w:r>
      <w:r>
        <w:rPr>
          <w:sz w:val="24"/>
          <w:szCs w:val="24"/>
        </w:rPr>
        <w:t>uigennemtrængelige handsker og beskyttelsesbriller bør anvendes ved håndtering af veterinærlægemidlet.</w:t>
      </w:r>
    </w:p>
    <w:p w:rsidR="00D45102" w:rsidRDefault="00D45102" w:rsidP="00D45102">
      <w:pPr>
        <w:ind w:left="851"/>
        <w:rPr>
          <w:sz w:val="24"/>
          <w:szCs w:val="24"/>
        </w:rPr>
      </w:pPr>
      <w:r>
        <w:rPr>
          <w:sz w:val="24"/>
          <w:szCs w:val="24"/>
        </w:rPr>
        <w:t>De valgte sikkerhedshandsker bør leve op til specifikationerne i EU-direktiv 89/686/EØF og standarden EN 374, der er afledt af det.</w:t>
      </w:r>
    </w:p>
    <w:p w:rsidR="00D45102" w:rsidRDefault="00D45102" w:rsidP="00D45102">
      <w:pPr>
        <w:ind w:left="851"/>
        <w:rPr>
          <w:sz w:val="24"/>
          <w:szCs w:val="24"/>
        </w:rPr>
      </w:pPr>
      <w:r>
        <w:rPr>
          <w:sz w:val="24"/>
          <w:szCs w:val="24"/>
        </w:rPr>
        <w:t xml:space="preserve">I tilfælde af kontakt med hud eller øjne skal det påvirkede område øjeblikkeligt vaskes med rindende vand, og alt kontamineret tøj skal tages af. Hvis irritationen forsætter, skal man opsøge lægehjælp og vise etiketten til lægen. </w:t>
      </w:r>
    </w:p>
    <w:p w:rsidR="00D45102" w:rsidRDefault="00D45102" w:rsidP="00D45102">
      <w:pPr>
        <w:ind w:left="851"/>
        <w:rPr>
          <w:sz w:val="24"/>
          <w:szCs w:val="24"/>
        </w:rPr>
      </w:pPr>
      <w:r>
        <w:rPr>
          <w:sz w:val="24"/>
          <w:szCs w:val="24"/>
        </w:rPr>
        <w:t>I tilfælde af utilsigtet indtagelse skal munden vaskes med ferskvand, og der skal straks søges lægehjælp, og etiketten bør vises til lægen.</w:t>
      </w:r>
    </w:p>
    <w:p w:rsidR="00D45102" w:rsidRDefault="00D45102" w:rsidP="00D45102">
      <w:pPr>
        <w:ind w:left="851"/>
        <w:rPr>
          <w:sz w:val="24"/>
          <w:szCs w:val="24"/>
        </w:rPr>
      </w:pPr>
      <w:r>
        <w:rPr>
          <w:sz w:val="24"/>
          <w:szCs w:val="24"/>
        </w:rPr>
        <w:lastRenderedPageBreak/>
        <w:t xml:space="preserve">Ved overfølsomhed over for </w:t>
      </w:r>
      <w:proofErr w:type="spellStart"/>
      <w:r>
        <w:rPr>
          <w:sz w:val="24"/>
          <w:szCs w:val="24"/>
        </w:rPr>
        <w:t>amprolium</w:t>
      </w:r>
      <w:proofErr w:type="spellEnd"/>
      <w:r>
        <w:rPr>
          <w:sz w:val="24"/>
          <w:szCs w:val="24"/>
        </w:rPr>
        <w:t xml:space="preserve"> eller </w:t>
      </w:r>
      <w:proofErr w:type="spellStart"/>
      <w:r>
        <w:rPr>
          <w:sz w:val="24"/>
          <w:szCs w:val="24"/>
        </w:rPr>
        <w:t>sorbinsyre</w:t>
      </w:r>
      <w:proofErr w:type="spellEnd"/>
      <w:r>
        <w:rPr>
          <w:sz w:val="24"/>
          <w:szCs w:val="24"/>
        </w:rPr>
        <w:t xml:space="preserve"> bør kontakt med veterinærlægemidlet undgås.</w:t>
      </w:r>
    </w:p>
    <w:p w:rsidR="00D45102" w:rsidRDefault="00D45102" w:rsidP="00D45102">
      <w:pPr>
        <w:ind w:left="851"/>
        <w:rPr>
          <w:sz w:val="24"/>
          <w:szCs w:val="24"/>
        </w:rPr>
      </w:pPr>
      <w:r>
        <w:rPr>
          <w:sz w:val="24"/>
          <w:szCs w:val="24"/>
        </w:rPr>
        <w:t>Vask hænderne og eksponeret hud efter brug.</w:t>
      </w:r>
    </w:p>
    <w:p w:rsidR="00D45102" w:rsidRDefault="00D45102" w:rsidP="00D45102">
      <w:pPr>
        <w:tabs>
          <w:tab w:val="left" w:pos="851"/>
          <w:tab w:val="left" w:pos="8222"/>
        </w:tabs>
        <w:ind w:left="851"/>
        <w:rPr>
          <w:sz w:val="24"/>
          <w:szCs w:val="24"/>
        </w:rPr>
      </w:pPr>
    </w:p>
    <w:p w:rsidR="00D45102" w:rsidRDefault="00D45102" w:rsidP="00D45102">
      <w:pPr>
        <w:tabs>
          <w:tab w:val="left" w:pos="851"/>
          <w:tab w:val="left" w:pos="8222"/>
        </w:tabs>
        <w:ind w:left="851"/>
        <w:rPr>
          <w:b/>
          <w:sz w:val="22"/>
          <w:szCs w:val="22"/>
        </w:rPr>
      </w:pPr>
      <w:r>
        <w:rPr>
          <w:sz w:val="24"/>
          <w:szCs w:val="24"/>
          <w:u w:val="single"/>
        </w:rPr>
        <w:t>Særlige forholdsregler vedrørende beskyttelse af miljøet</w:t>
      </w:r>
    </w:p>
    <w:p w:rsidR="00D45102" w:rsidRDefault="00D45102" w:rsidP="00D45102">
      <w:pPr>
        <w:ind w:left="851"/>
        <w:rPr>
          <w:sz w:val="24"/>
          <w:szCs w:val="24"/>
          <w:lang w:eastAsia="da-DK"/>
        </w:rPr>
      </w:pPr>
      <w:proofErr w:type="spellStart"/>
      <w:r>
        <w:rPr>
          <w:sz w:val="24"/>
          <w:szCs w:val="24"/>
        </w:rPr>
        <w:t>Amprolium</w:t>
      </w:r>
      <w:proofErr w:type="spellEnd"/>
      <w:r>
        <w:rPr>
          <w:sz w:val="24"/>
          <w:szCs w:val="24"/>
        </w:rPr>
        <w:t xml:space="preserve"> er klassificeret som meget </w:t>
      </w:r>
      <w:proofErr w:type="spellStart"/>
      <w:r>
        <w:rPr>
          <w:sz w:val="24"/>
          <w:szCs w:val="24"/>
        </w:rPr>
        <w:t>persistent</w:t>
      </w:r>
      <w:proofErr w:type="spellEnd"/>
      <w:r>
        <w:rPr>
          <w:sz w:val="24"/>
          <w:szCs w:val="24"/>
        </w:rPr>
        <w:t xml:space="preserve"> i jord.</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3.6</w:t>
      </w:r>
      <w:r>
        <w:rPr>
          <w:b/>
          <w:sz w:val="24"/>
          <w:szCs w:val="24"/>
        </w:rPr>
        <w:tab/>
        <w:t>Bivirkninger</w:t>
      </w:r>
    </w:p>
    <w:p w:rsidR="00D45102" w:rsidRDefault="00D45102" w:rsidP="00D45102">
      <w:pPr>
        <w:ind w:left="851"/>
        <w:jc w:val="both"/>
        <w:rPr>
          <w:sz w:val="24"/>
          <w:szCs w:val="24"/>
          <w:u w:val="single"/>
        </w:rPr>
      </w:pPr>
    </w:p>
    <w:p w:rsidR="00D45102" w:rsidRDefault="00D45102" w:rsidP="00D45102">
      <w:pPr>
        <w:ind w:left="851"/>
        <w:jc w:val="both"/>
        <w:rPr>
          <w:sz w:val="24"/>
          <w:szCs w:val="24"/>
          <w:u w:val="single"/>
        </w:rPr>
      </w:pPr>
      <w:r>
        <w:rPr>
          <w:sz w:val="24"/>
          <w:szCs w:val="24"/>
          <w:u w:val="single"/>
        </w:rPr>
        <w:t>Høns og kalkuner:</w:t>
      </w:r>
    </w:p>
    <w:p w:rsidR="00D45102" w:rsidRDefault="00D45102" w:rsidP="00D45102">
      <w:pPr>
        <w:ind w:left="851"/>
        <w:jc w:val="both"/>
        <w:rPr>
          <w:sz w:val="24"/>
          <w:szCs w:val="24"/>
        </w:rPr>
      </w:pPr>
      <w:r>
        <w:rPr>
          <w:sz w:val="24"/>
          <w:szCs w:val="24"/>
        </w:rPr>
        <w:t>Ingen kendte.</w:t>
      </w:r>
    </w:p>
    <w:p w:rsidR="00D45102" w:rsidRDefault="00D45102" w:rsidP="00D45102">
      <w:pPr>
        <w:ind w:left="851"/>
        <w:jc w:val="both"/>
        <w:rPr>
          <w:sz w:val="24"/>
          <w:szCs w:val="24"/>
        </w:rPr>
      </w:pPr>
    </w:p>
    <w:p w:rsidR="00D45102" w:rsidRDefault="00D45102" w:rsidP="00D4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rPr>
      </w:pPr>
      <w:bookmarkStart w:id="2" w:name="_Hlk66891708"/>
      <w:r>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indlægssedlen for de relevante kontaktoplysninger.</w:t>
      </w:r>
    </w:p>
    <w:bookmarkEnd w:id="2"/>
    <w:p w:rsidR="00D45102" w:rsidRDefault="00D45102" w:rsidP="00D45102">
      <w:pPr>
        <w:ind w:left="851"/>
        <w:jc w:val="both"/>
        <w:rPr>
          <w:sz w:val="24"/>
          <w:szCs w:val="24"/>
          <w:lang w:eastAsia="da-DK"/>
        </w:rPr>
      </w:pPr>
    </w:p>
    <w:p w:rsidR="00D45102" w:rsidRDefault="00D45102" w:rsidP="00D45102">
      <w:pPr>
        <w:tabs>
          <w:tab w:val="left" w:pos="851"/>
          <w:tab w:val="left" w:pos="8222"/>
        </w:tabs>
        <w:ind w:left="851" w:hanging="851"/>
        <w:rPr>
          <w:b/>
          <w:sz w:val="24"/>
          <w:szCs w:val="24"/>
        </w:rPr>
      </w:pPr>
      <w:r>
        <w:rPr>
          <w:b/>
          <w:sz w:val="24"/>
          <w:szCs w:val="24"/>
        </w:rPr>
        <w:t>3.7</w:t>
      </w:r>
      <w:r>
        <w:rPr>
          <w:b/>
          <w:sz w:val="24"/>
          <w:szCs w:val="24"/>
        </w:rPr>
        <w:tab/>
      </w:r>
      <w:r>
        <w:rPr>
          <w:b/>
          <w:bCs/>
        </w:rPr>
        <w:t>Anvendelse under drægtighed, laktation eller</w:t>
      </w:r>
      <w:r>
        <w:rPr>
          <w:b/>
          <w:sz w:val="24"/>
          <w:szCs w:val="24"/>
        </w:rPr>
        <w:t xml:space="preserve"> æglægning</w:t>
      </w:r>
    </w:p>
    <w:p w:rsidR="00D45102" w:rsidRDefault="00D45102" w:rsidP="00D4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rPr>
      </w:pPr>
    </w:p>
    <w:p w:rsidR="00D45102" w:rsidRDefault="00D45102" w:rsidP="00D4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rPr>
      </w:pPr>
      <w:r>
        <w:rPr>
          <w:sz w:val="24"/>
          <w:szCs w:val="24"/>
        </w:rPr>
        <w:t xml:space="preserve">Laboratorieundersøgelser har ikke vist </w:t>
      </w:r>
      <w:proofErr w:type="spellStart"/>
      <w:r>
        <w:rPr>
          <w:sz w:val="24"/>
          <w:szCs w:val="24"/>
        </w:rPr>
        <w:t>teratogene</w:t>
      </w:r>
      <w:proofErr w:type="spellEnd"/>
      <w:r>
        <w:rPr>
          <w:sz w:val="24"/>
          <w:szCs w:val="24"/>
        </w:rPr>
        <w:t xml:space="preserve"> virkninger. Veterinærlægemidlets sikkerhed under æglægning er ikke fastlagt.</w:t>
      </w:r>
    </w:p>
    <w:p w:rsidR="00D45102" w:rsidRDefault="00D45102" w:rsidP="00D4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rPr>
      </w:pPr>
    </w:p>
    <w:p w:rsidR="00D45102" w:rsidRDefault="00D45102" w:rsidP="00D4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rPr>
      </w:pPr>
      <w:r>
        <w:rPr>
          <w:szCs w:val="22"/>
          <w:u w:val="single"/>
        </w:rPr>
        <w:t>Æglæggende fugle</w:t>
      </w:r>
      <w:r>
        <w:t>:</w:t>
      </w:r>
    </w:p>
    <w:p w:rsidR="00D45102" w:rsidRDefault="00D45102" w:rsidP="00D451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rPr>
      </w:pPr>
      <w:r>
        <w:t>Må kun anvendes i overensstemmelse med den ansvarlige dyrlæges vurdering af benefit/</w:t>
      </w:r>
      <w:proofErr w:type="spellStart"/>
      <w:r>
        <w:t>risk</w:t>
      </w:r>
      <w:proofErr w:type="spellEnd"/>
      <w:r>
        <w:t xml:space="preserve">-forholdet. </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3.8</w:t>
      </w:r>
      <w:r>
        <w:rPr>
          <w:b/>
          <w:sz w:val="24"/>
          <w:szCs w:val="24"/>
        </w:rPr>
        <w:tab/>
      </w:r>
    </w:p>
    <w:p w:rsidR="00D45102" w:rsidRDefault="00D45102" w:rsidP="00D45102">
      <w:pPr>
        <w:tabs>
          <w:tab w:val="left" w:pos="851"/>
          <w:tab w:val="left" w:pos="8222"/>
        </w:tabs>
        <w:ind w:left="851" w:hanging="851"/>
        <w:rPr>
          <w:b/>
          <w:sz w:val="24"/>
          <w:szCs w:val="24"/>
        </w:rPr>
      </w:pPr>
      <w:r>
        <w:rPr>
          <w:b/>
          <w:sz w:val="24"/>
          <w:szCs w:val="24"/>
        </w:rPr>
        <w:tab/>
        <w:t>Interaktion med andre lægemidler og andre former for interaktion</w:t>
      </w:r>
    </w:p>
    <w:p w:rsidR="00D45102" w:rsidRDefault="00D45102" w:rsidP="00D45102">
      <w:pPr>
        <w:rPr>
          <w:sz w:val="24"/>
          <w:szCs w:val="24"/>
        </w:rPr>
      </w:pPr>
    </w:p>
    <w:p w:rsidR="00D45102" w:rsidRDefault="00D45102" w:rsidP="00D45102">
      <w:pPr>
        <w:ind w:left="851"/>
        <w:rPr>
          <w:sz w:val="24"/>
          <w:szCs w:val="24"/>
          <w:lang w:eastAsia="da-DK"/>
        </w:rPr>
      </w:pPr>
      <w:proofErr w:type="spellStart"/>
      <w:r>
        <w:rPr>
          <w:sz w:val="24"/>
          <w:szCs w:val="24"/>
        </w:rPr>
        <w:t>Amprolium</w:t>
      </w:r>
      <w:proofErr w:type="spellEnd"/>
      <w:r>
        <w:rPr>
          <w:sz w:val="24"/>
          <w:szCs w:val="24"/>
        </w:rPr>
        <w:t xml:space="preserve"> er en </w:t>
      </w:r>
      <w:proofErr w:type="spellStart"/>
      <w:r>
        <w:rPr>
          <w:sz w:val="24"/>
          <w:szCs w:val="24"/>
        </w:rPr>
        <w:t>thiamin</w:t>
      </w:r>
      <w:proofErr w:type="spellEnd"/>
      <w:r>
        <w:rPr>
          <w:sz w:val="24"/>
          <w:szCs w:val="24"/>
        </w:rPr>
        <w:t xml:space="preserve">-analog. Derfor kan effekten af </w:t>
      </w:r>
      <w:proofErr w:type="spellStart"/>
      <w:r>
        <w:rPr>
          <w:sz w:val="24"/>
          <w:szCs w:val="24"/>
        </w:rPr>
        <w:t>amprolium</w:t>
      </w:r>
      <w:proofErr w:type="spellEnd"/>
      <w:r>
        <w:rPr>
          <w:sz w:val="24"/>
          <w:szCs w:val="24"/>
        </w:rPr>
        <w:t xml:space="preserve"> reduceres ved samtidig administration af produkter, som indeholder B-vitamin-</w:t>
      </w:r>
      <w:proofErr w:type="spellStart"/>
      <w:r>
        <w:rPr>
          <w:sz w:val="24"/>
          <w:szCs w:val="24"/>
        </w:rPr>
        <w:t>complex</w:t>
      </w:r>
      <w:proofErr w:type="spellEnd"/>
      <w:r>
        <w:rPr>
          <w:sz w:val="24"/>
          <w:szCs w:val="24"/>
        </w:rPr>
        <w:t>.</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bCs/>
          <w:sz w:val="24"/>
          <w:szCs w:val="24"/>
        </w:rPr>
      </w:pPr>
      <w:r>
        <w:rPr>
          <w:b/>
          <w:sz w:val="24"/>
          <w:szCs w:val="24"/>
        </w:rPr>
        <w:t>3.9</w:t>
      </w:r>
      <w:r>
        <w:rPr>
          <w:b/>
          <w:sz w:val="24"/>
          <w:szCs w:val="24"/>
        </w:rPr>
        <w:tab/>
      </w:r>
      <w:r>
        <w:rPr>
          <w:b/>
          <w:bCs/>
          <w:sz w:val="24"/>
          <w:szCs w:val="24"/>
        </w:rPr>
        <w:t>Administrationsveje og dosering</w:t>
      </w:r>
    </w:p>
    <w:p w:rsidR="00D45102" w:rsidRDefault="00D45102" w:rsidP="00D45102">
      <w:pPr>
        <w:ind w:left="851"/>
        <w:jc w:val="both"/>
        <w:rPr>
          <w:sz w:val="24"/>
        </w:rPr>
      </w:pPr>
    </w:p>
    <w:p w:rsidR="00D45102" w:rsidRDefault="00D45102" w:rsidP="00D45102">
      <w:pPr>
        <w:ind w:left="851"/>
        <w:jc w:val="both"/>
        <w:rPr>
          <w:rFonts w:cs="Arial"/>
          <w:sz w:val="24"/>
          <w:szCs w:val="22"/>
          <w:lang w:eastAsia="da-DK"/>
        </w:rPr>
      </w:pPr>
      <w:r>
        <w:rPr>
          <w:sz w:val="24"/>
        </w:rPr>
        <w:t>Til anvendelse i drikkevand.</w:t>
      </w:r>
    </w:p>
    <w:p w:rsidR="00D45102" w:rsidRDefault="00D45102" w:rsidP="00D45102">
      <w:pPr>
        <w:ind w:left="851"/>
        <w:jc w:val="both"/>
        <w:rPr>
          <w:sz w:val="24"/>
        </w:rPr>
      </w:pPr>
      <w:r>
        <w:rPr>
          <w:sz w:val="24"/>
        </w:rPr>
        <w:t xml:space="preserve">Doseringen til hver art er: 20 mg </w:t>
      </w:r>
      <w:proofErr w:type="spellStart"/>
      <w:r>
        <w:rPr>
          <w:sz w:val="24"/>
        </w:rPr>
        <w:t>amprolium</w:t>
      </w:r>
      <w:proofErr w:type="spellEnd"/>
      <w:r>
        <w:rPr>
          <w:sz w:val="24"/>
        </w:rPr>
        <w:t xml:space="preserve"> / kg legemsvægt / dag (svarende til 0,5 ml af veterinærlægemidlet / 10 kg kropsvægt / dag) i 5 til 7 på hinanden følgende dage.</w:t>
      </w:r>
    </w:p>
    <w:p w:rsidR="00D45102" w:rsidRDefault="00D45102" w:rsidP="00D45102">
      <w:pPr>
        <w:ind w:left="851"/>
        <w:jc w:val="both"/>
        <w:rPr>
          <w:sz w:val="24"/>
        </w:rPr>
      </w:pPr>
    </w:p>
    <w:p w:rsidR="00D45102" w:rsidRDefault="00D45102" w:rsidP="00D45102">
      <w:pPr>
        <w:ind w:left="851"/>
        <w:jc w:val="both"/>
        <w:rPr>
          <w:sz w:val="24"/>
          <w:szCs w:val="24"/>
        </w:rPr>
      </w:pPr>
      <w:r>
        <w:rPr>
          <w:sz w:val="24"/>
          <w:szCs w:val="24"/>
        </w:rPr>
        <w:t xml:space="preserve">For at sikre korrekt dosering bør legemsvægten beregnes så nøjagtigt som muligt. Indtagelsen af medicineret vand afhænger af dyrenes kliniske tilstand. For at opnå den korrekte dosering kan det være nødvendigt at justere koncentrationen af </w:t>
      </w:r>
      <w:proofErr w:type="spellStart"/>
      <w:r>
        <w:rPr>
          <w:sz w:val="24"/>
          <w:szCs w:val="24"/>
        </w:rPr>
        <w:t>amprolium</w:t>
      </w:r>
      <w:proofErr w:type="spellEnd"/>
      <w:r>
        <w:rPr>
          <w:sz w:val="24"/>
          <w:szCs w:val="24"/>
        </w:rPr>
        <w:t xml:space="preserve"> i overensstemmelse hermed.</w:t>
      </w:r>
    </w:p>
    <w:p w:rsidR="00D45102" w:rsidRDefault="00D45102" w:rsidP="00D45102">
      <w:pPr>
        <w:ind w:left="851"/>
        <w:jc w:val="both"/>
        <w:rPr>
          <w:sz w:val="24"/>
          <w:szCs w:val="24"/>
        </w:rPr>
      </w:pPr>
      <w:r>
        <w:rPr>
          <w:sz w:val="24"/>
          <w:szCs w:val="24"/>
        </w:rPr>
        <w:t>Baseret på den anbefalede dosis, antallet af dyr, der skal behandles, samt disses legemsvægt bør den nøjagtige daglige koncentration af veterinærlægemidlet beregnes efter følgende formel:</w:t>
      </w:r>
    </w:p>
    <w:p w:rsidR="00D45102" w:rsidRDefault="00D45102" w:rsidP="00D45102">
      <w:pPr>
        <w:ind w:left="851"/>
        <w:jc w:val="both"/>
        <w:rPr>
          <w:sz w:val="24"/>
          <w:szCs w:val="24"/>
        </w:rPr>
      </w:pPr>
    </w:p>
    <w:tbl>
      <w:tblPr>
        <w:tblW w:w="8490" w:type="dxa"/>
        <w:tblInd w:w="1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70"/>
        <w:gridCol w:w="336"/>
        <w:gridCol w:w="2230"/>
        <w:gridCol w:w="425"/>
        <w:gridCol w:w="2429"/>
      </w:tblGrid>
      <w:tr w:rsidR="00D45102" w:rsidTr="00D45102">
        <w:tc>
          <w:tcPr>
            <w:tcW w:w="3070" w:type="dxa"/>
            <w:tcBorders>
              <w:top w:val="nil"/>
              <w:left w:val="nil"/>
              <w:bottom w:val="single" w:sz="2" w:space="0" w:color="auto"/>
              <w:right w:val="nil"/>
            </w:tcBorders>
            <w:hideMark/>
          </w:tcPr>
          <w:p w:rsidR="00D45102" w:rsidRDefault="00D45102">
            <w:pPr>
              <w:jc w:val="both"/>
              <w:rPr>
                <w:rFonts w:cs="Arial"/>
                <w:sz w:val="24"/>
                <w:szCs w:val="24"/>
              </w:rPr>
            </w:pPr>
            <w:bookmarkStart w:id="3" w:name="_Hlk142399740"/>
            <w:r>
              <w:rPr>
                <w:rFonts w:cs="Arial"/>
                <w:sz w:val="24"/>
                <w:szCs w:val="24"/>
              </w:rPr>
              <w:t>0,05 ml veterinærlægemiddel / kg legemsvægt / dag</w:t>
            </w:r>
          </w:p>
        </w:tc>
        <w:tc>
          <w:tcPr>
            <w:tcW w:w="336" w:type="dxa"/>
            <w:tcBorders>
              <w:top w:val="nil"/>
              <w:left w:val="nil"/>
              <w:bottom w:val="single" w:sz="2" w:space="0" w:color="auto"/>
              <w:right w:val="nil"/>
            </w:tcBorders>
            <w:vAlign w:val="center"/>
            <w:hideMark/>
          </w:tcPr>
          <w:p w:rsidR="00D45102" w:rsidRDefault="00D45102">
            <w:pPr>
              <w:jc w:val="center"/>
              <w:rPr>
                <w:rFonts w:cs="Arial"/>
                <w:sz w:val="24"/>
                <w:szCs w:val="24"/>
              </w:rPr>
            </w:pPr>
            <w:r>
              <w:rPr>
                <w:rFonts w:cs="Arial"/>
                <w:sz w:val="24"/>
                <w:szCs w:val="24"/>
              </w:rPr>
              <w:t>x</w:t>
            </w:r>
          </w:p>
        </w:tc>
        <w:tc>
          <w:tcPr>
            <w:tcW w:w="2231" w:type="dxa"/>
            <w:tcBorders>
              <w:top w:val="nil"/>
              <w:left w:val="nil"/>
              <w:bottom w:val="single" w:sz="2" w:space="0" w:color="auto"/>
              <w:right w:val="nil"/>
            </w:tcBorders>
            <w:hideMark/>
          </w:tcPr>
          <w:p w:rsidR="00D45102" w:rsidRDefault="00D45102">
            <w:pPr>
              <w:jc w:val="both"/>
              <w:rPr>
                <w:rFonts w:cs="Arial"/>
                <w:sz w:val="24"/>
                <w:szCs w:val="24"/>
              </w:rPr>
            </w:pPr>
            <w:r>
              <w:rPr>
                <w:rFonts w:cs="Arial"/>
                <w:sz w:val="24"/>
                <w:szCs w:val="24"/>
              </w:rPr>
              <w:t>Gennemsnitlig legemsvægt (kg) for dyr, der skal behandles</w:t>
            </w:r>
          </w:p>
        </w:tc>
        <w:tc>
          <w:tcPr>
            <w:tcW w:w="425" w:type="dxa"/>
            <w:vMerge w:val="restart"/>
            <w:tcBorders>
              <w:top w:val="nil"/>
              <w:left w:val="nil"/>
              <w:bottom w:val="nil"/>
              <w:right w:val="nil"/>
            </w:tcBorders>
            <w:vAlign w:val="center"/>
            <w:hideMark/>
          </w:tcPr>
          <w:p w:rsidR="00D45102" w:rsidRDefault="00D45102">
            <w:pPr>
              <w:jc w:val="center"/>
              <w:rPr>
                <w:rFonts w:cs="Arial"/>
                <w:sz w:val="24"/>
                <w:szCs w:val="24"/>
              </w:rPr>
            </w:pPr>
            <w:r>
              <w:rPr>
                <w:rFonts w:cs="Arial"/>
                <w:sz w:val="24"/>
                <w:szCs w:val="24"/>
              </w:rPr>
              <w:t>=</w:t>
            </w:r>
          </w:p>
        </w:tc>
        <w:tc>
          <w:tcPr>
            <w:tcW w:w="2430" w:type="dxa"/>
            <w:vMerge w:val="restart"/>
            <w:tcBorders>
              <w:top w:val="nil"/>
              <w:left w:val="nil"/>
              <w:bottom w:val="nil"/>
              <w:right w:val="nil"/>
            </w:tcBorders>
            <w:vAlign w:val="bottom"/>
            <w:hideMark/>
          </w:tcPr>
          <w:p w:rsidR="00D45102" w:rsidRDefault="00D45102">
            <w:pPr>
              <w:jc w:val="center"/>
              <w:rPr>
                <w:rFonts w:cs="Arial"/>
                <w:sz w:val="24"/>
                <w:szCs w:val="24"/>
              </w:rPr>
            </w:pPr>
            <w:r>
              <w:rPr>
                <w:rFonts w:cs="Arial"/>
                <w:sz w:val="24"/>
                <w:szCs w:val="24"/>
              </w:rPr>
              <w:t xml:space="preserve">ml </w:t>
            </w:r>
            <w:proofErr w:type="spellStart"/>
            <w:r>
              <w:rPr>
                <w:rFonts w:cs="Arial"/>
                <w:sz w:val="24"/>
                <w:szCs w:val="24"/>
              </w:rPr>
              <w:t>veterinærlægemidddel</w:t>
            </w:r>
            <w:proofErr w:type="spellEnd"/>
            <w:r>
              <w:rPr>
                <w:rFonts w:cs="Arial"/>
                <w:sz w:val="24"/>
                <w:szCs w:val="24"/>
              </w:rPr>
              <w:t xml:space="preserve"> pr. liter drikkevand</w:t>
            </w:r>
          </w:p>
        </w:tc>
      </w:tr>
      <w:tr w:rsidR="00D45102" w:rsidTr="00D45102">
        <w:tc>
          <w:tcPr>
            <w:tcW w:w="5637" w:type="dxa"/>
            <w:gridSpan w:val="3"/>
            <w:tcBorders>
              <w:top w:val="single" w:sz="2" w:space="0" w:color="auto"/>
              <w:left w:val="nil"/>
              <w:bottom w:val="nil"/>
              <w:right w:val="nil"/>
            </w:tcBorders>
            <w:hideMark/>
          </w:tcPr>
          <w:p w:rsidR="00D45102" w:rsidRDefault="00D45102">
            <w:pPr>
              <w:jc w:val="center"/>
              <w:rPr>
                <w:rFonts w:cs="Arial"/>
                <w:sz w:val="24"/>
                <w:szCs w:val="24"/>
              </w:rPr>
            </w:pPr>
            <w:r>
              <w:rPr>
                <w:rFonts w:cs="Arial"/>
                <w:sz w:val="24"/>
                <w:szCs w:val="24"/>
              </w:rPr>
              <w:lastRenderedPageBreak/>
              <w:t>Gennemsnitligt dagligt vandindtag (l/dyr)</w:t>
            </w:r>
          </w:p>
        </w:tc>
        <w:tc>
          <w:tcPr>
            <w:tcW w:w="425" w:type="dxa"/>
            <w:vMerge/>
            <w:tcBorders>
              <w:top w:val="nil"/>
              <w:left w:val="nil"/>
              <w:bottom w:val="nil"/>
              <w:right w:val="nil"/>
            </w:tcBorders>
            <w:vAlign w:val="center"/>
            <w:hideMark/>
          </w:tcPr>
          <w:p w:rsidR="00D45102" w:rsidRDefault="00D45102">
            <w:pPr>
              <w:rPr>
                <w:rFonts w:cs="Arial"/>
                <w:sz w:val="24"/>
                <w:szCs w:val="24"/>
              </w:rPr>
            </w:pPr>
          </w:p>
        </w:tc>
        <w:tc>
          <w:tcPr>
            <w:tcW w:w="2430" w:type="dxa"/>
            <w:vMerge/>
            <w:tcBorders>
              <w:top w:val="nil"/>
              <w:left w:val="nil"/>
              <w:bottom w:val="nil"/>
              <w:right w:val="nil"/>
            </w:tcBorders>
            <w:vAlign w:val="center"/>
            <w:hideMark/>
          </w:tcPr>
          <w:p w:rsidR="00D45102" w:rsidRDefault="00D45102">
            <w:pPr>
              <w:rPr>
                <w:rFonts w:cs="Arial"/>
                <w:sz w:val="24"/>
                <w:szCs w:val="24"/>
              </w:rPr>
            </w:pPr>
          </w:p>
        </w:tc>
      </w:tr>
      <w:bookmarkEnd w:id="3"/>
    </w:tbl>
    <w:p w:rsidR="00D45102" w:rsidRDefault="00D45102" w:rsidP="00D45102">
      <w:pPr>
        <w:ind w:left="851"/>
        <w:jc w:val="both"/>
        <w:rPr>
          <w:sz w:val="24"/>
          <w:szCs w:val="24"/>
        </w:rPr>
      </w:pPr>
    </w:p>
    <w:p w:rsidR="00D45102" w:rsidRDefault="00D45102" w:rsidP="00D45102">
      <w:pPr>
        <w:ind w:left="851"/>
        <w:jc w:val="both"/>
        <w:rPr>
          <w:sz w:val="24"/>
          <w:szCs w:val="24"/>
        </w:rPr>
      </w:pPr>
      <w:r>
        <w:rPr>
          <w:sz w:val="24"/>
          <w:szCs w:val="24"/>
        </w:rPr>
        <w:t xml:space="preserve">Dyr, som behandles, skal have fri adgang til systemet med vandforsyning for at sikre tilstrækkeligt vandindtag. Dyrene skal ikke have adgang til andre drikkevandskilder i medicineringsperioden. Medicineret drikkevand skal udskiftes hver 24. time. </w:t>
      </w:r>
    </w:p>
    <w:p w:rsidR="00D45102" w:rsidRDefault="00D45102" w:rsidP="00D45102">
      <w:pPr>
        <w:tabs>
          <w:tab w:val="left" w:pos="720"/>
        </w:tabs>
        <w:ind w:left="851"/>
        <w:rPr>
          <w:sz w:val="24"/>
          <w:szCs w:val="24"/>
        </w:rPr>
      </w:pPr>
      <w:r>
        <w:rPr>
          <w:sz w:val="24"/>
          <w:szCs w:val="24"/>
        </w:rPr>
        <w:t xml:space="preserve"> Efter endt medicineringsperiode skal vandforsyningssystemet renses på behørig vis for at undgå indtagelse af subterapeutiske mængder af det aktive stof.</w:t>
      </w:r>
    </w:p>
    <w:p w:rsidR="00D45102" w:rsidRDefault="00D45102" w:rsidP="00D45102">
      <w:pPr>
        <w:rPr>
          <w:sz w:val="24"/>
          <w:szCs w:val="24"/>
        </w:rPr>
      </w:pPr>
    </w:p>
    <w:p w:rsidR="00D45102" w:rsidRDefault="00D45102" w:rsidP="00D45102">
      <w:pPr>
        <w:ind w:left="851"/>
        <w:rPr>
          <w:sz w:val="24"/>
          <w:szCs w:val="24"/>
        </w:rPr>
      </w:pPr>
      <w:r>
        <w:rPr>
          <w:sz w:val="24"/>
          <w:szCs w:val="24"/>
        </w:rPr>
        <w:t>Veterinærlægemidlet må ikke komme i kontakt med rørføringer og beholdere af metal.</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3.10</w:t>
      </w:r>
      <w:r>
        <w:rPr>
          <w:b/>
          <w:sz w:val="24"/>
          <w:szCs w:val="24"/>
        </w:rPr>
        <w:tab/>
      </w:r>
      <w:r>
        <w:rPr>
          <w:b/>
          <w:bCs/>
          <w:sz w:val="24"/>
          <w:szCs w:val="24"/>
        </w:rPr>
        <w:t>Symptomer på overdosering (og, hvis relevant, nødforanstaltninger og modgift)</w:t>
      </w:r>
    </w:p>
    <w:p w:rsidR="00D45102" w:rsidRDefault="00D45102" w:rsidP="00D45102">
      <w:pPr>
        <w:ind w:left="851"/>
        <w:rPr>
          <w:sz w:val="24"/>
          <w:szCs w:val="24"/>
        </w:rPr>
      </w:pPr>
    </w:p>
    <w:p w:rsidR="00D45102" w:rsidRDefault="00D45102" w:rsidP="00D45102">
      <w:pPr>
        <w:ind w:left="851"/>
        <w:rPr>
          <w:sz w:val="24"/>
          <w:szCs w:val="24"/>
        </w:rPr>
      </w:pPr>
      <w:r>
        <w:rPr>
          <w:sz w:val="24"/>
          <w:szCs w:val="24"/>
        </w:rPr>
        <w:t xml:space="preserve">Længerevarende brug med høje doser kan forårsage </w:t>
      </w:r>
      <w:proofErr w:type="spellStart"/>
      <w:r>
        <w:rPr>
          <w:sz w:val="24"/>
          <w:szCs w:val="24"/>
        </w:rPr>
        <w:t>thiaminmangel</w:t>
      </w:r>
      <w:proofErr w:type="spellEnd"/>
      <w:r>
        <w:rPr>
          <w:sz w:val="24"/>
          <w:szCs w:val="24"/>
        </w:rPr>
        <w:t xml:space="preserve">. Manglen kan kompenseres ved passende </w:t>
      </w:r>
      <w:proofErr w:type="spellStart"/>
      <w:r>
        <w:rPr>
          <w:sz w:val="24"/>
          <w:szCs w:val="24"/>
        </w:rPr>
        <w:t>thiaminindtag</w:t>
      </w:r>
      <w:proofErr w:type="spellEnd"/>
      <w:r>
        <w:rPr>
          <w:sz w:val="24"/>
          <w:szCs w:val="24"/>
        </w:rPr>
        <w:t>.</w:t>
      </w:r>
    </w:p>
    <w:p w:rsidR="00D45102" w:rsidRDefault="00D45102" w:rsidP="00D45102">
      <w:pPr>
        <w:ind w:left="851"/>
        <w:rPr>
          <w:sz w:val="24"/>
          <w:szCs w:val="24"/>
        </w:rPr>
      </w:pPr>
    </w:p>
    <w:p w:rsidR="00D45102" w:rsidRDefault="00D45102" w:rsidP="00D45102">
      <w:pPr>
        <w:ind w:left="851" w:hanging="851"/>
        <w:rPr>
          <w:b/>
          <w:bCs/>
          <w:sz w:val="24"/>
          <w:szCs w:val="24"/>
        </w:rPr>
      </w:pPr>
      <w:r>
        <w:rPr>
          <w:b/>
          <w:sz w:val="24"/>
          <w:szCs w:val="24"/>
        </w:rPr>
        <w:t>3.11</w:t>
      </w:r>
      <w:r>
        <w:tab/>
      </w:r>
      <w:r>
        <w:rPr>
          <w:b/>
          <w:bCs/>
          <w:sz w:val="24"/>
          <w:szCs w:val="24"/>
        </w:rPr>
        <w:t>Særlige begrænsninger og betingelser for anvendelse, herunder begrænsninger for anvendelsen af antimikrobielle og antiparasitære veterinærlægemidler for at begrænse risikoen for udvikling af resistens</w:t>
      </w:r>
    </w:p>
    <w:p w:rsidR="00D45102" w:rsidRDefault="00D45102" w:rsidP="00D45102">
      <w:pPr>
        <w:ind w:left="851" w:hanging="851"/>
        <w:rPr>
          <w:b/>
          <w:bCs/>
          <w:sz w:val="24"/>
          <w:szCs w:val="24"/>
        </w:rPr>
      </w:pPr>
    </w:p>
    <w:p w:rsidR="00D45102" w:rsidRDefault="00D45102" w:rsidP="00D45102">
      <w:pPr>
        <w:ind w:left="851" w:hanging="851"/>
        <w:rPr>
          <w:sz w:val="24"/>
          <w:szCs w:val="24"/>
          <w:lang w:eastAsia="da-DK"/>
        </w:rPr>
      </w:pPr>
      <w:r>
        <w:rPr>
          <w:b/>
          <w:bCs/>
          <w:sz w:val="24"/>
          <w:szCs w:val="24"/>
        </w:rPr>
        <w:tab/>
      </w:r>
      <w:r>
        <w:rPr>
          <w:sz w:val="24"/>
          <w:szCs w:val="24"/>
        </w:rPr>
        <w:t>Ikke relevant.</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3.12</w:t>
      </w:r>
      <w:r>
        <w:rPr>
          <w:b/>
          <w:sz w:val="24"/>
          <w:szCs w:val="24"/>
        </w:rPr>
        <w:tab/>
        <w:t>Tilbageholdelsestid(er)</w:t>
      </w:r>
    </w:p>
    <w:p w:rsidR="00D45102" w:rsidRDefault="00D45102" w:rsidP="00D45102">
      <w:pPr>
        <w:ind w:left="851"/>
        <w:rPr>
          <w:sz w:val="24"/>
          <w:szCs w:val="24"/>
        </w:rPr>
      </w:pPr>
    </w:p>
    <w:p w:rsidR="00D45102" w:rsidRDefault="00D45102" w:rsidP="00D45102">
      <w:pPr>
        <w:ind w:left="851"/>
        <w:rPr>
          <w:sz w:val="24"/>
          <w:szCs w:val="24"/>
          <w:lang w:eastAsia="da-DK"/>
        </w:rPr>
      </w:pPr>
      <w:r>
        <w:rPr>
          <w:sz w:val="24"/>
          <w:szCs w:val="24"/>
        </w:rPr>
        <w:t>Høns og kalkuner:</w:t>
      </w:r>
    </w:p>
    <w:p w:rsidR="00D45102" w:rsidRDefault="00D45102" w:rsidP="00D45102">
      <w:pPr>
        <w:tabs>
          <w:tab w:val="left" w:pos="1985"/>
        </w:tabs>
        <w:ind w:left="851"/>
        <w:rPr>
          <w:sz w:val="24"/>
          <w:szCs w:val="24"/>
        </w:rPr>
      </w:pPr>
      <w:r>
        <w:rPr>
          <w:sz w:val="24"/>
          <w:szCs w:val="24"/>
        </w:rPr>
        <w:t xml:space="preserve">Slagtning: </w:t>
      </w:r>
      <w:r>
        <w:rPr>
          <w:sz w:val="24"/>
          <w:szCs w:val="24"/>
        </w:rPr>
        <w:tab/>
        <w:t>0 dage.</w:t>
      </w:r>
    </w:p>
    <w:p w:rsidR="00D45102" w:rsidRDefault="00D45102" w:rsidP="00D45102">
      <w:pPr>
        <w:tabs>
          <w:tab w:val="left" w:pos="1985"/>
        </w:tabs>
        <w:ind w:left="851"/>
        <w:rPr>
          <w:sz w:val="24"/>
          <w:szCs w:val="24"/>
        </w:rPr>
      </w:pPr>
      <w:r>
        <w:rPr>
          <w:sz w:val="24"/>
          <w:szCs w:val="24"/>
        </w:rPr>
        <w:t xml:space="preserve">Æg: </w:t>
      </w:r>
      <w:r>
        <w:rPr>
          <w:sz w:val="24"/>
          <w:szCs w:val="24"/>
        </w:rPr>
        <w:tab/>
        <w:t>0 dage.</w:t>
      </w:r>
    </w:p>
    <w:p w:rsidR="00D45102" w:rsidRDefault="00D45102" w:rsidP="00D45102">
      <w:pPr>
        <w:pStyle w:val="Sidehoved"/>
        <w:tabs>
          <w:tab w:val="clear" w:pos="4819"/>
          <w:tab w:val="left" w:pos="8222"/>
        </w:tabs>
        <w:ind w:left="851" w:hanging="851"/>
        <w:rPr>
          <w:szCs w:val="24"/>
        </w:rPr>
      </w:pPr>
    </w:p>
    <w:p w:rsidR="00D45102" w:rsidRDefault="00D45102" w:rsidP="00D45102">
      <w:pPr>
        <w:tabs>
          <w:tab w:val="left" w:pos="851"/>
          <w:tab w:val="left" w:pos="8222"/>
        </w:tabs>
        <w:ind w:left="851" w:hanging="851"/>
        <w:rPr>
          <w:sz w:val="24"/>
          <w:szCs w:val="24"/>
        </w:rPr>
      </w:pPr>
    </w:p>
    <w:p w:rsidR="00D45102" w:rsidRDefault="00D45102" w:rsidP="00D45102">
      <w:pPr>
        <w:tabs>
          <w:tab w:val="left" w:pos="8222"/>
        </w:tabs>
        <w:ind w:left="851" w:hanging="851"/>
        <w:rPr>
          <w:b/>
          <w:sz w:val="24"/>
          <w:szCs w:val="24"/>
        </w:rPr>
      </w:pPr>
      <w:r>
        <w:rPr>
          <w:b/>
          <w:sz w:val="24"/>
          <w:szCs w:val="24"/>
        </w:rPr>
        <w:t>4.</w:t>
      </w:r>
      <w:r>
        <w:rPr>
          <w:b/>
          <w:sz w:val="24"/>
          <w:szCs w:val="24"/>
        </w:rPr>
        <w:tab/>
        <w:t xml:space="preserve">FARMAKOLOGISKE </w:t>
      </w:r>
      <w:r>
        <w:rPr>
          <w:b/>
          <w:bCs/>
          <w:sz w:val="24"/>
          <w:szCs w:val="24"/>
        </w:rPr>
        <w:t>OPLYSNINGER</w:t>
      </w:r>
    </w:p>
    <w:p w:rsidR="00D45102" w:rsidRDefault="00D45102" w:rsidP="00D45102">
      <w:pPr>
        <w:ind w:firstLine="851"/>
        <w:jc w:val="both"/>
        <w:rPr>
          <w:sz w:val="24"/>
          <w:szCs w:val="24"/>
        </w:rPr>
      </w:pPr>
    </w:p>
    <w:p w:rsidR="00D45102" w:rsidRDefault="00D45102" w:rsidP="00D45102">
      <w:pPr>
        <w:tabs>
          <w:tab w:val="left" w:pos="851"/>
          <w:tab w:val="left" w:pos="8222"/>
        </w:tabs>
        <w:ind w:left="851" w:hanging="851"/>
        <w:rPr>
          <w:bCs/>
          <w:sz w:val="24"/>
          <w:szCs w:val="24"/>
        </w:rPr>
      </w:pPr>
      <w:r>
        <w:rPr>
          <w:b/>
          <w:bCs/>
          <w:sz w:val="24"/>
          <w:szCs w:val="24"/>
        </w:rPr>
        <w:t>4.1</w:t>
      </w:r>
      <w:r>
        <w:rPr>
          <w:b/>
          <w:bCs/>
          <w:sz w:val="24"/>
          <w:szCs w:val="24"/>
        </w:rPr>
        <w:tab/>
      </w:r>
      <w:proofErr w:type="spellStart"/>
      <w:r>
        <w:rPr>
          <w:b/>
          <w:bCs/>
          <w:sz w:val="24"/>
          <w:szCs w:val="24"/>
        </w:rPr>
        <w:t>ATCvet</w:t>
      </w:r>
      <w:proofErr w:type="spellEnd"/>
      <w:r>
        <w:rPr>
          <w:b/>
          <w:bCs/>
          <w:sz w:val="24"/>
          <w:szCs w:val="24"/>
        </w:rPr>
        <w:t>-kode:</w:t>
      </w:r>
    </w:p>
    <w:p w:rsidR="00D45102" w:rsidRDefault="00D45102" w:rsidP="00D45102">
      <w:pPr>
        <w:ind w:firstLine="851"/>
        <w:jc w:val="both"/>
        <w:rPr>
          <w:sz w:val="24"/>
          <w:szCs w:val="24"/>
        </w:rPr>
      </w:pPr>
      <w:r>
        <w:rPr>
          <w:sz w:val="24"/>
          <w:szCs w:val="24"/>
        </w:rPr>
        <w:t>QP51AX09.</w:t>
      </w:r>
    </w:p>
    <w:p w:rsidR="00D45102" w:rsidRDefault="00D45102" w:rsidP="00D45102">
      <w:pPr>
        <w:tabs>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4.2</w:t>
      </w:r>
      <w:r>
        <w:rPr>
          <w:b/>
          <w:sz w:val="24"/>
          <w:szCs w:val="24"/>
        </w:rPr>
        <w:tab/>
      </w:r>
      <w:proofErr w:type="spellStart"/>
      <w:r>
        <w:rPr>
          <w:b/>
          <w:sz w:val="24"/>
          <w:szCs w:val="24"/>
        </w:rPr>
        <w:t>Farmakodynamiske</w:t>
      </w:r>
      <w:proofErr w:type="spellEnd"/>
      <w:r>
        <w:rPr>
          <w:b/>
          <w:sz w:val="24"/>
          <w:szCs w:val="24"/>
        </w:rPr>
        <w:t xml:space="preserve"> oplysninger</w:t>
      </w:r>
    </w:p>
    <w:p w:rsidR="00D45102" w:rsidRDefault="00D45102" w:rsidP="00D45102">
      <w:pPr>
        <w:ind w:left="851"/>
        <w:rPr>
          <w:sz w:val="24"/>
          <w:szCs w:val="24"/>
        </w:rPr>
      </w:pPr>
    </w:p>
    <w:p w:rsidR="00D45102" w:rsidRDefault="00D45102" w:rsidP="00D45102">
      <w:pPr>
        <w:ind w:left="851"/>
        <w:rPr>
          <w:sz w:val="24"/>
          <w:szCs w:val="24"/>
          <w:lang w:eastAsia="da-DK"/>
        </w:rPr>
      </w:pPr>
      <w:proofErr w:type="spellStart"/>
      <w:r>
        <w:rPr>
          <w:sz w:val="24"/>
          <w:szCs w:val="24"/>
        </w:rPr>
        <w:t>Amprolium</w:t>
      </w:r>
      <w:proofErr w:type="spellEnd"/>
      <w:r>
        <w:rPr>
          <w:sz w:val="24"/>
          <w:szCs w:val="24"/>
        </w:rPr>
        <w:t xml:space="preserve"> er et </w:t>
      </w:r>
      <w:proofErr w:type="spellStart"/>
      <w:r>
        <w:rPr>
          <w:sz w:val="24"/>
          <w:szCs w:val="24"/>
        </w:rPr>
        <w:t>coccidicid</w:t>
      </w:r>
      <w:proofErr w:type="spellEnd"/>
      <w:r>
        <w:rPr>
          <w:sz w:val="24"/>
          <w:szCs w:val="24"/>
        </w:rPr>
        <w:t xml:space="preserve">, der tilhører familien af </w:t>
      </w:r>
      <w:proofErr w:type="spellStart"/>
      <w:r>
        <w:rPr>
          <w:sz w:val="24"/>
          <w:szCs w:val="24"/>
        </w:rPr>
        <w:t>thiaminanaloger</w:t>
      </w:r>
      <w:proofErr w:type="spellEnd"/>
      <w:r>
        <w:rPr>
          <w:sz w:val="24"/>
          <w:szCs w:val="24"/>
        </w:rPr>
        <w:t xml:space="preserve">. </w:t>
      </w:r>
      <w:proofErr w:type="spellStart"/>
      <w:r>
        <w:rPr>
          <w:sz w:val="24"/>
          <w:szCs w:val="24"/>
        </w:rPr>
        <w:t>Amprolium</w:t>
      </w:r>
      <w:proofErr w:type="spellEnd"/>
      <w:r>
        <w:rPr>
          <w:sz w:val="24"/>
          <w:szCs w:val="24"/>
        </w:rPr>
        <w:t xml:space="preserve"> virker som </w:t>
      </w:r>
      <w:proofErr w:type="spellStart"/>
      <w:r>
        <w:rPr>
          <w:sz w:val="24"/>
          <w:szCs w:val="24"/>
        </w:rPr>
        <w:t>kompetitiv</w:t>
      </w:r>
      <w:proofErr w:type="spellEnd"/>
      <w:r>
        <w:rPr>
          <w:sz w:val="24"/>
          <w:szCs w:val="24"/>
        </w:rPr>
        <w:t xml:space="preserve"> inhibitor af </w:t>
      </w:r>
      <w:proofErr w:type="spellStart"/>
      <w:r>
        <w:rPr>
          <w:sz w:val="24"/>
          <w:szCs w:val="24"/>
        </w:rPr>
        <w:t>thiamin</w:t>
      </w:r>
      <w:proofErr w:type="spellEnd"/>
      <w:r>
        <w:rPr>
          <w:sz w:val="24"/>
          <w:szCs w:val="24"/>
        </w:rPr>
        <w:t xml:space="preserve"> inde i </w:t>
      </w:r>
      <w:proofErr w:type="spellStart"/>
      <w:r>
        <w:rPr>
          <w:sz w:val="24"/>
          <w:szCs w:val="24"/>
        </w:rPr>
        <w:t>thiamin</w:t>
      </w:r>
      <w:proofErr w:type="spellEnd"/>
      <w:r>
        <w:rPr>
          <w:sz w:val="24"/>
          <w:szCs w:val="24"/>
        </w:rPr>
        <w:t xml:space="preserve">-transportmekanismerne. Det påvirker kulhydratmetabolismen, som kræves for </w:t>
      </w:r>
      <w:proofErr w:type="spellStart"/>
      <w:r>
        <w:rPr>
          <w:sz w:val="24"/>
          <w:szCs w:val="24"/>
        </w:rPr>
        <w:t>coccidial</w:t>
      </w:r>
      <w:proofErr w:type="spellEnd"/>
      <w:r>
        <w:rPr>
          <w:sz w:val="24"/>
          <w:szCs w:val="24"/>
        </w:rPr>
        <w:t xml:space="preserve"> opformering og overlevelse.</w:t>
      </w:r>
    </w:p>
    <w:p w:rsidR="00D45102" w:rsidRDefault="00D45102" w:rsidP="00D45102">
      <w:pPr>
        <w:ind w:left="851"/>
        <w:rPr>
          <w:sz w:val="24"/>
          <w:szCs w:val="24"/>
        </w:rPr>
      </w:pPr>
    </w:p>
    <w:p w:rsidR="00D45102" w:rsidRDefault="00D45102" w:rsidP="00D45102">
      <w:pPr>
        <w:ind w:left="851"/>
        <w:rPr>
          <w:sz w:val="24"/>
          <w:szCs w:val="24"/>
        </w:rPr>
      </w:pPr>
      <w:r>
        <w:rPr>
          <w:sz w:val="24"/>
          <w:szCs w:val="24"/>
        </w:rPr>
        <w:t xml:space="preserve">I </w:t>
      </w:r>
      <w:r>
        <w:rPr>
          <w:i/>
          <w:sz w:val="24"/>
          <w:szCs w:val="24"/>
        </w:rPr>
        <w:t>in-</w:t>
      </w:r>
      <w:proofErr w:type="spellStart"/>
      <w:r>
        <w:rPr>
          <w:i/>
          <w:sz w:val="24"/>
          <w:szCs w:val="24"/>
        </w:rPr>
        <w:t>vitro</w:t>
      </w:r>
      <w:proofErr w:type="spellEnd"/>
      <w:r>
        <w:rPr>
          <w:sz w:val="24"/>
          <w:szCs w:val="24"/>
        </w:rPr>
        <w:t xml:space="preserve">-undersøgelse blev det vist, at optag af </w:t>
      </w:r>
      <w:proofErr w:type="spellStart"/>
      <w:r>
        <w:rPr>
          <w:sz w:val="24"/>
          <w:szCs w:val="24"/>
        </w:rPr>
        <w:t>thiamin</w:t>
      </w:r>
      <w:proofErr w:type="spellEnd"/>
      <w:r>
        <w:rPr>
          <w:sz w:val="24"/>
          <w:szCs w:val="24"/>
        </w:rPr>
        <w:t xml:space="preserve"> af </w:t>
      </w:r>
      <w:proofErr w:type="spellStart"/>
      <w:r>
        <w:rPr>
          <w:sz w:val="24"/>
          <w:szCs w:val="24"/>
        </w:rPr>
        <w:t>schizonter</w:t>
      </w:r>
      <w:proofErr w:type="spellEnd"/>
      <w:r>
        <w:rPr>
          <w:sz w:val="24"/>
          <w:szCs w:val="24"/>
        </w:rPr>
        <w:t xml:space="preserve"> i </w:t>
      </w:r>
      <w:proofErr w:type="spellStart"/>
      <w:r>
        <w:rPr>
          <w:i/>
          <w:sz w:val="24"/>
          <w:szCs w:val="24"/>
        </w:rPr>
        <w:t>Eimeria</w:t>
      </w:r>
      <w:proofErr w:type="spellEnd"/>
      <w:r>
        <w:rPr>
          <w:i/>
          <w:sz w:val="24"/>
          <w:szCs w:val="24"/>
        </w:rPr>
        <w:t xml:space="preserve"> </w:t>
      </w:r>
      <w:proofErr w:type="spellStart"/>
      <w:r>
        <w:rPr>
          <w:i/>
          <w:sz w:val="24"/>
          <w:szCs w:val="24"/>
        </w:rPr>
        <w:t>tenella</w:t>
      </w:r>
      <w:proofErr w:type="spellEnd"/>
      <w:r>
        <w:rPr>
          <w:sz w:val="24"/>
          <w:szCs w:val="24"/>
        </w:rPr>
        <w:t xml:space="preserve"> og af tarmceller i værten kan foregå via passiv diffusion eller gennem en aktiv, energi- og pH-afhængig proces. </w:t>
      </w:r>
      <w:proofErr w:type="spellStart"/>
      <w:r>
        <w:rPr>
          <w:sz w:val="24"/>
          <w:szCs w:val="24"/>
        </w:rPr>
        <w:t>Amprolium</w:t>
      </w:r>
      <w:proofErr w:type="spellEnd"/>
      <w:r>
        <w:rPr>
          <w:sz w:val="24"/>
          <w:szCs w:val="24"/>
        </w:rPr>
        <w:t xml:space="preserve"> inhiberer </w:t>
      </w:r>
      <w:proofErr w:type="spellStart"/>
      <w:r>
        <w:rPr>
          <w:sz w:val="24"/>
          <w:szCs w:val="24"/>
        </w:rPr>
        <w:t>kompetitivt</w:t>
      </w:r>
      <w:proofErr w:type="spellEnd"/>
      <w:r>
        <w:rPr>
          <w:sz w:val="24"/>
          <w:szCs w:val="24"/>
        </w:rPr>
        <w:t xml:space="preserve"> begge systemer, dog blev det vist, at parasitten var mere sensitiv over for </w:t>
      </w:r>
      <w:proofErr w:type="spellStart"/>
      <w:r>
        <w:rPr>
          <w:sz w:val="24"/>
          <w:szCs w:val="24"/>
        </w:rPr>
        <w:t>amprolium</w:t>
      </w:r>
      <w:proofErr w:type="spellEnd"/>
      <w:r>
        <w:rPr>
          <w:sz w:val="24"/>
          <w:szCs w:val="24"/>
        </w:rPr>
        <w:t xml:space="preserve"> end værten. </w:t>
      </w:r>
    </w:p>
    <w:p w:rsidR="00D45102" w:rsidRDefault="00D45102" w:rsidP="00D45102">
      <w:pPr>
        <w:ind w:left="851"/>
        <w:rPr>
          <w:sz w:val="24"/>
          <w:szCs w:val="24"/>
        </w:rPr>
      </w:pPr>
    </w:p>
    <w:p w:rsidR="00D45102" w:rsidRDefault="00D45102" w:rsidP="00D45102">
      <w:pPr>
        <w:ind w:left="851"/>
        <w:rPr>
          <w:sz w:val="24"/>
          <w:szCs w:val="24"/>
        </w:rPr>
      </w:pPr>
      <w:r>
        <w:rPr>
          <w:sz w:val="24"/>
          <w:szCs w:val="24"/>
        </w:rPr>
        <w:t xml:space="preserve">Som vist med høns, der er vaccineret mod </w:t>
      </w:r>
      <w:proofErr w:type="spellStart"/>
      <w:r>
        <w:rPr>
          <w:i/>
          <w:sz w:val="24"/>
          <w:szCs w:val="24"/>
        </w:rPr>
        <w:t>Eimeria</w:t>
      </w:r>
      <w:proofErr w:type="spellEnd"/>
      <w:r>
        <w:rPr>
          <w:i/>
          <w:sz w:val="24"/>
          <w:szCs w:val="24"/>
        </w:rPr>
        <w:t xml:space="preserve"> </w:t>
      </w:r>
      <w:proofErr w:type="spellStart"/>
      <w:r>
        <w:rPr>
          <w:i/>
          <w:sz w:val="24"/>
          <w:szCs w:val="24"/>
        </w:rPr>
        <w:t>maxima</w:t>
      </w:r>
      <w:proofErr w:type="spellEnd"/>
      <w:r>
        <w:rPr>
          <w:sz w:val="24"/>
          <w:szCs w:val="24"/>
        </w:rPr>
        <w:t xml:space="preserve">, resulterede administration af </w:t>
      </w:r>
      <w:proofErr w:type="spellStart"/>
      <w:r>
        <w:rPr>
          <w:sz w:val="24"/>
          <w:szCs w:val="24"/>
        </w:rPr>
        <w:t>amprolium</w:t>
      </w:r>
      <w:proofErr w:type="spellEnd"/>
      <w:r>
        <w:rPr>
          <w:sz w:val="24"/>
          <w:szCs w:val="24"/>
        </w:rPr>
        <w:t xml:space="preserve"> i udvikling af nogle morfologisk abnorme makrogameter og </w:t>
      </w:r>
      <w:proofErr w:type="spellStart"/>
      <w:r>
        <w:rPr>
          <w:sz w:val="24"/>
          <w:szCs w:val="24"/>
        </w:rPr>
        <w:t>oocyster</w:t>
      </w:r>
      <w:proofErr w:type="spellEnd"/>
      <w:r>
        <w:rPr>
          <w:sz w:val="24"/>
          <w:szCs w:val="24"/>
        </w:rPr>
        <w:t xml:space="preserve">, hvilket kan være årsagen til en reduceret </w:t>
      </w:r>
      <w:proofErr w:type="spellStart"/>
      <w:r>
        <w:rPr>
          <w:sz w:val="24"/>
          <w:szCs w:val="24"/>
        </w:rPr>
        <w:t>sporulationsrate</w:t>
      </w:r>
      <w:proofErr w:type="spellEnd"/>
      <w:r>
        <w:rPr>
          <w:sz w:val="24"/>
          <w:szCs w:val="24"/>
        </w:rPr>
        <w:t>.</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4.3</w:t>
      </w:r>
      <w:r>
        <w:rPr>
          <w:b/>
          <w:sz w:val="24"/>
          <w:szCs w:val="24"/>
        </w:rPr>
        <w:tab/>
      </w:r>
      <w:proofErr w:type="spellStart"/>
      <w:r>
        <w:rPr>
          <w:b/>
          <w:sz w:val="24"/>
          <w:szCs w:val="24"/>
        </w:rPr>
        <w:t>Farmakokinetiske</w:t>
      </w:r>
      <w:proofErr w:type="spellEnd"/>
      <w:r>
        <w:rPr>
          <w:b/>
          <w:sz w:val="24"/>
          <w:szCs w:val="24"/>
        </w:rPr>
        <w:t xml:space="preserve"> oplysninger</w:t>
      </w:r>
    </w:p>
    <w:p w:rsidR="00D45102" w:rsidRDefault="00D45102" w:rsidP="00D45102">
      <w:pPr>
        <w:ind w:left="851"/>
        <w:rPr>
          <w:sz w:val="24"/>
          <w:szCs w:val="24"/>
        </w:rPr>
      </w:pPr>
    </w:p>
    <w:p w:rsidR="00D45102" w:rsidRDefault="00D45102" w:rsidP="00D45102">
      <w:pPr>
        <w:ind w:left="851"/>
        <w:rPr>
          <w:sz w:val="24"/>
          <w:szCs w:val="24"/>
          <w:lang w:eastAsia="da-DK"/>
        </w:rPr>
      </w:pPr>
      <w:proofErr w:type="spellStart"/>
      <w:r>
        <w:rPr>
          <w:sz w:val="24"/>
          <w:szCs w:val="24"/>
        </w:rPr>
        <w:lastRenderedPageBreak/>
        <w:t>Amprolium</w:t>
      </w:r>
      <w:proofErr w:type="spellEnd"/>
      <w:r>
        <w:rPr>
          <w:sz w:val="24"/>
          <w:szCs w:val="24"/>
        </w:rPr>
        <w:t xml:space="preserve"> absorberes langsomt efter oral administration. Den maksimale plasmakoncentration af midlet nås 4 timer senere.</w:t>
      </w:r>
    </w:p>
    <w:p w:rsidR="00D45102" w:rsidRDefault="00D45102" w:rsidP="00D45102">
      <w:pPr>
        <w:ind w:left="851"/>
        <w:rPr>
          <w:sz w:val="24"/>
          <w:szCs w:val="24"/>
        </w:rPr>
      </w:pPr>
      <w:proofErr w:type="spellStart"/>
      <w:r>
        <w:rPr>
          <w:sz w:val="24"/>
          <w:szCs w:val="24"/>
        </w:rPr>
        <w:t>Amprolium</w:t>
      </w:r>
      <w:proofErr w:type="spellEnd"/>
      <w:r>
        <w:rPr>
          <w:sz w:val="24"/>
          <w:szCs w:val="24"/>
        </w:rPr>
        <w:t xml:space="preserve"> udskilles hovedsageligt gennem fæces.</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ab/>
        <w:t>Miljøoplysninger</w:t>
      </w:r>
    </w:p>
    <w:p w:rsidR="00D45102" w:rsidRDefault="00D45102" w:rsidP="00D45102">
      <w:pPr>
        <w:ind w:left="851"/>
        <w:jc w:val="both"/>
        <w:rPr>
          <w:sz w:val="24"/>
          <w:szCs w:val="24"/>
        </w:rPr>
      </w:pPr>
    </w:p>
    <w:p w:rsidR="00D45102" w:rsidRDefault="00D45102" w:rsidP="00D45102">
      <w:pPr>
        <w:ind w:left="851"/>
        <w:jc w:val="both"/>
        <w:rPr>
          <w:sz w:val="24"/>
          <w:szCs w:val="24"/>
        </w:rPr>
      </w:pPr>
      <w:proofErr w:type="spellStart"/>
      <w:r>
        <w:rPr>
          <w:sz w:val="24"/>
          <w:szCs w:val="24"/>
        </w:rPr>
        <w:t>Amprolium</w:t>
      </w:r>
      <w:proofErr w:type="spellEnd"/>
      <w:r>
        <w:rPr>
          <w:sz w:val="24"/>
          <w:szCs w:val="24"/>
        </w:rPr>
        <w:t xml:space="preserve"> er meget </w:t>
      </w:r>
      <w:proofErr w:type="spellStart"/>
      <w:r>
        <w:rPr>
          <w:sz w:val="24"/>
          <w:szCs w:val="24"/>
        </w:rPr>
        <w:t>persistent</w:t>
      </w:r>
      <w:proofErr w:type="spellEnd"/>
      <w:r>
        <w:rPr>
          <w:sz w:val="24"/>
          <w:szCs w:val="24"/>
        </w:rPr>
        <w:t xml:space="preserve"> i jord.</w:t>
      </w:r>
    </w:p>
    <w:p w:rsidR="00D45102" w:rsidRDefault="00D45102" w:rsidP="00D45102">
      <w:pPr>
        <w:ind w:left="851"/>
        <w:jc w:val="both"/>
        <w:rPr>
          <w:sz w:val="24"/>
          <w:szCs w:val="24"/>
        </w:rPr>
      </w:pPr>
    </w:p>
    <w:p w:rsidR="00D45102" w:rsidRDefault="00D45102" w:rsidP="00D45102">
      <w:pPr>
        <w:tabs>
          <w:tab w:val="left" w:pos="851"/>
          <w:tab w:val="left" w:pos="8222"/>
        </w:tabs>
        <w:ind w:left="851" w:hanging="851"/>
        <w:rPr>
          <w:sz w:val="24"/>
          <w:szCs w:val="24"/>
        </w:rPr>
      </w:pPr>
    </w:p>
    <w:p w:rsidR="00D45102" w:rsidRDefault="00D45102" w:rsidP="00D45102">
      <w:pPr>
        <w:tabs>
          <w:tab w:val="left" w:pos="8222"/>
        </w:tabs>
        <w:ind w:left="851" w:hanging="851"/>
        <w:rPr>
          <w:b/>
          <w:sz w:val="24"/>
          <w:szCs w:val="24"/>
        </w:rPr>
      </w:pPr>
      <w:r>
        <w:rPr>
          <w:b/>
          <w:sz w:val="24"/>
          <w:szCs w:val="24"/>
        </w:rPr>
        <w:t>5.</w:t>
      </w:r>
      <w:r>
        <w:rPr>
          <w:b/>
          <w:sz w:val="24"/>
          <w:szCs w:val="24"/>
        </w:rPr>
        <w:tab/>
        <w:t>FARMACEUTISKE OPLYSNINGER</w:t>
      </w:r>
    </w:p>
    <w:p w:rsidR="00D45102" w:rsidRDefault="00D45102" w:rsidP="00D45102">
      <w:pPr>
        <w:tabs>
          <w:tab w:val="left" w:pos="851"/>
          <w:tab w:val="left" w:pos="8222"/>
        </w:tabs>
        <w:ind w:left="851" w:hanging="851"/>
        <w:rPr>
          <w:sz w:val="24"/>
          <w:szCs w:val="24"/>
        </w:rPr>
      </w:pPr>
    </w:p>
    <w:p w:rsidR="00D45102" w:rsidRDefault="00D45102" w:rsidP="00D45102">
      <w:pPr>
        <w:tabs>
          <w:tab w:val="left" w:pos="8222"/>
        </w:tabs>
        <w:ind w:left="851" w:hanging="851"/>
        <w:rPr>
          <w:b/>
          <w:sz w:val="24"/>
          <w:szCs w:val="24"/>
        </w:rPr>
      </w:pPr>
      <w:r>
        <w:rPr>
          <w:b/>
          <w:sz w:val="24"/>
          <w:szCs w:val="24"/>
        </w:rPr>
        <w:t>5.1</w:t>
      </w:r>
      <w:r>
        <w:rPr>
          <w:b/>
          <w:sz w:val="24"/>
          <w:szCs w:val="24"/>
        </w:rPr>
        <w:tab/>
        <w:t>Væsentlige uforligeligheder</w:t>
      </w:r>
    </w:p>
    <w:p w:rsidR="00D45102" w:rsidRDefault="00D45102" w:rsidP="00D45102">
      <w:pPr>
        <w:ind w:left="851"/>
        <w:rPr>
          <w:sz w:val="24"/>
          <w:szCs w:val="24"/>
        </w:rPr>
      </w:pPr>
    </w:p>
    <w:p w:rsidR="00D45102" w:rsidRDefault="00D45102" w:rsidP="00D45102">
      <w:pPr>
        <w:ind w:left="851"/>
        <w:rPr>
          <w:sz w:val="24"/>
          <w:szCs w:val="24"/>
          <w:lang w:eastAsia="da-DK"/>
        </w:rPr>
      </w:pPr>
      <w:r>
        <w:rPr>
          <w:sz w:val="24"/>
          <w:szCs w:val="24"/>
        </w:rPr>
        <w:t>Da der ikke foreligger undersøgelser vedrørende eventuelle uforligeligheder, bør</w:t>
      </w:r>
      <w:r>
        <w:t xml:space="preserve"> </w:t>
      </w:r>
      <w:r>
        <w:rPr>
          <w:sz w:val="24"/>
          <w:szCs w:val="24"/>
        </w:rPr>
        <w:t>dette veterinærlægemiddel ikke blandes med andre veterinærlægemidler.</w:t>
      </w:r>
    </w:p>
    <w:p w:rsidR="00D45102" w:rsidRDefault="00D45102" w:rsidP="00D45102">
      <w:pPr>
        <w:tabs>
          <w:tab w:val="left" w:pos="851"/>
          <w:tab w:val="left" w:pos="8222"/>
        </w:tabs>
        <w:ind w:left="851" w:hanging="851"/>
        <w:rPr>
          <w:sz w:val="24"/>
          <w:szCs w:val="24"/>
        </w:rPr>
      </w:pPr>
    </w:p>
    <w:p w:rsidR="00D45102" w:rsidRDefault="00D45102" w:rsidP="00D45102">
      <w:pPr>
        <w:tabs>
          <w:tab w:val="left" w:pos="8222"/>
        </w:tabs>
        <w:ind w:left="851" w:hanging="851"/>
        <w:rPr>
          <w:b/>
          <w:sz w:val="24"/>
          <w:szCs w:val="24"/>
        </w:rPr>
      </w:pPr>
      <w:r>
        <w:rPr>
          <w:b/>
          <w:sz w:val="24"/>
          <w:szCs w:val="24"/>
        </w:rPr>
        <w:t>5.2</w:t>
      </w:r>
      <w:r>
        <w:rPr>
          <w:b/>
          <w:sz w:val="24"/>
          <w:szCs w:val="24"/>
        </w:rPr>
        <w:tab/>
        <w:t>Opbevaringstid</w:t>
      </w:r>
    </w:p>
    <w:p w:rsidR="00D45102" w:rsidRDefault="00D45102" w:rsidP="00D45102">
      <w:pPr>
        <w:ind w:left="851"/>
        <w:rPr>
          <w:sz w:val="24"/>
          <w:szCs w:val="24"/>
          <w:lang w:eastAsia="da-DK"/>
        </w:rPr>
      </w:pPr>
      <w:r>
        <w:rPr>
          <w:sz w:val="24"/>
          <w:szCs w:val="24"/>
        </w:rPr>
        <w:t>Opbevaringstid for veterinærlægemidlet i salgspakning: 2 år</w:t>
      </w:r>
    </w:p>
    <w:p w:rsidR="00D45102" w:rsidRDefault="00D45102" w:rsidP="00D45102">
      <w:pPr>
        <w:ind w:left="851"/>
        <w:rPr>
          <w:sz w:val="24"/>
          <w:szCs w:val="24"/>
        </w:rPr>
      </w:pPr>
      <w:r>
        <w:rPr>
          <w:sz w:val="24"/>
          <w:szCs w:val="24"/>
        </w:rPr>
        <w:t>Opbevaringstid efter første åbning af den indre emballage: 4 måneder</w:t>
      </w:r>
    </w:p>
    <w:p w:rsidR="00D45102" w:rsidRDefault="00D45102" w:rsidP="00D45102">
      <w:pPr>
        <w:ind w:left="851"/>
        <w:rPr>
          <w:sz w:val="24"/>
          <w:szCs w:val="24"/>
        </w:rPr>
      </w:pPr>
      <w:r>
        <w:rPr>
          <w:sz w:val="24"/>
          <w:szCs w:val="24"/>
        </w:rPr>
        <w:t>Opbevaringstid</w:t>
      </w:r>
      <w:r>
        <w:t xml:space="preserve"> </w:t>
      </w:r>
      <w:r>
        <w:rPr>
          <w:sz w:val="24"/>
          <w:szCs w:val="24"/>
        </w:rPr>
        <w:t xml:space="preserve">efter fortynding ifølge anvisning: 24 timer </w:t>
      </w:r>
    </w:p>
    <w:p w:rsidR="00D45102" w:rsidRDefault="00D45102" w:rsidP="00D45102">
      <w:pPr>
        <w:tabs>
          <w:tab w:val="left" w:pos="851"/>
          <w:tab w:val="left" w:pos="8222"/>
        </w:tabs>
        <w:ind w:left="851" w:hanging="851"/>
        <w:rPr>
          <w:sz w:val="24"/>
          <w:szCs w:val="24"/>
        </w:rPr>
      </w:pPr>
    </w:p>
    <w:p w:rsidR="00D45102" w:rsidRDefault="00D45102" w:rsidP="00D45102">
      <w:pPr>
        <w:tabs>
          <w:tab w:val="left" w:pos="8222"/>
        </w:tabs>
        <w:ind w:left="851" w:hanging="851"/>
        <w:rPr>
          <w:b/>
          <w:bCs/>
          <w:sz w:val="24"/>
          <w:szCs w:val="24"/>
        </w:rPr>
      </w:pPr>
      <w:r>
        <w:rPr>
          <w:b/>
          <w:sz w:val="24"/>
          <w:szCs w:val="24"/>
        </w:rPr>
        <w:t>5.3</w:t>
      </w:r>
      <w:r>
        <w:rPr>
          <w:b/>
          <w:sz w:val="24"/>
          <w:szCs w:val="24"/>
        </w:rPr>
        <w:tab/>
        <w:t xml:space="preserve">Særlige </w:t>
      </w:r>
      <w:r>
        <w:rPr>
          <w:b/>
          <w:bCs/>
          <w:sz w:val="24"/>
          <w:szCs w:val="24"/>
        </w:rPr>
        <w:t>forholdsregler vedrørende opbevaring</w:t>
      </w:r>
    </w:p>
    <w:p w:rsidR="00D45102" w:rsidRDefault="00D45102" w:rsidP="00D45102">
      <w:pPr>
        <w:ind w:left="851"/>
        <w:rPr>
          <w:sz w:val="24"/>
          <w:szCs w:val="24"/>
        </w:rPr>
      </w:pPr>
    </w:p>
    <w:p w:rsidR="00D45102" w:rsidRDefault="00D45102" w:rsidP="00D45102">
      <w:pPr>
        <w:ind w:left="851"/>
        <w:rPr>
          <w:sz w:val="24"/>
          <w:szCs w:val="24"/>
        </w:rPr>
      </w:pPr>
      <w:r>
        <w:rPr>
          <w:sz w:val="24"/>
          <w:szCs w:val="24"/>
        </w:rPr>
        <w:t>Må ikke opbevares over 30°C.</w:t>
      </w:r>
    </w:p>
    <w:p w:rsidR="00D45102" w:rsidRDefault="00D45102" w:rsidP="00D45102">
      <w:pPr>
        <w:tabs>
          <w:tab w:val="left" w:pos="851"/>
          <w:tab w:val="left" w:pos="8222"/>
        </w:tabs>
        <w:ind w:left="851" w:hanging="851"/>
        <w:rPr>
          <w:sz w:val="24"/>
          <w:szCs w:val="24"/>
        </w:rPr>
      </w:pPr>
    </w:p>
    <w:p w:rsidR="00D45102" w:rsidRDefault="00D45102" w:rsidP="00D45102">
      <w:pPr>
        <w:tabs>
          <w:tab w:val="left" w:pos="8222"/>
        </w:tabs>
        <w:ind w:left="851" w:hanging="851"/>
        <w:rPr>
          <w:b/>
          <w:bCs/>
          <w:sz w:val="24"/>
          <w:szCs w:val="24"/>
        </w:rPr>
      </w:pPr>
      <w:r>
        <w:rPr>
          <w:b/>
          <w:sz w:val="24"/>
          <w:szCs w:val="24"/>
        </w:rPr>
        <w:t>5.4</w:t>
      </w:r>
      <w:r>
        <w:rPr>
          <w:b/>
          <w:sz w:val="24"/>
          <w:szCs w:val="24"/>
        </w:rPr>
        <w:tab/>
      </w:r>
      <w:r>
        <w:rPr>
          <w:b/>
          <w:bCs/>
          <w:sz w:val="24"/>
          <w:szCs w:val="24"/>
        </w:rPr>
        <w:t>Den indre emballages art og indhold</w:t>
      </w:r>
    </w:p>
    <w:p w:rsidR="00D45102" w:rsidRDefault="00D45102" w:rsidP="00D45102">
      <w:pPr>
        <w:ind w:left="851"/>
        <w:rPr>
          <w:sz w:val="24"/>
          <w:szCs w:val="24"/>
        </w:rPr>
      </w:pPr>
    </w:p>
    <w:p w:rsidR="00D45102" w:rsidRDefault="00D45102" w:rsidP="00D45102">
      <w:pPr>
        <w:ind w:left="851"/>
        <w:rPr>
          <w:sz w:val="24"/>
          <w:szCs w:val="24"/>
          <w:lang w:eastAsia="da-DK"/>
        </w:rPr>
      </w:pPr>
      <w:r>
        <w:rPr>
          <w:sz w:val="24"/>
          <w:szCs w:val="24"/>
        </w:rPr>
        <w:t xml:space="preserve">100 ml dåse: Hvid og uigennemsigtig dåse, der er lavet af </w:t>
      </w:r>
      <w:proofErr w:type="spellStart"/>
      <w:r>
        <w:rPr>
          <w:sz w:val="24"/>
          <w:szCs w:val="24"/>
        </w:rPr>
        <w:t>polyethylen</w:t>
      </w:r>
      <w:proofErr w:type="spellEnd"/>
      <w:r>
        <w:rPr>
          <w:sz w:val="24"/>
          <w:szCs w:val="24"/>
        </w:rPr>
        <w:t xml:space="preserve"> med høj densitet, som er lukket med et hvidt og uigennemsigtigt låg, der er lavet af </w:t>
      </w:r>
      <w:proofErr w:type="spellStart"/>
      <w:r>
        <w:rPr>
          <w:sz w:val="24"/>
          <w:szCs w:val="24"/>
        </w:rPr>
        <w:t>polyethylen</w:t>
      </w:r>
      <w:proofErr w:type="spellEnd"/>
      <w:r>
        <w:rPr>
          <w:sz w:val="24"/>
          <w:szCs w:val="24"/>
        </w:rPr>
        <w:t xml:space="preserve"> med høj densitet og en ring samt har </w:t>
      </w:r>
      <w:proofErr w:type="spellStart"/>
      <w:r>
        <w:rPr>
          <w:sz w:val="24"/>
          <w:szCs w:val="24"/>
        </w:rPr>
        <w:t>polyethylenskum</w:t>
      </w:r>
      <w:proofErr w:type="spellEnd"/>
      <w:r>
        <w:rPr>
          <w:sz w:val="24"/>
          <w:szCs w:val="24"/>
        </w:rPr>
        <w:t xml:space="preserve"> på indersiden.</w:t>
      </w:r>
    </w:p>
    <w:p w:rsidR="00D45102" w:rsidRDefault="00D45102" w:rsidP="00D45102">
      <w:pPr>
        <w:ind w:left="851"/>
        <w:rPr>
          <w:sz w:val="24"/>
          <w:szCs w:val="24"/>
        </w:rPr>
      </w:pPr>
      <w:r>
        <w:rPr>
          <w:sz w:val="24"/>
          <w:szCs w:val="24"/>
        </w:rPr>
        <w:t xml:space="preserve">1 og 5 l dåser: Hvid og uigennemsigtig dåse, der er lavet af </w:t>
      </w:r>
      <w:proofErr w:type="spellStart"/>
      <w:r>
        <w:rPr>
          <w:sz w:val="24"/>
          <w:szCs w:val="24"/>
        </w:rPr>
        <w:t>polyethylen</w:t>
      </w:r>
      <w:proofErr w:type="spellEnd"/>
      <w:r>
        <w:rPr>
          <w:sz w:val="24"/>
          <w:szCs w:val="24"/>
        </w:rPr>
        <w:t xml:space="preserve"> med høj densitet, som er lukket med et lilla og uigennemsigtigt låg, der er lavet af polypropylen, og en børnesikker ring samt har en lukning, der er lavet af aluminium/PET/</w:t>
      </w:r>
      <w:proofErr w:type="spellStart"/>
      <w:r>
        <w:rPr>
          <w:sz w:val="24"/>
          <w:szCs w:val="24"/>
        </w:rPr>
        <w:t>polyethylen</w:t>
      </w:r>
      <w:proofErr w:type="spellEnd"/>
      <w:r>
        <w:rPr>
          <w:sz w:val="24"/>
          <w:szCs w:val="24"/>
        </w:rPr>
        <w:t>.</w:t>
      </w:r>
    </w:p>
    <w:p w:rsidR="00D45102" w:rsidRDefault="00D45102" w:rsidP="00D45102">
      <w:pPr>
        <w:ind w:left="851"/>
        <w:rPr>
          <w:sz w:val="24"/>
          <w:szCs w:val="24"/>
        </w:rPr>
      </w:pPr>
    </w:p>
    <w:p w:rsidR="00D45102" w:rsidRDefault="00D45102" w:rsidP="00D45102">
      <w:pPr>
        <w:ind w:left="851"/>
        <w:rPr>
          <w:sz w:val="24"/>
          <w:szCs w:val="24"/>
        </w:rPr>
      </w:pPr>
      <w:r>
        <w:rPr>
          <w:sz w:val="24"/>
          <w:szCs w:val="24"/>
        </w:rPr>
        <w:t>Ikke alle pakningsstørrelser er nødvendigvis markedsført.</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bCs/>
          <w:sz w:val="24"/>
          <w:szCs w:val="24"/>
        </w:rPr>
      </w:pPr>
      <w:r>
        <w:rPr>
          <w:b/>
          <w:sz w:val="24"/>
          <w:szCs w:val="24"/>
        </w:rPr>
        <w:t>5.5</w:t>
      </w:r>
      <w:r>
        <w:rPr>
          <w:b/>
          <w:sz w:val="24"/>
          <w:szCs w:val="24"/>
        </w:rPr>
        <w:tab/>
        <w:t xml:space="preserve">Særlige forholdsregler </w:t>
      </w:r>
      <w:r>
        <w:rPr>
          <w:b/>
          <w:bCs/>
          <w:sz w:val="24"/>
          <w:szCs w:val="24"/>
        </w:rPr>
        <w:t>vedrørende bortskaffelse af ubrugte veterinærlægemidler eller affaldsmaterialer fra brugen heraf</w:t>
      </w:r>
    </w:p>
    <w:p w:rsidR="00D45102" w:rsidRDefault="00D45102" w:rsidP="00D45102">
      <w:pPr>
        <w:ind w:left="851" w:right="-318"/>
      </w:pPr>
    </w:p>
    <w:p w:rsidR="00D45102" w:rsidRDefault="00D45102" w:rsidP="00D45102">
      <w:pPr>
        <w:ind w:left="851" w:right="-318"/>
        <w:rPr>
          <w:sz w:val="24"/>
          <w:szCs w:val="24"/>
        </w:rPr>
      </w:pPr>
      <w:r>
        <w:rPr>
          <w:sz w:val="24"/>
          <w:szCs w:val="24"/>
        </w:rPr>
        <w:t>Lægemidler må ikke bortskaffes sammen med spildevand eller husholdningsaffald.</w:t>
      </w:r>
    </w:p>
    <w:p w:rsidR="00D45102" w:rsidRDefault="00D45102" w:rsidP="00D45102">
      <w:pPr>
        <w:ind w:left="851" w:right="-318"/>
        <w:rPr>
          <w:sz w:val="24"/>
          <w:szCs w:val="24"/>
        </w:rPr>
      </w:pPr>
      <w:r>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sz w:val="24"/>
          <w:szCs w:val="24"/>
        </w:rPr>
      </w:pPr>
      <w:r>
        <w:rPr>
          <w:b/>
          <w:sz w:val="24"/>
          <w:szCs w:val="24"/>
        </w:rPr>
        <w:t>6.</w:t>
      </w:r>
      <w:r>
        <w:rPr>
          <w:b/>
          <w:sz w:val="24"/>
          <w:szCs w:val="24"/>
        </w:rPr>
        <w:tab/>
        <w:t>NAVN PÅ INDEHAVEREN AF MARKEDSFØRINGSTILLADELSEN</w:t>
      </w:r>
    </w:p>
    <w:p w:rsidR="00D45102" w:rsidRPr="00D45102" w:rsidRDefault="00D45102" w:rsidP="00D45102">
      <w:pPr>
        <w:ind w:left="851"/>
        <w:rPr>
          <w:sz w:val="24"/>
          <w:szCs w:val="24"/>
        </w:rPr>
      </w:pPr>
      <w:r w:rsidRPr="00D45102">
        <w:rPr>
          <w:sz w:val="24"/>
          <w:szCs w:val="24"/>
        </w:rPr>
        <w:t>Huvepharma SA34, Rue Jean Monnet</w:t>
      </w:r>
    </w:p>
    <w:p w:rsidR="00D45102" w:rsidRPr="00D45102" w:rsidRDefault="00D45102" w:rsidP="00D45102">
      <w:pPr>
        <w:ind w:left="851"/>
        <w:rPr>
          <w:sz w:val="24"/>
          <w:szCs w:val="24"/>
          <w:lang w:val="sv-SE"/>
        </w:rPr>
      </w:pPr>
      <w:r w:rsidRPr="00D45102">
        <w:rPr>
          <w:sz w:val="24"/>
          <w:szCs w:val="24"/>
          <w:lang w:val="sv-SE"/>
        </w:rPr>
        <w:t>ZI d'Etriche</w:t>
      </w:r>
    </w:p>
    <w:p w:rsidR="00D45102" w:rsidRPr="00D45102" w:rsidRDefault="00D45102" w:rsidP="00D45102">
      <w:pPr>
        <w:ind w:left="851"/>
        <w:rPr>
          <w:sz w:val="24"/>
          <w:szCs w:val="24"/>
          <w:lang w:val="sv-SE"/>
        </w:rPr>
      </w:pPr>
      <w:r w:rsidRPr="00D45102">
        <w:rPr>
          <w:sz w:val="24"/>
          <w:szCs w:val="24"/>
          <w:lang w:val="sv-SE"/>
        </w:rPr>
        <w:t>Segré</w:t>
      </w:r>
    </w:p>
    <w:p w:rsidR="00D45102" w:rsidRPr="00D45102" w:rsidRDefault="00D45102" w:rsidP="00D45102">
      <w:pPr>
        <w:ind w:left="851"/>
        <w:rPr>
          <w:sz w:val="24"/>
          <w:szCs w:val="24"/>
          <w:lang w:val="sv-SE"/>
        </w:rPr>
      </w:pPr>
      <w:r w:rsidRPr="00D45102">
        <w:rPr>
          <w:sz w:val="24"/>
          <w:szCs w:val="24"/>
          <w:lang w:val="sv-SE"/>
        </w:rPr>
        <w:t>49500 Segré-en-Anjou Bleu</w:t>
      </w:r>
    </w:p>
    <w:p w:rsidR="00D45102" w:rsidRDefault="00D45102" w:rsidP="00D45102">
      <w:pPr>
        <w:ind w:left="851"/>
        <w:rPr>
          <w:sz w:val="24"/>
          <w:szCs w:val="24"/>
        </w:rPr>
      </w:pPr>
      <w:r>
        <w:rPr>
          <w:sz w:val="24"/>
          <w:szCs w:val="24"/>
        </w:rPr>
        <w:t>Frankrig</w:t>
      </w:r>
    </w:p>
    <w:p w:rsidR="00D45102" w:rsidRDefault="00D45102" w:rsidP="00D45102">
      <w:pPr>
        <w:tabs>
          <w:tab w:val="left" w:pos="851"/>
          <w:tab w:val="left" w:pos="8222"/>
        </w:tabs>
        <w:ind w:left="851" w:hanging="851"/>
        <w:rPr>
          <w:sz w:val="24"/>
          <w:szCs w:val="24"/>
        </w:rPr>
      </w:pPr>
    </w:p>
    <w:p w:rsidR="00D45102" w:rsidRDefault="00D45102" w:rsidP="00D45102">
      <w:pPr>
        <w:keepNext/>
        <w:tabs>
          <w:tab w:val="left" w:pos="8222"/>
        </w:tabs>
        <w:ind w:left="851" w:hanging="851"/>
        <w:rPr>
          <w:b/>
          <w:sz w:val="24"/>
          <w:szCs w:val="24"/>
        </w:rPr>
      </w:pPr>
      <w:r>
        <w:rPr>
          <w:b/>
          <w:sz w:val="24"/>
          <w:szCs w:val="24"/>
        </w:rPr>
        <w:lastRenderedPageBreak/>
        <w:t>7.</w:t>
      </w:r>
      <w:r>
        <w:rPr>
          <w:b/>
          <w:sz w:val="24"/>
          <w:szCs w:val="24"/>
        </w:rPr>
        <w:tab/>
        <w:t>MARKEDSFØRINGSTILLADELSESNUMMER (-NUMRE)</w:t>
      </w:r>
    </w:p>
    <w:p w:rsidR="00D45102" w:rsidRDefault="00D45102" w:rsidP="00D45102">
      <w:pPr>
        <w:tabs>
          <w:tab w:val="left" w:pos="851"/>
          <w:tab w:val="left" w:pos="8222"/>
        </w:tabs>
        <w:ind w:left="851" w:hanging="851"/>
        <w:rPr>
          <w:sz w:val="24"/>
          <w:szCs w:val="24"/>
        </w:rPr>
      </w:pPr>
      <w:r>
        <w:rPr>
          <w:sz w:val="24"/>
          <w:szCs w:val="24"/>
        </w:rPr>
        <w:tab/>
        <w:t>62623</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8.</w:t>
      </w:r>
      <w:r>
        <w:rPr>
          <w:b/>
          <w:sz w:val="24"/>
          <w:szCs w:val="24"/>
        </w:rPr>
        <w:tab/>
        <w:t>DATO FOR FØRSTE TILLADELSE</w:t>
      </w:r>
    </w:p>
    <w:p w:rsidR="00D45102" w:rsidRDefault="00D45102" w:rsidP="00D45102">
      <w:pPr>
        <w:tabs>
          <w:tab w:val="left" w:pos="851"/>
          <w:tab w:val="left" w:pos="8222"/>
        </w:tabs>
        <w:ind w:left="851" w:hanging="851"/>
        <w:rPr>
          <w:sz w:val="24"/>
          <w:szCs w:val="24"/>
        </w:rPr>
      </w:pPr>
      <w:r>
        <w:rPr>
          <w:sz w:val="24"/>
          <w:szCs w:val="24"/>
        </w:rPr>
        <w:tab/>
        <w:t>4. september 2019</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
          <w:sz w:val="24"/>
          <w:szCs w:val="24"/>
        </w:rPr>
      </w:pPr>
      <w:r>
        <w:rPr>
          <w:b/>
          <w:sz w:val="24"/>
          <w:szCs w:val="24"/>
        </w:rPr>
        <w:t>9.</w:t>
      </w:r>
      <w:r>
        <w:rPr>
          <w:b/>
          <w:sz w:val="24"/>
          <w:szCs w:val="24"/>
        </w:rPr>
        <w:tab/>
        <w:t xml:space="preserve">DATO FOR </w:t>
      </w:r>
      <w:r>
        <w:rPr>
          <w:b/>
          <w:bCs/>
          <w:sz w:val="24"/>
          <w:szCs w:val="24"/>
        </w:rPr>
        <w:t>SENESTE ÆNDRING AF PRODUKTRESUMÉET</w:t>
      </w:r>
    </w:p>
    <w:p w:rsidR="00D45102" w:rsidRDefault="00D45102" w:rsidP="00D45102">
      <w:pPr>
        <w:tabs>
          <w:tab w:val="left" w:pos="851"/>
          <w:tab w:val="left" w:pos="8222"/>
        </w:tabs>
        <w:ind w:left="851" w:hanging="851"/>
        <w:rPr>
          <w:sz w:val="24"/>
          <w:szCs w:val="24"/>
        </w:rPr>
      </w:pPr>
      <w:r>
        <w:rPr>
          <w:sz w:val="24"/>
          <w:szCs w:val="24"/>
        </w:rPr>
        <w:tab/>
        <w:t>MM/ÅÅÅÅ</w:t>
      </w:r>
    </w:p>
    <w:p w:rsidR="00D45102" w:rsidRDefault="00D45102" w:rsidP="00D45102">
      <w:pPr>
        <w:tabs>
          <w:tab w:val="left" w:pos="851"/>
          <w:tab w:val="left" w:pos="8222"/>
        </w:tabs>
        <w:ind w:left="851" w:hanging="851"/>
        <w:rPr>
          <w:sz w:val="24"/>
          <w:szCs w:val="24"/>
        </w:rPr>
      </w:pPr>
    </w:p>
    <w:p w:rsidR="00D45102" w:rsidRDefault="00D45102" w:rsidP="00D45102">
      <w:pPr>
        <w:tabs>
          <w:tab w:val="left" w:pos="851"/>
          <w:tab w:val="left" w:pos="8222"/>
        </w:tabs>
        <w:ind w:left="851" w:hanging="851"/>
        <w:rPr>
          <w:bCs/>
          <w:sz w:val="24"/>
          <w:szCs w:val="24"/>
        </w:rPr>
      </w:pPr>
      <w:r>
        <w:rPr>
          <w:b/>
          <w:bCs/>
          <w:sz w:val="24"/>
          <w:szCs w:val="24"/>
        </w:rPr>
        <w:t>10.</w:t>
      </w:r>
      <w:r>
        <w:rPr>
          <w:b/>
          <w:bCs/>
          <w:sz w:val="24"/>
          <w:szCs w:val="24"/>
        </w:rPr>
        <w:tab/>
        <w:t>KLASSIFICERING AF VETERINÆRLÆGEMIDLER</w:t>
      </w:r>
    </w:p>
    <w:p w:rsidR="00D45102" w:rsidRDefault="00D45102" w:rsidP="00D45102">
      <w:pPr>
        <w:rPr>
          <w:sz w:val="24"/>
          <w:szCs w:val="24"/>
        </w:rPr>
      </w:pPr>
    </w:p>
    <w:p w:rsidR="00D45102" w:rsidRDefault="00D45102" w:rsidP="00D45102">
      <w:pPr>
        <w:tabs>
          <w:tab w:val="left" w:pos="851"/>
          <w:tab w:val="left" w:pos="8222"/>
        </w:tabs>
        <w:ind w:left="851" w:hanging="851"/>
        <w:rPr>
          <w:sz w:val="24"/>
          <w:szCs w:val="24"/>
        </w:rPr>
      </w:pPr>
      <w:r>
        <w:rPr>
          <w:sz w:val="24"/>
          <w:szCs w:val="24"/>
        </w:rPr>
        <w:tab/>
        <w:t>BP</w:t>
      </w:r>
    </w:p>
    <w:p w:rsidR="00D45102" w:rsidRDefault="00D45102" w:rsidP="00D45102">
      <w:pPr>
        <w:tabs>
          <w:tab w:val="left" w:pos="851"/>
          <w:tab w:val="left" w:pos="8222"/>
        </w:tabs>
        <w:rPr>
          <w:sz w:val="24"/>
          <w:szCs w:val="24"/>
        </w:rPr>
      </w:pPr>
    </w:p>
    <w:p w:rsidR="00D45102" w:rsidRDefault="00D45102" w:rsidP="00D45102">
      <w:pPr>
        <w:tabs>
          <w:tab w:val="left" w:pos="851"/>
          <w:tab w:val="left" w:pos="8222"/>
        </w:tabs>
        <w:ind w:left="851" w:hanging="851"/>
        <w:rPr>
          <w:sz w:val="24"/>
          <w:szCs w:val="24"/>
        </w:rPr>
      </w:pPr>
      <w:r>
        <w:tab/>
        <w:t>Der findes detaljerede oplysninger om dette veterinærlægemiddel i EU-lægemiddeldatabasen.</w:t>
      </w:r>
    </w:p>
    <w:p w:rsidR="00320971" w:rsidRPr="0088210A" w:rsidRDefault="00320971" w:rsidP="00D45102">
      <w:pPr>
        <w:tabs>
          <w:tab w:val="left" w:pos="8222"/>
        </w:tabs>
        <w:ind w:left="851" w:hanging="851"/>
        <w:rPr>
          <w:sz w:val="24"/>
          <w:szCs w:val="24"/>
        </w:rPr>
      </w:pPr>
      <w:bookmarkStart w:id="4" w:name="_GoBack"/>
      <w:bookmarkEnd w:id="4"/>
    </w:p>
    <w:p w:rsidR="00320971" w:rsidRPr="00ED4822" w:rsidRDefault="00320971" w:rsidP="00320971"/>
    <w:p w:rsidR="0003527F" w:rsidRPr="00320971" w:rsidRDefault="0003527F" w:rsidP="00320971"/>
    <w:sectPr w:rsidR="0003527F" w:rsidRPr="00320971"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971" w:rsidRDefault="00320971">
      <w:r>
        <w:separator/>
      </w:r>
    </w:p>
  </w:endnote>
  <w:endnote w:type="continuationSeparator" w:id="0">
    <w:p w:rsidR="00320971" w:rsidRDefault="00320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27293">
      <w:rPr>
        <w:i/>
        <w:noProof/>
        <w:snapToGrid w:val="0"/>
        <w:sz w:val="18"/>
      </w:rPr>
      <w:t>Amproline, opløsning til anvendelse i drikkevand 400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F27293">
      <w:rPr>
        <w:i/>
        <w:noProof/>
        <w:snapToGrid w:val="0"/>
        <w:sz w:val="18"/>
      </w:rPr>
      <w:t>Amproline, opløsning til anvendelse i drikkevand 400 mg-ml</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971" w:rsidRDefault="00320971">
      <w:r>
        <w:separator/>
      </w:r>
    </w:p>
  </w:footnote>
  <w:footnote w:type="continuationSeparator" w:id="0">
    <w:p w:rsidR="00320971" w:rsidRDefault="003209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3F5BC5"/>
    <w:multiLevelType w:val="hybridMultilevel"/>
    <w:tmpl w:val="8842F66A"/>
    <w:lvl w:ilvl="0" w:tplc="EA36DF2E">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52E9720A"/>
    <w:multiLevelType w:val="hybridMultilevel"/>
    <w:tmpl w:val="F95C019E"/>
    <w:lvl w:ilvl="0" w:tplc="B9047A44">
      <w:start w:val="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971"/>
    <w:rsid w:val="000000C4"/>
    <w:rsid w:val="0003527F"/>
    <w:rsid w:val="00065C7D"/>
    <w:rsid w:val="000C6CD4"/>
    <w:rsid w:val="001577E4"/>
    <w:rsid w:val="001858CA"/>
    <w:rsid w:val="001C4AEF"/>
    <w:rsid w:val="001D3CC5"/>
    <w:rsid w:val="002077C5"/>
    <w:rsid w:val="002217F8"/>
    <w:rsid w:val="0029712C"/>
    <w:rsid w:val="002D4E76"/>
    <w:rsid w:val="00320971"/>
    <w:rsid w:val="00322BDE"/>
    <w:rsid w:val="00406EE7"/>
    <w:rsid w:val="00407013"/>
    <w:rsid w:val="004A62CC"/>
    <w:rsid w:val="00565A74"/>
    <w:rsid w:val="005B0036"/>
    <w:rsid w:val="005F5831"/>
    <w:rsid w:val="00662012"/>
    <w:rsid w:val="00666B01"/>
    <w:rsid w:val="006B1539"/>
    <w:rsid w:val="006D4B41"/>
    <w:rsid w:val="006F5621"/>
    <w:rsid w:val="007E2A00"/>
    <w:rsid w:val="008010F2"/>
    <w:rsid w:val="00823200"/>
    <w:rsid w:val="009202AE"/>
    <w:rsid w:val="00924C09"/>
    <w:rsid w:val="00932676"/>
    <w:rsid w:val="009D66C6"/>
    <w:rsid w:val="00A96525"/>
    <w:rsid w:val="00AC7452"/>
    <w:rsid w:val="00AE29E5"/>
    <w:rsid w:val="00AE5757"/>
    <w:rsid w:val="00B25EB8"/>
    <w:rsid w:val="00B50D77"/>
    <w:rsid w:val="00BC634B"/>
    <w:rsid w:val="00BF2AE0"/>
    <w:rsid w:val="00C479BF"/>
    <w:rsid w:val="00D45102"/>
    <w:rsid w:val="00D45501"/>
    <w:rsid w:val="00D567AA"/>
    <w:rsid w:val="00D83BD2"/>
    <w:rsid w:val="00DD6D71"/>
    <w:rsid w:val="00DF32BE"/>
    <w:rsid w:val="00E14F0A"/>
    <w:rsid w:val="00EB5778"/>
    <w:rsid w:val="00EE5253"/>
    <w:rsid w:val="00F27293"/>
    <w:rsid w:val="00F54109"/>
    <w:rsid w:val="00FA66E4"/>
    <w:rsid w:val="00FD6433"/>
    <w:rsid w:val="00FE6A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7A36A7"/>
  <w15:chartTrackingRefBased/>
  <w15:docId w15:val="{38417949-27D3-4667-82A5-9D1B053B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table" w:styleId="Tabel-Gitter">
    <w:name w:val="Table Grid"/>
    <w:basedOn w:val="Tabel-Normal"/>
    <w:uiPriority w:val="59"/>
    <w:rsid w:val="0032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04450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70668996">
      <w:bodyDiv w:val="1"/>
      <w:marLeft w:val="0"/>
      <w:marRight w:val="0"/>
      <w:marTop w:val="0"/>
      <w:marBottom w:val="0"/>
      <w:divBdr>
        <w:top w:val="none" w:sz="0" w:space="0" w:color="auto"/>
        <w:left w:val="none" w:sz="0" w:space="0" w:color="auto"/>
        <w:bottom w:val="none" w:sz="0" w:space="0" w:color="auto"/>
        <w:right w:val="none" w:sz="0" w:space="0" w:color="auto"/>
      </w:divBdr>
    </w:div>
    <w:div w:id="300886072">
      <w:bodyDiv w:val="1"/>
      <w:marLeft w:val="0"/>
      <w:marRight w:val="0"/>
      <w:marTop w:val="0"/>
      <w:marBottom w:val="0"/>
      <w:divBdr>
        <w:top w:val="none" w:sz="0" w:space="0" w:color="auto"/>
        <w:left w:val="none" w:sz="0" w:space="0" w:color="auto"/>
        <w:bottom w:val="none" w:sz="0" w:space="0" w:color="auto"/>
        <w:right w:val="none" w:sz="0" w:space="0" w:color="auto"/>
      </w:divBdr>
    </w:div>
    <w:div w:id="551891070">
      <w:bodyDiv w:val="1"/>
      <w:marLeft w:val="0"/>
      <w:marRight w:val="0"/>
      <w:marTop w:val="0"/>
      <w:marBottom w:val="0"/>
      <w:divBdr>
        <w:top w:val="none" w:sz="0" w:space="0" w:color="auto"/>
        <w:left w:val="none" w:sz="0" w:space="0" w:color="auto"/>
        <w:bottom w:val="none" w:sz="0" w:space="0" w:color="auto"/>
        <w:right w:val="none" w:sz="0" w:space="0" w:color="auto"/>
      </w:divBdr>
    </w:div>
    <w:div w:id="660734617">
      <w:bodyDiv w:val="1"/>
      <w:marLeft w:val="0"/>
      <w:marRight w:val="0"/>
      <w:marTop w:val="0"/>
      <w:marBottom w:val="0"/>
      <w:divBdr>
        <w:top w:val="none" w:sz="0" w:space="0" w:color="auto"/>
        <w:left w:val="none" w:sz="0" w:space="0" w:color="auto"/>
        <w:bottom w:val="none" w:sz="0" w:space="0" w:color="auto"/>
        <w:right w:val="none" w:sz="0" w:space="0" w:color="auto"/>
      </w:divBdr>
    </w:div>
    <w:div w:id="1037774647">
      <w:bodyDiv w:val="1"/>
      <w:marLeft w:val="0"/>
      <w:marRight w:val="0"/>
      <w:marTop w:val="0"/>
      <w:marBottom w:val="0"/>
      <w:divBdr>
        <w:top w:val="none" w:sz="0" w:space="0" w:color="auto"/>
        <w:left w:val="none" w:sz="0" w:space="0" w:color="auto"/>
        <w:bottom w:val="none" w:sz="0" w:space="0" w:color="auto"/>
        <w:right w:val="none" w:sz="0" w:space="0" w:color="auto"/>
      </w:divBdr>
    </w:div>
    <w:div w:id="1137336705">
      <w:bodyDiv w:val="1"/>
      <w:marLeft w:val="0"/>
      <w:marRight w:val="0"/>
      <w:marTop w:val="0"/>
      <w:marBottom w:val="0"/>
      <w:divBdr>
        <w:top w:val="none" w:sz="0" w:space="0" w:color="auto"/>
        <w:left w:val="none" w:sz="0" w:space="0" w:color="auto"/>
        <w:bottom w:val="none" w:sz="0" w:space="0" w:color="auto"/>
        <w:right w:val="none" w:sz="0" w:space="0" w:color="auto"/>
      </w:divBdr>
    </w:div>
    <w:div w:id="1519461291">
      <w:bodyDiv w:val="1"/>
      <w:marLeft w:val="0"/>
      <w:marRight w:val="0"/>
      <w:marTop w:val="0"/>
      <w:marBottom w:val="0"/>
      <w:divBdr>
        <w:top w:val="none" w:sz="0" w:space="0" w:color="auto"/>
        <w:left w:val="none" w:sz="0" w:space="0" w:color="auto"/>
        <w:bottom w:val="none" w:sz="0" w:space="0" w:color="auto"/>
        <w:right w:val="none" w:sz="0" w:space="0" w:color="auto"/>
      </w:divBdr>
    </w:div>
    <w:div w:id="1662613974">
      <w:bodyDiv w:val="1"/>
      <w:marLeft w:val="0"/>
      <w:marRight w:val="0"/>
      <w:marTop w:val="0"/>
      <w:marBottom w:val="0"/>
      <w:divBdr>
        <w:top w:val="none" w:sz="0" w:space="0" w:color="auto"/>
        <w:left w:val="none" w:sz="0" w:space="0" w:color="auto"/>
        <w:bottom w:val="none" w:sz="0" w:space="0" w:color="auto"/>
        <w:right w:val="none" w:sz="0" w:space="0" w:color="auto"/>
      </w:divBdr>
    </w:div>
    <w:div w:id="208799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1269</Words>
  <Characters>8578</Characters>
  <Application>Microsoft Office Word</Application>
  <DocSecurity>0</DocSecurity>
  <Lines>71</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2023061041 pkt. QRD9 opdatering</dc:description>
  <cp:lastModifiedBy>Gitte Ronnovius</cp:lastModifiedBy>
  <cp:revision>3</cp:revision>
  <dcterms:created xsi:type="dcterms:W3CDTF">2024-11-11T08:09:00Z</dcterms:created>
  <dcterms:modified xsi:type="dcterms:W3CDTF">2024-11-11T08:12:00Z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