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8712" w14:textId="77777777" w:rsidR="008203A8" w:rsidRPr="008F49E1" w:rsidRDefault="008203A8" w:rsidP="008203A8">
      <w:pPr>
        <w:rPr>
          <w:sz w:val="24"/>
          <w:szCs w:val="24"/>
        </w:rPr>
      </w:pPr>
      <w:r w:rsidRPr="005B0036">
        <w:rPr>
          <w:noProof/>
          <w:sz w:val="24"/>
          <w:szCs w:val="24"/>
          <w:lang w:eastAsia="da-DK"/>
        </w:rPr>
        <w:drawing>
          <wp:inline distT="0" distB="0" distL="0" distR="0" wp14:anchorId="599D12A1" wp14:editId="79E0A36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8ABBCFD" w14:textId="77777777" w:rsidR="008203A8" w:rsidRDefault="008203A8" w:rsidP="008203A8">
      <w:pPr>
        <w:rPr>
          <w:sz w:val="24"/>
          <w:szCs w:val="24"/>
        </w:rPr>
      </w:pPr>
    </w:p>
    <w:p w14:paraId="6F7E3510" w14:textId="239CC0E9" w:rsidR="008203A8" w:rsidRPr="00406EE7" w:rsidRDefault="008203A8" w:rsidP="008203A8">
      <w:pPr>
        <w:tabs>
          <w:tab w:val="right" w:pos="9356"/>
        </w:tabs>
        <w:rPr>
          <w:b/>
          <w:sz w:val="24"/>
          <w:szCs w:val="24"/>
        </w:rPr>
      </w:pPr>
      <w:r>
        <w:rPr>
          <w:b/>
          <w:sz w:val="24"/>
          <w:szCs w:val="24"/>
        </w:rPr>
        <w:tab/>
      </w:r>
      <w:r w:rsidR="008474C4">
        <w:rPr>
          <w:b/>
          <w:sz w:val="24"/>
          <w:szCs w:val="24"/>
        </w:rPr>
        <w:t>24. juni 2025</w:t>
      </w:r>
    </w:p>
    <w:p w14:paraId="57C68A17" w14:textId="0828D85D" w:rsidR="008203A8" w:rsidRDefault="008203A8" w:rsidP="008203A8">
      <w:pPr>
        <w:rPr>
          <w:sz w:val="24"/>
          <w:szCs w:val="24"/>
        </w:rPr>
      </w:pPr>
    </w:p>
    <w:p w14:paraId="220116C4" w14:textId="77777777" w:rsidR="00E51BD0" w:rsidRDefault="00E51BD0" w:rsidP="008203A8">
      <w:pPr>
        <w:rPr>
          <w:sz w:val="24"/>
          <w:szCs w:val="24"/>
        </w:rPr>
      </w:pPr>
    </w:p>
    <w:p w14:paraId="53EED917" w14:textId="77777777" w:rsidR="008203A8" w:rsidRPr="00406EE7" w:rsidRDefault="008203A8" w:rsidP="008203A8">
      <w:pPr>
        <w:jc w:val="center"/>
        <w:rPr>
          <w:b/>
          <w:sz w:val="24"/>
          <w:szCs w:val="24"/>
        </w:rPr>
      </w:pPr>
      <w:r w:rsidRPr="00406EE7">
        <w:rPr>
          <w:b/>
          <w:sz w:val="24"/>
          <w:szCs w:val="24"/>
        </w:rPr>
        <w:t>PRODUKTRESUMÉ</w:t>
      </w:r>
    </w:p>
    <w:p w14:paraId="0D0B1A4E" w14:textId="77777777" w:rsidR="008203A8" w:rsidRPr="00406EE7" w:rsidRDefault="008203A8" w:rsidP="008203A8">
      <w:pPr>
        <w:jc w:val="center"/>
        <w:rPr>
          <w:b/>
          <w:sz w:val="24"/>
          <w:szCs w:val="24"/>
        </w:rPr>
      </w:pPr>
      <w:bookmarkStart w:id="0" w:name="_GoBack"/>
      <w:bookmarkEnd w:id="0"/>
    </w:p>
    <w:p w14:paraId="7DFCD8BB" w14:textId="77777777" w:rsidR="008203A8" w:rsidRPr="00406EE7" w:rsidRDefault="008203A8" w:rsidP="008203A8">
      <w:pPr>
        <w:jc w:val="center"/>
        <w:rPr>
          <w:b/>
          <w:sz w:val="24"/>
          <w:szCs w:val="24"/>
        </w:rPr>
      </w:pPr>
      <w:r w:rsidRPr="00406EE7">
        <w:rPr>
          <w:b/>
          <w:sz w:val="24"/>
          <w:szCs w:val="24"/>
        </w:rPr>
        <w:t>for</w:t>
      </w:r>
    </w:p>
    <w:p w14:paraId="68137930" w14:textId="77777777" w:rsidR="008203A8" w:rsidRPr="00406EE7" w:rsidRDefault="008203A8" w:rsidP="008203A8">
      <w:pPr>
        <w:jc w:val="center"/>
        <w:rPr>
          <w:b/>
          <w:sz w:val="24"/>
          <w:szCs w:val="24"/>
        </w:rPr>
      </w:pPr>
    </w:p>
    <w:p w14:paraId="4E1D1EFF" w14:textId="315BD94C" w:rsidR="008203A8" w:rsidRPr="00565A74" w:rsidRDefault="00601356" w:rsidP="008203A8">
      <w:pPr>
        <w:jc w:val="center"/>
        <w:rPr>
          <w:b/>
          <w:sz w:val="24"/>
          <w:szCs w:val="24"/>
        </w:rPr>
      </w:pPr>
      <w:r>
        <w:rPr>
          <w:b/>
          <w:sz w:val="24"/>
          <w:szCs w:val="24"/>
        </w:rPr>
        <w:t>BioEquin FT</w:t>
      </w:r>
      <w:r w:rsidR="00195DAE">
        <w:rPr>
          <w:b/>
          <w:sz w:val="24"/>
          <w:szCs w:val="24"/>
        </w:rPr>
        <w:t>, injektionsvæske, suspensi</w:t>
      </w:r>
      <w:r w:rsidR="00F75535">
        <w:rPr>
          <w:b/>
          <w:sz w:val="24"/>
          <w:szCs w:val="24"/>
        </w:rPr>
        <w:t>o</w:t>
      </w:r>
      <w:r w:rsidR="00195DAE">
        <w:rPr>
          <w:b/>
          <w:sz w:val="24"/>
          <w:szCs w:val="24"/>
        </w:rPr>
        <w:t>n</w:t>
      </w:r>
    </w:p>
    <w:p w14:paraId="4E3B0071" w14:textId="77777777" w:rsidR="008203A8" w:rsidRPr="00406EE7" w:rsidRDefault="008203A8" w:rsidP="008203A8">
      <w:pPr>
        <w:jc w:val="both"/>
        <w:rPr>
          <w:sz w:val="24"/>
          <w:szCs w:val="24"/>
        </w:rPr>
      </w:pPr>
    </w:p>
    <w:p w14:paraId="5BB3281F" w14:textId="77777777" w:rsidR="008203A8" w:rsidRPr="00406EE7" w:rsidRDefault="008203A8" w:rsidP="008203A8">
      <w:pPr>
        <w:jc w:val="both"/>
        <w:rPr>
          <w:sz w:val="24"/>
          <w:szCs w:val="24"/>
        </w:rPr>
      </w:pPr>
    </w:p>
    <w:p w14:paraId="031706F4"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5728261" w14:textId="6AA28541" w:rsidR="008203A8" w:rsidRPr="00406EE7" w:rsidRDefault="00F75535" w:rsidP="008203A8">
      <w:pPr>
        <w:ind w:left="851"/>
        <w:rPr>
          <w:sz w:val="24"/>
          <w:szCs w:val="24"/>
        </w:rPr>
      </w:pPr>
      <w:r>
        <w:rPr>
          <w:sz w:val="24"/>
          <w:szCs w:val="24"/>
        </w:rPr>
        <w:t>3429</w:t>
      </w:r>
      <w:r w:rsidR="00601356">
        <w:rPr>
          <w:sz w:val="24"/>
          <w:szCs w:val="24"/>
        </w:rPr>
        <w:t>4</w:t>
      </w:r>
    </w:p>
    <w:p w14:paraId="35007E83" w14:textId="77777777" w:rsidR="008203A8" w:rsidRPr="00406EE7" w:rsidRDefault="008203A8" w:rsidP="008203A8">
      <w:pPr>
        <w:ind w:left="851"/>
        <w:rPr>
          <w:sz w:val="24"/>
          <w:szCs w:val="24"/>
        </w:rPr>
      </w:pPr>
    </w:p>
    <w:p w14:paraId="6F0225B4"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3E3516B2" w14:textId="00D3A864" w:rsidR="008203A8" w:rsidRDefault="00601356" w:rsidP="008203A8">
      <w:pPr>
        <w:ind w:left="851"/>
        <w:rPr>
          <w:sz w:val="24"/>
          <w:szCs w:val="24"/>
        </w:rPr>
      </w:pPr>
      <w:r>
        <w:rPr>
          <w:sz w:val="24"/>
          <w:szCs w:val="24"/>
        </w:rPr>
        <w:t>BioEquin FT</w:t>
      </w:r>
    </w:p>
    <w:p w14:paraId="644BFEB7" w14:textId="77777777" w:rsidR="00F75535" w:rsidRPr="00F75535" w:rsidRDefault="00F75535" w:rsidP="008203A8">
      <w:pPr>
        <w:ind w:left="851"/>
        <w:rPr>
          <w:sz w:val="24"/>
          <w:szCs w:val="24"/>
        </w:rPr>
      </w:pPr>
    </w:p>
    <w:p w14:paraId="15B487BA" w14:textId="5D26362D" w:rsidR="008203A8" w:rsidRPr="00776C2C" w:rsidRDefault="008203A8" w:rsidP="008203A8">
      <w:pPr>
        <w:ind w:left="851"/>
        <w:rPr>
          <w:sz w:val="24"/>
          <w:szCs w:val="24"/>
        </w:rPr>
      </w:pPr>
      <w:r w:rsidRPr="00776C2C">
        <w:rPr>
          <w:sz w:val="24"/>
          <w:szCs w:val="24"/>
        </w:rPr>
        <w:t xml:space="preserve">Lægemiddelform: </w:t>
      </w:r>
      <w:r w:rsidR="00F75535">
        <w:rPr>
          <w:sz w:val="24"/>
          <w:szCs w:val="24"/>
        </w:rPr>
        <w:t>Injektionsvæske, suspension</w:t>
      </w:r>
    </w:p>
    <w:p w14:paraId="0D769C76" w14:textId="77777777" w:rsidR="008203A8" w:rsidRPr="00406EE7" w:rsidRDefault="008203A8" w:rsidP="008203A8">
      <w:pPr>
        <w:ind w:left="851"/>
        <w:rPr>
          <w:sz w:val="24"/>
          <w:szCs w:val="24"/>
        </w:rPr>
      </w:pPr>
    </w:p>
    <w:p w14:paraId="1A5D12D7"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37A8544" w14:textId="77777777" w:rsidR="00F75535" w:rsidRPr="00F75535" w:rsidRDefault="00F75535" w:rsidP="00F75535">
      <w:pPr>
        <w:ind w:left="851"/>
        <w:rPr>
          <w:sz w:val="24"/>
          <w:szCs w:val="24"/>
        </w:rPr>
      </w:pPr>
      <w:r w:rsidRPr="00F75535">
        <w:rPr>
          <w:sz w:val="24"/>
          <w:szCs w:val="24"/>
        </w:rPr>
        <w:t>Hver 1 ml dosis indeholder:</w:t>
      </w:r>
    </w:p>
    <w:p w14:paraId="0E572958" w14:textId="77777777" w:rsidR="00F75535" w:rsidRPr="00F75535" w:rsidRDefault="00F75535" w:rsidP="00F75535">
      <w:pPr>
        <w:ind w:left="851"/>
        <w:rPr>
          <w:b/>
          <w:sz w:val="24"/>
          <w:szCs w:val="24"/>
        </w:rPr>
      </w:pPr>
    </w:p>
    <w:p w14:paraId="40D9CBD1" w14:textId="77777777" w:rsidR="00F75535" w:rsidRPr="00F75535" w:rsidRDefault="00F75535" w:rsidP="00F75535">
      <w:pPr>
        <w:ind w:left="851"/>
        <w:rPr>
          <w:b/>
          <w:sz w:val="24"/>
          <w:szCs w:val="24"/>
        </w:rPr>
      </w:pPr>
      <w:r w:rsidRPr="00F75535">
        <w:rPr>
          <w:b/>
          <w:sz w:val="24"/>
          <w:szCs w:val="24"/>
        </w:rPr>
        <w:t>Aktive stoffer:</w:t>
      </w:r>
    </w:p>
    <w:p w14:paraId="58E93C01" w14:textId="77777777" w:rsidR="00F75535" w:rsidRDefault="00F75535" w:rsidP="00F75535">
      <w:pPr>
        <w:ind w:left="851"/>
        <w:rPr>
          <w:sz w:val="24"/>
          <w:szCs w:val="24"/>
          <w:lang w:val="en-US"/>
        </w:rPr>
      </w:pPr>
      <w:bookmarkStart w:id="1" w:name="_Hlk191561587"/>
      <w:bookmarkStart w:id="2" w:name="_Hlk190775582"/>
      <w:r w:rsidRPr="00F75535">
        <w:rPr>
          <w:sz w:val="24"/>
          <w:szCs w:val="24"/>
          <w:lang w:val="en-US"/>
        </w:rPr>
        <w:t>Influenza A-virus, undertype H3N8,</w:t>
      </w:r>
    </w:p>
    <w:p w14:paraId="333DB576" w14:textId="3CF36B95" w:rsidR="00F75535" w:rsidRPr="00F75535" w:rsidRDefault="00F75535" w:rsidP="00F75535">
      <w:pPr>
        <w:tabs>
          <w:tab w:val="left" w:pos="5954"/>
        </w:tabs>
        <w:ind w:left="851"/>
        <w:rPr>
          <w:sz w:val="24"/>
          <w:szCs w:val="24"/>
          <w:lang w:val="en-US"/>
        </w:rPr>
      </w:pPr>
      <w:r w:rsidRPr="00F75535">
        <w:rPr>
          <w:sz w:val="24"/>
          <w:szCs w:val="24"/>
          <w:lang w:val="en-US"/>
        </w:rPr>
        <w:t>stamme A/equin/Limerick/2010, inaktiveret</w:t>
      </w:r>
      <w:r w:rsidRPr="00F75535">
        <w:rPr>
          <w:sz w:val="24"/>
          <w:szCs w:val="24"/>
          <w:lang w:val="en-US"/>
        </w:rPr>
        <w:tab/>
        <w:t>min. 5 log</w:t>
      </w:r>
      <w:r w:rsidRPr="00F75535">
        <w:rPr>
          <w:sz w:val="24"/>
          <w:szCs w:val="24"/>
          <w:vertAlign w:val="subscript"/>
          <w:lang w:val="en-US"/>
        </w:rPr>
        <w:t>2</w:t>
      </w:r>
      <w:r w:rsidRPr="00F75535">
        <w:rPr>
          <w:sz w:val="24"/>
          <w:szCs w:val="24"/>
          <w:lang w:val="en-US"/>
        </w:rPr>
        <w:t xml:space="preserve"> HIT</w:t>
      </w:r>
      <w:r w:rsidRPr="00F75535">
        <w:rPr>
          <w:sz w:val="24"/>
          <w:szCs w:val="24"/>
          <w:vertAlign w:val="superscript"/>
          <w:lang w:val="en-US"/>
        </w:rPr>
        <w:t>1</w:t>
      </w:r>
    </w:p>
    <w:p w14:paraId="091E6645" w14:textId="77777777" w:rsidR="00F75535" w:rsidRDefault="00F75535" w:rsidP="00F75535">
      <w:pPr>
        <w:ind w:left="851"/>
        <w:rPr>
          <w:sz w:val="24"/>
          <w:szCs w:val="24"/>
          <w:lang w:val="en-US"/>
        </w:rPr>
      </w:pPr>
    </w:p>
    <w:p w14:paraId="143C263F" w14:textId="77777777" w:rsidR="00F75535" w:rsidRDefault="00F75535" w:rsidP="00F75535">
      <w:pPr>
        <w:ind w:left="851"/>
        <w:rPr>
          <w:sz w:val="24"/>
          <w:szCs w:val="24"/>
          <w:lang w:val="en-US"/>
        </w:rPr>
      </w:pPr>
      <w:r w:rsidRPr="00F75535">
        <w:rPr>
          <w:sz w:val="24"/>
          <w:szCs w:val="24"/>
          <w:lang w:val="en-US"/>
        </w:rPr>
        <w:t>Influenza A-virus, undertype H3N8,</w:t>
      </w:r>
    </w:p>
    <w:p w14:paraId="61674F19" w14:textId="6B006D15" w:rsidR="00F75535" w:rsidRPr="00F75535" w:rsidRDefault="00F75535" w:rsidP="00F75535">
      <w:pPr>
        <w:tabs>
          <w:tab w:val="left" w:pos="5954"/>
        </w:tabs>
        <w:ind w:left="851"/>
        <w:rPr>
          <w:sz w:val="24"/>
          <w:szCs w:val="24"/>
        </w:rPr>
      </w:pPr>
      <w:r w:rsidRPr="00F75535">
        <w:rPr>
          <w:sz w:val="24"/>
          <w:szCs w:val="24"/>
        </w:rPr>
        <w:t>stamme A/equin/Brno/08, inaktiveret</w:t>
      </w:r>
      <w:r w:rsidRPr="00F75535">
        <w:rPr>
          <w:sz w:val="24"/>
          <w:szCs w:val="24"/>
        </w:rPr>
        <w:tab/>
        <w:t>min. 5 log</w:t>
      </w:r>
      <w:r w:rsidRPr="00F75535">
        <w:rPr>
          <w:sz w:val="24"/>
          <w:szCs w:val="24"/>
          <w:vertAlign w:val="subscript"/>
        </w:rPr>
        <w:t>2</w:t>
      </w:r>
      <w:r w:rsidRPr="00F75535">
        <w:rPr>
          <w:sz w:val="24"/>
          <w:szCs w:val="24"/>
        </w:rPr>
        <w:t xml:space="preserve"> HIT</w:t>
      </w:r>
      <w:r w:rsidRPr="00F75535">
        <w:rPr>
          <w:sz w:val="24"/>
          <w:szCs w:val="24"/>
          <w:vertAlign w:val="superscript"/>
        </w:rPr>
        <w:t>1</w:t>
      </w:r>
    </w:p>
    <w:bookmarkEnd w:id="1"/>
    <w:p w14:paraId="53526D1D" w14:textId="62DBDCC4" w:rsidR="00F75535" w:rsidRDefault="00F75535" w:rsidP="00F75535">
      <w:pPr>
        <w:ind w:left="851"/>
        <w:rPr>
          <w:sz w:val="24"/>
          <w:szCs w:val="24"/>
        </w:rPr>
      </w:pPr>
    </w:p>
    <w:p w14:paraId="3C7760B8" w14:textId="77777777" w:rsidR="00601356" w:rsidRDefault="00601356" w:rsidP="00601356">
      <w:pPr>
        <w:ind w:left="851"/>
        <w:rPr>
          <w:sz w:val="24"/>
          <w:szCs w:val="24"/>
        </w:rPr>
      </w:pPr>
      <w:r w:rsidRPr="00601356">
        <w:rPr>
          <w:i/>
          <w:sz w:val="24"/>
          <w:szCs w:val="24"/>
        </w:rPr>
        <w:t>Clostridium tetani</w:t>
      </w:r>
      <w:r w:rsidRPr="00601356">
        <w:rPr>
          <w:sz w:val="24"/>
          <w:szCs w:val="24"/>
        </w:rPr>
        <w:t>, stamme Harvard 49205,</w:t>
      </w:r>
    </w:p>
    <w:p w14:paraId="54313711" w14:textId="16376AE1" w:rsidR="00601356" w:rsidRPr="00601356" w:rsidRDefault="00601356" w:rsidP="00601356">
      <w:pPr>
        <w:tabs>
          <w:tab w:val="left" w:pos="5954"/>
        </w:tabs>
        <w:ind w:left="851"/>
        <w:rPr>
          <w:sz w:val="24"/>
          <w:szCs w:val="24"/>
        </w:rPr>
      </w:pPr>
      <w:r w:rsidRPr="00601356">
        <w:rPr>
          <w:sz w:val="24"/>
          <w:szCs w:val="24"/>
        </w:rPr>
        <w:t xml:space="preserve">tetanustoksoid                                    </w:t>
      </w:r>
      <w:r w:rsidRPr="00601356">
        <w:rPr>
          <w:sz w:val="24"/>
          <w:szCs w:val="24"/>
        </w:rPr>
        <w:tab/>
        <w:t>min. 30 IE</w:t>
      </w:r>
      <w:r w:rsidRPr="00601356">
        <w:rPr>
          <w:sz w:val="24"/>
          <w:szCs w:val="24"/>
          <w:vertAlign w:val="superscript"/>
        </w:rPr>
        <w:t>2</w:t>
      </w:r>
    </w:p>
    <w:p w14:paraId="375813D6" w14:textId="77777777" w:rsidR="00601356" w:rsidRPr="00F75535" w:rsidRDefault="00601356" w:rsidP="00F75535">
      <w:pPr>
        <w:ind w:left="851"/>
        <w:rPr>
          <w:sz w:val="24"/>
          <w:szCs w:val="24"/>
        </w:rPr>
      </w:pPr>
    </w:p>
    <w:bookmarkEnd w:id="2"/>
    <w:p w14:paraId="186CA2BD" w14:textId="4EE030EE" w:rsidR="00F75535" w:rsidRDefault="00F75535" w:rsidP="00F75535">
      <w:pPr>
        <w:ind w:left="1134" w:hanging="283"/>
        <w:rPr>
          <w:sz w:val="20"/>
        </w:rPr>
      </w:pPr>
      <w:r w:rsidRPr="00F75535">
        <w:rPr>
          <w:sz w:val="20"/>
          <w:vertAlign w:val="superscript"/>
        </w:rPr>
        <w:t>1</w:t>
      </w:r>
      <w:r w:rsidRPr="00F75535">
        <w:rPr>
          <w:sz w:val="20"/>
        </w:rPr>
        <w:tab/>
        <w:t xml:space="preserve">Antistoftiter i serum </w:t>
      </w:r>
      <w:bookmarkStart w:id="3" w:name="_Hlk190153890"/>
      <w:r w:rsidRPr="00F75535">
        <w:rPr>
          <w:sz w:val="20"/>
        </w:rPr>
        <w:t xml:space="preserve">bestemt </w:t>
      </w:r>
      <w:bookmarkEnd w:id="3"/>
      <w:r w:rsidRPr="00F75535">
        <w:rPr>
          <w:sz w:val="20"/>
        </w:rPr>
        <w:t>i hæmagglutinationsinhibationstest efter administration af én vaccinedosis hos marsvin.</w:t>
      </w:r>
    </w:p>
    <w:p w14:paraId="23D8ABA8" w14:textId="77777777" w:rsidR="00601356" w:rsidRPr="00601356" w:rsidRDefault="00601356" w:rsidP="00601356">
      <w:pPr>
        <w:ind w:left="1134" w:hanging="283"/>
        <w:rPr>
          <w:sz w:val="20"/>
        </w:rPr>
      </w:pPr>
      <w:r w:rsidRPr="00601356">
        <w:rPr>
          <w:sz w:val="20"/>
          <w:vertAlign w:val="superscript"/>
        </w:rPr>
        <w:t>2</w:t>
      </w:r>
      <w:r w:rsidRPr="00601356">
        <w:rPr>
          <w:sz w:val="20"/>
        </w:rPr>
        <w:tab/>
        <w:t xml:space="preserve">Internationale enheder; antitoksin-antistoftiter, induceret efter gentagen vaccination af marsvin iht. Ph. Eur., som bestemt ved ELISA. </w:t>
      </w:r>
    </w:p>
    <w:p w14:paraId="1AABE10A" w14:textId="77777777" w:rsidR="00F75535" w:rsidRPr="00F75535" w:rsidRDefault="00F75535" w:rsidP="00F75535">
      <w:pPr>
        <w:ind w:left="851"/>
        <w:rPr>
          <w:iCs/>
          <w:sz w:val="24"/>
          <w:szCs w:val="24"/>
        </w:rPr>
      </w:pPr>
    </w:p>
    <w:p w14:paraId="4EE4EED6" w14:textId="77777777" w:rsidR="00F75535" w:rsidRPr="00F75535" w:rsidRDefault="00F75535" w:rsidP="00F75535">
      <w:pPr>
        <w:ind w:left="851"/>
        <w:rPr>
          <w:sz w:val="24"/>
          <w:szCs w:val="24"/>
        </w:rPr>
      </w:pPr>
      <w:r w:rsidRPr="00F75535">
        <w:rPr>
          <w:b/>
          <w:sz w:val="24"/>
          <w:szCs w:val="24"/>
        </w:rPr>
        <w:t>Adjuvanser:</w:t>
      </w:r>
    </w:p>
    <w:p w14:paraId="3FAB560B" w14:textId="40B735F3" w:rsidR="00F75535" w:rsidRPr="00F75535" w:rsidRDefault="00F75535" w:rsidP="00F75535">
      <w:pPr>
        <w:ind w:left="851"/>
        <w:rPr>
          <w:sz w:val="24"/>
          <w:szCs w:val="24"/>
        </w:rPr>
      </w:pPr>
      <w:r w:rsidRPr="00F75535">
        <w:rPr>
          <w:sz w:val="24"/>
          <w:szCs w:val="24"/>
        </w:rPr>
        <w:t>Aluminiumhydroxidhydrat, til adsorption</w:t>
      </w:r>
      <w:r w:rsidR="00E51BD0">
        <w:rPr>
          <w:sz w:val="24"/>
          <w:szCs w:val="24"/>
        </w:rPr>
        <w:t xml:space="preserve">: </w:t>
      </w:r>
      <w:r w:rsidRPr="00F75535">
        <w:rPr>
          <w:sz w:val="24"/>
          <w:szCs w:val="24"/>
        </w:rPr>
        <w:t>0,2 ml</w:t>
      </w:r>
      <w:r w:rsidR="00E51BD0">
        <w:rPr>
          <w:sz w:val="24"/>
          <w:szCs w:val="24"/>
        </w:rPr>
        <w:t>.</w:t>
      </w:r>
    </w:p>
    <w:p w14:paraId="2B10B6B8" w14:textId="77777777" w:rsidR="00F75535" w:rsidRPr="00F75535" w:rsidRDefault="00F75535" w:rsidP="00F75535">
      <w:pPr>
        <w:ind w:left="851"/>
        <w:rPr>
          <w:sz w:val="24"/>
          <w:szCs w:val="24"/>
        </w:rPr>
      </w:pPr>
    </w:p>
    <w:p w14:paraId="3B3E78B3" w14:textId="77777777" w:rsidR="00F75535" w:rsidRPr="00F75535" w:rsidRDefault="00F75535" w:rsidP="00F75535">
      <w:pPr>
        <w:ind w:left="851"/>
        <w:rPr>
          <w:sz w:val="24"/>
          <w:szCs w:val="24"/>
        </w:rPr>
      </w:pPr>
      <w:r w:rsidRPr="00F75535">
        <w:rPr>
          <w:b/>
          <w:sz w:val="24"/>
          <w:szCs w:val="24"/>
        </w:rPr>
        <w:t>Hjælpestoffer:</w:t>
      </w:r>
    </w:p>
    <w:p w14:paraId="414AC486" w14:textId="4F9D7DFF" w:rsidR="00F75535" w:rsidRDefault="00F75535" w:rsidP="00F75535">
      <w:pPr>
        <w:ind w:left="851"/>
        <w:rPr>
          <w:sz w:val="22"/>
          <w:szCs w:val="22"/>
        </w:rPr>
      </w:pPr>
    </w:p>
    <w:tbl>
      <w:tblPr>
        <w:tblW w:w="838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4426"/>
      </w:tblGrid>
      <w:tr w:rsidR="00E51BD0" w:rsidRPr="00E51BD0" w14:paraId="608CD8CB" w14:textId="77777777" w:rsidTr="00E51BD0">
        <w:trPr>
          <w:trHeight w:val="757"/>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4C1F862D" w14:textId="77777777" w:rsidR="00E51BD0" w:rsidRPr="00E51BD0" w:rsidRDefault="00E51BD0" w:rsidP="00E51BD0">
            <w:pPr>
              <w:ind w:left="32"/>
              <w:rPr>
                <w:iCs/>
                <w:sz w:val="22"/>
                <w:szCs w:val="22"/>
              </w:rPr>
            </w:pPr>
            <w:r w:rsidRPr="00E51BD0">
              <w:rPr>
                <w:b/>
                <w:sz w:val="22"/>
                <w:szCs w:val="22"/>
              </w:rPr>
              <w:t>Kvalitativ</w:t>
            </w:r>
            <w:r w:rsidRPr="00E51BD0">
              <w:rPr>
                <w:sz w:val="22"/>
                <w:szCs w:val="22"/>
              </w:rPr>
              <w:t xml:space="preserve"> </w:t>
            </w:r>
            <w:r w:rsidRPr="00E51BD0">
              <w:rPr>
                <w:b/>
                <w:sz w:val="22"/>
                <w:szCs w:val="22"/>
              </w:rPr>
              <w:t>sammensætning af hjælpestoffer og andre bestanddele</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706B5445" w14:textId="77777777" w:rsidR="00E51BD0" w:rsidRPr="00E51BD0" w:rsidRDefault="00E51BD0" w:rsidP="00E51BD0">
            <w:pPr>
              <w:ind w:left="63"/>
              <w:rPr>
                <w:i/>
                <w:iCs/>
                <w:sz w:val="22"/>
                <w:szCs w:val="22"/>
              </w:rPr>
            </w:pPr>
            <w:r w:rsidRPr="00E51BD0">
              <w:rPr>
                <w:b/>
                <w:sz w:val="22"/>
                <w:szCs w:val="22"/>
              </w:rPr>
              <w:t>Kvantitativ</w:t>
            </w:r>
            <w:r w:rsidRPr="00E51BD0">
              <w:rPr>
                <w:sz w:val="22"/>
                <w:szCs w:val="22"/>
              </w:rPr>
              <w:t xml:space="preserve"> </w:t>
            </w:r>
            <w:r w:rsidRPr="00E51BD0">
              <w:rPr>
                <w:b/>
                <w:sz w:val="22"/>
                <w:szCs w:val="22"/>
              </w:rPr>
              <w:t>sammensætning,</w:t>
            </w:r>
            <w:r w:rsidRPr="00E51BD0">
              <w:rPr>
                <w:sz w:val="22"/>
                <w:szCs w:val="22"/>
              </w:rPr>
              <w:t xml:space="preserve"> </w:t>
            </w:r>
            <w:r w:rsidRPr="00E51BD0">
              <w:rPr>
                <w:b/>
                <w:sz w:val="22"/>
                <w:szCs w:val="22"/>
              </w:rPr>
              <w:t>hvis oplysningen er vigtig</w:t>
            </w:r>
            <w:r w:rsidRPr="00E51BD0">
              <w:rPr>
                <w:sz w:val="22"/>
                <w:szCs w:val="22"/>
              </w:rPr>
              <w:t xml:space="preserve"> </w:t>
            </w:r>
            <w:r w:rsidRPr="00E51BD0">
              <w:rPr>
                <w:b/>
                <w:sz w:val="22"/>
                <w:szCs w:val="22"/>
              </w:rPr>
              <w:t>for korrekt administration af veterinærlægemidle</w:t>
            </w:r>
            <w:r w:rsidRPr="00E51BD0">
              <w:rPr>
                <w:sz w:val="22"/>
                <w:szCs w:val="22"/>
              </w:rPr>
              <w:t>t</w:t>
            </w:r>
          </w:p>
        </w:tc>
      </w:tr>
      <w:tr w:rsidR="00E51BD0" w:rsidRPr="00E51BD0" w14:paraId="29D0E90A"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1665DC29" w14:textId="77777777" w:rsidR="00E51BD0" w:rsidRPr="00E51BD0" w:rsidRDefault="00E51BD0" w:rsidP="00E51BD0">
            <w:pPr>
              <w:ind w:left="32"/>
              <w:rPr>
                <w:iCs/>
                <w:sz w:val="22"/>
                <w:szCs w:val="22"/>
              </w:rPr>
            </w:pPr>
            <w:r w:rsidRPr="00E51BD0">
              <w:rPr>
                <w:sz w:val="22"/>
                <w:szCs w:val="22"/>
              </w:rPr>
              <w:t>Thiomersal</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5CBBC066" w14:textId="77777777" w:rsidR="00E51BD0" w:rsidRPr="00E51BD0" w:rsidRDefault="00E51BD0" w:rsidP="00E51BD0">
            <w:pPr>
              <w:ind w:left="851"/>
              <w:rPr>
                <w:iCs/>
                <w:sz w:val="22"/>
                <w:szCs w:val="22"/>
              </w:rPr>
            </w:pPr>
            <w:r w:rsidRPr="00E51BD0">
              <w:rPr>
                <w:sz w:val="22"/>
                <w:szCs w:val="22"/>
              </w:rPr>
              <w:t>0,1 mg</w:t>
            </w:r>
          </w:p>
        </w:tc>
      </w:tr>
      <w:tr w:rsidR="00E51BD0" w:rsidRPr="00E51BD0" w14:paraId="25B542B4"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4E88F242" w14:textId="77777777" w:rsidR="00E51BD0" w:rsidRPr="00E51BD0" w:rsidRDefault="00E51BD0" w:rsidP="00E51BD0">
            <w:pPr>
              <w:ind w:left="32"/>
              <w:rPr>
                <w:sz w:val="22"/>
                <w:szCs w:val="22"/>
              </w:rPr>
            </w:pPr>
            <w:r w:rsidRPr="00E51BD0">
              <w:rPr>
                <w:sz w:val="22"/>
                <w:szCs w:val="22"/>
              </w:rPr>
              <w:t>Natriumchlorid</w:t>
            </w:r>
          </w:p>
        </w:tc>
        <w:tc>
          <w:tcPr>
            <w:tcW w:w="4562" w:type="dxa"/>
            <w:tcBorders>
              <w:top w:val="single" w:sz="4" w:space="0" w:color="000000"/>
              <w:left w:val="single" w:sz="4" w:space="0" w:color="000000"/>
              <w:bottom w:val="single" w:sz="4" w:space="0" w:color="000000"/>
              <w:right w:val="single" w:sz="4" w:space="0" w:color="000000"/>
            </w:tcBorders>
            <w:vAlign w:val="center"/>
          </w:tcPr>
          <w:p w14:paraId="76C2AEB5" w14:textId="77777777" w:rsidR="00E51BD0" w:rsidRPr="00E51BD0" w:rsidRDefault="00E51BD0" w:rsidP="00E51BD0">
            <w:pPr>
              <w:ind w:left="851"/>
              <w:rPr>
                <w:iCs/>
                <w:sz w:val="22"/>
                <w:szCs w:val="22"/>
              </w:rPr>
            </w:pPr>
          </w:p>
        </w:tc>
      </w:tr>
      <w:tr w:rsidR="00E51BD0" w:rsidRPr="00E51BD0" w14:paraId="1FBEA10F" w14:textId="77777777" w:rsidTr="00E51BD0">
        <w:trPr>
          <w:trHeight w:val="50"/>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35CCAB10" w14:textId="77777777" w:rsidR="00E51BD0" w:rsidRPr="00E51BD0" w:rsidRDefault="00E51BD0" w:rsidP="00E51BD0">
            <w:pPr>
              <w:ind w:left="32"/>
              <w:rPr>
                <w:sz w:val="22"/>
                <w:szCs w:val="22"/>
              </w:rPr>
            </w:pPr>
            <w:r w:rsidRPr="00E51BD0">
              <w:rPr>
                <w:sz w:val="22"/>
                <w:szCs w:val="22"/>
              </w:rPr>
              <w:t>Kaliumchlorid</w:t>
            </w:r>
          </w:p>
        </w:tc>
        <w:tc>
          <w:tcPr>
            <w:tcW w:w="4562" w:type="dxa"/>
            <w:tcBorders>
              <w:top w:val="single" w:sz="4" w:space="0" w:color="000000"/>
              <w:left w:val="single" w:sz="4" w:space="0" w:color="000000"/>
              <w:bottom w:val="single" w:sz="4" w:space="0" w:color="000000"/>
              <w:right w:val="single" w:sz="4" w:space="0" w:color="000000"/>
            </w:tcBorders>
            <w:vAlign w:val="center"/>
          </w:tcPr>
          <w:p w14:paraId="07CB5D15" w14:textId="77777777" w:rsidR="00E51BD0" w:rsidRPr="00E51BD0" w:rsidRDefault="00E51BD0" w:rsidP="00E51BD0">
            <w:pPr>
              <w:ind w:left="851"/>
              <w:rPr>
                <w:iCs/>
                <w:sz w:val="22"/>
                <w:szCs w:val="22"/>
              </w:rPr>
            </w:pPr>
          </w:p>
        </w:tc>
      </w:tr>
      <w:tr w:rsidR="00E51BD0" w:rsidRPr="00E51BD0" w14:paraId="15A01B5E"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6F35794A" w14:textId="77777777" w:rsidR="00E51BD0" w:rsidRPr="00E51BD0" w:rsidRDefault="00E51BD0" w:rsidP="00E51BD0">
            <w:pPr>
              <w:ind w:left="32"/>
              <w:rPr>
                <w:sz w:val="22"/>
                <w:szCs w:val="22"/>
              </w:rPr>
            </w:pPr>
            <w:r w:rsidRPr="00E51BD0">
              <w:rPr>
                <w:sz w:val="22"/>
                <w:szCs w:val="22"/>
              </w:rPr>
              <w:lastRenderedPageBreak/>
              <w:t>Kaliumdihydrogenphosphat</w:t>
            </w:r>
          </w:p>
        </w:tc>
        <w:tc>
          <w:tcPr>
            <w:tcW w:w="4562" w:type="dxa"/>
            <w:tcBorders>
              <w:top w:val="single" w:sz="4" w:space="0" w:color="000000"/>
              <w:left w:val="single" w:sz="4" w:space="0" w:color="000000"/>
              <w:bottom w:val="single" w:sz="4" w:space="0" w:color="000000"/>
              <w:right w:val="single" w:sz="4" w:space="0" w:color="000000"/>
            </w:tcBorders>
            <w:vAlign w:val="center"/>
          </w:tcPr>
          <w:p w14:paraId="717AF89A" w14:textId="77777777" w:rsidR="00E51BD0" w:rsidRPr="00E51BD0" w:rsidRDefault="00E51BD0" w:rsidP="00E51BD0">
            <w:pPr>
              <w:ind w:left="851"/>
              <w:rPr>
                <w:iCs/>
                <w:sz w:val="22"/>
                <w:szCs w:val="22"/>
              </w:rPr>
            </w:pPr>
          </w:p>
        </w:tc>
      </w:tr>
      <w:tr w:rsidR="00E51BD0" w:rsidRPr="00E51BD0" w14:paraId="1B9E04D1" w14:textId="77777777" w:rsidTr="00E51BD0">
        <w:trPr>
          <w:trHeight w:val="185"/>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3A469C85" w14:textId="77777777" w:rsidR="00E51BD0" w:rsidRPr="00E51BD0" w:rsidRDefault="00E51BD0" w:rsidP="00E51BD0">
            <w:pPr>
              <w:ind w:left="32"/>
              <w:rPr>
                <w:sz w:val="22"/>
                <w:szCs w:val="22"/>
              </w:rPr>
            </w:pPr>
            <w:r w:rsidRPr="00E51BD0">
              <w:rPr>
                <w:sz w:val="22"/>
                <w:szCs w:val="22"/>
              </w:rPr>
              <w:t>Dinatriumhydrogenphosphatdodecahydrat</w:t>
            </w:r>
          </w:p>
        </w:tc>
        <w:tc>
          <w:tcPr>
            <w:tcW w:w="4562" w:type="dxa"/>
            <w:tcBorders>
              <w:top w:val="single" w:sz="4" w:space="0" w:color="000000"/>
              <w:left w:val="single" w:sz="4" w:space="0" w:color="000000"/>
              <w:bottom w:val="single" w:sz="4" w:space="0" w:color="000000"/>
              <w:right w:val="single" w:sz="4" w:space="0" w:color="000000"/>
            </w:tcBorders>
            <w:vAlign w:val="center"/>
          </w:tcPr>
          <w:p w14:paraId="41EF7D12" w14:textId="77777777" w:rsidR="00E51BD0" w:rsidRPr="00E51BD0" w:rsidRDefault="00E51BD0" w:rsidP="00E51BD0">
            <w:pPr>
              <w:ind w:left="851"/>
              <w:rPr>
                <w:iCs/>
                <w:sz w:val="22"/>
                <w:szCs w:val="22"/>
              </w:rPr>
            </w:pPr>
          </w:p>
        </w:tc>
      </w:tr>
      <w:tr w:rsidR="00E51BD0" w:rsidRPr="00E51BD0" w14:paraId="3A525844"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182B8146" w14:textId="77777777" w:rsidR="00E51BD0" w:rsidRPr="00E51BD0" w:rsidRDefault="00E51BD0" w:rsidP="00E51BD0">
            <w:pPr>
              <w:ind w:left="32"/>
              <w:rPr>
                <w:sz w:val="22"/>
                <w:szCs w:val="22"/>
              </w:rPr>
            </w:pPr>
            <w:r w:rsidRPr="00E51BD0">
              <w:rPr>
                <w:sz w:val="22"/>
                <w:szCs w:val="22"/>
              </w:rPr>
              <w:t>Vand til injektionsvæsker</w:t>
            </w:r>
          </w:p>
        </w:tc>
        <w:tc>
          <w:tcPr>
            <w:tcW w:w="4562" w:type="dxa"/>
            <w:tcBorders>
              <w:top w:val="single" w:sz="4" w:space="0" w:color="000000"/>
              <w:left w:val="single" w:sz="4" w:space="0" w:color="000000"/>
              <w:bottom w:val="single" w:sz="4" w:space="0" w:color="000000"/>
              <w:right w:val="single" w:sz="4" w:space="0" w:color="000000"/>
            </w:tcBorders>
            <w:vAlign w:val="center"/>
          </w:tcPr>
          <w:p w14:paraId="580B0882" w14:textId="77777777" w:rsidR="00E51BD0" w:rsidRPr="00E51BD0" w:rsidRDefault="00E51BD0" w:rsidP="00E51BD0">
            <w:pPr>
              <w:ind w:left="851"/>
              <w:rPr>
                <w:iCs/>
                <w:sz w:val="22"/>
                <w:szCs w:val="22"/>
              </w:rPr>
            </w:pPr>
          </w:p>
        </w:tc>
      </w:tr>
      <w:tr w:rsidR="00E51BD0" w:rsidRPr="00E51BD0" w14:paraId="07B66E8A" w14:textId="77777777" w:rsidTr="00E51BD0">
        <w:trPr>
          <w:trHeight w:val="192"/>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0410F7E8" w14:textId="77777777" w:rsidR="00E51BD0" w:rsidRPr="00E51BD0" w:rsidRDefault="00E51BD0" w:rsidP="00E51BD0">
            <w:pPr>
              <w:ind w:left="32"/>
              <w:rPr>
                <w:iCs/>
                <w:sz w:val="22"/>
                <w:szCs w:val="22"/>
              </w:rPr>
            </w:pPr>
            <w:r w:rsidRPr="00E51BD0">
              <w:rPr>
                <w:sz w:val="22"/>
                <w:szCs w:val="22"/>
              </w:rPr>
              <w:t>Natriumhydroxid</w:t>
            </w:r>
          </w:p>
        </w:tc>
        <w:tc>
          <w:tcPr>
            <w:tcW w:w="4562" w:type="dxa"/>
            <w:tcBorders>
              <w:top w:val="single" w:sz="4" w:space="0" w:color="000000"/>
              <w:left w:val="single" w:sz="4" w:space="0" w:color="000000"/>
              <w:bottom w:val="single" w:sz="4" w:space="0" w:color="000000"/>
              <w:right w:val="single" w:sz="4" w:space="0" w:color="000000"/>
            </w:tcBorders>
            <w:vAlign w:val="center"/>
          </w:tcPr>
          <w:p w14:paraId="1A033289" w14:textId="77777777" w:rsidR="00E51BD0" w:rsidRPr="00E51BD0" w:rsidRDefault="00E51BD0" w:rsidP="00E51BD0">
            <w:pPr>
              <w:ind w:left="851"/>
              <w:rPr>
                <w:iCs/>
                <w:sz w:val="22"/>
                <w:szCs w:val="22"/>
              </w:rPr>
            </w:pPr>
          </w:p>
        </w:tc>
      </w:tr>
      <w:tr w:rsidR="00E51BD0" w:rsidRPr="00E51BD0" w14:paraId="7BBA470C" w14:textId="77777777" w:rsidTr="00E51BD0">
        <w:trPr>
          <w:trHeight w:val="185"/>
        </w:trPr>
        <w:tc>
          <w:tcPr>
            <w:tcW w:w="3827" w:type="dxa"/>
            <w:tcBorders>
              <w:top w:val="single" w:sz="4" w:space="0" w:color="000000"/>
              <w:left w:val="single" w:sz="4" w:space="0" w:color="000000"/>
              <w:bottom w:val="single" w:sz="4" w:space="0" w:color="000000"/>
              <w:right w:val="single" w:sz="4" w:space="0" w:color="000000"/>
            </w:tcBorders>
            <w:vAlign w:val="center"/>
            <w:hideMark/>
          </w:tcPr>
          <w:p w14:paraId="7CBB6385" w14:textId="77777777" w:rsidR="00E51BD0" w:rsidRPr="00E51BD0" w:rsidRDefault="00E51BD0" w:rsidP="00E51BD0">
            <w:pPr>
              <w:ind w:left="32"/>
              <w:rPr>
                <w:sz w:val="22"/>
                <w:szCs w:val="22"/>
              </w:rPr>
            </w:pPr>
            <w:r w:rsidRPr="00E51BD0">
              <w:rPr>
                <w:sz w:val="22"/>
                <w:szCs w:val="22"/>
              </w:rPr>
              <w:t>Saltsyre</w:t>
            </w:r>
          </w:p>
        </w:tc>
        <w:tc>
          <w:tcPr>
            <w:tcW w:w="4562" w:type="dxa"/>
            <w:tcBorders>
              <w:top w:val="single" w:sz="4" w:space="0" w:color="000000"/>
              <w:left w:val="single" w:sz="4" w:space="0" w:color="000000"/>
              <w:bottom w:val="single" w:sz="4" w:space="0" w:color="000000"/>
              <w:right w:val="single" w:sz="4" w:space="0" w:color="000000"/>
            </w:tcBorders>
            <w:vAlign w:val="center"/>
          </w:tcPr>
          <w:p w14:paraId="3BE5D8C8" w14:textId="77777777" w:rsidR="00E51BD0" w:rsidRPr="00E51BD0" w:rsidRDefault="00E51BD0" w:rsidP="00E51BD0">
            <w:pPr>
              <w:ind w:left="851"/>
              <w:rPr>
                <w:iCs/>
                <w:sz w:val="22"/>
                <w:szCs w:val="22"/>
              </w:rPr>
            </w:pPr>
          </w:p>
        </w:tc>
      </w:tr>
    </w:tbl>
    <w:p w14:paraId="6C62104F" w14:textId="551C082E" w:rsidR="00F75535" w:rsidRDefault="00F75535" w:rsidP="00F75535">
      <w:pPr>
        <w:ind w:left="851"/>
        <w:rPr>
          <w:sz w:val="24"/>
          <w:szCs w:val="24"/>
        </w:rPr>
      </w:pPr>
      <w:r w:rsidRPr="00F75535">
        <w:rPr>
          <w:sz w:val="24"/>
          <w:szCs w:val="24"/>
        </w:rPr>
        <w:t xml:space="preserve">Hvid eller </w:t>
      </w:r>
      <w:r w:rsidR="005D1991">
        <w:t>gullig til gråbrun suspension</w:t>
      </w:r>
      <w:r w:rsidRPr="00F75535">
        <w:rPr>
          <w:sz w:val="24"/>
          <w:szCs w:val="24"/>
        </w:rPr>
        <w:t>. Der dannes bundfald, når suspensionen står, men dette opslæmmes ved omrystning</w:t>
      </w:r>
      <w:r w:rsidR="00A3526D">
        <w:rPr>
          <w:sz w:val="24"/>
          <w:szCs w:val="24"/>
        </w:rPr>
        <w:t>.</w:t>
      </w:r>
    </w:p>
    <w:p w14:paraId="00A49969" w14:textId="77777777" w:rsidR="008203A8" w:rsidRDefault="008203A8" w:rsidP="008203A8">
      <w:pPr>
        <w:ind w:left="851"/>
        <w:rPr>
          <w:sz w:val="24"/>
          <w:szCs w:val="24"/>
        </w:rPr>
      </w:pPr>
    </w:p>
    <w:p w14:paraId="459E0F8F" w14:textId="77777777" w:rsidR="008203A8" w:rsidRPr="008509BB" w:rsidRDefault="008203A8" w:rsidP="008203A8">
      <w:pPr>
        <w:ind w:left="851"/>
        <w:rPr>
          <w:sz w:val="24"/>
          <w:szCs w:val="24"/>
        </w:rPr>
      </w:pPr>
    </w:p>
    <w:p w14:paraId="5BC7C68D"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1A190038" w14:textId="77777777" w:rsidR="008203A8" w:rsidRPr="00406EE7" w:rsidRDefault="008203A8" w:rsidP="008203A8">
      <w:pPr>
        <w:tabs>
          <w:tab w:val="left" w:pos="851"/>
        </w:tabs>
        <w:ind w:left="851"/>
        <w:rPr>
          <w:sz w:val="24"/>
          <w:szCs w:val="24"/>
        </w:rPr>
      </w:pPr>
    </w:p>
    <w:p w14:paraId="4C2A1486"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5622AA8" w14:textId="7A0E8031" w:rsidR="008203A8" w:rsidRPr="00406EE7" w:rsidRDefault="00A673AD" w:rsidP="008203A8">
      <w:pPr>
        <w:ind w:left="851"/>
        <w:rPr>
          <w:sz w:val="24"/>
          <w:szCs w:val="24"/>
        </w:rPr>
      </w:pPr>
      <w:r>
        <w:rPr>
          <w:sz w:val="24"/>
          <w:szCs w:val="24"/>
        </w:rPr>
        <w:t>Hest</w:t>
      </w:r>
    </w:p>
    <w:p w14:paraId="220B1792" w14:textId="77777777" w:rsidR="008203A8" w:rsidRPr="00406EE7" w:rsidRDefault="008203A8" w:rsidP="008203A8">
      <w:pPr>
        <w:ind w:left="851"/>
        <w:rPr>
          <w:sz w:val="24"/>
          <w:szCs w:val="24"/>
        </w:rPr>
      </w:pPr>
    </w:p>
    <w:p w14:paraId="1E93F9C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07F72497" w14:textId="46B605AF" w:rsidR="00A3526D" w:rsidRPr="00A3526D" w:rsidRDefault="00A673AD" w:rsidP="00A3526D">
      <w:pPr>
        <w:pStyle w:val="Sidehoved"/>
        <w:ind w:left="851"/>
        <w:rPr>
          <w:szCs w:val="24"/>
        </w:rPr>
      </w:pPr>
      <w:r w:rsidRPr="00A673AD">
        <w:rPr>
          <w:szCs w:val="24"/>
        </w:rPr>
        <w:t xml:space="preserve">Til aktiv immunisering af heste mod hesteinfluenza for at reducere kliniske tegn og virusudskillelse efter infektion med </w:t>
      </w:r>
      <w:r w:rsidR="00A3526D" w:rsidRPr="00A3526D">
        <w:rPr>
          <w:szCs w:val="24"/>
        </w:rPr>
        <w:t>hesteinfluenzavirus og til aktiv immunisering og for at forbygge mortalitet ved tetanus.</w:t>
      </w:r>
    </w:p>
    <w:p w14:paraId="7025C1E4" w14:textId="7AF440EB" w:rsidR="00A673AD" w:rsidRDefault="00A673AD" w:rsidP="00A673AD">
      <w:pPr>
        <w:pStyle w:val="Sidehoved"/>
        <w:ind w:left="851"/>
        <w:rPr>
          <w:szCs w:val="24"/>
        </w:rPr>
      </w:pPr>
    </w:p>
    <w:p w14:paraId="72F9C70F" w14:textId="559CCDD5" w:rsidR="00A3526D" w:rsidRPr="00A3526D" w:rsidRDefault="00A3526D" w:rsidP="00A3526D">
      <w:pPr>
        <w:pStyle w:val="Sidehoved"/>
        <w:ind w:left="851"/>
        <w:rPr>
          <w:szCs w:val="24"/>
        </w:rPr>
      </w:pPr>
      <w:r w:rsidRPr="00A3526D">
        <w:rPr>
          <w:szCs w:val="24"/>
          <w:u w:val="single"/>
        </w:rPr>
        <w:t>Influenza</w:t>
      </w:r>
    </w:p>
    <w:p w14:paraId="738C463B" w14:textId="752C4F40" w:rsidR="00A673AD" w:rsidRPr="00A673AD" w:rsidRDefault="00A673AD" w:rsidP="00A673AD">
      <w:pPr>
        <w:pStyle w:val="Sidehoved"/>
        <w:ind w:left="851"/>
        <w:rPr>
          <w:szCs w:val="24"/>
        </w:rPr>
      </w:pPr>
      <w:r w:rsidRPr="00A673AD">
        <w:rPr>
          <w:szCs w:val="24"/>
        </w:rPr>
        <w:t>Indtræden af immunitet: 2 uger efter basisvaccination</w:t>
      </w:r>
      <w:r>
        <w:rPr>
          <w:szCs w:val="24"/>
        </w:rPr>
        <w:t>.</w:t>
      </w:r>
    </w:p>
    <w:p w14:paraId="676F2FC1" w14:textId="4D08BD8C" w:rsidR="00A673AD" w:rsidRPr="00A673AD" w:rsidRDefault="00A673AD" w:rsidP="00A673AD">
      <w:pPr>
        <w:pStyle w:val="Sidehoved"/>
        <w:ind w:left="851"/>
        <w:rPr>
          <w:szCs w:val="24"/>
        </w:rPr>
      </w:pPr>
      <w:r w:rsidRPr="00A673AD">
        <w:rPr>
          <w:szCs w:val="24"/>
        </w:rPr>
        <w:t>Varighed af immunitet: 6 måneder efter basisvaccination og 12 måneder efter første revaccination.</w:t>
      </w:r>
    </w:p>
    <w:p w14:paraId="2F87F5BA" w14:textId="77777777" w:rsidR="00A673AD" w:rsidRPr="00A673AD" w:rsidRDefault="00A673AD" w:rsidP="00A673AD">
      <w:pPr>
        <w:pStyle w:val="Sidehoved"/>
        <w:ind w:left="851"/>
        <w:rPr>
          <w:szCs w:val="24"/>
        </w:rPr>
      </w:pPr>
    </w:p>
    <w:p w14:paraId="0DEAA8A8" w14:textId="77777777" w:rsidR="00A673AD" w:rsidRPr="00A673AD" w:rsidRDefault="00A673AD" w:rsidP="00A673AD">
      <w:pPr>
        <w:pStyle w:val="Sidehoved"/>
        <w:ind w:left="851"/>
        <w:rPr>
          <w:szCs w:val="24"/>
        </w:rPr>
      </w:pPr>
      <w:r w:rsidRPr="00A673AD">
        <w:rPr>
          <w:szCs w:val="24"/>
        </w:rPr>
        <w:t>Indtræden af immunitet er påvist ved hjælp af eksponeringstest for hesteinfluenzastamme A/Equi 2/Brno 08 og hesteinfluenzastamme A/Equi 2/Limerick 2010.</w:t>
      </w:r>
    </w:p>
    <w:p w14:paraId="7E54DE77" w14:textId="77777777" w:rsidR="00A673AD" w:rsidRPr="00A673AD" w:rsidRDefault="00A673AD" w:rsidP="00A673AD">
      <w:pPr>
        <w:pStyle w:val="Sidehoved"/>
        <w:ind w:left="851"/>
        <w:rPr>
          <w:szCs w:val="24"/>
        </w:rPr>
      </w:pPr>
    </w:p>
    <w:p w14:paraId="18E7663B" w14:textId="53BEF592" w:rsidR="00A673AD" w:rsidRDefault="00A673AD" w:rsidP="00A673AD">
      <w:pPr>
        <w:pStyle w:val="Sidehoved"/>
        <w:ind w:left="851"/>
        <w:rPr>
          <w:szCs w:val="24"/>
        </w:rPr>
      </w:pPr>
      <w:r w:rsidRPr="00A673AD">
        <w:rPr>
          <w:szCs w:val="24"/>
        </w:rPr>
        <w:t>Varigheden af immunitet med vaccinen mod hesteinfluenzastamme A/Equi 2/Brno08 og A/Equi 2/Limerick 2010 er påvist ved hjælp af serologi.</w:t>
      </w:r>
    </w:p>
    <w:p w14:paraId="5FDFD67A" w14:textId="2933EA80" w:rsidR="00A3526D" w:rsidRDefault="00A3526D" w:rsidP="00A673AD">
      <w:pPr>
        <w:pStyle w:val="Sidehoved"/>
        <w:ind w:left="851"/>
        <w:rPr>
          <w:szCs w:val="24"/>
        </w:rPr>
      </w:pPr>
    </w:p>
    <w:p w14:paraId="14C4F0D2" w14:textId="50727C04" w:rsidR="00A3526D" w:rsidRPr="00A3526D" w:rsidRDefault="00A3526D" w:rsidP="00A3526D">
      <w:pPr>
        <w:pStyle w:val="Sidehoved"/>
        <w:ind w:left="851"/>
        <w:rPr>
          <w:szCs w:val="24"/>
          <w:u w:val="single"/>
        </w:rPr>
      </w:pPr>
      <w:r w:rsidRPr="00A3526D">
        <w:rPr>
          <w:szCs w:val="24"/>
          <w:u w:val="single"/>
        </w:rPr>
        <w:t>Tetanus</w:t>
      </w:r>
    </w:p>
    <w:p w14:paraId="62575E50" w14:textId="530C976B" w:rsidR="00A3526D" w:rsidRPr="00A3526D" w:rsidRDefault="00A3526D" w:rsidP="00A3526D">
      <w:pPr>
        <w:pStyle w:val="Sidehoved"/>
        <w:ind w:left="851"/>
        <w:rPr>
          <w:szCs w:val="24"/>
        </w:rPr>
      </w:pPr>
      <w:r w:rsidRPr="00A3526D">
        <w:rPr>
          <w:szCs w:val="24"/>
        </w:rPr>
        <w:t>Indtræden af immunitet: 2 uger efter basisvaccination</w:t>
      </w:r>
      <w:r>
        <w:rPr>
          <w:szCs w:val="24"/>
        </w:rPr>
        <w:t>.</w:t>
      </w:r>
    </w:p>
    <w:p w14:paraId="4CC9FB7A" w14:textId="77777777" w:rsidR="00A3526D" w:rsidRPr="00A3526D" w:rsidRDefault="00A3526D" w:rsidP="00A3526D">
      <w:pPr>
        <w:pStyle w:val="Sidehoved"/>
        <w:ind w:left="851"/>
        <w:rPr>
          <w:szCs w:val="24"/>
        </w:rPr>
      </w:pPr>
      <w:r w:rsidRPr="00A3526D">
        <w:rPr>
          <w:szCs w:val="24"/>
        </w:rPr>
        <w:t>Varighed af immunitet: 6 måneder efter basisvaccination og 12 måneder efter første revaccination.</w:t>
      </w:r>
    </w:p>
    <w:p w14:paraId="5AFABA89" w14:textId="77777777" w:rsidR="008203A8" w:rsidRDefault="008203A8" w:rsidP="008203A8">
      <w:pPr>
        <w:pStyle w:val="Sidehoved"/>
        <w:ind w:left="851"/>
        <w:rPr>
          <w:szCs w:val="24"/>
        </w:rPr>
      </w:pPr>
    </w:p>
    <w:p w14:paraId="5FD2F4F5"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0272A3E4" w14:textId="642FA5E8" w:rsidR="001B1884" w:rsidRPr="001B1884" w:rsidRDefault="001B1884" w:rsidP="001B1884">
      <w:pPr>
        <w:pStyle w:val="Sidehoved"/>
        <w:ind w:left="851"/>
        <w:rPr>
          <w:szCs w:val="24"/>
        </w:rPr>
      </w:pPr>
      <w:r w:rsidRPr="001B1884">
        <w:rPr>
          <w:szCs w:val="24"/>
        </w:rPr>
        <w:t>Ingen</w:t>
      </w:r>
    </w:p>
    <w:p w14:paraId="5EA77063" w14:textId="77777777" w:rsidR="008203A8" w:rsidRPr="00406EE7" w:rsidRDefault="008203A8" w:rsidP="008203A8">
      <w:pPr>
        <w:pStyle w:val="Sidehoved"/>
        <w:tabs>
          <w:tab w:val="clear" w:pos="4819"/>
        </w:tabs>
        <w:ind w:left="851"/>
        <w:rPr>
          <w:szCs w:val="24"/>
        </w:rPr>
      </w:pPr>
    </w:p>
    <w:p w14:paraId="588F814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B2304AD" w14:textId="77777777" w:rsidR="001B1884" w:rsidRDefault="001B1884" w:rsidP="001B1884">
      <w:pPr>
        <w:pStyle w:val="Sidehoved"/>
        <w:ind w:left="851"/>
        <w:rPr>
          <w:szCs w:val="24"/>
        </w:rPr>
      </w:pPr>
      <w:r w:rsidRPr="001B1884">
        <w:rPr>
          <w:szCs w:val="24"/>
        </w:rPr>
        <w:t>Kun raske dyr må vaccineres.</w:t>
      </w:r>
    </w:p>
    <w:p w14:paraId="11726CFB" w14:textId="6EA64146" w:rsidR="001B1884" w:rsidRPr="001B1884" w:rsidRDefault="001B1884" w:rsidP="001B1884">
      <w:pPr>
        <w:pStyle w:val="Sidehoved"/>
        <w:ind w:left="851"/>
        <w:rPr>
          <w:szCs w:val="24"/>
        </w:rPr>
      </w:pPr>
      <w:r w:rsidRPr="001B1884">
        <w:rPr>
          <w:szCs w:val="24"/>
        </w:rPr>
        <w:t>Hesten bør ikke motioneres i 2-3 dage efter vaccinationen.</w:t>
      </w:r>
    </w:p>
    <w:p w14:paraId="45C6C0BE" w14:textId="77777777" w:rsidR="008203A8" w:rsidRPr="00406EE7" w:rsidRDefault="008203A8" w:rsidP="008203A8">
      <w:pPr>
        <w:pStyle w:val="Sidehoved"/>
        <w:tabs>
          <w:tab w:val="clear" w:pos="4819"/>
        </w:tabs>
        <w:ind w:left="851"/>
        <w:rPr>
          <w:szCs w:val="24"/>
        </w:rPr>
      </w:pPr>
    </w:p>
    <w:p w14:paraId="74DD154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608575D1" w14:textId="77777777" w:rsidR="008203A8" w:rsidRPr="002374DA" w:rsidRDefault="008203A8" w:rsidP="008203A8">
      <w:pPr>
        <w:tabs>
          <w:tab w:val="left" w:pos="851"/>
        </w:tabs>
        <w:ind w:left="851"/>
        <w:rPr>
          <w:sz w:val="24"/>
          <w:szCs w:val="24"/>
        </w:rPr>
      </w:pPr>
    </w:p>
    <w:p w14:paraId="7B05C20B"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3AEBD018" w14:textId="77777777" w:rsidR="001B1884" w:rsidRPr="001B1884" w:rsidRDefault="001B1884" w:rsidP="001B1884">
      <w:pPr>
        <w:tabs>
          <w:tab w:val="left" w:pos="851"/>
        </w:tabs>
        <w:ind w:left="851"/>
        <w:rPr>
          <w:sz w:val="24"/>
          <w:szCs w:val="24"/>
        </w:rPr>
      </w:pPr>
      <w:bookmarkStart w:id="4" w:name="_Hlk190937260"/>
      <w:bookmarkStart w:id="5" w:name="_Hlk190937077"/>
      <w:r w:rsidRPr="001B1884">
        <w:rPr>
          <w:sz w:val="24"/>
          <w:szCs w:val="24"/>
        </w:rPr>
        <w:t>Ikke relevant.</w:t>
      </w:r>
      <w:bookmarkEnd w:id="4"/>
      <w:bookmarkEnd w:id="5"/>
    </w:p>
    <w:p w14:paraId="2E2F5FDD" w14:textId="77777777" w:rsidR="008203A8" w:rsidRPr="00406EE7" w:rsidRDefault="008203A8" w:rsidP="008203A8">
      <w:pPr>
        <w:tabs>
          <w:tab w:val="left" w:pos="851"/>
        </w:tabs>
        <w:ind w:left="851"/>
        <w:rPr>
          <w:sz w:val="24"/>
          <w:szCs w:val="24"/>
        </w:rPr>
      </w:pPr>
    </w:p>
    <w:p w14:paraId="6A7D74C1"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081ADD92" w14:textId="77777777" w:rsidR="001B1884" w:rsidRPr="001B1884" w:rsidRDefault="001B1884" w:rsidP="001B1884">
      <w:pPr>
        <w:tabs>
          <w:tab w:val="left" w:pos="851"/>
        </w:tabs>
        <w:ind w:left="851"/>
        <w:rPr>
          <w:sz w:val="24"/>
          <w:szCs w:val="24"/>
        </w:rPr>
      </w:pPr>
      <w:r w:rsidRPr="001B1884">
        <w:rPr>
          <w:sz w:val="24"/>
          <w:szCs w:val="24"/>
        </w:rPr>
        <w:t>I tilfælde af utilsigtet selvinjektion skal der straks søges lægehjælp, og indlægssedlen eller etiketten bør vises til lægen.</w:t>
      </w:r>
    </w:p>
    <w:p w14:paraId="09B2D43A" w14:textId="77777777" w:rsidR="001B1884" w:rsidRPr="001B1884" w:rsidRDefault="001B1884" w:rsidP="001B1884">
      <w:pPr>
        <w:tabs>
          <w:tab w:val="left" w:pos="851"/>
        </w:tabs>
        <w:ind w:left="851"/>
        <w:rPr>
          <w:sz w:val="24"/>
          <w:szCs w:val="24"/>
        </w:rPr>
      </w:pPr>
    </w:p>
    <w:p w14:paraId="55DB01FD"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27A075B7" w14:textId="77777777" w:rsidR="001B1884" w:rsidRDefault="001B1884" w:rsidP="001B1884">
      <w:pPr>
        <w:tabs>
          <w:tab w:val="left" w:pos="1304"/>
        </w:tabs>
        <w:ind w:left="851"/>
        <w:rPr>
          <w:sz w:val="22"/>
          <w:szCs w:val="22"/>
        </w:rPr>
      </w:pPr>
      <w:r>
        <w:t>Ikke relevant.</w:t>
      </w:r>
    </w:p>
    <w:p w14:paraId="5FC11A74" w14:textId="77777777" w:rsidR="008203A8" w:rsidRPr="00406EE7" w:rsidRDefault="008203A8" w:rsidP="008203A8">
      <w:pPr>
        <w:tabs>
          <w:tab w:val="left" w:pos="851"/>
        </w:tabs>
        <w:ind w:left="851"/>
        <w:rPr>
          <w:sz w:val="24"/>
          <w:szCs w:val="24"/>
        </w:rPr>
      </w:pPr>
    </w:p>
    <w:p w14:paraId="5149D1C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6460B3D" w14:textId="77777777" w:rsidR="001A6462" w:rsidRPr="001A6462" w:rsidRDefault="001A6462" w:rsidP="001A6462">
      <w:pPr>
        <w:tabs>
          <w:tab w:val="left" w:pos="851"/>
        </w:tabs>
        <w:ind w:left="851"/>
        <w:rPr>
          <w:sz w:val="24"/>
          <w:szCs w:val="24"/>
        </w:rPr>
      </w:pPr>
    </w:p>
    <w:p w14:paraId="4829C660" w14:textId="77777777" w:rsidR="001A6462" w:rsidRPr="001A6462" w:rsidRDefault="001A6462" w:rsidP="001A6462">
      <w:pPr>
        <w:tabs>
          <w:tab w:val="left" w:pos="851"/>
        </w:tabs>
        <w:ind w:left="851"/>
        <w:rPr>
          <w:sz w:val="24"/>
          <w:szCs w:val="24"/>
        </w:rPr>
      </w:pPr>
      <w:r w:rsidRPr="001A6462">
        <w:rPr>
          <w:sz w:val="24"/>
          <w:szCs w:val="24"/>
        </w:rPr>
        <w:t>Heste:</w:t>
      </w:r>
    </w:p>
    <w:p w14:paraId="05AC38F4" w14:textId="77777777" w:rsidR="001A6462" w:rsidRPr="001A6462" w:rsidRDefault="001A6462" w:rsidP="001A6462">
      <w:pPr>
        <w:tabs>
          <w:tab w:val="left" w:pos="851"/>
        </w:tabs>
        <w:ind w:left="851"/>
        <w:rPr>
          <w:sz w:val="24"/>
          <w:szCs w:val="24"/>
        </w:rPr>
      </w:pPr>
    </w:p>
    <w:tbl>
      <w:tblPr>
        <w:tblW w:w="44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737"/>
      </w:tblGrid>
      <w:tr w:rsidR="001A6462" w:rsidRPr="001A6462" w14:paraId="4CD2A735" w14:textId="77777777" w:rsidTr="003F2BDA">
        <w:tc>
          <w:tcPr>
            <w:tcW w:w="2215" w:type="pct"/>
            <w:tcBorders>
              <w:top w:val="single" w:sz="4" w:space="0" w:color="auto"/>
              <w:left w:val="single" w:sz="4" w:space="0" w:color="auto"/>
              <w:bottom w:val="single" w:sz="4" w:space="0" w:color="auto"/>
              <w:right w:val="single" w:sz="4" w:space="0" w:color="auto"/>
            </w:tcBorders>
            <w:hideMark/>
          </w:tcPr>
          <w:p w14:paraId="3B11A795" w14:textId="77777777" w:rsidR="001A6462" w:rsidRPr="001A6462" w:rsidRDefault="001A6462" w:rsidP="003F2BDA">
            <w:pPr>
              <w:tabs>
                <w:tab w:val="left" w:pos="883"/>
              </w:tabs>
              <w:ind w:left="33"/>
              <w:rPr>
                <w:sz w:val="24"/>
                <w:szCs w:val="24"/>
              </w:rPr>
            </w:pPr>
            <w:r w:rsidRPr="001A6462">
              <w:rPr>
                <w:sz w:val="24"/>
                <w:szCs w:val="24"/>
              </w:rPr>
              <w:t>Meget almindelig</w:t>
            </w:r>
          </w:p>
          <w:p w14:paraId="2F56C8C9" w14:textId="77777777" w:rsidR="001A6462" w:rsidRPr="001A6462" w:rsidRDefault="001A6462" w:rsidP="003F2BDA">
            <w:pPr>
              <w:tabs>
                <w:tab w:val="left" w:pos="883"/>
              </w:tabs>
              <w:ind w:left="33"/>
              <w:rPr>
                <w:sz w:val="24"/>
                <w:szCs w:val="24"/>
              </w:rPr>
            </w:pPr>
            <w:r w:rsidRPr="001A6462">
              <w:rPr>
                <w:sz w:val="24"/>
                <w:szCs w:val="24"/>
              </w:rPr>
              <w:t>(&gt; 1 dyr ud af 10 behandlede dyr):</w:t>
            </w:r>
          </w:p>
        </w:tc>
        <w:tc>
          <w:tcPr>
            <w:tcW w:w="2785" w:type="pct"/>
            <w:tcBorders>
              <w:top w:val="single" w:sz="4" w:space="0" w:color="auto"/>
              <w:left w:val="single" w:sz="4" w:space="0" w:color="auto"/>
              <w:bottom w:val="single" w:sz="4" w:space="0" w:color="auto"/>
              <w:right w:val="single" w:sz="4" w:space="0" w:color="auto"/>
            </w:tcBorders>
            <w:hideMark/>
          </w:tcPr>
          <w:p w14:paraId="2F618FB4" w14:textId="77777777" w:rsidR="001A6462" w:rsidRPr="001A6462" w:rsidRDefault="001A6462" w:rsidP="003F2BDA">
            <w:pPr>
              <w:ind w:left="90"/>
              <w:rPr>
                <w:iCs/>
                <w:sz w:val="24"/>
                <w:szCs w:val="24"/>
              </w:rPr>
            </w:pPr>
            <w:r w:rsidRPr="001A6462">
              <w:rPr>
                <w:sz w:val="24"/>
                <w:szCs w:val="24"/>
              </w:rPr>
              <w:t xml:space="preserve">Hævelse på injektionsstedet, </w:t>
            </w:r>
            <w:bookmarkStart w:id="6" w:name="_Hlk181713592"/>
            <w:r w:rsidRPr="001A6462">
              <w:rPr>
                <w:sz w:val="24"/>
                <w:szCs w:val="24"/>
              </w:rPr>
              <w:t>Forhøjet temperatur.</w:t>
            </w:r>
            <w:r w:rsidRPr="001A6462">
              <w:rPr>
                <w:sz w:val="24"/>
                <w:szCs w:val="24"/>
                <w:vertAlign w:val="superscript"/>
              </w:rPr>
              <w:t>1</w:t>
            </w:r>
            <w:bookmarkEnd w:id="6"/>
          </w:p>
        </w:tc>
      </w:tr>
      <w:tr w:rsidR="001A6462" w:rsidRPr="001A6462" w14:paraId="5AED9740" w14:textId="77777777" w:rsidTr="003F2BDA">
        <w:tc>
          <w:tcPr>
            <w:tcW w:w="2215" w:type="pct"/>
            <w:tcBorders>
              <w:top w:val="single" w:sz="4" w:space="0" w:color="auto"/>
              <w:left w:val="single" w:sz="4" w:space="0" w:color="auto"/>
              <w:bottom w:val="single" w:sz="4" w:space="0" w:color="auto"/>
              <w:right w:val="single" w:sz="4" w:space="0" w:color="auto"/>
            </w:tcBorders>
            <w:hideMark/>
          </w:tcPr>
          <w:p w14:paraId="48658CA5" w14:textId="77777777" w:rsidR="001A6462" w:rsidRPr="001A6462" w:rsidRDefault="001A6462" w:rsidP="003F2BDA">
            <w:pPr>
              <w:tabs>
                <w:tab w:val="left" w:pos="883"/>
              </w:tabs>
              <w:ind w:left="33"/>
              <w:rPr>
                <w:sz w:val="24"/>
                <w:szCs w:val="24"/>
              </w:rPr>
            </w:pPr>
            <w:r w:rsidRPr="001A6462">
              <w:rPr>
                <w:sz w:val="24"/>
                <w:szCs w:val="24"/>
              </w:rPr>
              <w:t>Meget sjælden</w:t>
            </w:r>
          </w:p>
          <w:p w14:paraId="7AD18176" w14:textId="77777777" w:rsidR="001A6462" w:rsidRPr="001A6462" w:rsidRDefault="001A6462" w:rsidP="003F2BDA">
            <w:pPr>
              <w:tabs>
                <w:tab w:val="left" w:pos="883"/>
              </w:tabs>
              <w:ind w:left="33"/>
              <w:rPr>
                <w:sz w:val="24"/>
                <w:szCs w:val="24"/>
              </w:rPr>
            </w:pPr>
            <w:r w:rsidRPr="001A6462">
              <w:rPr>
                <w:sz w:val="24"/>
                <w:szCs w:val="24"/>
              </w:rPr>
              <w:t>(&lt; 1 dyr ud af 10.000 behandlede dyr, herunder enkeltstående indberetninger):</w:t>
            </w:r>
          </w:p>
        </w:tc>
        <w:tc>
          <w:tcPr>
            <w:tcW w:w="2785" w:type="pct"/>
            <w:tcBorders>
              <w:top w:val="single" w:sz="4" w:space="0" w:color="auto"/>
              <w:left w:val="single" w:sz="4" w:space="0" w:color="auto"/>
              <w:bottom w:val="single" w:sz="4" w:space="0" w:color="auto"/>
              <w:right w:val="single" w:sz="4" w:space="0" w:color="auto"/>
            </w:tcBorders>
            <w:hideMark/>
          </w:tcPr>
          <w:p w14:paraId="52607ECE" w14:textId="77777777" w:rsidR="001A6462" w:rsidRPr="001A6462" w:rsidRDefault="001A6462" w:rsidP="003F2BDA">
            <w:pPr>
              <w:ind w:left="90"/>
              <w:rPr>
                <w:iCs/>
                <w:sz w:val="24"/>
                <w:szCs w:val="24"/>
              </w:rPr>
            </w:pPr>
            <w:r w:rsidRPr="001A6462">
              <w:rPr>
                <w:sz w:val="24"/>
                <w:szCs w:val="24"/>
              </w:rPr>
              <w:t>Absces på injektionsstedet, Anafylaktisk reaktion.</w:t>
            </w:r>
            <w:r w:rsidRPr="001A6462">
              <w:rPr>
                <w:sz w:val="24"/>
                <w:szCs w:val="24"/>
                <w:vertAlign w:val="superscript"/>
              </w:rPr>
              <w:t>2</w:t>
            </w:r>
          </w:p>
        </w:tc>
      </w:tr>
    </w:tbl>
    <w:p w14:paraId="67D05A19" w14:textId="77777777" w:rsidR="001A6462" w:rsidRPr="003F2BDA" w:rsidRDefault="001A6462" w:rsidP="001A6462">
      <w:pPr>
        <w:tabs>
          <w:tab w:val="left" w:pos="851"/>
        </w:tabs>
        <w:ind w:left="851"/>
        <w:rPr>
          <w:sz w:val="20"/>
        </w:rPr>
      </w:pPr>
      <w:r w:rsidRPr="003F2BDA">
        <w:rPr>
          <w:sz w:val="20"/>
          <w:vertAlign w:val="superscript"/>
        </w:rPr>
        <w:t>1</w:t>
      </w:r>
      <w:r w:rsidRPr="003F2BDA">
        <w:rPr>
          <w:sz w:val="20"/>
        </w:rPr>
        <w:t xml:space="preserve"> </w:t>
      </w:r>
      <w:bookmarkStart w:id="7" w:name="_Hlk175754313"/>
      <w:r w:rsidRPr="003F2BDA">
        <w:rPr>
          <w:sz w:val="20"/>
        </w:rPr>
        <w:t>Op til 1 °C i 1-3 dage.</w:t>
      </w:r>
      <w:bookmarkEnd w:id="7"/>
    </w:p>
    <w:p w14:paraId="3F1D67D8" w14:textId="77777777" w:rsidR="001A6462" w:rsidRPr="003F2BDA" w:rsidRDefault="001A6462" w:rsidP="001A6462">
      <w:pPr>
        <w:tabs>
          <w:tab w:val="left" w:pos="851"/>
        </w:tabs>
        <w:ind w:left="851"/>
        <w:rPr>
          <w:sz w:val="20"/>
        </w:rPr>
      </w:pPr>
      <w:bookmarkStart w:id="8" w:name="_Hlk175754369"/>
      <w:r w:rsidRPr="003F2BDA">
        <w:rPr>
          <w:sz w:val="20"/>
          <w:vertAlign w:val="superscript"/>
        </w:rPr>
        <w:t>2</w:t>
      </w:r>
      <w:r w:rsidRPr="003F2BDA">
        <w:rPr>
          <w:sz w:val="20"/>
        </w:rPr>
        <w:t xml:space="preserve"> I så tilfælde er symptomatisk behandling påkrævet.</w:t>
      </w:r>
    </w:p>
    <w:bookmarkEnd w:id="8"/>
    <w:p w14:paraId="66259F7C" w14:textId="77777777" w:rsidR="001A6462" w:rsidRPr="001A6462" w:rsidRDefault="001A6462" w:rsidP="001A6462">
      <w:pPr>
        <w:tabs>
          <w:tab w:val="left" w:pos="851"/>
        </w:tabs>
        <w:ind w:left="851"/>
        <w:rPr>
          <w:sz w:val="24"/>
          <w:szCs w:val="24"/>
        </w:rPr>
      </w:pPr>
    </w:p>
    <w:p w14:paraId="4C6445F7" w14:textId="77777777" w:rsidR="001A6462" w:rsidRPr="001A6462" w:rsidRDefault="001A6462" w:rsidP="001A6462">
      <w:pPr>
        <w:tabs>
          <w:tab w:val="left" w:pos="851"/>
        </w:tabs>
        <w:ind w:left="851"/>
        <w:rPr>
          <w:sz w:val="24"/>
          <w:szCs w:val="24"/>
        </w:rPr>
      </w:pPr>
      <w:bookmarkStart w:id="9" w:name="_Hlk66891708"/>
      <w:r w:rsidRPr="001A646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9"/>
    <w:p w14:paraId="2DCD6BEF" w14:textId="77777777" w:rsidR="008203A8" w:rsidRPr="00406EE7" w:rsidRDefault="008203A8" w:rsidP="008203A8">
      <w:pPr>
        <w:tabs>
          <w:tab w:val="left" w:pos="851"/>
        </w:tabs>
        <w:ind w:left="851"/>
        <w:rPr>
          <w:sz w:val="24"/>
          <w:szCs w:val="24"/>
        </w:rPr>
      </w:pPr>
    </w:p>
    <w:p w14:paraId="3CB26FE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36874EA" w14:textId="77777777" w:rsidR="00A15B83" w:rsidRDefault="00A15B83" w:rsidP="00A15B83">
      <w:pPr>
        <w:tabs>
          <w:tab w:val="left" w:pos="851"/>
        </w:tabs>
        <w:ind w:left="851"/>
        <w:rPr>
          <w:sz w:val="24"/>
          <w:szCs w:val="24"/>
          <w:u w:val="single"/>
        </w:rPr>
      </w:pPr>
      <w:bookmarkStart w:id="10" w:name="_Hlk175754455"/>
    </w:p>
    <w:p w14:paraId="1EBD419A" w14:textId="5959DB85" w:rsidR="00A15B83" w:rsidRPr="00A15B83" w:rsidRDefault="00A15B83" w:rsidP="00A15B83">
      <w:pPr>
        <w:tabs>
          <w:tab w:val="left" w:pos="851"/>
        </w:tabs>
        <w:ind w:left="851"/>
        <w:rPr>
          <w:sz w:val="24"/>
          <w:szCs w:val="24"/>
        </w:rPr>
      </w:pPr>
      <w:r w:rsidRPr="00A15B83">
        <w:rPr>
          <w:sz w:val="24"/>
          <w:szCs w:val="24"/>
          <w:u w:val="single"/>
        </w:rPr>
        <w:t>Drægtighed og laktation</w:t>
      </w:r>
    </w:p>
    <w:p w14:paraId="5D8A7594" w14:textId="77777777" w:rsidR="00A15B83" w:rsidRPr="00A15B83" w:rsidRDefault="00A15B83" w:rsidP="00A15B83">
      <w:pPr>
        <w:tabs>
          <w:tab w:val="left" w:pos="851"/>
        </w:tabs>
        <w:ind w:left="851"/>
        <w:rPr>
          <w:sz w:val="24"/>
          <w:szCs w:val="24"/>
        </w:rPr>
      </w:pPr>
      <w:r w:rsidRPr="00A15B83">
        <w:rPr>
          <w:sz w:val="24"/>
          <w:szCs w:val="24"/>
        </w:rPr>
        <w:t>Kan anvendes under drægtighed.</w:t>
      </w:r>
    </w:p>
    <w:p w14:paraId="23CD974B" w14:textId="77777777" w:rsidR="00A15B83" w:rsidRPr="00A15B83" w:rsidRDefault="00A15B83" w:rsidP="00A15B83">
      <w:pPr>
        <w:tabs>
          <w:tab w:val="left" w:pos="851"/>
        </w:tabs>
        <w:ind w:left="851"/>
        <w:rPr>
          <w:sz w:val="24"/>
          <w:szCs w:val="24"/>
        </w:rPr>
      </w:pPr>
      <w:r w:rsidRPr="00A15B83">
        <w:rPr>
          <w:sz w:val="24"/>
          <w:szCs w:val="24"/>
        </w:rPr>
        <w:t>Veterinærlægemidlets sikkerhed under laktation er ikke fastlagt.</w:t>
      </w:r>
      <w:bookmarkEnd w:id="10"/>
    </w:p>
    <w:p w14:paraId="26DCDAF7" w14:textId="77777777" w:rsidR="008203A8" w:rsidRPr="00406EE7" w:rsidRDefault="008203A8" w:rsidP="008203A8">
      <w:pPr>
        <w:tabs>
          <w:tab w:val="left" w:pos="851"/>
        </w:tabs>
        <w:ind w:left="851"/>
        <w:rPr>
          <w:sz w:val="24"/>
          <w:szCs w:val="24"/>
        </w:rPr>
      </w:pPr>
    </w:p>
    <w:p w14:paraId="01C8F62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AA05E8E" w14:textId="77777777" w:rsidR="00A15B83" w:rsidRPr="00A15B83" w:rsidRDefault="00A15B83" w:rsidP="00A15B83">
      <w:pPr>
        <w:tabs>
          <w:tab w:val="left" w:pos="851"/>
        </w:tabs>
        <w:ind w:left="851"/>
        <w:rPr>
          <w:sz w:val="24"/>
          <w:szCs w:val="24"/>
        </w:rPr>
      </w:pPr>
      <w:r w:rsidRPr="00A15B83">
        <w:rPr>
          <w:sz w:val="24"/>
          <w:szCs w:val="24"/>
        </w:rPr>
        <w:t>Der foreligger ingen oplysninger om sikkerhed og virkning ved brug af vaccinen sammen med andre veterinærlægemidler. En beslutning om at anvende vaccinen før eller efter brug af et andet veterinærlægemiddel skal derfor tages med udgangspunkt i det enkelte tilfælde.</w:t>
      </w:r>
    </w:p>
    <w:p w14:paraId="05584DCD" w14:textId="77777777" w:rsidR="00A15B83" w:rsidRPr="00A15B83" w:rsidRDefault="00A15B83" w:rsidP="00A15B83">
      <w:pPr>
        <w:tabs>
          <w:tab w:val="left" w:pos="851"/>
        </w:tabs>
        <w:ind w:left="851"/>
        <w:rPr>
          <w:sz w:val="24"/>
          <w:szCs w:val="24"/>
        </w:rPr>
      </w:pPr>
    </w:p>
    <w:p w14:paraId="428C7BB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2A4AA914" w14:textId="77777777" w:rsidR="00A15B83" w:rsidRPr="00A15B83" w:rsidRDefault="00A15B83" w:rsidP="00A15B83">
      <w:pPr>
        <w:tabs>
          <w:tab w:val="left" w:pos="851"/>
        </w:tabs>
        <w:ind w:left="851"/>
        <w:rPr>
          <w:sz w:val="24"/>
          <w:szCs w:val="24"/>
        </w:rPr>
      </w:pPr>
    </w:p>
    <w:p w14:paraId="0D4520D0" w14:textId="77777777" w:rsidR="00A15B83" w:rsidRPr="00A15B83" w:rsidRDefault="00A15B83" w:rsidP="00A15B83">
      <w:pPr>
        <w:tabs>
          <w:tab w:val="left" w:pos="851"/>
        </w:tabs>
        <w:ind w:left="851"/>
        <w:rPr>
          <w:sz w:val="24"/>
          <w:szCs w:val="24"/>
        </w:rPr>
      </w:pPr>
      <w:r w:rsidRPr="00A15B83">
        <w:rPr>
          <w:sz w:val="24"/>
          <w:szCs w:val="24"/>
          <w:u w:val="single"/>
        </w:rPr>
        <w:t>Vaccinedosis</w:t>
      </w:r>
      <w:r w:rsidRPr="00A15B83">
        <w:rPr>
          <w:sz w:val="24"/>
          <w:szCs w:val="24"/>
        </w:rPr>
        <w:t xml:space="preserve"> - 1 ml. </w:t>
      </w:r>
    </w:p>
    <w:p w14:paraId="3008760C" w14:textId="77777777" w:rsidR="00A15B83" w:rsidRPr="00A15B83" w:rsidRDefault="00A15B83" w:rsidP="00A15B83">
      <w:pPr>
        <w:tabs>
          <w:tab w:val="left" w:pos="851"/>
        </w:tabs>
        <w:ind w:left="851"/>
        <w:rPr>
          <w:sz w:val="24"/>
          <w:szCs w:val="24"/>
        </w:rPr>
      </w:pPr>
      <w:r w:rsidRPr="00A15B83">
        <w:rPr>
          <w:sz w:val="24"/>
          <w:szCs w:val="24"/>
        </w:rPr>
        <w:t>Vaccinen administreres via dyb intramuskulær injektion ved brug af aseptisk metode.</w:t>
      </w:r>
    </w:p>
    <w:p w14:paraId="4FA583D3" w14:textId="77777777" w:rsidR="00A15B83" w:rsidRPr="00A15B83" w:rsidRDefault="00A15B83" w:rsidP="00A15B83">
      <w:pPr>
        <w:tabs>
          <w:tab w:val="left" w:pos="851"/>
        </w:tabs>
        <w:ind w:left="851"/>
        <w:rPr>
          <w:sz w:val="24"/>
          <w:szCs w:val="24"/>
        </w:rPr>
      </w:pPr>
      <w:r w:rsidRPr="00A15B83">
        <w:rPr>
          <w:sz w:val="24"/>
          <w:szCs w:val="24"/>
        </w:rPr>
        <w:t>Indholdet i hætteglasset skal opnå en temperatur på 15-25 °C og omrystes grundigt før brug.</w:t>
      </w:r>
    </w:p>
    <w:p w14:paraId="1BBF0AD9" w14:textId="77777777" w:rsidR="00A15B83" w:rsidRPr="00A15B83" w:rsidRDefault="00A15B83" w:rsidP="00A15B83">
      <w:pPr>
        <w:tabs>
          <w:tab w:val="left" w:pos="851"/>
        </w:tabs>
        <w:ind w:left="851"/>
        <w:rPr>
          <w:sz w:val="24"/>
          <w:szCs w:val="24"/>
        </w:rPr>
      </w:pPr>
    </w:p>
    <w:p w14:paraId="0B0FEE78" w14:textId="0CB9680A" w:rsidR="00A15B83" w:rsidRPr="00A15B83" w:rsidRDefault="00A15B83" w:rsidP="00A15B83">
      <w:pPr>
        <w:tabs>
          <w:tab w:val="left" w:pos="851"/>
        </w:tabs>
        <w:ind w:left="851"/>
        <w:rPr>
          <w:sz w:val="24"/>
          <w:szCs w:val="24"/>
          <w:u w:val="single"/>
        </w:rPr>
      </w:pPr>
      <w:r w:rsidRPr="00A15B83">
        <w:rPr>
          <w:sz w:val="24"/>
          <w:szCs w:val="24"/>
          <w:u w:val="single"/>
        </w:rPr>
        <w:t>Vaccinationsplan</w:t>
      </w:r>
    </w:p>
    <w:p w14:paraId="04C9B475" w14:textId="77777777" w:rsidR="00A15B83" w:rsidRDefault="00A15B83" w:rsidP="00A15B83">
      <w:pPr>
        <w:tabs>
          <w:tab w:val="left" w:pos="851"/>
        </w:tabs>
        <w:ind w:left="851"/>
        <w:rPr>
          <w:i/>
          <w:sz w:val="24"/>
          <w:szCs w:val="24"/>
        </w:rPr>
      </w:pPr>
    </w:p>
    <w:p w14:paraId="7D3C1794" w14:textId="491C962A" w:rsidR="00A15B83" w:rsidRPr="00A15B83" w:rsidRDefault="00A15B83" w:rsidP="00A15B83">
      <w:pPr>
        <w:tabs>
          <w:tab w:val="left" w:pos="851"/>
        </w:tabs>
        <w:ind w:left="851"/>
        <w:rPr>
          <w:sz w:val="24"/>
          <w:szCs w:val="24"/>
        </w:rPr>
      </w:pPr>
      <w:r w:rsidRPr="00A15B83">
        <w:rPr>
          <w:i/>
          <w:sz w:val="24"/>
          <w:szCs w:val="24"/>
        </w:rPr>
        <w:t>Basisvaccination</w:t>
      </w:r>
    </w:p>
    <w:p w14:paraId="05618C7E" w14:textId="77777777" w:rsidR="00A15B83" w:rsidRPr="00A15B83" w:rsidRDefault="00A15B83" w:rsidP="00A15B83">
      <w:pPr>
        <w:tabs>
          <w:tab w:val="left" w:pos="851"/>
        </w:tabs>
        <w:ind w:left="851"/>
        <w:rPr>
          <w:sz w:val="24"/>
          <w:szCs w:val="24"/>
        </w:rPr>
      </w:pPr>
      <w:r w:rsidRPr="00A15B83">
        <w:rPr>
          <w:sz w:val="24"/>
          <w:szCs w:val="24"/>
        </w:rPr>
        <w:t>Første vaccination fra 6-månedersalderen. Anden vaccination 4 uger senere.</w:t>
      </w:r>
    </w:p>
    <w:p w14:paraId="0A577DD7" w14:textId="77777777" w:rsidR="00A15B83" w:rsidRPr="00A15B83" w:rsidRDefault="00A15B83" w:rsidP="00A15B83">
      <w:pPr>
        <w:tabs>
          <w:tab w:val="left" w:pos="851"/>
        </w:tabs>
        <w:ind w:left="851"/>
        <w:rPr>
          <w:sz w:val="24"/>
          <w:szCs w:val="24"/>
          <w:u w:val="single"/>
        </w:rPr>
      </w:pPr>
    </w:p>
    <w:p w14:paraId="59836032" w14:textId="68B9A2CC" w:rsidR="00A15B83" w:rsidRPr="00A15B83" w:rsidRDefault="00A15B83" w:rsidP="00A15B83">
      <w:pPr>
        <w:tabs>
          <w:tab w:val="left" w:pos="851"/>
        </w:tabs>
        <w:ind w:left="851"/>
        <w:rPr>
          <w:i/>
          <w:iCs/>
          <w:sz w:val="24"/>
          <w:szCs w:val="24"/>
        </w:rPr>
      </w:pPr>
      <w:r w:rsidRPr="00A15B83">
        <w:rPr>
          <w:i/>
          <w:sz w:val="24"/>
          <w:szCs w:val="24"/>
        </w:rPr>
        <w:t>Revaccination</w:t>
      </w:r>
    </w:p>
    <w:p w14:paraId="200E35C2" w14:textId="77777777" w:rsidR="00A15B83" w:rsidRPr="00A15B83" w:rsidRDefault="00A15B83" w:rsidP="00A15B83">
      <w:pPr>
        <w:tabs>
          <w:tab w:val="left" w:pos="851"/>
        </w:tabs>
        <w:ind w:left="851"/>
        <w:rPr>
          <w:sz w:val="24"/>
          <w:szCs w:val="24"/>
        </w:rPr>
      </w:pPr>
      <w:r w:rsidRPr="00A15B83">
        <w:rPr>
          <w:sz w:val="24"/>
          <w:szCs w:val="24"/>
        </w:rPr>
        <w:t xml:space="preserve">Første revaccination 6 måneder efter basisvaccinationen og yderligere revaccination gennemføres med intervaller på højst 12 måneder. </w:t>
      </w:r>
    </w:p>
    <w:p w14:paraId="5C3113EA" w14:textId="77777777" w:rsidR="00A15B83" w:rsidRPr="00A15B83" w:rsidRDefault="00A15B83" w:rsidP="00A15B83">
      <w:pPr>
        <w:tabs>
          <w:tab w:val="left" w:pos="851"/>
        </w:tabs>
        <w:ind w:left="851"/>
        <w:rPr>
          <w:sz w:val="24"/>
          <w:szCs w:val="24"/>
        </w:rPr>
      </w:pPr>
      <w:r w:rsidRPr="00A15B83">
        <w:rPr>
          <w:sz w:val="24"/>
          <w:szCs w:val="24"/>
        </w:rPr>
        <w:t>Revaccination af drægtige hopper i sidste trimester gennemføres senest én måned inden den forventede folingsdato.</w:t>
      </w:r>
    </w:p>
    <w:p w14:paraId="3230FA52" w14:textId="77777777" w:rsidR="008203A8" w:rsidRPr="00406EE7" w:rsidRDefault="008203A8" w:rsidP="008203A8">
      <w:pPr>
        <w:tabs>
          <w:tab w:val="left" w:pos="851"/>
        </w:tabs>
        <w:ind w:left="851"/>
        <w:rPr>
          <w:sz w:val="24"/>
          <w:szCs w:val="24"/>
        </w:rPr>
      </w:pPr>
    </w:p>
    <w:p w14:paraId="1BFFE76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764FB7C2" w14:textId="77777777" w:rsidR="00A15B83" w:rsidRPr="00A15B83" w:rsidRDefault="00A15B83" w:rsidP="00A15B83">
      <w:pPr>
        <w:tabs>
          <w:tab w:val="left" w:pos="851"/>
        </w:tabs>
        <w:ind w:left="851"/>
        <w:rPr>
          <w:bCs/>
          <w:sz w:val="24"/>
          <w:szCs w:val="24"/>
        </w:rPr>
      </w:pPr>
      <w:r w:rsidRPr="00A15B83">
        <w:rPr>
          <w:sz w:val="24"/>
          <w:szCs w:val="24"/>
        </w:rPr>
        <w:t xml:space="preserve">Administration af vaccinen i en dosis, der var dobbelt så stor som den anbefalede dosis, medførte ingen bivirkninger. </w:t>
      </w:r>
    </w:p>
    <w:p w14:paraId="6B498B47" w14:textId="77777777" w:rsidR="00A15B83" w:rsidRPr="00A15B83" w:rsidRDefault="00A15B83" w:rsidP="00A15B83">
      <w:pPr>
        <w:tabs>
          <w:tab w:val="left" w:pos="851"/>
        </w:tabs>
        <w:ind w:left="851"/>
        <w:rPr>
          <w:bCs/>
          <w:sz w:val="24"/>
          <w:szCs w:val="24"/>
          <w:lang w:val="cs-CZ"/>
        </w:rPr>
      </w:pPr>
    </w:p>
    <w:p w14:paraId="67224938"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090D8FB8" w14:textId="77777777" w:rsidR="00A15B83" w:rsidRPr="00A15B83" w:rsidRDefault="00A15B83" w:rsidP="00A15B83">
      <w:pPr>
        <w:tabs>
          <w:tab w:val="left" w:pos="851"/>
        </w:tabs>
        <w:ind w:left="851"/>
        <w:rPr>
          <w:sz w:val="24"/>
          <w:szCs w:val="24"/>
        </w:rPr>
      </w:pPr>
      <w:r w:rsidRPr="00A15B83">
        <w:rPr>
          <w:sz w:val="24"/>
          <w:szCs w:val="24"/>
        </w:rPr>
        <w:t xml:space="preserve">Officiel batchfrigivelse kan være påkrævet for dette produkt i henhold til nationale krav. </w:t>
      </w:r>
    </w:p>
    <w:p w14:paraId="5A3CEED5" w14:textId="77777777" w:rsidR="008203A8" w:rsidRPr="00406EE7" w:rsidRDefault="008203A8" w:rsidP="008203A8">
      <w:pPr>
        <w:tabs>
          <w:tab w:val="left" w:pos="851"/>
        </w:tabs>
        <w:ind w:left="851"/>
        <w:rPr>
          <w:sz w:val="24"/>
          <w:szCs w:val="24"/>
        </w:rPr>
      </w:pPr>
    </w:p>
    <w:p w14:paraId="6EA3379E"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0699AB3A" w14:textId="7248093A" w:rsidR="008203A8" w:rsidRPr="00406EE7" w:rsidRDefault="00A15B83" w:rsidP="008203A8">
      <w:pPr>
        <w:tabs>
          <w:tab w:val="left" w:pos="851"/>
        </w:tabs>
        <w:ind w:left="851"/>
        <w:rPr>
          <w:sz w:val="24"/>
          <w:szCs w:val="24"/>
        </w:rPr>
      </w:pPr>
      <w:r>
        <w:rPr>
          <w:sz w:val="24"/>
          <w:szCs w:val="24"/>
        </w:rPr>
        <w:t>0 dage.</w:t>
      </w:r>
    </w:p>
    <w:p w14:paraId="504A893D" w14:textId="77777777" w:rsidR="008203A8" w:rsidRPr="00406EE7" w:rsidRDefault="008203A8" w:rsidP="008203A8">
      <w:pPr>
        <w:pStyle w:val="Sidehoved"/>
        <w:tabs>
          <w:tab w:val="clear" w:pos="4819"/>
        </w:tabs>
        <w:ind w:left="851"/>
        <w:rPr>
          <w:szCs w:val="24"/>
        </w:rPr>
      </w:pPr>
    </w:p>
    <w:p w14:paraId="567FD9B4" w14:textId="77777777" w:rsidR="008203A8" w:rsidRPr="00406EE7" w:rsidRDefault="008203A8" w:rsidP="008203A8">
      <w:pPr>
        <w:tabs>
          <w:tab w:val="left" w:pos="851"/>
        </w:tabs>
        <w:ind w:left="851"/>
        <w:rPr>
          <w:sz w:val="24"/>
          <w:szCs w:val="24"/>
        </w:rPr>
      </w:pPr>
    </w:p>
    <w:p w14:paraId="01CFA17D" w14:textId="236F8407" w:rsidR="008203A8" w:rsidRPr="00406EE7" w:rsidRDefault="008203A8" w:rsidP="008203A8">
      <w:pPr>
        <w:ind w:left="851" w:hanging="851"/>
        <w:rPr>
          <w:b/>
          <w:sz w:val="24"/>
          <w:szCs w:val="24"/>
        </w:rPr>
      </w:pPr>
      <w:r w:rsidRPr="00A15B83">
        <w:rPr>
          <w:b/>
          <w:sz w:val="24"/>
          <w:szCs w:val="24"/>
        </w:rPr>
        <w:t>4.</w:t>
      </w:r>
      <w:r w:rsidRPr="00A15B83">
        <w:rPr>
          <w:b/>
          <w:sz w:val="24"/>
          <w:szCs w:val="24"/>
        </w:rPr>
        <w:tab/>
        <w:t>IMMUNOLOGISKE OPLYSNINGER</w:t>
      </w:r>
    </w:p>
    <w:p w14:paraId="1572FCBF" w14:textId="77777777" w:rsidR="008203A8" w:rsidRDefault="008203A8" w:rsidP="008203A8">
      <w:pPr>
        <w:ind w:left="851"/>
        <w:rPr>
          <w:sz w:val="24"/>
          <w:szCs w:val="24"/>
        </w:rPr>
      </w:pPr>
    </w:p>
    <w:p w14:paraId="7756F80A"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t>ATCvet-kode</w:t>
      </w:r>
    </w:p>
    <w:p w14:paraId="51D402D3" w14:textId="2589184F" w:rsidR="00A15B83" w:rsidRPr="00A15B83" w:rsidRDefault="00A15B83" w:rsidP="00A15B83">
      <w:pPr>
        <w:ind w:left="851"/>
        <w:rPr>
          <w:sz w:val="24"/>
          <w:szCs w:val="24"/>
        </w:rPr>
      </w:pPr>
      <w:r w:rsidRPr="00A15B83">
        <w:rPr>
          <w:sz w:val="24"/>
          <w:szCs w:val="24"/>
        </w:rPr>
        <w:t>QI05A</w:t>
      </w:r>
      <w:r w:rsidR="00AB61ED">
        <w:rPr>
          <w:sz w:val="24"/>
          <w:szCs w:val="24"/>
        </w:rPr>
        <w:t>L</w:t>
      </w:r>
      <w:r w:rsidRPr="00A15B83">
        <w:rPr>
          <w:sz w:val="24"/>
          <w:szCs w:val="24"/>
        </w:rPr>
        <w:t xml:space="preserve">01 </w:t>
      </w:r>
    </w:p>
    <w:p w14:paraId="03532508" w14:textId="49B5A593" w:rsidR="008203A8" w:rsidRDefault="008203A8" w:rsidP="008203A8">
      <w:pPr>
        <w:ind w:left="851"/>
        <w:rPr>
          <w:sz w:val="24"/>
          <w:szCs w:val="24"/>
        </w:rPr>
      </w:pPr>
    </w:p>
    <w:p w14:paraId="1ED33DA8" w14:textId="77777777" w:rsidR="00AB61ED" w:rsidRPr="00AB61ED" w:rsidRDefault="00AB61ED" w:rsidP="00AB61ED">
      <w:pPr>
        <w:ind w:left="851"/>
        <w:rPr>
          <w:sz w:val="24"/>
          <w:szCs w:val="24"/>
        </w:rPr>
      </w:pPr>
      <w:r w:rsidRPr="00AB61ED">
        <w:rPr>
          <w:sz w:val="24"/>
          <w:szCs w:val="24"/>
        </w:rPr>
        <w:t xml:space="preserve">Til aktiv immunisering mod tetanus og hesteinfluenza, </w:t>
      </w:r>
      <w:bookmarkStart w:id="11" w:name="_Hlk191561784"/>
      <w:r w:rsidRPr="00AB61ED">
        <w:rPr>
          <w:sz w:val="24"/>
          <w:szCs w:val="24"/>
        </w:rPr>
        <w:t>clade 1 og clade 2, underslægt Florida</w:t>
      </w:r>
      <w:bookmarkEnd w:id="11"/>
      <w:r w:rsidRPr="00AB61ED">
        <w:rPr>
          <w:sz w:val="24"/>
          <w:szCs w:val="24"/>
        </w:rPr>
        <w:t>. Aktiv immunisering mod tetanus er påvist ved induktion af serologisk respons (antitoksiske antistoffer) hos heste.</w:t>
      </w:r>
    </w:p>
    <w:p w14:paraId="28F10EC1" w14:textId="77777777" w:rsidR="00AB61ED" w:rsidRPr="00AB61ED" w:rsidRDefault="00AB61ED" w:rsidP="00AB61ED">
      <w:pPr>
        <w:ind w:left="851"/>
        <w:rPr>
          <w:sz w:val="24"/>
          <w:szCs w:val="24"/>
        </w:rPr>
      </w:pPr>
      <w:r w:rsidRPr="00AB61ED">
        <w:rPr>
          <w:sz w:val="24"/>
          <w:szCs w:val="24"/>
        </w:rPr>
        <w:t>Ved brug af denne vaccine for første gang efter en anden vaccinationsplan, som ikke indeholdt stammerne fra den samme underslægt og clade af hesteinfluenza, anbefales det kraftigt at genstarte vaccinationsplanen for at opnå et tilstrækkeligt niveau af beskyttelse mod stammerne i denne vaccine.</w:t>
      </w:r>
    </w:p>
    <w:p w14:paraId="589DE25A" w14:textId="77777777" w:rsidR="00AB61ED" w:rsidRPr="00406EE7" w:rsidRDefault="00AB61ED" w:rsidP="008203A8">
      <w:pPr>
        <w:ind w:left="851"/>
        <w:rPr>
          <w:sz w:val="24"/>
          <w:szCs w:val="24"/>
        </w:rPr>
      </w:pPr>
    </w:p>
    <w:p w14:paraId="6728C15F" w14:textId="77777777" w:rsidR="008203A8" w:rsidRPr="00406EE7" w:rsidRDefault="008203A8" w:rsidP="008203A8">
      <w:pPr>
        <w:tabs>
          <w:tab w:val="left" w:pos="851"/>
        </w:tabs>
        <w:ind w:left="851"/>
        <w:rPr>
          <w:sz w:val="24"/>
          <w:szCs w:val="24"/>
        </w:rPr>
      </w:pPr>
    </w:p>
    <w:p w14:paraId="218F5A3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1385B240" w14:textId="77777777" w:rsidR="008203A8" w:rsidRPr="00406EE7" w:rsidRDefault="008203A8" w:rsidP="008203A8">
      <w:pPr>
        <w:tabs>
          <w:tab w:val="left" w:pos="851"/>
        </w:tabs>
        <w:ind w:left="851"/>
        <w:rPr>
          <w:sz w:val="24"/>
          <w:szCs w:val="24"/>
        </w:rPr>
      </w:pPr>
    </w:p>
    <w:p w14:paraId="0B13FDCC"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56974A2" w14:textId="77777777" w:rsidR="00557CF5" w:rsidRPr="00557CF5" w:rsidRDefault="00557CF5" w:rsidP="00557CF5">
      <w:pPr>
        <w:tabs>
          <w:tab w:val="left" w:pos="851"/>
        </w:tabs>
        <w:ind w:left="851"/>
        <w:rPr>
          <w:sz w:val="24"/>
          <w:szCs w:val="24"/>
        </w:rPr>
      </w:pPr>
      <w:r w:rsidRPr="00557CF5">
        <w:rPr>
          <w:sz w:val="24"/>
          <w:szCs w:val="24"/>
        </w:rPr>
        <w:t>Må ikke blandes med andre veterinærlægemidler.</w:t>
      </w:r>
    </w:p>
    <w:p w14:paraId="1C3B11B0" w14:textId="77777777" w:rsidR="008203A8" w:rsidRPr="00406EE7" w:rsidRDefault="008203A8" w:rsidP="008203A8">
      <w:pPr>
        <w:tabs>
          <w:tab w:val="left" w:pos="851"/>
        </w:tabs>
        <w:ind w:left="851"/>
        <w:rPr>
          <w:sz w:val="24"/>
          <w:szCs w:val="24"/>
        </w:rPr>
      </w:pPr>
    </w:p>
    <w:p w14:paraId="21223BC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55005C6" w14:textId="3E0DB9B7" w:rsidR="00557CF5" w:rsidRPr="00557CF5" w:rsidRDefault="00557CF5" w:rsidP="00557CF5">
      <w:pPr>
        <w:tabs>
          <w:tab w:val="left" w:pos="851"/>
        </w:tabs>
        <w:ind w:left="851"/>
        <w:rPr>
          <w:sz w:val="24"/>
          <w:szCs w:val="24"/>
        </w:rPr>
      </w:pPr>
      <w:r w:rsidRPr="00557CF5">
        <w:rPr>
          <w:sz w:val="24"/>
          <w:szCs w:val="24"/>
        </w:rPr>
        <w:t>Opbevaringstid for veterinærlægemidlet i salgspakning: 3</w:t>
      </w:r>
      <w:r w:rsidR="00A43EC0">
        <w:rPr>
          <w:sz w:val="24"/>
          <w:szCs w:val="24"/>
        </w:rPr>
        <w:t>3</w:t>
      </w:r>
      <w:r w:rsidRPr="00557CF5">
        <w:rPr>
          <w:sz w:val="24"/>
          <w:szCs w:val="24"/>
        </w:rPr>
        <w:t> måneder.</w:t>
      </w:r>
    </w:p>
    <w:p w14:paraId="39FA3C78" w14:textId="77777777" w:rsidR="00557CF5" w:rsidRPr="00557CF5" w:rsidRDefault="00557CF5" w:rsidP="00557CF5">
      <w:pPr>
        <w:tabs>
          <w:tab w:val="left" w:pos="851"/>
        </w:tabs>
        <w:ind w:left="851"/>
        <w:rPr>
          <w:sz w:val="24"/>
          <w:szCs w:val="24"/>
        </w:rPr>
      </w:pPr>
      <w:r w:rsidRPr="00557CF5">
        <w:rPr>
          <w:sz w:val="24"/>
          <w:szCs w:val="24"/>
        </w:rPr>
        <w:t>Opbevaringstid efter første åbning af den indre emballage: 10 timer.</w:t>
      </w:r>
    </w:p>
    <w:p w14:paraId="0F4FBCE2" w14:textId="77777777" w:rsidR="008203A8" w:rsidRPr="00406EE7" w:rsidRDefault="008203A8" w:rsidP="008203A8">
      <w:pPr>
        <w:tabs>
          <w:tab w:val="left" w:pos="851"/>
        </w:tabs>
        <w:ind w:left="851"/>
        <w:rPr>
          <w:sz w:val="24"/>
          <w:szCs w:val="24"/>
        </w:rPr>
      </w:pPr>
    </w:p>
    <w:p w14:paraId="010DE11A"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1ECF3260" w14:textId="2CB2E3EF" w:rsidR="00557CF5" w:rsidRPr="00557CF5" w:rsidRDefault="00557CF5" w:rsidP="00557CF5">
      <w:pPr>
        <w:tabs>
          <w:tab w:val="left" w:pos="851"/>
        </w:tabs>
        <w:ind w:left="851"/>
        <w:rPr>
          <w:sz w:val="24"/>
          <w:szCs w:val="24"/>
        </w:rPr>
      </w:pPr>
      <w:r w:rsidRPr="00557CF5">
        <w:rPr>
          <w:sz w:val="24"/>
          <w:szCs w:val="24"/>
        </w:rPr>
        <w:t>Opbevares i køleskab (2 </w:t>
      </w:r>
      <w:r w:rsidRPr="00557CF5">
        <w:rPr>
          <w:sz w:val="24"/>
          <w:szCs w:val="24"/>
        </w:rPr>
        <w:sym w:font="Symbol" w:char="F0B0"/>
      </w:r>
      <w:r w:rsidRPr="00557CF5">
        <w:rPr>
          <w:sz w:val="24"/>
          <w:szCs w:val="24"/>
        </w:rPr>
        <w:t>C</w:t>
      </w:r>
      <w:r>
        <w:rPr>
          <w:sz w:val="24"/>
          <w:szCs w:val="24"/>
        </w:rPr>
        <w:t>-</w:t>
      </w:r>
      <w:r w:rsidRPr="00557CF5">
        <w:rPr>
          <w:sz w:val="24"/>
          <w:szCs w:val="24"/>
        </w:rPr>
        <w:t>8 </w:t>
      </w:r>
      <w:r w:rsidRPr="00557CF5">
        <w:rPr>
          <w:sz w:val="24"/>
          <w:szCs w:val="24"/>
        </w:rPr>
        <w:sym w:font="Symbol" w:char="F0B0"/>
      </w:r>
      <w:r w:rsidRPr="00557CF5">
        <w:rPr>
          <w:sz w:val="24"/>
          <w:szCs w:val="24"/>
        </w:rPr>
        <w:t>C).</w:t>
      </w:r>
    </w:p>
    <w:p w14:paraId="0DCC43E0" w14:textId="77777777" w:rsidR="00557CF5" w:rsidRPr="00557CF5" w:rsidRDefault="00557CF5" w:rsidP="00557CF5">
      <w:pPr>
        <w:tabs>
          <w:tab w:val="left" w:pos="851"/>
        </w:tabs>
        <w:ind w:left="851"/>
        <w:rPr>
          <w:sz w:val="24"/>
          <w:szCs w:val="24"/>
        </w:rPr>
      </w:pPr>
      <w:r w:rsidRPr="00557CF5">
        <w:rPr>
          <w:sz w:val="24"/>
          <w:szCs w:val="24"/>
        </w:rPr>
        <w:t>Beskyttes mod frost.</w:t>
      </w:r>
    </w:p>
    <w:p w14:paraId="7054A849" w14:textId="77777777" w:rsidR="00557CF5" w:rsidRPr="00557CF5" w:rsidRDefault="00557CF5" w:rsidP="00557CF5">
      <w:pPr>
        <w:tabs>
          <w:tab w:val="left" w:pos="851"/>
        </w:tabs>
        <w:ind w:left="851"/>
        <w:rPr>
          <w:sz w:val="24"/>
          <w:szCs w:val="24"/>
        </w:rPr>
      </w:pPr>
      <w:r w:rsidRPr="00557CF5">
        <w:rPr>
          <w:sz w:val="24"/>
          <w:szCs w:val="24"/>
        </w:rPr>
        <w:t>Beskyttes mod lys.</w:t>
      </w:r>
    </w:p>
    <w:p w14:paraId="7AC8F665" w14:textId="77777777" w:rsidR="00557CF5" w:rsidRPr="00557CF5" w:rsidRDefault="00557CF5" w:rsidP="00557CF5">
      <w:pPr>
        <w:tabs>
          <w:tab w:val="left" w:pos="851"/>
        </w:tabs>
        <w:ind w:left="851"/>
        <w:rPr>
          <w:sz w:val="24"/>
          <w:szCs w:val="24"/>
        </w:rPr>
      </w:pPr>
      <w:r w:rsidRPr="00557CF5">
        <w:rPr>
          <w:sz w:val="24"/>
          <w:szCs w:val="24"/>
        </w:rPr>
        <w:t>Opbevares tørt.</w:t>
      </w:r>
    </w:p>
    <w:p w14:paraId="5AA73AF0" w14:textId="77777777" w:rsidR="008203A8" w:rsidRPr="00406EE7" w:rsidRDefault="008203A8" w:rsidP="008203A8">
      <w:pPr>
        <w:tabs>
          <w:tab w:val="left" w:pos="851"/>
        </w:tabs>
        <w:ind w:left="851"/>
        <w:rPr>
          <w:sz w:val="24"/>
          <w:szCs w:val="24"/>
        </w:rPr>
      </w:pPr>
    </w:p>
    <w:p w14:paraId="5C8CF48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4C9BEDE" w14:textId="50943B76" w:rsidR="00557CF5" w:rsidRPr="00557CF5" w:rsidRDefault="00557CF5" w:rsidP="00557CF5">
      <w:pPr>
        <w:tabs>
          <w:tab w:val="left" w:pos="851"/>
        </w:tabs>
        <w:ind w:left="851"/>
        <w:rPr>
          <w:sz w:val="24"/>
          <w:szCs w:val="24"/>
        </w:rPr>
      </w:pPr>
      <w:bookmarkStart w:id="12" w:name="_Hlk175754861"/>
      <w:r>
        <w:rPr>
          <w:sz w:val="24"/>
          <w:szCs w:val="24"/>
        </w:rPr>
        <w:t>I</w:t>
      </w:r>
      <w:r w:rsidRPr="00557CF5">
        <w:rPr>
          <w:sz w:val="24"/>
          <w:szCs w:val="24"/>
        </w:rPr>
        <w:t xml:space="preserve">njektionshætteglas af type I-glas, der er hermetisk forseglet med perforerbare gummipropper og forsynet med aluminiumslåg. </w:t>
      </w:r>
    </w:p>
    <w:bookmarkEnd w:id="12"/>
    <w:p w14:paraId="1AABF596" w14:textId="2A6BB95D" w:rsidR="00557CF5" w:rsidRPr="00557CF5" w:rsidRDefault="00557CF5" w:rsidP="00557CF5">
      <w:pPr>
        <w:tabs>
          <w:tab w:val="left" w:pos="851"/>
        </w:tabs>
        <w:ind w:left="851"/>
        <w:rPr>
          <w:sz w:val="24"/>
          <w:szCs w:val="24"/>
        </w:rPr>
      </w:pPr>
      <w:r w:rsidRPr="00557CF5">
        <w:rPr>
          <w:sz w:val="24"/>
          <w:szCs w:val="24"/>
        </w:rPr>
        <w:t>Hætteglasse</w:t>
      </w:r>
      <w:r>
        <w:rPr>
          <w:sz w:val="24"/>
          <w:szCs w:val="24"/>
        </w:rPr>
        <w:t>t</w:t>
      </w:r>
      <w:r w:rsidRPr="00557CF5">
        <w:rPr>
          <w:sz w:val="24"/>
          <w:szCs w:val="24"/>
        </w:rPr>
        <w:t xml:space="preserve"> med vaccinen er anbragt i kartonæske. I sampakninger er hætteglassene anbragt i en PVC-emballage.</w:t>
      </w:r>
    </w:p>
    <w:p w14:paraId="51F9320A" w14:textId="77777777" w:rsidR="00557CF5" w:rsidRPr="00557CF5" w:rsidRDefault="00557CF5" w:rsidP="00557CF5">
      <w:pPr>
        <w:tabs>
          <w:tab w:val="left" w:pos="851"/>
        </w:tabs>
        <w:ind w:left="851"/>
        <w:rPr>
          <w:sz w:val="24"/>
          <w:szCs w:val="24"/>
        </w:rPr>
      </w:pPr>
    </w:p>
    <w:p w14:paraId="60018C76" w14:textId="47F9732A" w:rsidR="00557CF5" w:rsidRPr="00557CF5" w:rsidRDefault="00557CF5" w:rsidP="00557CF5">
      <w:pPr>
        <w:tabs>
          <w:tab w:val="left" w:pos="851"/>
        </w:tabs>
        <w:ind w:left="851"/>
        <w:rPr>
          <w:sz w:val="24"/>
          <w:szCs w:val="24"/>
          <w:u w:val="single"/>
        </w:rPr>
      </w:pPr>
      <w:r w:rsidRPr="00557CF5">
        <w:rPr>
          <w:sz w:val="24"/>
          <w:szCs w:val="24"/>
          <w:u w:val="single"/>
        </w:rPr>
        <w:t>Pakningsstørrelser</w:t>
      </w:r>
    </w:p>
    <w:p w14:paraId="36767B1C" w14:textId="4090776A" w:rsidR="00557CF5" w:rsidRPr="00557CF5" w:rsidRDefault="00557CF5" w:rsidP="00557CF5">
      <w:pPr>
        <w:tabs>
          <w:tab w:val="left" w:pos="851"/>
        </w:tabs>
        <w:ind w:left="851"/>
        <w:rPr>
          <w:sz w:val="24"/>
          <w:szCs w:val="24"/>
        </w:rPr>
      </w:pPr>
      <w:r w:rsidRPr="00557CF5">
        <w:rPr>
          <w:sz w:val="24"/>
          <w:szCs w:val="24"/>
        </w:rPr>
        <w:t>2 hætteglas med 1 dosis</w:t>
      </w:r>
      <w:r>
        <w:rPr>
          <w:sz w:val="24"/>
          <w:szCs w:val="24"/>
        </w:rPr>
        <w:t>.</w:t>
      </w:r>
    </w:p>
    <w:p w14:paraId="7A5DBEC1" w14:textId="0141FA6C" w:rsidR="00557CF5" w:rsidRPr="00557CF5" w:rsidRDefault="00557CF5" w:rsidP="00557CF5">
      <w:pPr>
        <w:tabs>
          <w:tab w:val="left" w:pos="851"/>
        </w:tabs>
        <w:ind w:left="851"/>
        <w:rPr>
          <w:sz w:val="24"/>
          <w:szCs w:val="24"/>
        </w:rPr>
      </w:pPr>
      <w:r w:rsidRPr="00557CF5">
        <w:rPr>
          <w:sz w:val="24"/>
          <w:szCs w:val="24"/>
        </w:rPr>
        <w:lastRenderedPageBreak/>
        <w:t>5 hætteglas med 1 dosis</w:t>
      </w:r>
      <w:r>
        <w:rPr>
          <w:sz w:val="24"/>
          <w:szCs w:val="24"/>
        </w:rPr>
        <w:t>.</w:t>
      </w:r>
    </w:p>
    <w:p w14:paraId="796BED4B" w14:textId="5B30BDB3" w:rsidR="00557CF5" w:rsidRPr="00557CF5" w:rsidRDefault="00557CF5" w:rsidP="00557CF5">
      <w:pPr>
        <w:tabs>
          <w:tab w:val="left" w:pos="851"/>
        </w:tabs>
        <w:ind w:left="851"/>
        <w:rPr>
          <w:sz w:val="24"/>
          <w:szCs w:val="24"/>
          <w:lang w:val="sv-SE"/>
        </w:rPr>
      </w:pPr>
      <w:r w:rsidRPr="00557CF5">
        <w:rPr>
          <w:sz w:val="24"/>
          <w:szCs w:val="24"/>
          <w:lang w:val="sv-SE"/>
        </w:rPr>
        <w:t>10 hætteglas med 1 dosis</w:t>
      </w:r>
      <w:r>
        <w:rPr>
          <w:sz w:val="24"/>
          <w:szCs w:val="24"/>
          <w:lang w:val="sv-SE"/>
        </w:rPr>
        <w:t>.</w:t>
      </w:r>
    </w:p>
    <w:p w14:paraId="3C7B47C3" w14:textId="77487C1D" w:rsidR="00557CF5" w:rsidRPr="00557CF5" w:rsidRDefault="00557CF5" w:rsidP="00557CF5">
      <w:pPr>
        <w:tabs>
          <w:tab w:val="left" w:pos="851"/>
        </w:tabs>
        <w:ind w:left="851"/>
        <w:rPr>
          <w:sz w:val="24"/>
          <w:szCs w:val="24"/>
          <w:lang w:val="sv-SE"/>
        </w:rPr>
      </w:pPr>
      <w:r w:rsidRPr="00557CF5">
        <w:rPr>
          <w:sz w:val="24"/>
          <w:szCs w:val="24"/>
          <w:lang w:val="sv-SE"/>
        </w:rPr>
        <w:t>1 hætteglas med 5 doser</w:t>
      </w:r>
      <w:r>
        <w:rPr>
          <w:sz w:val="24"/>
          <w:szCs w:val="24"/>
          <w:lang w:val="sv-SE"/>
        </w:rPr>
        <w:t>.</w:t>
      </w:r>
    </w:p>
    <w:p w14:paraId="607CE4DF" w14:textId="32CE57DA" w:rsidR="00557CF5" w:rsidRPr="00557CF5" w:rsidRDefault="00557CF5" w:rsidP="00557CF5">
      <w:pPr>
        <w:tabs>
          <w:tab w:val="left" w:pos="851"/>
        </w:tabs>
        <w:ind w:left="851"/>
        <w:rPr>
          <w:sz w:val="24"/>
          <w:szCs w:val="24"/>
        </w:rPr>
      </w:pPr>
      <w:r w:rsidRPr="00557CF5">
        <w:rPr>
          <w:sz w:val="24"/>
          <w:szCs w:val="24"/>
        </w:rPr>
        <w:t>10 hætteglas med 5 doser</w:t>
      </w:r>
      <w:r>
        <w:rPr>
          <w:sz w:val="24"/>
          <w:szCs w:val="24"/>
        </w:rPr>
        <w:t>.</w:t>
      </w:r>
    </w:p>
    <w:p w14:paraId="32652178" w14:textId="77777777" w:rsidR="00557CF5" w:rsidRPr="00557CF5" w:rsidRDefault="00557CF5" w:rsidP="00557CF5">
      <w:pPr>
        <w:tabs>
          <w:tab w:val="left" w:pos="851"/>
        </w:tabs>
        <w:ind w:left="851"/>
        <w:rPr>
          <w:sz w:val="24"/>
          <w:szCs w:val="24"/>
        </w:rPr>
      </w:pPr>
    </w:p>
    <w:p w14:paraId="6CC1C5FE" w14:textId="77777777" w:rsidR="00557CF5" w:rsidRPr="00557CF5" w:rsidRDefault="00557CF5" w:rsidP="00557CF5">
      <w:pPr>
        <w:tabs>
          <w:tab w:val="left" w:pos="851"/>
        </w:tabs>
        <w:ind w:left="851"/>
        <w:rPr>
          <w:sz w:val="24"/>
          <w:szCs w:val="24"/>
        </w:rPr>
      </w:pPr>
      <w:r w:rsidRPr="00557CF5">
        <w:rPr>
          <w:sz w:val="24"/>
          <w:szCs w:val="24"/>
        </w:rPr>
        <w:t>Ikke alle pakningsstørrelser er nødvendigvis markedsført.</w:t>
      </w:r>
    </w:p>
    <w:p w14:paraId="60D59376" w14:textId="77777777" w:rsidR="00557CF5" w:rsidRPr="00557CF5" w:rsidRDefault="00557CF5" w:rsidP="00557CF5">
      <w:pPr>
        <w:tabs>
          <w:tab w:val="left" w:pos="851"/>
        </w:tabs>
        <w:ind w:left="851"/>
        <w:rPr>
          <w:sz w:val="24"/>
          <w:szCs w:val="24"/>
        </w:rPr>
      </w:pPr>
    </w:p>
    <w:p w14:paraId="224E7F08"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F96F581" w14:textId="77777777" w:rsidR="00557CF5" w:rsidRPr="00557CF5" w:rsidRDefault="00557CF5" w:rsidP="00557CF5">
      <w:pPr>
        <w:tabs>
          <w:tab w:val="left" w:pos="851"/>
        </w:tabs>
        <w:ind w:left="851"/>
        <w:rPr>
          <w:sz w:val="24"/>
          <w:szCs w:val="24"/>
        </w:rPr>
      </w:pPr>
      <w:r w:rsidRPr="00557CF5">
        <w:rPr>
          <w:sz w:val="24"/>
          <w:szCs w:val="24"/>
        </w:rPr>
        <w:t>Lægemidler må ikke bortskaffes sammen med spildevand eller husholdningsaffald.</w:t>
      </w:r>
    </w:p>
    <w:p w14:paraId="2D551029" w14:textId="77777777" w:rsidR="00557CF5" w:rsidRPr="00557CF5" w:rsidRDefault="00557CF5" w:rsidP="00557CF5">
      <w:pPr>
        <w:tabs>
          <w:tab w:val="left" w:pos="851"/>
        </w:tabs>
        <w:ind w:left="851"/>
        <w:rPr>
          <w:sz w:val="24"/>
          <w:szCs w:val="24"/>
        </w:rPr>
      </w:pPr>
    </w:p>
    <w:p w14:paraId="3359B482" w14:textId="77777777" w:rsidR="00557CF5" w:rsidRPr="00557CF5" w:rsidRDefault="00557CF5" w:rsidP="00557CF5">
      <w:pPr>
        <w:tabs>
          <w:tab w:val="left" w:pos="851"/>
        </w:tabs>
        <w:ind w:left="851"/>
        <w:rPr>
          <w:sz w:val="24"/>
          <w:szCs w:val="24"/>
        </w:rPr>
      </w:pPr>
      <w:r w:rsidRPr="00557CF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C4E4973" w14:textId="34FB49C3" w:rsidR="008203A8" w:rsidRDefault="008203A8" w:rsidP="008203A8">
      <w:pPr>
        <w:tabs>
          <w:tab w:val="left" w:pos="851"/>
        </w:tabs>
        <w:ind w:left="851"/>
        <w:rPr>
          <w:sz w:val="24"/>
          <w:szCs w:val="24"/>
        </w:rPr>
      </w:pPr>
    </w:p>
    <w:p w14:paraId="2E2C65DB" w14:textId="77777777" w:rsidR="00557CF5" w:rsidRPr="00070728" w:rsidRDefault="00557CF5" w:rsidP="008203A8">
      <w:pPr>
        <w:tabs>
          <w:tab w:val="left" w:pos="851"/>
        </w:tabs>
        <w:ind w:left="851"/>
        <w:rPr>
          <w:sz w:val="24"/>
          <w:szCs w:val="24"/>
        </w:rPr>
      </w:pPr>
    </w:p>
    <w:p w14:paraId="02648F9B"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D4A6A9E" w14:textId="77777777" w:rsidR="00557CF5" w:rsidRDefault="00557CF5" w:rsidP="00557CF5">
      <w:pPr>
        <w:ind w:left="851" w:right="-318"/>
        <w:jc w:val="both"/>
        <w:rPr>
          <w:sz w:val="22"/>
        </w:rPr>
      </w:pPr>
      <w:r>
        <w:t xml:space="preserve">Bioveta, a.s. </w:t>
      </w:r>
    </w:p>
    <w:p w14:paraId="4AE8FEE6" w14:textId="77777777" w:rsidR="00557CF5" w:rsidRDefault="00557CF5" w:rsidP="00557CF5">
      <w:pPr>
        <w:ind w:left="851" w:right="-318"/>
        <w:jc w:val="both"/>
      </w:pPr>
      <w:r>
        <w:t>Komenského 212/12</w:t>
      </w:r>
    </w:p>
    <w:p w14:paraId="67878CAD" w14:textId="77777777" w:rsidR="00557CF5" w:rsidRPr="00DB0E99" w:rsidRDefault="00557CF5" w:rsidP="00557CF5">
      <w:pPr>
        <w:ind w:left="851" w:right="-318"/>
        <w:jc w:val="both"/>
      </w:pPr>
      <w:r w:rsidRPr="00DB0E99">
        <w:t>683 23 Ivanovice na Hané</w:t>
      </w:r>
    </w:p>
    <w:p w14:paraId="562CC1DB" w14:textId="77777777" w:rsidR="00557CF5" w:rsidRPr="00DB0E99" w:rsidRDefault="00557CF5" w:rsidP="00557CF5">
      <w:pPr>
        <w:ind w:left="851" w:right="-318"/>
        <w:jc w:val="both"/>
      </w:pPr>
      <w:r w:rsidRPr="00DB0E99">
        <w:t>Tjekkiet</w:t>
      </w:r>
    </w:p>
    <w:p w14:paraId="018B65B2" w14:textId="77777777" w:rsidR="00DB0E99" w:rsidRPr="00DB0E99" w:rsidRDefault="00DB0E99" w:rsidP="00DB0E99">
      <w:pPr>
        <w:ind w:left="851" w:right="-318"/>
        <w:jc w:val="both"/>
      </w:pPr>
    </w:p>
    <w:p w14:paraId="5BC909DF" w14:textId="77777777" w:rsidR="00DB0E99" w:rsidRPr="00DB0E99" w:rsidRDefault="00DB0E99" w:rsidP="00DB0E99">
      <w:pPr>
        <w:ind w:left="851" w:right="-318"/>
        <w:jc w:val="both"/>
        <w:rPr>
          <w:b/>
          <w:bCs/>
        </w:rPr>
      </w:pPr>
      <w:r w:rsidRPr="00DB0E99">
        <w:rPr>
          <w:b/>
          <w:bCs/>
        </w:rPr>
        <w:t>Repræsentant</w:t>
      </w:r>
    </w:p>
    <w:p w14:paraId="4A8C904C" w14:textId="77777777" w:rsidR="00DB0E99" w:rsidRPr="00DB0E99" w:rsidRDefault="00DB0E99" w:rsidP="00DB0E99">
      <w:pPr>
        <w:ind w:left="851" w:right="-318"/>
        <w:jc w:val="both"/>
      </w:pPr>
      <w:r w:rsidRPr="00DB0E99">
        <w:t>Salfarm Danmark A/S</w:t>
      </w:r>
    </w:p>
    <w:p w14:paraId="0D888236" w14:textId="77777777" w:rsidR="00DB0E99" w:rsidRPr="00DB0E99" w:rsidRDefault="00DB0E99" w:rsidP="00DB0E99">
      <w:pPr>
        <w:ind w:left="851" w:right="-318"/>
        <w:jc w:val="both"/>
      </w:pPr>
      <w:r w:rsidRPr="00DB0E99">
        <w:t>Nordager 19</w:t>
      </w:r>
    </w:p>
    <w:p w14:paraId="48F819D9" w14:textId="77777777" w:rsidR="00DB0E99" w:rsidRPr="00DB0E99" w:rsidRDefault="00DB0E99" w:rsidP="00DB0E99">
      <w:pPr>
        <w:ind w:left="851" w:right="-318"/>
        <w:jc w:val="both"/>
      </w:pPr>
      <w:r w:rsidRPr="00DB0E99">
        <w:t>6000 Kolding</w:t>
      </w:r>
    </w:p>
    <w:p w14:paraId="5727B28A" w14:textId="5B4CB00A" w:rsidR="008203A8" w:rsidRPr="00406EE7" w:rsidRDefault="008203A8" w:rsidP="00DB0E99">
      <w:pPr>
        <w:pStyle w:val="Kommentartekst"/>
        <w:rPr>
          <w:sz w:val="24"/>
          <w:szCs w:val="24"/>
        </w:rPr>
      </w:pPr>
    </w:p>
    <w:p w14:paraId="28F93917"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C1002D7" w14:textId="7DF023AE" w:rsidR="008203A8" w:rsidRPr="00406EE7" w:rsidRDefault="00B312EA" w:rsidP="008203A8">
      <w:pPr>
        <w:tabs>
          <w:tab w:val="left" w:pos="851"/>
        </w:tabs>
        <w:ind w:left="851"/>
        <w:rPr>
          <w:sz w:val="24"/>
          <w:szCs w:val="24"/>
        </w:rPr>
      </w:pPr>
      <w:r>
        <w:rPr>
          <w:sz w:val="24"/>
          <w:szCs w:val="24"/>
        </w:rPr>
        <w:t>7280</w:t>
      </w:r>
      <w:r w:rsidR="00601356">
        <w:rPr>
          <w:sz w:val="24"/>
          <w:szCs w:val="24"/>
        </w:rPr>
        <w:t>9</w:t>
      </w:r>
    </w:p>
    <w:p w14:paraId="0D49E9FF" w14:textId="77777777" w:rsidR="008203A8" w:rsidRPr="00406EE7" w:rsidRDefault="008203A8" w:rsidP="008203A8">
      <w:pPr>
        <w:tabs>
          <w:tab w:val="left" w:pos="851"/>
        </w:tabs>
        <w:ind w:left="851"/>
        <w:rPr>
          <w:sz w:val="24"/>
          <w:szCs w:val="24"/>
        </w:rPr>
      </w:pPr>
    </w:p>
    <w:p w14:paraId="67A280B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0313609" w14:textId="35AB450C" w:rsidR="008203A8" w:rsidRPr="00406EE7" w:rsidRDefault="008474C4" w:rsidP="008203A8">
      <w:pPr>
        <w:tabs>
          <w:tab w:val="left" w:pos="851"/>
        </w:tabs>
        <w:ind w:left="851"/>
        <w:rPr>
          <w:sz w:val="24"/>
          <w:szCs w:val="24"/>
        </w:rPr>
      </w:pPr>
      <w:r>
        <w:rPr>
          <w:sz w:val="24"/>
          <w:szCs w:val="24"/>
        </w:rPr>
        <w:t>24. juni 2025</w:t>
      </w:r>
    </w:p>
    <w:p w14:paraId="5AF2E8A2" w14:textId="77777777" w:rsidR="008203A8" w:rsidRPr="00406EE7" w:rsidRDefault="008203A8" w:rsidP="008203A8">
      <w:pPr>
        <w:tabs>
          <w:tab w:val="left" w:pos="851"/>
        </w:tabs>
        <w:ind w:left="851"/>
        <w:rPr>
          <w:sz w:val="24"/>
          <w:szCs w:val="24"/>
        </w:rPr>
      </w:pPr>
    </w:p>
    <w:p w14:paraId="33D3883D"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551E4987" w14:textId="390F4AEA" w:rsidR="008203A8" w:rsidRPr="00406EE7" w:rsidRDefault="00B312EA" w:rsidP="008203A8">
      <w:pPr>
        <w:tabs>
          <w:tab w:val="left" w:pos="851"/>
        </w:tabs>
        <w:ind w:left="851"/>
        <w:rPr>
          <w:sz w:val="24"/>
          <w:szCs w:val="24"/>
        </w:rPr>
      </w:pPr>
      <w:r>
        <w:rPr>
          <w:sz w:val="24"/>
          <w:szCs w:val="24"/>
        </w:rPr>
        <w:t>-</w:t>
      </w:r>
    </w:p>
    <w:p w14:paraId="05F790D2" w14:textId="77777777" w:rsidR="008203A8" w:rsidRPr="00406EE7" w:rsidRDefault="008203A8" w:rsidP="008203A8">
      <w:pPr>
        <w:tabs>
          <w:tab w:val="left" w:pos="851"/>
        </w:tabs>
        <w:ind w:left="851"/>
        <w:rPr>
          <w:sz w:val="24"/>
          <w:szCs w:val="24"/>
        </w:rPr>
      </w:pPr>
    </w:p>
    <w:p w14:paraId="057B746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26FE47B" w14:textId="0AB204A0" w:rsidR="0003527F" w:rsidRDefault="00B312EA" w:rsidP="00601356">
      <w:pPr>
        <w:pStyle w:val="Sidehoved"/>
        <w:tabs>
          <w:tab w:val="clear" w:pos="4819"/>
          <w:tab w:val="left" w:pos="851"/>
        </w:tabs>
        <w:ind w:left="851"/>
        <w:rPr>
          <w:szCs w:val="24"/>
        </w:rPr>
      </w:pPr>
      <w:r>
        <w:rPr>
          <w:szCs w:val="24"/>
        </w:rPr>
        <w:t>BP</w:t>
      </w:r>
    </w:p>
    <w:p w14:paraId="6A68239F" w14:textId="382B7F20" w:rsidR="002B7686" w:rsidRDefault="002B7686" w:rsidP="00601356">
      <w:pPr>
        <w:pStyle w:val="Sidehoved"/>
        <w:tabs>
          <w:tab w:val="clear" w:pos="4819"/>
          <w:tab w:val="left" w:pos="851"/>
        </w:tabs>
        <w:ind w:left="851"/>
        <w:rPr>
          <w:szCs w:val="24"/>
        </w:rPr>
      </w:pPr>
    </w:p>
    <w:p w14:paraId="77B8CBD5" w14:textId="4FA16B3B" w:rsidR="002B7686" w:rsidRPr="00601356" w:rsidRDefault="002B7686" w:rsidP="008474C4">
      <w:pPr>
        <w:pStyle w:val="Sidehoved"/>
        <w:tabs>
          <w:tab w:val="left" w:pos="851"/>
        </w:tabs>
        <w:ind w:left="851"/>
        <w:rPr>
          <w:szCs w:val="24"/>
        </w:rPr>
      </w:pPr>
      <w:bookmarkStart w:id="13" w:name="_Hlk73467306"/>
      <w:r w:rsidRPr="002B7686">
        <w:rPr>
          <w:szCs w:val="24"/>
        </w:rPr>
        <w:t>Der findes detaljerede oplysninger om dette veterinærlægemiddel i EU-lægemiddeldatabasen (</w:t>
      </w:r>
      <w:hyperlink r:id="rId8" w:history="1">
        <w:r w:rsidRPr="002B7686">
          <w:rPr>
            <w:rStyle w:val="Hyperlink"/>
            <w:szCs w:val="24"/>
          </w:rPr>
          <w:t>https://medicines.health.europa.eu/veterinary</w:t>
        </w:r>
      </w:hyperlink>
      <w:r w:rsidRPr="002B7686">
        <w:rPr>
          <w:szCs w:val="24"/>
        </w:rPr>
        <w:t>).</w:t>
      </w:r>
      <w:bookmarkEnd w:id="13"/>
    </w:p>
    <w:sectPr w:rsidR="002B7686" w:rsidRPr="00601356"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5AAD" w14:textId="77777777" w:rsidR="00195DAE" w:rsidRDefault="00195DAE">
      <w:r>
        <w:separator/>
      </w:r>
    </w:p>
  </w:endnote>
  <w:endnote w:type="continuationSeparator" w:id="0">
    <w:p w14:paraId="3F6A3430" w14:textId="77777777" w:rsidR="00195DAE" w:rsidRDefault="0019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7D44" w14:textId="77777777" w:rsidR="004A62CC" w:rsidRDefault="004A62CC">
    <w:pPr>
      <w:pStyle w:val="Sidefod"/>
      <w:pBdr>
        <w:bottom w:val="single" w:sz="6" w:space="1" w:color="auto"/>
      </w:pBdr>
      <w:tabs>
        <w:tab w:val="clear" w:pos="4819"/>
        <w:tab w:val="left" w:pos="8647"/>
      </w:tabs>
      <w:rPr>
        <w:i/>
        <w:snapToGrid w:val="0"/>
        <w:sz w:val="18"/>
      </w:rPr>
    </w:pPr>
  </w:p>
  <w:p w14:paraId="46993DAB" w14:textId="77777777" w:rsidR="004A62CC" w:rsidRDefault="004A62CC">
    <w:pPr>
      <w:pStyle w:val="Sidefod"/>
      <w:tabs>
        <w:tab w:val="clear" w:pos="4819"/>
        <w:tab w:val="left" w:pos="8647"/>
      </w:tabs>
      <w:rPr>
        <w:i/>
        <w:snapToGrid w:val="0"/>
        <w:sz w:val="18"/>
      </w:rPr>
    </w:pPr>
  </w:p>
  <w:p w14:paraId="7FDFAA27" w14:textId="411A97A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5535">
      <w:rPr>
        <w:i/>
        <w:noProof/>
        <w:snapToGrid w:val="0"/>
        <w:sz w:val="18"/>
      </w:rPr>
      <w:t>BioEquin F,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6FDF" w14:textId="77777777" w:rsidR="004A62CC" w:rsidRDefault="004A62CC">
    <w:pPr>
      <w:pStyle w:val="Sidefod"/>
      <w:pBdr>
        <w:bottom w:val="single" w:sz="6" w:space="1" w:color="auto"/>
      </w:pBdr>
      <w:tabs>
        <w:tab w:val="clear" w:pos="4819"/>
        <w:tab w:val="left" w:pos="8647"/>
      </w:tabs>
      <w:rPr>
        <w:i/>
        <w:snapToGrid w:val="0"/>
        <w:sz w:val="18"/>
      </w:rPr>
    </w:pPr>
  </w:p>
  <w:p w14:paraId="540C996C" w14:textId="77777777" w:rsidR="004A62CC" w:rsidRDefault="004A62CC">
    <w:pPr>
      <w:pStyle w:val="Sidefod"/>
      <w:tabs>
        <w:tab w:val="clear" w:pos="4819"/>
        <w:tab w:val="left" w:pos="8647"/>
      </w:tabs>
      <w:rPr>
        <w:i/>
        <w:snapToGrid w:val="0"/>
        <w:sz w:val="18"/>
      </w:rPr>
    </w:pPr>
  </w:p>
  <w:p w14:paraId="0266B528" w14:textId="767723E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5535">
      <w:rPr>
        <w:i/>
        <w:noProof/>
        <w:snapToGrid w:val="0"/>
        <w:sz w:val="18"/>
      </w:rPr>
      <w:t>BioEquin F,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AE1F" w14:textId="77777777" w:rsidR="00195DAE" w:rsidRDefault="00195DAE">
      <w:r>
        <w:separator/>
      </w:r>
    </w:p>
  </w:footnote>
  <w:footnote w:type="continuationSeparator" w:id="0">
    <w:p w14:paraId="0CD271CD" w14:textId="77777777" w:rsidR="00195DAE" w:rsidRDefault="0019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35D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9FD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AE"/>
    <w:rsid w:val="000241E8"/>
    <w:rsid w:val="0003527F"/>
    <w:rsid w:val="0004390D"/>
    <w:rsid w:val="0005355A"/>
    <w:rsid w:val="00065C7D"/>
    <w:rsid w:val="00092AFF"/>
    <w:rsid w:val="000B102C"/>
    <w:rsid w:val="000C6CD4"/>
    <w:rsid w:val="00131D7A"/>
    <w:rsid w:val="001519AD"/>
    <w:rsid w:val="001577E4"/>
    <w:rsid w:val="001623D2"/>
    <w:rsid w:val="00162A88"/>
    <w:rsid w:val="00173F52"/>
    <w:rsid w:val="0018534D"/>
    <w:rsid w:val="001858CA"/>
    <w:rsid w:val="001869DB"/>
    <w:rsid w:val="001903E6"/>
    <w:rsid w:val="00195DAE"/>
    <w:rsid w:val="001A6462"/>
    <w:rsid w:val="001B1884"/>
    <w:rsid w:val="001C4AEF"/>
    <w:rsid w:val="001D3CC5"/>
    <w:rsid w:val="00202A14"/>
    <w:rsid w:val="00207C0E"/>
    <w:rsid w:val="002B7686"/>
    <w:rsid w:val="002C3E74"/>
    <w:rsid w:val="002E304C"/>
    <w:rsid w:val="002E7439"/>
    <w:rsid w:val="002F3591"/>
    <w:rsid w:val="00314337"/>
    <w:rsid w:val="00322BDE"/>
    <w:rsid w:val="00340679"/>
    <w:rsid w:val="00371CA6"/>
    <w:rsid w:val="003E4B6F"/>
    <w:rsid w:val="003F2BDA"/>
    <w:rsid w:val="00406EE7"/>
    <w:rsid w:val="00407013"/>
    <w:rsid w:val="00412537"/>
    <w:rsid w:val="00415D7C"/>
    <w:rsid w:val="00417225"/>
    <w:rsid w:val="00451FEF"/>
    <w:rsid w:val="004A62CC"/>
    <w:rsid w:val="004C733C"/>
    <w:rsid w:val="00514C36"/>
    <w:rsid w:val="00557CF5"/>
    <w:rsid w:val="00565A74"/>
    <w:rsid w:val="005B0036"/>
    <w:rsid w:val="005D1991"/>
    <w:rsid w:val="005D1DAA"/>
    <w:rsid w:val="005E336B"/>
    <w:rsid w:val="005F5831"/>
    <w:rsid w:val="00601356"/>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5B80"/>
    <w:rsid w:val="00750478"/>
    <w:rsid w:val="00751513"/>
    <w:rsid w:val="007564C7"/>
    <w:rsid w:val="00776C2C"/>
    <w:rsid w:val="00781329"/>
    <w:rsid w:val="007A684C"/>
    <w:rsid w:val="007C688A"/>
    <w:rsid w:val="007E2A00"/>
    <w:rsid w:val="008010F2"/>
    <w:rsid w:val="00805902"/>
    <w:rsid w:val="00813E75"/>
    <w:rsid w:val="0081533D"/>
    <w:rsid w:val="008203A8"/>
    <w:rsid w:val="008474C4"/>
    <w:rsid w:val="008509BB"/>
    <w:rsid w:val="00851D7F"/>
    <w:rsid w:val="008803C5"/>
    <w:rsid w:val="008E4866"/>
    <w:rsid w:val="009202AE"/>
    <w:rsid w:val="00942FB8"/>
    <w:rsid w:val="00960F5F"/>
    <w:rsid w:val="00967486"/>
    <w:rsid w:val="009D66C6"/>
    <w:rsid w:val="009E300C"/>
    <w:rsid w:val="009E5184"/>
    <w:rsid w:val="009F1F5E"/>
    <w:rsid w:val="00A15B83"/>
    <w:rsid w:val="00A31E52"/>
    <w:rsid w:val="00A3526D"/>
    <w:rsid w:val="00A43EC0"/>
    <w:rsid w:val="00A673AD"/>
    <w:rsid w:val="00A74A8A"/>
    <w:rsid w:val="00A85606"/>
    <w:rsid w:val="00A86C63"/>
    <w:rsid w:val="00A957A6"/>
    <w:rsid w:val="00A96525"/>
    <w:rsid w:val="00AA0D25"/>
    <w:rsid w:val="00AB61ED"/>
    <w:rsid w:val="00AC012D"/>
    <w:rsid w:val="00AD4D77"/>
    <w:rsid w:val="00AE29E5"/>
    <w:rsid w:val="00AE5757"/>
    <w:rsid w:val="00B25EB8"/>
    <w:rsid w:val="00B312EA"/>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B0E99"/>
    <w:rsid w:val="00DD6D71"/>
    <w:rsid w:val="00DF32BE"/>
    <w:rsid w:val="00E14F0A"/>
    <w:rsid w:val="00E321D6"/>
    <w:rsid w:val="00E323FB"/>
    <w:rsid w:val="00E51BD0"/>
    <w:rsid w:val="00E61E78"/>
    <w:rsid w:val="00E84DC6"/>
    <w:rsid w:val="00EB5778"/>
    <w:rsid w:val="00EE14EA"/>
    <w:rsid w:val="00EE5253"/>
    <w:rsid w:val="00EF3C59"/>
    <w:rsid w:val="00F36781"/>
    <w:rsid w:val="00F41E3A"/>
    <w:rsid w:val="00F60B72"/>
    <w:rsid w:val="00F75535"/>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36482"/>
  <w15:chartTrackingRefBased/>
  <w15:docId w15:val="{5769DE01-5913-499A-83FD-D426A9F6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styleId="Hyperlink">
    <w:name w:val="Hyperlink"/>
    <w:basedOn w:val="Standardskrifttypeiafsnit"/>
    <w:uiPriority w:val="99"/>
    <w:unhideWhenUsed/>
    <w:rsid w:val="002B7686"/>
    <w:rPr>
      <w:color w:val="0563C1" w:themeColor="hyperlink"/>
      <w:u w:val="single"/>
    </w:rPr>
  </w:style>
  <w:style w:type="character" w:styleId="Ulstomtale">
    <w:name w:val="Unresolved Mention"/>
    <w:basedOn w:val="Standardskrifttypeiafsnit"/>
    <w:uiPriority w:val="99"/>
    <w:semiHidden/>
    <w:unhideWhenUsed/>
    <w:rsid w:val="002B7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719">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2264436">
      <w:bodyDiv w:val="1"/>
      <w:marLeft w:val="0"/>
      <w:marRight w:val="0"/>
      <w:marTop w:val="0"/>
      <w:marBottom w:val="0"/>
      <w:divBdr>
        <w:top w:val="none" w:sz="0" w:space="0" w:color="auto"/>
        <w:left w:val="none" w:sz="0" w:space="0" w:color="auto"/>
        <w:bottom w:val="none" w:sz="0" w:space="0" w:color="auto"/>
        <w:right w:val="none" w:sz="0" w:space="0" w:color="auto"/>
      </w:divBdr>
    </w:div>
    <w:div w:id="81875691">
      <w:bodyDiv w:val="1"/>
      <w:marLeft w:val="0"/>
      <w:marRight w:val="0"/>
      <w:marTop w:val="0"/>
      <w:marBottom w:val="0"/>
      <w:divBdr>
        <w:top w:val="none" w:sz="0" w:space="0" w:color="auto"/>
        <w:left w:val="none" w:sz="0" w:space="0" w:color="auto"/>
        <w:bottom w:val="none" w:sz="0" w:space="0" w:color="auto"/>
        <w:right w:val="none" w:sz="0" w:space="0" w:color="auto"/>
      </w:divBdr>
    </w:div>
    <w:div w:id="15592462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7038751">
      <w:bodyDiv w:val="1"/>
      <w:marLeft w:val="0"/>
      <w:marRight w:val="0"/>
      <w:marTop w:val="0"/>
      <w:marBottom w:val="0"/>
      <w:divBdr>
        <w:top w:val="none" w:sz="0" w:space="0" w:color="auto"/>
        <w:left w:val="none" w:sz="0" w:space="0" w:color="auto"/>
        <w:bottom w:val="none" w:sz="0" w:space="0" w:color="auto"/>
        <w:right w:val="none" w:sz="0" w:space="0" w:color="auto"/>
      </w:divBdr>
      <w:divsChild>
        <w:div w:id="1215893318">
          <w:marLeft w:val="0"/>
          <w:marRight w:val="0"/>
          <w:marTop w:val="0"/>
          <w:marBottom w:val="0"/>
          <w:divBdr>
            <w:top w:val="none" w:sz="0" w:space="0" w:color="auto"/>
            <w:left w:val="none" w:sz="0" w:space="0" w:color="auto"/>
            <w:bottom w:val="none" w:sz="0" w:space="0" w:color="auto"/>
            <w:right w:val="none" w:sz="0" w:space="0" w:color="auto"/>
          </w:divBdr>
          <w:divsChild>
            <w:div w:id="762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1453">
      <w:bodyDiv w:val="1"/>
      <w:marLeft w:val="0"/>
      <w:marRight w:val="0"/>
      <w:marTop w:val="0"/>
      <w:marBottom w:val="0"/>
      <w:divBdr>
        <w:top w:val="none" w:sz="0" w:space="0" w:color="auto"/>
        <w:left w:val="none" w:sz="0" w:space="0" w:color="auto"/>
        <w:bottom w:val="none" w:sz="0" w:space="0" w:color="auto"/>
        <w:right w:val="none" w:sz="0" w:space="0" w:color="auto"/>
      </w:divBdr>
    </w:div>
    <w:div w:id="359549579">
      <w:bodyDiv w:val="1"/>
      <w:marLeft w:val="0"/>
      <w:marRight w:val="0"/>
      <w:marTop w:val="0"/>
      <w:marBottom w:val="0"/>
      <w:divBdr>
        <w:top w:val="none" w:sz="0" w:space="0" w:color="auto"/>
        <w:left w:val="none" w:sz="0" w:space="0" w:color="auto"/>
        <w:bottom w:val="none" w:sz="0" w:space="0" w:color="auto"/>
        <w:right w:val="none" w:sz="0" w:space="0" w:color="auto"/>
      </w:divBdr>
    </w:div>
    <w:div w:id="439229505">
      <w:bodyDiv w:val="1"/>
      <w:marLeft w:val="0"/>
      <w:marRight w:val="0"/>
      <w:marTop w:val="0"/>
      <w:marBottom w:val="0"/>
      <w:divBdr>
        <w:top w:val="none" w:sz="0" w:space="0" w:color="auto"/>
        <w:left w:val="none" w:sz="0" w:space="0" w:color="auto"/>
        <w:bottom w:val="none" w:sz="0" w:space="0" w:color="auto"/>
        <w:right w:val="none" w:sz="0" w:space="0" w:color="auto"/>
      </w:divBdr>
    </w:div>
    <w:div w:id="467671576">
      <w:bodyDiv w:val="1"/>
      <w:marLeft w:val="0"/>
      <w:marRight w:val="0"/>
      <w:marTop w:val="0"/>
      <w:marBottom w:val="0"/>
      <w:divBdr>
        <w:top w:val="none" w:sz="0" w:space="0" w:color="auto"/>
        <w:left w:val="none" w:sz="0" w:space="0" w:color="auto"/>
        <w:bottom w:val="none" w:sz="0" w:space="0" w:color="auto"/>
        <w:right w:val="none" w:sz="0" w:space="0" w:color="auto"/>
      </w:divBdr>
    </w:div>
    <w:div w:id="47861214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5242908">
      <w:bodyDiv w:val="1"/>
      <w:marLeft w:val="0"/>
      <w:marRight w:val="0"/>
      <w:marTop w:val="0"/>
      <w:marBottom w:val="0"/>
      <w:divBdr>
        <w:top w:val="none" w:sz="0" w:space="0" w:color="auto"/>
        <w:left w:val="none" w:sz="0" w:space="0" w:color="auto"/>
        <w:bottom w:val="none" w:sz="0" w:space="0" w:color="auto"/>
        <w:right w:val="none" w:sz="0" w:space="0" w:color="auto"/>
      </w:divBdr>
    </w:div>
    <w:div w:id="586185553">
      <w:bodyDiv w:val="1"/>
      <w:marLeft w:val="0"/>
      <w:marRight w:val="0"/>
      <w:marTop w:val="0"/>
      <w:marBottom w:val="0"/>
      <w:divBdr>
        <w:top w:val="none" w:sz="0" w:space="0" w:color="auto"/>
        <w:left w:val="none" w:sz="0" w:space="0" w:color="auto"/>
        <w:bottom w:val="none" w:sz="0" w:space="0" w:color="auto"/>
        <w:right w:val="none" w:sz="0" w:space="0" w:color="auto"/>
      </w:divBdr>
    </w:div>
    <w:div w:id="61448332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3364649">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6902300">
      <w:bodyDiv w:val="1"/>
      <w:marLeft w:val="0"/>
      <w:marRight w:val="0"/>
      <w:marTop w:val="0"/>
      <w:marBottom w:val="0"/>
      <w:divBdr>
        <w:top w:val="none" w:sz="0" w:space="0" w:color="auto"/>
        <w:left w:val="none" w:sz="0" w:space="0" w:color="auto"/>
        <w:bottom w:val="none" w:sz="0" w:space="0" w:color="auto"/>
        <w:right w:val="none" w:sz="0" w:space="0" w:color="auto"/>
      </w:divBdr>
    </w:div>
    <w:div w:id="766534328">
      <w:bodyDiv w:val="1"/>
      <w:marLeft w:val="0"/>
      <w:marRight w:val="0"/>
      <w:marTop w:val="0"/>
      <w:marBottom w:val="0"/>
      <w:divBdr>
        <w:top w:val="none" w:sz="0" w:space="0" w:color="auto"/>
        <w:left w:val="none" w:sz="0" w:space="0" w:color="auto"/>
        <w:bottom w:val="none" w:sz="0" w:space="0" w:color="auto"/>
        <w:right w:val="none" w:sz="0" w:space="0" w:color="auto"/>
      </w:divBdr>
    </w:div>
    <w:div w:id="84011814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1750364">
      <w:bodyDiv w:val="1"/>
      <w:marLeft w:val="0"/>
      <w:marRight w:val="0"/>
      <w:marTop w:val="0"/>
      <w:marBottom w:val="0"/>
      <w:divBdr>
        <w:top w:val="none" w:sz="0" w:space="0" w:color="auto"/>
        <w:left w:val="none" w:sz="0" w:space="0" w:color="auto"/>
        <w:bottom w:val="none" w:sz="0" w:space="0" w:color="auto"/>
        <w:right w:val="none" w:sz="0" w:space="0" w:color="auto"/>
      </w:divBdr>
      <w:divsChild>
        <w:div w:id="1403721824">
          <w:marLeft w:val="0"/>
          <w:marRight w:val="0"/>
          <w:marTop w:val="0"/>
          <w:marBottom w:val="0"/>
          <w:divBdr>
            <w:top w:val="none" w:sz="0" w:space="0" w:color="auto"/>
            <w:left w:val="none" w:sz="0" w:space="0" w:color="auto"/>
            <w:bottom w:val="none" w:sz="0" w:space="0" w:color="auto"/>
            <w:right w:val="none" w:sz="0" w:space="0" w:color="auto"/>
          </w:divBdr>
          <w:divsChild>
            <w:div w:id="6742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5987792">
      <w:bodyDiv w:val="1"/>
      <w:marLeft w:val="0"/>
      <w:marRight w:val="0"/>
      <w:marTop w:val="0"/>
      <w:marBottom w:val="0"/>
      <w:divBdr>
        <w:top w:val="none" w:sz="0" w:space="0" w:color="auto"/>
        <w:left w:val="none" w:sz="0" w:space="0" w:color="auto"/>
        <w:bottom w:val="none" w:sz="0" w:space="0" w:color="auto"/>
        <w:right w:val="none" w:sz="0" w:space="0" w:color="auto"/>
      </w:divBdr>
    </w:div>
    <w:div w:id="924919981">
      <w:bodyDiv w:val="1"/>
      <w:marLeft w:val="0"/>
      <w:marRight w:val="0"/>
      <w:marTop w:val="0"/>
      <w:marBottom w:val="0"/>
      <w:divBdr>
        <w:top w:val="none" w:sz="0" w:space="0" w:color="auto"/>
        <w:left w:val="none" w:sz="0" w:space="0" w:color="auto"/>
        <w:bottom w:val="none" w:sz="0" w:space="0" w:color="auto"/>
        <w:right w:val="none" w:sz="0" w:space="0" w:color="auto"/>
      </w:divBdr>
      <w:divsChild>
        <w:div w:id="1414355018">
          <w:marLeft w:val="0"/>
          <w:marRight w:val="0"/>
          <w:marTop w:val="0"/>
          <w:marBottom w:val="0"/>
          <w:divBdr>
            <w:top w:val="none" w:sz="0" w:space="0" w:color="auto"/>
            <w:left w:val="none" w:sz="0" w:space="0" w:color="auto"/>
            <w:bottom w:val="none" w:sz="0" w:space="0" w:color="auto"/>
            <w:right w:val="none" w:sz="0" w:space="0" w:color="auto"/>
          </w:divBdr>
          <w:divsChild>
            <w:div w:id="4172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2118">
      <w:bodyDiv w:val="1"/>
      <w:marLeft w:val="0"/>
      <w:marRight w:val="0"/>
      <w:marTop w:val="0"/>
      <w:marBottom w:val="0"/>
      <w:divBdr>
        <w:top w:val="none" w:sz="0" w:space="0" w:color="auto"/>
        <w:left w:val="none" w:sz="0" w:space="0" w:color="auto"/>
        <w:bottom w:val="none" w:sz="0" w:space="0" w:color="auto"/>
        <w:right w:val="none" w:sz="0" w:space="0" w:color="auto"/>
      </w:divBdr>
    </w:div>
    <w:div w:id="993601466">
      <w:bodyDiv w:val="1"/>
      <w:marLeft w:val="0"/>
      <w:marRight w:val="0"/>
      <w:marTop w:val="0"/>
      <w:marBottom w:val="0"/>
      <w:divBdr>
        <w:top w:val="none" w:sz="0" w:space="0" w:color="auto"/>
        <w:left w:val="none" w:sz="0" w:space="0" w:color="auto"/>
        <w:bottom w:val="none" w:sz="0" w:space="0" w:color="auto"/>
        <w:right w:val="none" w:sz="0" w:space="0" w:color="auto"/>
      </w:divBdr>
    </w:div>
    <w:div w:id="1110584037">
      <w:bodyDiv w:val="1"/>
      <w:marLeft w:val="0"/>
      <w:marRight w:val="0"/>
      <w:marTop w:val="0"/>
      <w:marBottom w:val="0"/>
      <w:divBdr>
        <w:top w:val="none" w:sz="0" w:space="0" w:color="auto"/>
        <w:left w:val="none" w:sz="0" w:space="0" w:color="auto"/>
        <w:bottom w:val="none" w:sz="0" w:space="0" w:color="auto"/>
        <w:right w:val="none" w:sz="0" w:space="0" w:color="auto"/>
      </w:divBdr>
    </w:div>
    <w:div w:id="115999732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0463827">
      <w:bodyDiv w:val="1"/>
      <w:marLeft w:val="0"/>
      <w:marRight w:val="0"/>
      <w:marTop w:val="0"/>
      <w:marBottom w:val="0"/>
      <w:divBdr>
        <w:top w:val="none" w:sz="0" w:space="0" w:color="auto"/>
        <w:left w:val="none" w:sz="0" w:space="0" w:color="auto"/>
        <w:bottom w:val="none" w:sz="0" w:space="0" w:color="auto"/>
        <w:right w:val="none" w:sz="0" w:space="0" w:color="auto"/>
      </w:divBdr>
    </w:div>
    <w:div w:id="1281915836">
      <w:bodyDiv w:val="1"/>
      <w:marLeft w:val="0"/>
      <w:marRight w:val="0"/>
      <w:marTop w:val="0"/>
      <w:marBottom w:val="0"/>
      <w:divBdr>
        <w:top w:val="none" w:sz="0" w:space="0" w:color="auto"/>
        <w:left w:val="none" w:sz="0" w:space="0" w:color="auto"/>
        <w:bottom w:val="none" w:sz="0" w:space="0" w:color="auto"/>
        <w:right w:val="none" w:sz="0" w:space="0" w:color="auto"/>
      </w:divBdr>
    </w:div>
    <w:div w:id="134238889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2578063">
      <w:bodyDiv w:val="1"/>
      <w:marLeft w:val="0"/>
      <w:marRight w:val="0"/>
      <w:marTop w:val="0"/>
      <w:marBottom w:val="0"/>
      <w:divBdr>
        <w:top w:val="none" w:sz="0" w:space="0" w:color="auto"/>
        <w:left w:val="none" w:sz="0" w:space="0" w:color="auto"/>
        <w:bottom w:val="none" w:sz="0" w:space="0" w:color="auto"/>
        <w:right w:val="none" w:sz="0" w:space="0" w:color="auto"/>
      </w:divBdr>
    </w:div>
    <w:div w:id="142503081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2079134">
      <w:bodyDiv w:val="1"/>
      <w:marLeft w:val="0"/>
      <w:marRight w:val="0"/>
      <w:marTop w:val="0"/>
      <w:marBottom w:val="0"/>
      <w:divBdr>
        <w:top w:val="none" w:sz="0" w:space="0" w:color="auto"/>
        <w:left w:val="none" w:sz="0" w:space="0" w:color="auto"/>
        <w:bottom w:val="none" w:sz="0" w:space="0" w:color="auto"/>
        <w:right w:val="none" w:sz="0" w:space="0" w:color="auto"/>
      </w:divBdr>
    </w:div>
    <w:div w:id="1600212058">
      <w:bodyDiv w:val="1"/>
      <w:marLeft w:val="0"/>
      <w:marRight w:val="0"/>
      <w:marTop w:val="0"/>
      <w:marBottom w:val="0"/>
      <w:divBdr>
        <w:top w:val="none" w:sz="0" w:space="0" w:color="auto"/>
        <w:left w:val="none" w:sz="0" w:space="0" w:color="auto"/>
        <w:bottom w:val="none" w:sz="0" w:space="0" w:color="auto"/>
        <w:right w:val="none" w:sz="0" w:space="0" w:color="auto"/>
      </w:divBdr>
    </w:div>
    <w:div w:id="1662537089">
      <w:bodyDiv w:val="1"/>
      <w:marLeft w:val="0"/>
      <w:marRight w:val="0"/>
      <w:marTop w:val="0"/>
      <w:marBottom w:val="0"/>
      <w:divBdr>
        <w:top w:val="none" w:sz="0" w:space="0" w:color="auto"/>
        <w:left w:val="none" w:sz="0" w:space="0" w:color="auto"/>
        <w:bottom w:val="none" w:sz="0" w:space="0" w:color="auto"/>
        <w:right w:val="none" w:sz="0" w:space="0" w:color="auto"/>
      </w:divBdr>
    </w:div>
    <w:div w:id="1711220787">
      <w:bodyDiv w:val="1"/>
      <w:marLeft w:val="0"/>
      <w:marRight w:val="0"/>
      <w:marTop w:val="0"/>
      <w:marBottom w:val="0"/>
      <w:divBdr>
        <w:top w:val="none" w:sz="0" w:space="0" w:color="auto"/>
        <w:left w:val="none" w:sz="0" w:space="0" w:color="auto"/>
        <w:bottom w:val="none" w:sz="0" w:space="0" w:color="auto"/>
        <w:right w:val="none" w:sz="0" w:space="0" w:color="auto"/>
      </w:divBdr>
    </w:div>
    <w:div w:id="1779134873">
      <w:bodyDiv w:val="1"/>
      <w:marLeft w:val="0"/>
      <w:marRight w:val="0"/>
      <w:marTop w:val="0"/>
      <w:marBottom w:val="0"/>
      <w:divBdr>
        <w:top w:val="none" w:sz="0" w:space="0" w:color="auto"/>
        <w:left w:val="none" w:sz="0" w:space="0" w:color="auto"/>
        <w:bottom w:val="none" w:sz="0" w:space="0" w:color="auto"/>
        <w:right w:val="none" w:sz="0" w:space="0" w:color="auto"/>
      </w:divBdr>
    </w:div>
    <w:div w:id="1973517726">
      <w:bodyDiv w:val="1"/>
      <w:marLeft w:val="0"/>
      <w:marRight w:val="0"/>
      <w:marTop w:val="0"/>
      <w:marBottom w:val="0"/>
      <w:divBdr>
        <w:top w:val="none" w:sz="0" w:space="0" w:color="auto"/>
        <w:left w:val="none" w:sz="0" w:space="0" w:color="auto"/>
        <w:bottom w:val="none" w:sz="0" w:space="0" w:color="auto"/>
        <w:right w:val="none" w:sz="0" w:space="0" w:color="auto"/>
      </w:divBdr>
    </w:div>
    <w:div w:id="2004429899">
      <w:bodyDiv w:val="1"/>
      <w:marLeft w:val="0"/>
      <w:marRight w:val="0"/>
      <w:marTop w:val="0"/>
      <w:marBottom w:val="0"/>
      <w:divBdr>
        <w:top w:val="none" w:sz="0" w:space="0" w:color="auto"/>
        <w:left w:val="none" w:sz="0" w:space="0" w:color="auto"/>
        <w:bottom w:val="none" w:sz="0" w:space="0" w:color="auto"/>
        <w:right w:val="none" w:sz="0" w:space="0" w:color="auto"/>
      </w:divBdr>
    </w:div>
    <w:div w:id="2006322450">
      <w:bodyDiv w:val="1"/>
      <w:marLeft w:val="0"/>
      <w:marRight w:val="0"/>
      <w:marTop w:val="0"/>
      <w:marBottom w:val="0"/>
      <w:divBdr>
        <w:top w:val="none" w:sz="0" w:space="0" w:color="auto"/>
        <w:left w:val="none" w:sz="0" w:space="0" w:color="auto"/>
        <w:bottom w:val="none" w:sz="0" w:space="0" w:color="auto"/>
        <w:right w:val="none" w:sz="0" w:space="0" w:color="auto"/>
      </w:divBdr>
    </w:div>
    <w:div w:id="2010786477">
      <w:bodyDiv w:val="1"/>
      <w:marLeft w:val="0"/>
      <w:marRight w:val="0"/>
      <w:marTop w:val="0"/>
      <w:marBottom w:val="0"/>
      <w:divBdr>
        <w:top w:val="none" w:sz="0" w:space="0" w:color="auto"/>
        <w:left w:val="none" w:sz="0" w:space="0" w:color="auto"/>
        <w:bottom w:val="none" w:sz="0" w:space="0" w:color="auto"/>
        <w:right w:val="none" w:sz="0" w:space="0" w:color="auto"/>
      </w:divBdr>
    </w:div>
    <w:div w:id="2072576664">
      <w:bodyDiv w:val="1"/>
      <w:marLeft w:val="0"/>
      <w:marRight w:val="0"/>
      <w:marTop w:val="0"/>
      <w:marBottom w:val="0"/>
      <w:divBdr>
        <w:top w:val="none" w:sz="0" w:space="0" w:color="auto"/>
        <w:left w:val="none" w:sz="0" w:space="0" w:color="auto"/>
        <w:bottom w:val="none" w:sz="0" w:space="0" w:color="auto"/>
        <w:right w:val="none" w:sz="0" w:space="0" w:color="auto"/>
      </w:divBdr>
    </w:div>
    <w:div w:id="21404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12</TotalTime>
  <Pages>5</Pages>
  <Words>969</Words>
  <Characters>6835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2024112323 mt</dc:description>
  <cp:lastModifiedBy>Hanne Thy Iversen</cp:lastModifiedBy>
  <cp:revision>8</cp:revision>
  <cp:lastPrinted>2022-05-18T14:03:00Z</cp:lastPrinted>
  <dcterms:created xsi:type="dcterms:W3CDTF">2025-06-18T09:11:00Z</dcterms:created>
  <dcterms:modified xsi:type="dcterms:W3CDTF">2025-06-24T12:46:00Z</dcterms:modified>
</cp:coreProperties>
</file>