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3B" w:rsidRPr="00BD17F7" w:rsidRDefault="00803F3B" w:rsidP="00803F3B">
      <w:pPr>
        <w:rPr>
          <w:sz w:val="24"/>
          <w:szCs w:val="24"/>
        </w:rPr>
      </w:pPr>
      <w:r w:rsidRPr="00BD17F7">
        <w:rPr>
          <w:noProof/>
          <w:sz w:val="24"/>
          <w:szCs w:val="24"/>
          <w:lang w:eastAsia="da-DK"/>
        </w:rPr>
        <w:drawing>
          <wp:inline distT="0" distB="0" distL="0" distR="0" wp14:anchorId="4845B642" wp14:editId="356DDBD1">
            <wp:extent cx="2430780" cy="685800"/>
            <wp:effectExtent l="0" t="0" r="7620" b="0"/>
            <wp:docPr id="3" name="Billede 3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3B" w:rsidRPr="00BD17F7" w:rsidRDefault="00803F3B" w:rsidP="00803F3B">
      <w:pPr>
        <w:tabs>
          <w:tab w:val="left" w:pos="6804"/>
        </w:tabs>
        <w:rPr>
          <w:b/>
          <w:sz w:val="24"/>
          <w:szCs w:val="24"/>
        </w:rPr>
      </w:pPr>
    </w:p>
    <w:p w:rsidR="00803F3B" w:rsidRPr="00BD17F7" w:rsidRDefault="000E6C44" w:rsidP="000E6C44">
      <w:pPr>
        <w:tabs>
          <w:tab w:val="left" w:pos="6804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4D78">
        <w:rPr>
          <w:b/>
          <w:sz w:val="24"/>
          <w:szCs w:val="24"/>
        </w:rPr>
        <w:t>3. december</w:t>
      </w:r>
      <w:r w:rsidR="00803F3B">
        <w:rPr>
          <w:b/>
          <w:sz w:val="24"/>
          <w:szCs w:val="24"/>
        </w:rPr>
        <w:t xml:space="preserve"> 20</w:t>
      </w:r>
      <w:r w:rsidR="00424832">
        <w:rPr>
          <w:b/>
          <w:sz w:val="24"/>
          <w:szCs w:val="24"/>
        </w:rPr>
        <w:t>21</w:t>
      </w:r>
    </w:p>
    <w:p w:rsidR="00803F3B" w:rsidRPr="00BD17F7" w:rsidRDefault="00803F3B" w:rsidP="00803F3B">
      <w:pPr>
        <w:tabs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jc w:val="center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PRODUKTRESUMÉ</w:t>
      </w:r>
    </w:p>
    <w:p w:rsidR="00803F3B" w:rsidRPr="00BD17F7" w:rsidRDefault="00803F3B" w:rsidP="00803F3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jc w:val="center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for</w:t>
      </w:r>
    </w:p>
    <w:p w:rsidR="00803F3B" w:rsidRPr="00BD17F7" w:rsidRDefault="00803F3B" w:rsidP="00803F3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BD17F7">
        <w:rPr>
          <w:b/>
          <w:sz w:val="24"/>
          <w:szCs w:val="24"/>
        </w:rPr>
        <w:t>Bupredine</w:t>
      </w:r>
      <w:proofErr w:type="spellEnd"/>
      <w:r w:rsidRPr="00BD17F7">
        <w:rPr>
          <w:b/>
          <w:sz w:val="24"/>
          <w:szCs w:val="24"/>
        </w:rPr>
        <w:t xml:space="preserve"> </w:t>
      </w:r>
      <w:proofErr w:type="spellStart"/>
      <w:r w:rsidRPr="00BD17F7">
        <w:rPr>
          <w:b/>
          <w:sz w:val="24"/>
          <w:szCs w:val="24"/>
        </w:rPr>
        <w:t>Vet</w:t>
      </w:r>
      <w:proofErr w:type="spellEnd"/>
      <w:r w:rsidRPr="00BD17F7">
        <w:rPr>
          <w:b/>
          <w:sz w:val="24"/>
          <w:szCs w:val="24"/>
        </w:rPr>
        <w:t>., injektionsvæske, opløsning</w:t>
      </w:r>
    </w:p>
    <w:p w:rsidR="00803F3B" w:rsidRPr="00BD17F7" w:rsidRDefault="00803F3B" w:rsidP="00803F3B">
      <w:pPr>
        <w:tabs>
          <w:tab w:val="left" w:pos="8222"/>
        </w:tabs>
        <w:jc w:val="both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jc w:val="both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0.</w:t>
      </w:r>
      <w:r w:rsidRPr="00BD17F7">
        <w:rPr>
          <w:b/>
          <w:sz w:val="24"/>
          <w:szCs w:val="24"/>
        </w:rPr>
        <w:tab/>
        <w:t>D.SP.NR.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  <w:r w:rsidRPr="00BD17F7">
        <w:rPr>
          <w:sz w:val="24"/>
          <w:szCs w:val="24"/>
        </w:rPr>
        <w:t>29497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1.</w:t>
      </w:r>
      <w:r w:rsidRPr="00BD17F7">
        <w:rPr>
          <w:b/>
          <w:sz w:val="24"/>
          <w:szCs w:val="24"/>
        </w:rPr>
        <w:tab/>
        <w:t>VETERINÆRLÆGEMIDLETS NAVN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Bupredine</w:t>
      </w:r>
      <w:proofErr w:type="spellEnd"/>
      <w:r w:rsidRPr="00BD17F7">
        <w:rPr>
          <w:sz w:val="24"/>
          <w:szCs w:val="24"/>
        </w:rPr>
        <w:t xml:space="preserve"> </w:t>
      </w:r>
      <w:proofErr w:type="spellStart"/>
      <w:r w:rsidRPr="00BD17F7">
        <w:rPr>
          <w:sz w:val="24"/>
          <w:szCs w:val="24"/>
        </w:rPr>
        <w:t>Vet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2.</w:t>
      </w:r>
      <w:r w:rsidRPr="00BD17F7">
        <w:rPr>
          <w:b/>
          <w:sz w:val="24"/>
          <w:szCs w:val="24"/>
        </w:rPr>
        <w:tab/>
        <w:t>KVALITATIV OG KVANTITATIV SAMMENSÆTNING</w:t>
      </w:r>
    </w:p>
    <w:p w:rsidR="00803F3B" w:rsidRPr="003F4BD4" w:rsidRDefault="00803F3B" w:rsidP="00803F3B">
      <w:pPr>
        <w:keepNext/>
        <w:tabs>
          <w:tab w:val="left" w:pos="851"/>
        </w:tabs>
        <w:ind w:left="851"/>
        <w:outlineLvl w:val="3"/>
        <w:rPr>
          <w:sz w:val="24"/>
          <w:szCs w:val="24"/>
          <w:lang w:eastAsia="da-DK"/>
        </w:rPr>
      </w:pPr>
      <w:r w:rsidRPr="003F4BD4">
        <w:rPr>
          <w:sz w:val="24"/>
          <w:szCs w:val="24"/>
          <w:lang w:eastAsia="da-DK"/>
        </w:rPr>
        <w:t>1 ml indeholder:</w:t>
      </w:r>
    </w:p>
    <w:p w:rsidR="00803F3B" w:rsidRPr="003F4BD4" w:rsidRDefault="00803F3B" w:rsidP="00803F3B">
      <w:pPr>
        <w:keepNext/>
        <w:tabs>
          <w:tab w:val="left" w:pos="851"/>
        </w:tabs>
        <w:ind w:left="851"/>
        <w:outlineLvl w:val="4"/>
        <w:rPr>
          <w:b/>
          <w:noProof/>
          <w:sz w:val="24"/>
          <w:szCs w:val="24"/>
          <w:lang w:eastAsia="da-DK"/>
        </w:rPr>
      </w:pPr>
    </w:p>
    <w:p w:rsidR="00074D78" w:rsidRDefault="00074D78" w:rsidP="00074D78">
      <w:pPr>
        <w:keepNext/>
        <w:tabs>
          <w:tab w:val="left" w:pos="851"/>
        </w:tabs>
        <w:ind w:left="851"/>
        <w:outlineLvl w:val="4"/>
        <w:rPr>
          <w:b/>
          <w:bCs/>
          <w:noProof/>
          <w:sz w:val="24"/>
          <w:szCs w:val="24"/>
          <w:lang w:eastAsia="da-DK"/>
        </w:rPr>
      </w:pPr>
      <w:r>
        <w:rPr>
          <w:b/>
          <w:bCs/>
          <w:noProof/>
          <w:sz w:val="24"/>
          <w:szCs w:val="24"/>
          <w:lang w:eastAsia="da-DK"/>
        </w:rPr>
        <w:t>Aktivt stof:</w:t>
      </w:r>
    </w:p>
    <w:p w:rsidR="00074D78" w:rsidRDefault="00074D78" w:rsidP="00074D78">
      <w:pPr>
        <w:tabs>
          <w:tab w:val="left" w:pos="851"/>
          <w:tab w:val="left" w:pos="4111"/>
        </w:tabs>
        <w:spacing w:after="220"/>
        <w:ind w:left="851"/>
        <w:contextualSpacing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Buprenorphin</w:t>
      </w:r>
      <w:proofErr w:type="spellEnd"/>
      <w:r>
        <w:rPr>
          <w:sz w:val="24"/>
          <w:szCs w:val="24"/>
          <w:lang w:eastAsia="da-DK"/>
        </w:rPr>
        <w:t xml:space="preserve"> (som </w:t>
      </w:r>
      <w:proofErr w:type="spellStart"/>
      <w:r>
        <w:rPr>
          <w:sz w:val="24"/>
          <w:szCs w:val="24"/>
          <w:lang w:eastAsia="da-DK"/>
        </w:rPr>
        <w:t>hydrochlorid</w:t>
      </w:r>
      <w:proofErr w:type="spellEnd"/>
      <w:r>
        <w:rPr>
          <w:sz w:val="24"/>
          <w:szCs w:val="24"/>
          <w:lang w:eastAsia="da-DK"/>
        </w:rPr>
        <w:t>) 0,3 mg</w:t>
      </w:r>
    </w:p>
    <w:p w:rsidR="00074D78" w:rsidRDefault="00074D78" w:rsidP="00074D78">
      <w:pPr>
        <w:tabs>
          <w:tab w:val="left" w:pos="851"/>
          <w:tab w:val="left" w:pos="4111"/>
        </w:tabs>
        <w:spacing w:after="220"/>
        <w:ind w:left="851"/>
        <w:contextualSpacing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(svarende til 0,324 mg </w:t>
      </w:r>
      <w:proofErr w:type="spellStart"/>
      <w:r>
        <w:rPr>
          <w:sz w:val="24"/>
          <w:szCs w:val="24"/>
          <w:lang w:eastAsia="da-DK"/>
        </w:rPr>
        <w:t>buprenorphinhydrochlorid</w:t>
      </w:r>
      <w:proofErr w:type="spellEnd"/>
      <w:r>
        <w:rPr>
          <w:sz w:val="24"/>
          <w:szCs w:val="24"/>
          <w:lang w:eastAsia="da-DK"/>
        </w:rPr>
        <w:t>)</w:t>
      </w:r>
    </w:p>
    <w:p w:rsidR="00803F3B" w:rsidRPr="003F4BD4" w:rsidRDefault="00803F3B" w:rsidP="00803F3B">
      <w:pPr>
        <w:tabs>
          <w:tab w:val="left" w:pos="851"/>
          <w:tab w:val="left" w:pos="4111"/>
        </w:tabs>
        <w:spacing w:after="220"/>
        <w:ind w:left="851"/>
        <w:contextualSpacing/>
        <w:rPr>
          <w:sz w:val="24"/>
          <w:szCs w:val="24"/>
          <w:lang w:eastAsia="da-DK"/>
        </w:rPr>
      </w:pPr>
    </w:p>
    <w:p w:rsidR="00803F3B" w:rsidRPr="003F4BD4" w:rsidRDefault="00803F3B" w:rsidP="00803F3B">
      <w:pPr>
        <w:keepNext/>
        <w:tabs>
          <w:tab w:val="left" w:pos="851"/>
          <w:tab w:val="left" w:pos="4111"/>
        </w:tabs>
        <w:ind w:left="851"/>
        <w:outlineLvl w:val="4"/>
        <w:rPr>
          <w:noProof/>
          <w:sz w:val="24"/>
          <w:szCs w:val="24"/>
          <w:u w:val="single"/>
          <w:lang w:eastAsia="da-DK"/>
        </w:rPr>
      </w:pPr>
      <w:r w:rsidRPr="000B4990">
        <w:rPr>
          <w:noProof/>
          <w:sz w:val="24"/>
          <w:szCs w:val="24"/>
          <w:u w:val="single"/>
          <w:lang w:eastAsia="da-DK"/>
        </w:rPr>
        <w:t>Hjælpestoffer</w:t>
      </w:r>
    </w:p>
    <w:p w:rsidR="00803F3B" w:rsidRDefault="00803F3B" w:rsidP="00803F3B">
      <w:pPr>
        <w:tabs>
          <w:tab w:val="left" w:pos="851"/>
          <w:tab w:val="left" w:pos="4111"/>
        </w:tabs>
        <w:ind w:left="851"/>
        <w:rPr>
          <w:sz w:val="24"/>
          <w:szCs w:val="24"/>
          <w:lang w:eastAsia="da-DK"/>
        </w:rPr>
      </w:pPr>
      <w:proofErr w:type="spellStart"/>
      <w:r w:rsidRPr="003F4BD4">
        <w:rPr>
          <w:sz w:val="24"/>
          <w:szCs w:val="24"/>
          <w:lang w:eastAsia="da-DK"/>
        </w:rPr>
        <w:t>Chlorocresol</w:t>
      </w:r>
      <w:proofErr w:type="spellEnd"/>
      <w:r>
        <w:rPr>
          <w:sz w:val="24"/>
          <w:szCs w:val="24"/>
          <w:lang w:eastAsia="da-DK"/>
        </w:rPr>
        <w:t xml:space="preserve"> </w:t>
      </w:r>
      <w:r w:rsidRPr="003F4BD4">
        <w:rPr>
          <w:sz w:val="24"/>
          <w:szCs w:val="24"/>
          <w:lang w:eastAsia="da-DK"/>
        </w:rPr>
        <w:t>1,35 mg</w:t>
      </w:r>
    </w:p>
    <w:p w:rsidR="00803F3B" w:rsidRPr="003F4BD4" w:rsidRDefault="00803F3B" w:rsidP="00803F3B">
      <w:pPr>
        <w:tabs>
          <w:tab w:val="left" w:pos="851"/>
          <w:tab w:val="left" w:pos="4111"/>
        </w:tabs>
        <w:ind w:left="851"/>
        <w:rPr>
          <w:sz w:val="24"/>
          <w:szCs w:val="24"/>
          <w:lang w:eastAsia="da-DK"/>
        </w:rPr>
      </w:pPr>
    </w:p>
    <w:p w:rsidR="00803F3B" w:rsidRPr="003F4BD4" w:rsidRDefault="00803F3B" w:rsidP="00803F3B">
      <w:pPr>
        <w:tabs>
          <w:tab w:val="left" w:pos="851"/>
          <w:tab w:val="left" w:pos="4111"/>
        </w:tabs>
        <w:spacing w:after="220"/>
        <w:ind w:left="851"/>
        <w:contextualSpacing/>
        <w:rPr>
          <w:sz w:val="24"/>
          <w:szCs w:val="24"/>
          <w:lang w:eastAsia="da-DK"/>
        </w:rPr>
      </w:pPr>
      <w:r w:rsidRPr="003F4BD4">
        <w:rPr>
          <w:sz w:val="24"/>
          <w:szCs w:val="24"/>
          <w:lang w:eastAsia="da-DK"/>
        </w:rPr>
        <w:t>Alle hjælpestoffer er anført under pkt. 6.1.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3.</w:t>
      </w:r>
      <w:r w:rsidRPr="00BD17F7">
        <w:rPr>
          <w:b/>
          <w:sz w:val="24"/>
          <w:szCs w:val="24"/>
        </w:rPr>
        <w:tab/>
        <w:t>LÆGEMIDDELFORM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Injektionsvæske, opløsning.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Klar, farveløs, vandig opløsnin</w:t>
      </w:r>
      <w:r>
        <w:rPr>
          <w:sz w:val="24"/>
          <w:szCs w:val="24"/>
        </w:rPr>
        <w:t>g.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</w:t>
      </w:r>
      <w:r w:rsidRPr="00BD17F7">
        <w:rPr>
          <w:b/>
          <w:sz w:val="24"/>
          <w:szCs w:val="24"/>
        </w:rPr>
        <w:tab/>
        <w:t>KLINISKE OPLYSNINGER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BD17F7">
        <w:rPr>
          <w:b/>
          <w:sz w:val="24"/>
          <w:szCs w:val="24"/>
        </w:rPr>
        <w:t>4.1</w:t>
      </w:r>
      <w:r w:rsidRPr="00BD17F7">
        <w:rPr>
          <w:b/>
          <w:sz w:val="24"/>
          <w:szCs w:val="24"/>
        </w:rPr>
        <w:tab/>
        <w:t>Dyrearter</w:t>
      </w:r>
    </w:p>
    <w:p w:rsidR="00074D78" w:rsidRDefault="00074D78" w:rsidP="00074D78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Hunde, katte og heste.</w:t>
      </w:r>
    </w:p>
    <w:p w:rsidR="00803F3B" w:rsidRPr="00BD17F7" w:rsidRDefault="00803F3B" w:rsidP="00803F3B">
      <w:pPr>
        <w:tabs>
          <w:tab w:val="left" w:pos="8222"/>
        </w:tabs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BD17F7">
        <w:rPr>
          <w:b/>
          <w:szCs w:val="24"/>
        </w:rPr>
        <w:t>4.2</w:t>
      </w:r>
      <w:r w:rsidRPr="00BD17F7">
        <w:rPr>
          <w:b/>
          <w:szCs w:val="24"/>
        </w:rPr>
        <w:tab/>
        <w:t>Terapeutiske indikationer</w:t>
      </w:r>
    </w:p>
    <w:p w:rsidR="00074D78" w:rsidRDefault="00074D78" w:rsidP="00074D78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Hund og kat: postoperativ analgesi.</w:t>
      </w:r>
    </w:p>
    <w:p w:rsidR="00074D78" w:rsidRDefault="00074D78" w:rsidP="00074D78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Hest: postoperativ analgesi, i kombination med </w:t>
      </w:r>
      <w:proofErr w:type="spellStart"/>
      <w:r>
        <w:rPr>
          <w:sz w:val="24"/>
          <w:szCs w:val="24"/>
        </w:rPr>
        <w:t>sedering</w:t>
      </w:r>
      <w:proofErr w:type="spellEnd"/>
      <w:r>
        <w:rPr>
          <w:sz w:val="24"/>
          <w:szCs w:val="24"/>
        </w:rPr>
        <w:t>.</w:t>
      </w:r>
    </w:p>
    <w:p w:rsidR="00074D78" w:rsidRDefault="00074D78" w:rsidP="00074D78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Hund og hest: potensering af den sederende virkning af centralt virkende stoffer.</w:t>
      </w:r>
    </w:p>
    <w:p w:rsidR="00803F3B" w:rsidRDefault="00803F3B" w:rsidP="00803F3B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803F3B" w:rsidRPr="00BD17F7" w:rsidRDefault="00803F3B" w:rsidP="00803F3B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03F3B" w:rsidRPr="00BD17F7" w:rsidRDefault="00803F3B" w:rsidP="00803F3B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BD17F7">
        <w:rPr>
          <w:b/>
          <w:szCs w:val="24"/>
        </w:rPr>
        <w:t>4.3</w:t>
      </w:r>
      <w:r w:rsidRPr="00BD17F7">
        <w:rPr>
          <w:b/>
          <w:szCs w:val="24"/>
        </w:rPr>
        <w:tab/>
        <w:t>Kontraindikationer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Bør ikke administreres </w:t>
      </w:r>
      <w:proofErr w:type="spellStart"/>
      <w:r w:rsidRPr="00BD17F7">
        <w:rPr>
          <w:sz w:val="24"/>
          <w:szCs w:val="24"/>
        </w:rPr>
        <w:t>intratekalt</w:t>
      </w:r>
      <w:proofErr w:type="spellEnd"/>
      <w:r w:rsidRPr="00BD17F7">
        <w:rPr>
          <w:sz w:val="24"/>
          <w:szCs w:val="24"/>
        </w:rPr>
        <w:t xml:space="preserve"> eller </w:t>
      </w:r>
      <w:proofErr w:type="spellStart"/>
      <w:r w:rsidRPr="00BD17F7">
        <w:rPr>
          <w:sz w:val="24"/>
          <w:szCs w:val="24"/>
        </w:rPr>
        <w:t>periduralt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Bør ikke anvendes præoperativt ved kejsersnit (se pkt. 4.7).</w:t>
      </w:r>
    </w:p>
    <w:p w:rsidR="00803F3B" w:rsidRPr="004D5BD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803F3B" w:rsidRPr="00BD17F7" w:rsidRDefault="00803F3B" w:rsidP="00803F3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4.4</w:t>
      </w:r>
      <w:r w:rsidRPr="00BD17F7">
        <w:rPr>
          <w:b/>
          <w:sz w:val="24"/>
          <w:szCs w:val="24"/>
        </w:rPr>
        <w:tab/>
        <w:t>Særlige advarsler</w:t>
      </w:r>
    </w:p>
    <w:p w:rsidR="00803F3B" w:rsidRPr="00BD17F7" w:rsidRDefault="008E1036" w:rsidP="008E1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E1036">
        <w:rPr>
          <w:sz w:val="24"/>
          <w:szCs w:val="24"/>
        </w:rPr>
        <w:t xml:space="preserve">Da </w:t>
      </w:r>
      <w:proofErr w:type="spellStart"/>
      <w:r w:rsidRPr="008E1036">
        <w:rPr>
          <w:sz w:val="24"/>
          <w:szCs w:val="24"/>
        </w:rPr>
        <w:t>buprenorphin</w:t>
      </w:r>
      <w:proofErr w:type="spellEnd"/>
      <w:r w:rsidRPr="008E1036">
        <w:rPr>
          <w:sz w:val="24"/>
          <w:szCs w:val="24"/>
        </w:rPr>
        <w:t xml:space="preserve"> </w:t>
      </w:r>
      <w:proofErr w:type="spellStart"/>
      <w:r w:rsidRPr="008E1036">
        <w:rPr>
          <w:sz w:val="24"/>
          <w:szCs w:val="24"/>
        </w:rPr>
        <w:t>metaboliseres</w:t>
      </w:r>
      <w:proofErr w:type="spellEnd"/>
      <w:r w:rsidRPr="008E1036">
        <w:rPr>
          <w:sz w:val="24"/>
          <w:szCs w:val="24"/>
        </w:rPr>
        <w:t xml:space="preserve"> af leveren, kan virkningens intensitet og varighed være</w:t>
      </w:r>
      <w:r>
        <w:rPr>
          <w:sz w:val="24"/>
          <w:szCs w:val="24"/>
        </w:rPr>
        <w:t xml:space="preserve">                </w:t>
      </w:r>
      <w:r w:rsidRPr="008E1036">
        <w:rPr>
          <w:sz w:val="24"/>
          <w:szCs w:val="24"/>
        </w:rPr>
        <w:t xml:space="preserve">påvirket hos dyr med nedsat leverfunktion. </w:t>
      </w:r>
      <w:r>
        <w:rPr>
          <w:sz w:val="24"/>
          <w:szCs w:val="24"/>
        </w:rPr>
        <w:t xml:space="preserve">   </w:t>
      </w:r>
    </w:p>
    <w:p w:rsidR="00803F3B" w:rsidRPr="00BD17F7" w:rsidRDefault="00803F3B" w:rsidP="00803F3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4.5</w:t>
      </w:r>
      <w:r w:rsidRPr="00BD17F7">
        <w:rPr>
          <w:b/>
          <w:sz w:val="24"/>
          <w:szCs w:val="24"/>
        </w:rPr>
        <w:tab/>
        <w:t>Særlige forsigtighedsregler vedrørende brugen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ab/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ab/>
        <w:t>Særlige forsigtighedsregler for dyret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Sikkerheden ved brugen af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er ikke blevet påvist hos kattekillinger eller hundehvalpe, der er under 7 uger, eller hos heste under 10 måneder og som vejer under 150 kg. Derfor bør anvendelsen til disse dyr baseres på en dyrlæges vurdering af </w:t>
      </w:r>
      <w:proofErr w:type="spellStart"/>
      <w:r w:rsidRPr="00BD17F7">
        <w:rPr>
          <w:sz w:val="24"/>
          <w:szCs w:val="24"/>
        </w:rPr>
        <w:t>risk</w:t>
      </w:r>
      <w:proofErr w:type="spellEnd"/>
      <w:r w:rsidRPr="00BD17F7">
        <w:rPr>
          <w:sz w:val="24"/>
          <w:szCs w:val="24"/>
        </w:rPr>
        <w:t>-benefit-forholdet.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Sikkerheden er ikke fuldstændigt evalueret hos klinisk kompromitterede katte eller heste.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Buprenorphins</w:t>
      </w:r>
      <w:proofErr w:type="spellEnd"/>
      <w:r w:rsidRPr="00BD17F7">
        <w:rPr>
          <w:sz w:val="24"/>
          <w:szCs w:val="24"/>
        </w:rPr>
        <w:t xml:space="preserve"> sikkerhed ved langvarig brug er ikke blevet undersøgt ved mere end 5 på hinanden følg</w:t>
      </w:r>
      <w:r>
        <w:rPr>
          <w:sz w:val="24"/>
          <w:szCs w:val="24"/>
        </w:rPr>
        <w:t>ende dages indgivelse hos katte</w:t>
      </w:r>
      <w:r w:rsidRPr="00BD17F7">
        <w:rPr>
          <w:sz w:val="24"/>
          <w:szCs w:val="24"/>
        </w:rPr>
        <w:t xml:space="preserve"> eller 4 separate indgivelser i tre på hinanden følgende dage hos heste.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Virkningen af opioider på hovedtraumer afhænger </w:t>
      </w:r>
      <w:r>
        <w:rPr>
          <w:sz w:val="24"/>
          <w:szCs w:val="24"/>
        </w:rPr>
        <w:t>af skadens type og sværhedsgrad samt</w:t>
      </w:r>
      <w:r w:rsidRPr="00BD17F7">
        <w:rPr>
          <w:sz w:val="24"/>
          <w:szCs w:val="24"/>
        </w:rPr>
        <w:t xml:space="preserve"> den administrerede respirationsunderstøttelse.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I tilfælde af nyre-, hjerte eller leverdysfunktion eller </w:t>
      </w:r>
      <w:proofErr w:type="spellStart"/>
      <w:r>
        <w:rPr>
          <w:sz w:val="24"/>
          <w:szCs w:val="24"/>
        </w:rPr>
        <w:t>shock</w:t>
      </w:r>
      <w:proofErr w:type="spellEnd"/>
      <w:r w:rsidRPr="00BD17F7">
        <w:rPr>
          <w:sz w:val="24"/>
          <w:szCs w:val="24"/>
        </w:rPr>
        <w:t xml:space="preserve"> kan der være en større risiko forbundet med anvendelsen af produktet. I alle disse tilfælde skal produktet bruges i henhold til en dyrlæges vurdering af </w:t>
      </w:r>
      <w:proofErr w:type="spellStart"/>
      <w:r w:rsidRPr="00BD17F7">
        <w:rPr>
          <w:sz w:val="24"/>
          <w:szCs w:val="24"/>
        </w:rPr>
        <w:t>risk</w:t>
      </w:r>
      <w:proofErr w:type="spellEnd"/>
      <w:r w:rsidRPr="00BD17F7">
        <w:rPr>
          <w:sz w:val="24"/>
          <w:szCs w:val="24"/>
        </w:rPr>
        <w:t>-benefit-forholdet.</w:t>
      </w:r>
    </w:p>
    <w:p w:rsidR="00803F3B" w:rsidRPr="00BD17F7" w:rsidRDefault="00803F3B" w:rsidP="008E1036">
      <w:pPr>
        <w:pStyle w:val="BODY"/>
        <w:tabs>
          <w:tab w:val="clear" w:pos="567"/>
          <w:tab w:val="left" w:pos="851"/>
        </w:tabs>
        <w:spacing w:after="0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kan til tider forårsage respirationsdepression, og som for andre </w:t>
      </w:r>
      <w:proofErr w:type="spellStart"/>
      <w:r w:rsidRPr="00BD17F7">
        <w:rPr>
          <w:sz w:val="24"/>
          <w:szCs w:val="24"/>
        </w:rPr>
        <w:t>opioide</w:t>
      </w:r>
      <w:proofErr w:type="spellEnd"/>
      <w:r w:rsidRPr="00BD17F7">
        <w:rPr>
          <w:sz w:val="24"/>
          <w:szCs w:val="24"/>
        </w:rPr>
        <w:t xml:space="preserve"> lægemidler skal der udvises forsigtighed, når dyr med nedsat respirationsfunktion eller dyr, der får lægemidler, som kan forårsage respirationsdepression, behandles.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Gentagen indgivelse med kortere interval end det anbefalede gentagelsesinterval, der er nævnt under pkt. 4.9, frarådes.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Hos heste er anvendelsen af opioider blevet forbundet med ophidselse, men virkningen af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er minimal ved administration sammen med </w:t>
      </w:r>
      <w:proofErr w:type="spellStart"/>
      <w:r w:rsidRPr="00BD17F7">
        <w:rPr>
          <w:sz w:val="24"/>
          <w:szCs w:val="24"/>
        </w:rPr>
        <w:t>sedativa</w:t>
      </w:r>
      <w:proofErr w:type="spellEnd"/>
      <w:r w:rsidRPr="00BD17F7">
        <w:rPr>
          <w:sz w:val="24"/>
          <w:szCs w:val="24"/>
        </w:rPr>
        <w:t xml:space="preserve"> og beroligende midler, såsom </w:t>
      </w:r>
      <w:proofErr w:type="spellStart"/>
      <w:r w:rsidRPr="00BD17F7">
        <w:rPr>
          <w:sz w:val="24"/>
          <w:szCs w:val="24"/>
        </w:rPr>
        <w:t>detomidin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romifidin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xylazin</w:t>
      </w:r>
      <w:proofErr w:type="spellEnd"/>
      <w:r w:rsidRPr="00BD17F7">
        <w:rPr>
          <w:sz w:val="24"/>
          <w:szCs w:val="24"/>
        </w:rPr>
        <w:t xml:space="preserve"> og </w:t>
      </w:r>
      <w:proofErr w:type="spellStart"/>
      <w:r w:rsidRPr="00BD17F7">
        <w:rPr>
          <w:sz w:val="24"/>
          <w:szCs w:val="24"/>
        </w:rPr>
        <w:t>acepromazin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Ataksi</w:t>
      </w:r>
      <w:proofErr w:type="spellEnd"/>
      <w:r w:rsidRPr="00BD17F7">
        <w:rPr>
          <w:sz w:val="24"/>
          <w:szCs w:val="24"/>
        </w:rPr>
        <w:t xml:space="preserve"> er en kendt virkning ved </w:t>
      </w:r>
      <w:proofErr w:type="spellStart"/>
      <w:r w:rsidRPr="00BD17F7">
        <w:rPr>
          <w:sz w:val="24"/>
          <w:szCs w:val="24"/>
        </w:rPr>
        <w:t>detomidin</w:t>
      </w:r>
      <w:proofErr w:type="spellEnd"/>
      <w:r w:rsidRPr="00BD17F7">
        <w:rPr>
          <w:sz w:val="24"/>
          <w:szCs w:val="24"/>
        </w:rPr>
        <w:t xml:space="preserve"> og tilsvarende midler. Som følge heraf kan </w:t>
      </w:r>
      <w:proofErr w:type="spellStart"/>
      <w:r w:rsidRPr="00BD17F7">
        <w:rPr>
          <w:sz w:val="24"/>
          <w:szCs w:val="24"/>
        </w:rPr>
        <w:t>ataksi</w:t>
      </w:r>
      <w:proofErr w:type="spellEnd"/>
      <w:r w:rsidRPr="00BD17F7">
        <w:rPr>
          <w:sz w:val="24"/>
          <w:szCs w:val="24"/>
        </w:rPr>
        <w:t xml:space="preserve"> blive observeret efter indgivelse af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sammen med disse stoffer. </w:t>
      </w:r>
      <w:proofErr w:type="spellStart"/>
      <w:r w:rsidRPr="00BD17F7">
        <w:rPr>
          <w:sz w:val="24"/>
          <w:szCs w:val="24"/>
        </w:rPr>
        <w:t>Ataksi</w:t>
      </w:r>
      <w:proofErr w:type="spellEnd"/>
      <w:r w:rsidRPr="00BD17F7">
        <w:rPr>
          <w:sz w:val="24"/>
          <w:szCs w:val="24"/>
        </w:rPr>
        <w:t xml:space="preserve"> kan til tider være markant. For at sikre, at </w:t>
      </w:r>
      <w:proofErr w:type="spellStart"/>
      <w:r w:rsidRPr="00BD17F7">
        <w:rPr>
          <w:sz w:val="24"/>
          <w:szCs w:val="24"/>
        </w:rPr>
        <w:t>ataksiske</w:t>
      </w:r>
      <w:proofErr w:type="spellEnd"/>
      <w:r w:rsidRPr="00BD17F7">
        <w:rPr>
          <w:sz w:val="24"/>
          <w:szCs w:val="24"/>
        </w:rPr>
        <w:t xml:space="preserve"> heste sederet med </w:t>
      </w:r>
      <w:proofErr w:type="spellStart"/>
      <w:r w:rsidRPr="00BD17F7">
        <w:rPr>
          <w:sz w:val="24"/>
          <w:szCs w:val="24"/>
        </w:rPr>
        <w:t>detomidin</w:t>
      </w:r>
      <w:proofErr w:type="spellEnd"/>
      <w:r w:rsidRPr="00BD17F7">
        <w:rPr>
          <w:sz w:val="24"/>
          <w:szCs w:val="24"/>
        </w:rPr>
        <w:t>/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ikke mister balancen, bør de ikke flyttes eller håndteres på nogen anden måde, som kan kompromittere deres stabilitet.</w:t>
      </w:r>
    </w:p>
    <w:p w:rsidR="00803F3B" w:rsidRDefault="00803F3B" w:rsidP="00803F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sz w:val="24"/>
          <w:szCs w:val="24"/>
        </w:rPr>
        <w:tab/>
      </w:r>
      <w:r w:rsidRPr="00BD17F7">
        <w:rPr>
          <w:b/>
          <w:sz w:val="24"/>
          <w:szCs w:val="24"/>
        </w:rPr>
        <w:t>Særlige forsigtighedsregler for personer, der administrerer lægemidlet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 xml:space="preserve"> har en opioidlignende aktivitet, skal der udvises forsigtighed, så selvinjektion eller indgift undgås. I tilfælde af selvinjektion eller indgift ved hændeligt uheld skal der straks søges lægehjælp, og indlægssedlen eller etiketten bør vises til lægen.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Præparatet kan forårsage hud- eller øjenirritation eller overfølsomhedsreaktioner, hvis der opstår kontakt. Efter </w:t>
      </w:r>
      <w:proofErr w:type="spellStart"/>
      <w:r>
        <w:rPr>
          <w:sz w:val="24"/>
          <w:szCs w:val="24"/>
        </w:rPr>
        <w:t>øjen</w:t>
      </w:r>
      <w:proofErr w:type="spellEnd"/>
      <w:r>
        <w:rPr>
          <w:sz w:val="24"/>
          <w:szCs w:val="24"/>
        </w:rPr>
        <w:t>-, hud- eller mundkontakt skylles det berørte område grundigt med vand. Søg lægehjælp i tilfælde af overfølsomhedsreaktioner eller hvis irritationen varer ved. Vask hænder efter brug.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Til lægen: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Naloxon</w:t>
      </w:r>
      <w:proofErr w:type="spellEnd"/>
      <w:r>
        <w:rPr>
          <w:sz w:val="24"/>
          <w:szCs w:val="24"/>
        </w:rPr>
        <w:t xml:space="preserve"> skal være tilgængeligt i tilfælde af selvinjektion ved hændeligt uheld.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sz w:val="24"/>
          <w:szCs w:val="24"/>
        </w:rPr>
        <w:tab/>
      </w:r>
      <w:r w:rsidRPr="00BD17F7">
        <w:rPr>
          <w:b/>
          <w:sz w:val="24"/>
          <w:szCs w:val="24"/>
        </w:rPr>
        <w:t>Andre forsigtighedsregler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  <w:r w:rsidRPr="00BD17F7">
        <w:rPr>
          <w:sz w:val="24"/>
          <w:szCs w:val="24"/>
        </w:rPr>
        <w:tab/>
        <w:t>-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4.6</w:t>
      </w:r>
      <w:r w:rsidRPr="00BD17F7">
        <w:rPr>
          <w:b/>
          <w:sz w:val="24"/>
          <w:szCs w:val="24"/>
        </w:rPr>
        <w:tab/>
        <w:t>Bivirkninger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proofErr w:type="spellStart"/>
      <w:r w:rsidRPr="00450FFD">
        <w:rPr>
          <w:sz w:val="24"/>
          <w:szCs w:val="24"/>
          <w:lang w:eastAsia="da-DK"/>
        </w:rPr>
        <w:t>Salivation</w:t>
      </w:r>
      <w:proofErr w:type="spellEnd"/>
      <w:r w:rsidRPr="00450FFD">
        <w:rPr>
          <w:sz w:val="24"/>
          <w:szCs w:val="24"/>
          <w:lang w:eastAsia="da-DK"/>
        </w:rPr>
        <w:t xml:space="preserve">, bradykardi, </w:t>
      </w:r>
      <w:proofErr w:type="spellStart"/>
      <w:r w:rsidRPr="00450FFD">
        <w:rPr>
          <w:sz w:val="24"/>
          <w:szCs w:val="24"/>
          <w:lang w:eastAsia="da-DK"/>
        </w:rPr>
        <w:t>hypotermi</w:t>
      </w:r>
      <w:proofErr w:type="spellEnd"/>
      <w:r w:rsidRPr="00450FFD">
        <w:rPr>
          <w:sz w:val="24"/>
          <w:szCs w:val="24"/>
          <w:lang w:eastAsia="da-DK"/>
        </w:rPr>
        <w:t xml:space="preserve">, ophidselse, dehydrering og </w:t>
      </w:r>
      <w:proofErr w:type="spellStart"/>
      <w:r w:rsidRPr="00450FFD">
        <w:rPr>
          <w:sz w:val="24"/>
          <w:szCs w:val="24"/>
          <w:lang w:eastAsia="da-DK"/>
        </w:rPr>
        <w:t>miosis</w:t>
      </w:r>
      <w:proofErr w:type="spellEnd"/>
      <w:r w:rsidRPr="00450FFD">
        <w:rPr>
          <w:sz w:val="24"/>
          <w:szCs w:val="24"/>
          <w:lang w:eastAsia="da-DK"/>
        </w:rPr>
        <w:t xml:space="preserve"> kan opstå hos hunde, og i sjældne tilfælde hypertension og </w:t>
      </w:r>
      <w:proofErr w:type="spellStart"/>
      <w:r w:rsidRPr="00450FFD">
        <w:rPr>
          <w:sz w:val="24"/>
          <w:szCs w:val="24"/>
          <w:lang w:eastAsia="da-DK"/>
        </w:rPr>
        <w:t>takykardi</w:t>
      </w:r>
      <w:proofErr w:type="spellEnd"/>
      <w:r w:rsidRPr="00450FFD">
        <w:rPr>
          <w:sz w:val="24"/>
          <w:szCs w:val="24"/>
          <w:lang w:eastAsia="da-DK"/>
        </w:rPr>
        <w:t>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proofErr w:type="spellStart"/>
      <w:r w:rsidRPr="00450FFD">
        <w:rPr>
          <w:sz w:val="24"/>
          <w:szCs w:val="24"/>
          <w:lang w:eastAsia="da-DK"/>
        </w:rPr>
        <w:t>Mydriasis</w:t>
      </w:r>
      <w:proofErr w:type="spellEnd"/>
      <w:r w:rsidRPr="00450FFD">
        <w:rPr>
          <w:sz w:val="24"/>
          <w:szCs w:val="24"/>
          <w:lang w:eastAsia="da-DK"/>
        </w:rPr>
        <w:t xml:space="preserve"> og tegn på eufori opstår almindeligvis hos katte</w:t>
      </w:r>
      <w:r>
        <w:rPr>
          <w:sz w:val="24"/>
          <w:szCs w:val="24"/>
          <w:lang w:eastAsia="da-DK"/>
        </w:rPr>
        <w:t xml:space="preserve"> </w:t>
      </w:r>
      <w:r w:rsidRPr="00450FFD">
        <w:rPr>
          <w:sz w:val="24"/>
          <w:szCs w:val="24"/>
          <w:lang w:eastAsia="da-DK"/>
        </w:rPr>
        <w:t>(katten spinder for voldsomt, pacer og gnubber sig) og vil normalt gå væk inden for 24 timer.</w:t>
      </w:r>
    </w:p>
    <w:p w:rsidR="00803F3B" w:rsidRPr="00450FFD" w:rsidRDefault="00803F3B" w:rsidP="00803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Hos heste kan anvendelsen af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uden tidligere anvendelse af </w:t>
      </w:r>
      <w:proofErr w:type="spellStart"/>
      <w:r w:rsidRPr="00450FFD">
        <w:rPr>
          <w:sz w:val="24"/>
          <w:szCs w:val="24"/>
          <w:lang w:eastAsia="da-DK"/>
        </w:rPr>
        <w:t>sedativa</w:t>
      </w:r>
      <w:proofErr w:type="spellEnd"/>
      <w:r w:rsidRPr="00450FFD">
        <w:rPr>
          <w:sz w:val="24"/>
          <w:szCs w:val="24"/>
          <w:lang w:eastAsia="da-DK"/>
        </w:rPr>
        <w:t xml:space="preserve"> forårsage ophidselse og spontan </w:t>
      </w:r>
      <w:proofErr w:type="spellStart"/>
      <w:r w:rsidRPr="00450FFD">
        <w:rPr>
          <w:sz w:val="24"/>
          <w:szCs w:val="24"/>
          <w:lang w:eastAsia="da-DK"/>
        </w:rPr>
        <w:t>lokomotor</w:t>
      </w:r>
      <w:proofErr w:type="spellEnd"/>
      <w:r w:rsidRPr="00450FFD">
        <w:rPr>
          <w:sz w:val="24"/>
          <w:szCs w:val="24"/>
          <w:lang w:eastAsia="da-DK"/>
        </w:rPr>
        <w:t>-aktivitet.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kan til tider forårsage respirationsdepression, se pkt. 4.5.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03F3B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Hos heste er ophidselsen minimal ved brug efter anvisningerne sammen med sederende eller beroligende midler, men </w:t>
      </w:r>
      <w:proofErr w:type="spellStart"/>
      <w:r w:rsidRPr="00450FFD">
        <w:rPr>
          <w:sz w:val="24"/>
          <w:szCs w:val="24"/>
          <w:lang w:eastAsia="da-DK"/>
        </w:rPr>
        <w:t>ataksi</w:t>
      </w:r>
      <w:proofErr w:type="spellEnd"/>
      <w:r w:rsidRPr="00450FFD">
        <w:rPr>
          <w:sz w:val="24"/>
          <w:szCs w:val="24"/>
          <w:lang w:eastAsia="da-DK"/>
        </w:rPr>
        <w:t xml:space="preserve"> kan til tider være markant.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kan nedsætte </w:t>
      </w:r>
      <w:proofErr w:type="spellStart"/>
      <w:r w:rsidRPr="00450FFD">
        <w:rPr>
          <w:sz w:val="24"/>
          <w:szCs w:val="24"/>
          <w:lang w:eastAsia="da-DK"/>
        </w:rPr>
        <w:t>motiliteten</w:t>
      </w:r>
      <w:proofErr w:type="spellEnd"/>
      <w:r w:rsidRPr="00450FFD">
        <w:rPr>
          <w:sz w:val="24"/>
          <w:szCs w:val="24"/>
          <w:lang w:eastAsia="da-DK"/>
        </w:rPr>
        <w:t xml:space="preserve"> i mave-tarm-kanalen hos heste, men der er kun sjældent rapporteret kolik.</w:t>
      </w:r>
    </w:p>
    <w:p w:rsidR="008E1036" w:rsidRDefault="008E1036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Hyppigheden af bivirkninger er defineret som:</w:t>
      </w: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- Meget almindelig (flere end 1 ud af 10 behandlede dyr, der viser bivirkninger i løbet af en behandling)</w:t>
      </w: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- Almindelige (flere end 1, men færre end 10 dyr af 100 behandlede dyr)</w:t>
      </w: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- Ikke almindelige (flere end 1, men færre end 10 dyr af 1.000 behandlede dyr)</w:t>
      </w: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- Sjældne (flere end 1, men færre end 10 dyr ud af 10.000 behandlede dyr)</w:t>
      </w:r>
    </w:p>
    <w:p w:rsidR="008E1036" w:rsidRPr="008E1036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E1036" w:rsidRPr="00BD17F7" w:rsidRDefault="008E1036" w:rsidP="008E1036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8E1036">
        <w:rPr>
          <w:sz w:val="24"/>
          <w:szCs w:val="24"/>
          <w:lang w:eastAsia="da-DK"/>
        </w:rPr>
        <w:t>- Meget sjælden (færre end 1 dyr ud af 10.000 behandlede dyr, herunder isolerede rapporter)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4.7</w:t>
      </w:r>
      <w:r w:rsidRPr="00BD17F7">
        <w:rPr>
          <w:b/>
          <w:sz w:val="24"/>
          <w:szCs w:val="24"/>
        </w:rPr>
        <w:tab/>
        <w:t>Drægtighed, diegivning eller æglægning</w:t>
      </w:r>
    </w:p>
    <w:p w:rsidR="00803F3B" w:rsidRDefault="00803F3B" w:rsidP="00803F3B">
      <w:pPr>
        <w:keepNext/>
        <w:tabs>
          <w:tab w:val="left" w:pos="851"/>
        </w:tabs>
        <w:ind w:left="851"/>
        <w:outlineLvl w:val="3"/>
        <w:rPr>
          <w:sz w:val="24"/>
          <w:szCs w:val="24"/>
          <w:u w:val="single"/>
          <w:lang w:eastAsia="da-DK"/>
        </w:rPr>
      </w:pPr>
    </w:p>
    <w:p w:rsidR="00803F3B" w:rsidRPr="00450FFD" w:rsidRDefault="00803F3B" w:rsidP="00803F3B">
      <w:pPr>
        <w:keepNext/>
        <w:tabs>
          <w:tab w:val="left" w:pos="851"/>
        </w:tabs>
        <w:ind w:left="851"/>
        <w:outlineLvl w:val="3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Drægtighed</w:t>
      </w:r>
    </w:p>
    <w:p w:rsidR="008E1036" w:rsidRDefault="008E1036" w:rsidP="008E1036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Laboratorieundersøgelser af rotter har ikke afsløret </w:t>
      </w:r>
      <w:proofErr w:type="spellStart"/>
      <w:r>
        <w:rPr>
          <w:sz w:val="24"/>
          <w:szCs w:val="24"/>
          <w:lang w:eastAsia="da-DK"/>
        </w:rPr>
        <w:t>teratogene</w:t>
      </w:r>
      <w:proofErr w:type="spellEnd"/>
      <w:r>
        <w:rPr>
          <w:sz w:val="24"/>
          <w:szCs w:val="24"/>
          <w:lang w:eastAsia="da-DK"/>
        </w:rPr>
        <w:t xml:space="preserve"> virkninger. Disse studier har imidlertid vist post-implantationstab og tidlig fosterdød.</w:t>
      </w:r>
    </w:p>
    <w:p w:rsidR="008E1036" w:rsidRDefault="008E1036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</w:p>
    <w:p w:rsidR="008E1036" w:rsidRDefault="008E1036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lastRenderedPageBreak/>
        <w:t xml:space="preserve">Da der ikke er udført studier af reproduktionstoksicitet hos </w:t>
      </w:r>
      <w:proofErr w:type="spellStart"/>
      <w:r w:rsidRPr="00450FFD">
        <w:rPr>
          <w:sz w:val="24"/>
          <w:szCs w:val="24"/>
          <w:lang w:eastAsia="da-DK"/>
        </w:rPr>
        <w:t>måldyret</w:t>
      </w:r>
      <w:proofErr w:type="spellEnd"/>
      <w:r w:rsidRPr="00450FFD">
        <w:rPr>
          <w:sz w:val="24"/>
          <w:szCs w:val="24"/>
          <w:lang w:eastAsia="da-DK"/>
        </w:rPr>
        <w:t xml:space="preserve">, må præparatet kun anvendes i overensstemmelse med den ansvarlige dyrlæges vurdering af </w:t>
      </w:r>
      <w:proofErr w:type="spellStart"/>
      <w:r w:rsidRPr="00450FFD">
        <w:rPr>
          <w:sz w:val="24"/>
          <w:szCs w:val="24"/>
          <w:lang w:eastAsia="da-DK"/>
        </w:rPr>
        <w:t>risk</w:t>
      </w:r>
      <w:proofErr w:type="spellEnd"/>
      <w:r w:rsidRPr="00450FFD">
        <w:rPr>
          <w:sz w:val="24"/>
          <w:szCs w:val="24"/>
          <w:lang w:eastAsia="da-DK"/>
        </w:rPr>
        <w:t>-benefit-forholdet.</w:t>
      </w:r>
    </w:p>
    <w:p w:rsidR="00803F3B" w:rsidRPr="00450FFD" w:rsidRDefault="00803F3B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</w:p>
    <w:p w:rsidR="00803F3B" w:rsidRDefault="00803F3B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>Lægemidlet må ikke anvendes præoperativt ved kejsersnit på grund af risikoen for respirationsdepres</w:t>
      </w:r>
      <w:r>
        <w:rPr>
          <w:sz w:val="24"/>
          <w:szCs w:val="24"/>
          <w:lang w:eastAsia="da-DK"/>
        </w:rPr>
        <w:t>sion hos afkommet under fødslen</w:t>
      </w:r>
      <w:r w:rsidRPr="00450FFD">
        <w:rPr>
          <w:sz w:val="24"/>
          <w:szCs w:val="24"/>
          <w:lang w:eastAsia="da-DK"/>
        </w:rPr>
        <w:t xml:space="preserve"> og må kun anvendes med særlig forsigtighed postoperativt (se nedenfor).</w:t>
      </w:r>
    </w:p>
    <w:p w:rsidR="00803F3B" w:rsidRPr="00450FFD" w:rsidRDefault="00803F3B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keepNext/>
        <w:tabs>
          <w:tab w:val="left" w:pos="851"/>
        </w:tabs>
        <w:ind w:left="851"/>
        <w:outlineLvl w:val="3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Diegivning</w:t>
      </w:r>
    </w:p>
    <w:p w:rsidR="00803F3B" w:rsidRPr="00BD17F7" w:rsidRDefault="00803F3B" w:rsidP="00803F3B">
      <w:pPr>
        <w:tabs>
          <w:tab w:val="left" w:pos="851"/>
        </w:tabs>
        <w:spacing w:after="220"/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Studier hos diegivende rotter har vist, at koncentrationerne af uændret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i mælken efter intramuskulær indgivelse af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var lig med eller større end koncentrationen i plasma. Da det er sandsynligt, at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vil blive udskilt i mælken hos andre arter, frarådes anvendelse under laktation. Må kun anvendes i overensstemmelse med den ansvarlige dyrlæges vurdering af </w:t>
      </w:r>
      <w:proofErr w:type="spellStart"/>
      <w:r w:rsidRPr="00450FFD">
        <w:rPr>
          <w:sz w:val="24"/>
          <w:szCs w:val="24"/>
          <w:lang w:eastAsia="da-DK"/>
        </w:rPr>
        <w:t>risk</w:t>
      </w:r>
      <w:proofErr w:type="spellEnd"/>
      <w:r w:rsidRPr="00450FFD">
        <w:rPr>
          <w:sz w:val="24"/>
          <w:szCs w:val="24"/>
          <w:lang w:eastAsia="da-DK"/>
        </w:rPr>
        <w:t>-benefit-forholdet.</w:t>
      </w:r>
    </w:p>
    <w:p w:rsidR="00803F3B" w:rsidRDefault="00803F3B" w:rsidP="00803F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4.8</w:t>
      </w:r>
      <w:r w:rsidRPr="00BD17F7">
        <w:rPr>
          <w:b/>
          <w:sz w:val="24"/>
          <w:szCs w:val="24"/>
        </w:rPr>
        <w:tab/>
        <w:t>Interaktion med andre lægemidler og andre former for interaktion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kan forårsage nogen døsighed, som kan forstærkes af andre centralt virkende midler, herunder beroligende midler, </w:t>
      </w:r>
      <w:proofErr w:type="spellStart"/>
      <w:r w:rsidRPr="00BD17F7">
        <w:rPr>
          <w:sz w:val="24"/>
          <w:szCs w:val="24"/>
        </w:rPr>
        <w:t>sedativa</w:t>
      </w:r>
      <w:proofErr w:type="spellEnd"/>
      <w:r w:rsidRPr="00BD17F7">
        <w:rPr>
          <w:sz w:val="24"/>
          <w:szCs w:val="24"/>
        </w:rPr>
        <w:t xml:space="preserve"> og </w:t>
      </w:r>
      <w:proofErr w:type="spellStart"/>
      <w:r w:rsidRPr="00BD17F7">
        <w:rPr>
          <w:sz w:val="24"/>
          <w:szCs w:val="24"/>
        </w:rPr>
        <w:t>hypnotika</w:t>
      </w:r>
      <w:proofErr w:type="spellEnd"/>
      <w:r w:rsidRPr="00BD17F7">
        <w:rPr>
          <w:sz w:val="24"/>
          <w:szCs w:val="24"/>
        </w:rPr>
        <w:t>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Hos mennesker er der evidens for at indikere, at terapeutiske doser af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ikke nedsætter den analgetiske virkning af standarddoser af en opioidagonist, og når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indsættes med en dosis inden for det normale terapeutiske område, kan standarddoser af opioidagonister administreres, før virkn</w:t>
      </w:r>
      <w:r>
        <w:rPr>
          <w:sz w:val="24"/>
          <w:szCs w:val="24"/>
        </w:rPr>
        <w:t xml:space="preserve">ingen af </w:t>
      </w: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 xml:space="preserve"> er ophørt</w:t>
      </w:r>
      <w:r w:rsidRPr="00BD17F7">
        <w:rPr>
          <w:sz w:val="24"/>
          <w:szCs w:val="24"/>
        </w:rPr>
        <w:t xml:space="preserve"> uden at kompromittere den analgetis</w:t>
      </w:r>
      <w:r>
        <w:rPr>
          <w:sz w:val="24"/>
          <w:szCs w:val="24"/>
        </w:rPr>
        <w:t>ke virkning.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Det anbefales imidlertid, at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ikke anvendes sammen med morfin eller andre </w:t>
      </w:r>
      <w:proofErr w:type="spellStart"/>
      <w:r w:rsidRPr="00BD17F7">
        <w:rPr>
          <w:sz w:val="24"/>
          <w:szCs w:val="24"/>
        </w:rPr>
        <w:t>analgetika</w:t>
      </w:r>
      <w:proofErr w:type="spellEnd"/>
      <w:r w:rsidRPr="00BD17F7">
        <w:rPr>
          <w:sz w:val="24"/>
          <w:szCs w:val="24"/>
        </w:rPr>
        <w:t xml:space="preserve"> af opioidtypen, f.eks. </w:t>
      </w:r>
      <w:proofErr w:type="spellStart"/>
      <w:r w:rsidRPr="00BD17F7">
        <w:rPr>
          <w:sz w:val="24"/>
          <w:szCs w:val="24"/>
        </w:rPr>
        <w:t>etorfin</w:t>
      </w:r>
      <w:proofErr w:type="spellEnd"/>
      <w:r w:rsidRPr="00BD17F7">
        <w:rPr>
          <w:sz w:val="24"/>
          <w:szCs w:val="24"/>
        </w:rPr>
        <w:t xml:space="preserve">, fentanyl, </w:t>
      </w:r>
      <w:proofErr w:type="spellStart"/>
      <w:r w:rsidRPr="00BD17F7">
        <w:rPr>
          <w:sz w:val="24"/>
          <w:szCs w:val="24"/>
        </w:rPr>
        <w:t>pethidin</w:t>
      </w:r>
      <w:proofErr w:type="spellEnd"/>
      <w:r w:rsidRPr="00BD17F7">
        <w:rPr>
          <w:sz w:val="24"/>
          <w:szCs w:val="24"/>
        </w:rPr>
        <w:t xml:space="preserve">, metadon, </w:t>
      </w:r>
      <w:proofErr w:type="spellStart"/>
      <w:r w:rsidRPr="00BD17F7">
        <w:rPr>
          <w:sz w:val="24"/>
          <w:szCs w:val="24"/>
        </w:rPr>
        <w:t>papaveretum</w:t>
      </w:r>
      <w:proofErr w:type="spellEnd"/>
      <w:r w:rsidRPr="00BD17F7">
        <w:rPr>
          <w:sz w:val="24"/>
          <w:szCs w:val="24"/>
        </w:rPr>
        <w:t xml:space="preserve"> eller </w:t>
      </w:r>
      <w:proofErr w:type="spellStart"/>
      <w:r w:rsidRPr="00BD17F7">
        <w:rPr>
          <w:sz w:val="24"/>
          <w:szCs w:val="24"/>
        </w:rPr>
        <w:t>butorphanol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er blevet anvendt sammen med </w:t>
      </w:r>
      <w:proofErr w:type="spellStart"/>
      <w:r w:rsidRPr="00BD17F7">
        <w:rPr>
          <w:sz w:val="24"/>
          <w:szCs w:val="24"/>
        </w:rPr>
        <w:t>acepromazin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alphaxalon</w:t>
      </w:r>
      <w:proofErr w:type="spellEnd"/>
      <w:r w:rsidRPr="00BD17F7">
        <w:rPr>
          <w:sz w:val="24"/>
          <w:szCs w:val="24"/>
        </w:rPr>
        <w:t>/</w:t>
      </w:r>
      <w:proofErr w:type="spellStart"/>
      <w:r w:rsidRPr="00BD17F7">
        <w:rPr>
          <w:sz w:val="24"/>
          <w:szCs w:val="24"/>
        </w:rPr>
        <w:t>alphadalon</w:t>
      </w:r>
      <w:proofErr w:type="spellEnd"/>
      <w:r w:rsidRPr="00BD17F7">
        <w:rPr>
          <w:sz w:val="24"/>
          <w:szCs w:val="24"/>
        </w:rPr>
        <w:t xml:space="preserve">, atropin, </w:t>
      </w:r>
      <w:proofErr w:type="spellStart"/>
      <w:r w:rsidRPr="00BD17F7">
        <w:rPr>
          <w:sz w:val="24"/>
          <w:szCs w:val="24"/>
        </w:rPr>
        <w:t>detomidin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dexmedetomidin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halothan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isofluran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ketamin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medetomidin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propofol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romifidin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sevofluran</w:t>
      </w:r>
      <w:proofErr w:type="spellEnd"/>
      <w:r w:rsidRPr="00BD17F7">
        <w:rPr>
          <w:sz w:val="24"/>
          <w:szCs w:val="24"/>
        </w:rPr>
        <w:t xml:space="preserve">, </w:t>
      </w:r>
      <w:proofErr w:type="spellStart"/>
      <w:r w:rsidRPr="00BD17F7">
        <w:rPr>
          <w:sz w:val="24"/>
          <w:szCs w:val="24"/>
        </w:rPr>
        <w:t>thiopenton</w:t>
      </w:r>
      <w:proofErr w:type="spellEnd"/>
      <w:r w:rsidRPr="00BD17F7">
        <w:rPr>
          <w:sz w:val="24"/>
          <w:szCs w:val="24"/>
        </w:rPr>
        <w:t xml:space="preserve"> og </w:t>
      </w:r>
      <w:proofErr w:type="spellStart"/>
      <w:r w:rsidRPr="00BD17F7">
        <w:rPr>
          <w:sz w:val="24"/>
          <w:szCs w:val="24"/>
        </w:rPr>
        <w:t>xylazin</w:t>
      </w:r>
      <w:proofErr w:type="spellEnd"/>
      <w:r w:rsidRPr="00BD17F7">
        <w:rPr>
          <w:sz w:val="24"/>
          <w:szCs w:val="24"/>
        </w:rPr>
        <w:t>.</w:t>
      </w:r>
    </w:p>
    <w:p w:rsidR="00803F3B" w:rsidRPr="004E244E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b/>
          <w:kern w:val="28"/>
          <w:sz w:val="24"/>
          <w:szCs w:val="24"/>
        </w:rPr>
      </w:pPr>
      <w:r w:rsidRPr="00BD17F7">
        <w:rPr>
          <w:sz w:val="24"/>
          <w:szCs w:val="24"/>
        </w:rPr>
        <w:t xml:space="preserve">Når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anvendes i kombination med </w:t>
      </w:r>
      <w:proofErr w:type="spellStart"/>
      <w:r w:rsidRPr="00BD17F7"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>,</w:t>
      </w:r>
      <w:r w:rsidRPr="00BD17F7">
        <w:rPr>
          <w:sz w:val="24"/>
          <w:szCs w:val="24"/>
        </w:rPr>
        <w:t xml:space="preserve"> kan den undertrykkende virkning på hjertefrekvensen og respirationen forstærkes.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4.9</w:t>
      </w:r>
      <w:r w:rsidRPr="00BD17F7">
        <w:rPr>
          <w:b/>
          <w:sz w:val="24"/>
          <w:szCs w:val="24"/>
        </w:rPr>
        <w:tab/>
        <w:t>Dosering og indgivelsesmåde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4252"/>
        <w:gridCol w:w="2824"/>
      </w:tblGrid>
      <w:tr w:rsidR="00803F3B" w:rsidRPr="00450FFD" w:rsidTr="00AB5E79">
        <w:trPr>
          <w:jc w:val="center"/>
        </w:trPr>
        <w:tc>
          <w:tcPr>
            <w:tcW w:w="2154" w:type="dxa"/>
            <w:vAlign w:val="center"/>
          </w:tcPr>
          <w:p w:rsidR="00803F3B" w:rsidRPr="00450FFD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  <w:r w:rsidRPr="00450FFD">
              <w:rPr>
                <w:b/>
                <w:sz w:val="24"/>
                <w:szCs w:val="24"/>
                <w:lang w:eastAsia="da-DK"/>
              </w:rPr>
              <w:t>Dyreart og indgivelsesvej</w:t>
            </w:r>
          </w:p>
        </w:tc>
        <w:tc>
          <w:tcPr>
            <w:tcW w:w="4252" w:type="dxa"/>
            <w:vAlign w:val="center"/>
          </w:tcPr>
          <w:p w:rsidR="00803F3B" w:rsidRPr="00450FFD" w:rsidRDefault="00803F3B" w:rsidP="00AB5E79">
            <w:pPr>
              <w:rPr>
                <w:b/>
                <w:bCs/>
                <w:sz w:val="24"/>
                <w:szCs w:val="24"/>
                <w:lang w:eastAsia="da-DK"/>
              </w:rPr>
            </w:pPr>
            <w:r w:rsidRPr="00450FFD">
              <w:rPr>
                <w:b/>
                <w:sz w:val="24"/>
                <w:szCs w:val="24"/>
                <w:lang w:eastAsia="da-DK"/>
              </w:rPr>
              <w:t>Postoperativ analgesi</w:t>
            </w:r>
          </w:p>
        </w:tc>
        <w:tc>
          <w:tcPr>
            <w:tcW w:w="2824" w:type="dxa"/>
            <w:vAlign w:val="center"/>
          </w:tcPr>
          <w:p w:rsidR="00803F3B" w:rsidRPr="00450FFD" w:rsidRDefault="00803F3B" w:rsidP="00AB5E79">
            <w:pPr>
              <w:ind w:left="2"/>
              <w:rPr>
                <w:b/>
                <w:bCs/>
                <w:sz w:val="24"/>
                <w:szCs w:val="24"/>
                <w:lang w:eastAsia="da-DK"/>
              </w:rPr>
            </w:pPr>
            <w:r w:rsidRPr="00450FFD">
              <w:rPr>
                <w:b/>
                <w:sz w:val="24"/>
                <w:szCs w:val="24"/>
                <w:lang w:eastAsia="da-DK"/>
              </w:rPr>
              <w:t>Potensering af sederende virkning</w:t>
            </w:r>
          </w:p>
        </w:tc>
      </w:tr>
      <w:tr w:rsidR="00803F3B" w:rsidRPr="00450FFD" w:rsidTr="00AB5E79">
        <w:trPr>
          <w:jc w:val="center"/>
        </w:trPr>
        <w:tc>
          <w:tcPr>
            <w:tcW w:w="2154" w:type="dxa"/>
            <w:vAlign w:val="center"/>
          </w:tcPr>
          <w:p w:rsidR="00803F3B" w:rsidRPr="00BD17F7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</w:p>
          <w:p w:rsidR="00803F3B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  <w:r w:rsidRPr="00BD17F7">
              <w:rPr>
                <w:b/>
                <w:bCs/>
                <w:sz w:val="24"/>
                <w:szCs w:val="24"/>
                <w:lang w:eastAsia="da-DK"/>
              </w:rPr>
              <w:t>Hund</w:t>
            </w:r>
          </w:p>
          <w:p w:rsidR="00803F3B" w:rsidRPr="00450FFD" w:rsidRDefault="00803F3B" w:rsidP="00AB5E79">
            <w:pPr>
              <w:ind w:left="29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Intramuskulær eller intravenøs injektion</w:t>
            </w:r>
          </w:p>
        </w:tc>
        <w:tc>
          <w:tcPr>
            <w:tcW w:w="4252" w:type="dxa"/>
            <w:vAlign w:val="center"/>
          </w:tcPr>
          <w:p w:rsidR="00803F3B" w:rsidRDefault="00803F3B" w:rsidP="00AB5E79">
            <w:pPr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10-20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/kg* (0,3-0,6 ml præparat pr. 10 kg), der om nødvendigt gentages efter 3-4</w:t>
            </w:r>
            <w:r>
              <w:rPr>
                <w:sz w:val="24"/>
                <w:szCs w:val="24"/>
                <w:lang w:eastAsia="da-DK"/>
              </w:rPr>
              <w:t> timer med 10 </w:t>
            </w:r>
            <w:proofErr w:type="spellStart"/>
            <w:r>
              <w:rPr>
                <w:sz w:val="24"/>
                <w:szCs w:val="24"/>
                <w:lang w:eastAsia="da-DK"/>
              </w:rPr>
              <w:t>μg</w:t>
            </w:r>
            <w:proofErr w:type="spellEnd"/>
            <w:r>
              <w:rPr>
                <w:sz w:val="24"/>
                <w:szCs w:val="24"/>
                <w:lang w:eastAsia="da-DK"/>
              </w:rPr>
              <w:t>/kg eller efter</w:t>
            </w:r>
          </w:p>
          <w:p w:rsidR="00803F3B" w:rsidRPr="00450FFD" w:rsidRDefault="00803F3B" w:rsidP="00AB5E79">
            <w:pPr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5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6 timer med doser på 20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/kg</w:t>
            </w:r>
          </w:p>
        </w:tc>
        <w:tc>
          <w:tcPr>
            <w:tcW w:w="2824" w:type="dxa"/>
            <w:vAlign w:val="center"/>
          </w:tcPr>
          <w:p w:rsidR="00803F3B" w:rsidRPr="00450FFD" w:rsidRDefault="00803F3B" w:rsidP="00AB5E79">
            <w:pPr>
              <w:ind w:left="2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10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20 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/kg</w:t>
            </w:r>
            <w:r w:rsidRPr="00450FFD">
              <w:rPr>
                <w:sz w:val="24"/>
                <w:szCs w:val="24"/>
                <w:lang w:eastAsia="da-DK"/>
              </w:rPr>
              <w:br/>
              <w:t>(0,3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0,6 ml præparat pr. 10 kg)</w:t>
            </w:r>
          </w:p>
        </w:tc>
      </w:tr>
      <w:tr w:rsidR="00803F3B" w:rsidRPr="00450FFD" w:rsidTr="00AB5E79">
        <w:trPr>
          <w:jc w:val="center"/>
        </w:trPr>
        <w:tc>
          <w:tcPr>
            <w:tcW w:w="2154" w:type="dxa"/>
            <w:vAlign w:val="center"/>
          </w:tcPr>
          <w:p w:rsidR="00803F3B" w:rsidRPr="00BD17F7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</w:p>
          <w:p w:rsidR="00803F3B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  <w:r w:rsidRPr="00BD17F7">
              <w:rPr>
                <w:b/>
                <w:bCs/>
                <w:sz w:val="24"/>
                <w:szCs w:val="24"/>
                <w:lang w:eastAsia="da-DK"/>
              </w:rPr>
              <w:t>Kat</w:t>
            </w:r>
          </w:p>
          <w:p w:rsidR="00803F3B" w:rsidRPr="00450FFD" w:rsidRDefault="00803F3B" w:rsidP="00AB5E79">
            <w:pPr>
              <w:ind w:left="29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Intramuskulær eller intravenøs</w:t>
            </w:r>
          </w:p>
          <w:p w:rsidR="00803F3B" w:rsidRPr="00450FFD" w:rsidRDefault="00803F3B" w:rsidP="00AB5E79">
            <w:pPr>
              <w:ind w:left="29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injektion</w:t>
            </w:r>
          </w:p>
        </w:tc>
        <w:tc>
          <w:tcPr>
            <w:tcW w:w="4252" w:type="dxa"/>
            <w:vAlign w:val="center"/>
          </w:tcPr>
          <w:p w:rsidR="00803F3B" w:rsidRPr="00450FFD" w:rsidRDefault="00803F3B" w:rsidP="00AB5E79">
            <w:pPr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10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20 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/kg (0,3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0,6 ml præparat pr. 10 kg), der om nød</w:t>
            </w:r>
            <w:r>
              <w:rPr>
                <w:sz w:val="24"/>
                <w:szCs w:val="24"/>
                <w:lang w:eastAsia="da-DK"/>
              </w:rPr>
              <w:t>vendigt gentages én gang efter 1-</w:t>
            </w:r>
            <w:r w:rsidRPr="00450FFD">
              <w:rPr>
                <w:sz w:val="24"/>
                <w:szCs w:val="24"/>
                <w:lang w:eastAsia="da-DK"/>
              </w:rPr>
              <w:t>2 timer</w:t>
            </w:r>
          </w:p>
        </w:tc>
        <w:tc>
          <w:tcPr>
            <w:tcW w:w="2824" w:type="dxa"/>
            <w:vAlign w:val="center"/>
          </w:tcPr>
          <w:p w:rsidR="00803F3B" w:rsidRPr="00450FFD" w:rsidRDefault="00803F3B" w:rsidP="00AB5E79">
            <w:pPr>
              <w:ind w:left="2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--</w:t>
            </w:r>
          </w:p>
        </w:tc>
      </w:tr>
      <w:tr w:rsidR="00803F3B" w:rsidRPr="00450FFD" w:rsidTr="00AB5E79">
        <w:trPr>
          <w:trHeight w:val="1591"/>
          <w:jc w:val="center"/>
        </w:trPr>
        <w:tc>
          <w:tcPr>
            <w:tcW w:w="2154" w:type="dxa"/>
            <w:vAlign w:val="center"/>
          </w:tcPr>
          <w:p w:rsidR="00803F3B" w:rsidRDefault="00803F3B" w:rsidP="00AB5E79">
            <w:pPr>
              <w:ind w:left="29"/>
              <w:rPr>
                <w:b/>
                <w:bCs/>
                <w:sz w:val="24"/>
                <w:szCs w:val="24"/>
                <w:lang w:eastAsia="da-DK"/>
              </w:rPr>
            </w:pPr>
            <w:r w:rsidRPr="00BD17F7">
              <w:rPr>
                <w:b/>
                <w:bCs/>
                <w:sz w:val="24"/>
                <w:szCs w:val="24"/>
                <w:lang w:eastAsia="da-DK"/>
              </w:rPr>
              <w:t>Heste</w:t>
            </w:r>
          </w:p>
          <w:p w:rsidR="00803F3B" w:rsidRPr="00450FFD" w:rsidRDefault="00803F3B" w:rsidP="00AB5E79">
            <w:pPr>
              <w:ind w:left="29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Intravenøs injektion</w:t>
            </w:r>
          </w:p>
        </w:tc>
        <w:tc>
          <w:tcPr>
            <w:tcW w:w="4252" w:type="dxa"/>
            <w:vAlign w:val="center"/>
          </w:tcPr>
          <w:p w:rsidR="00803F3B" w:rsidRPr="00450FFD" w:rsidRDefault="00803F3B" w:rsidP="00AB5E79">
            <w:pPr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10 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 xml:space="preserve">/kg (3,3 ml præparat pr. 100 kg) 5 minutter efter indgivelse af et intravenøst 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sedativum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. Dosis kan om nødvendigt gentages én gang efter mindst 1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450FFD">
              <w:rPr>
                <w:sz w:val="24"/>
                <w:szCs w:val="24"/>
                <w:lang w:eastAsia="da-DK"/>
              </w:rPr>
              <w:t>2 timer, i kombination med</w:t>
            </w:r>
          </w:p>
          <w:p w:rsidR="00803F3B" w:rsidRPr="00450FFD" w:rsidRDefault="00803F3B" w:rsidP="00AB5E79">
            <w:pPr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 xml:space="preserve">intravenøs 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sedering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.</w:t>
            </w:r>
          </w:p>
        </w:tc>
        <w:tc>
          <w:tcPr>
            <w:tcW w:w="2824" w:type="dxa"/>
            <w:vAlign w:val="center"/>
          </w:tcPr>
          <w:p w:rsidR="00803F3B" w:rsidRPr="00450FFD" w:rsidRDefault="00803F3B" w:rsidP="00AB5E79">
            <w:pPr>
              <w:ind w:left="2"/>
              <w:rPr>
                <w:sz w:val="24"/>
                <w:szCs w:val="24"/>
                <w:lang w:eastAsia="da-DK"/>
              </w:rPr>
            </w:pPr>
            <w:r w:rsidRPr="00450FFD">
              <w:rPr>
                <w:sz w:val="24"/>
                <w:szCs w:val="24"/>
                <w:lang w:eastAsia="da-DK"/>
              </w:rPr>
              <w:t>5 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μg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 xml:space="preserve">/kg (1,7 ml præparat pr. 100 kg) 5 minutter efter indgivelse af et intravenøs </w:t>
            </w:r>
            <w:proofErr w:type="spellStart"/>
            <w:r w:rsidRPr="00450FFD">
              <w:rPr>
                <w:sz w:val="24"/>
                <w:szCs w:val="24"/>
                <w:lang w:eastAsia="da-DK"/>
              </w:rPr>
              <w:t>sedativum</w:t>
            </w:r>
            <w:proofErr w:type="spellEnd"/>
            <w:r w:rsidRPr="00450FFD">
              <w:rPr>
                <w:sz w:val="24"/>
                <w:szCs w:val="24"/>
                <w:lang w:eastAsia="da-DK"/>
              </w:rPr>
              <w:t>, der om nødvendigt gentages efter 10 minutter.</w:t>
            </w:r>
          </w:p>
        </w:tc>
      </w:tr>
    </w:tbl>
    <w:p w:rsidR="00803F3B" w:rsidRDefault="008E1036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* Doseringerne udtrykt i </w:t>
      </w:r>
      <w:r>
        <w:rPr>
          <w:sz w:val="24"/>
          <w:szCs w:val="24"/>
          <w:lang w:val="en-GB" w:eastAsia="da-DK"/>
        </w:rPr>
        <w:t>μ</w:t>
      </w:r>
      <w:r>
        <w:rPr>
          <w:sz w:val="24"/>
          <w:szCs w:val="24"/>
          <w:lang w:eastAsia="da-DK"/>
        </w:rPr>
        <w:t xml:space="preserve">g/kg i tabellen ovenfor henviser til </w:t>
      </w:r>
      <w:proofErr w:type="spellStart"/>
      <w:r>
        <w:rPr>
          <w:sz w:val="24"/>
          <w:szCs w:val="24"/>
          <w:lang w:eastAsia="da-DK"/>
        </w:rPr>
        <w:t>buprenorphin</w:t>
      </w:r>
      <w:proofErr w:type="spellEnd"/>
      <w:r>
        <w:rPr>
          <w:sz w:val="24"/>
          <w:szCs w:val="24"/>
          <w:lang w:eastAsia="da-DK"/>
        </w:rPr>
        <w:t xml:space="preserve"> (som </w:t>
      </w:r>
      <w:proofErr w:type="spellStart"/>
      <w:r>
        <w:rPr>
          <w:sz w:val="24"/>
          <w:szCs w:val="24"/>
          <w:lang w:eastAsia="da-DK"/>
        </w:rPr>
        <w:t>hydrochlorid</w:t>
      </w:r>
      <w:proofErr w:type="spellEnd"/>
      <w:r>
        <w:rPr>
          <w:sz w:val="24"/>
          <w:szCs w:val="24"/>
          <w:lang w:eastAsia="da-DK"/>
        </w:rPr>
        <w:t>). Kg i tabellen henviser til kropsvægt</w:t>
      </w:r>
      <w:r>
        <w:rPr>
          <w:sz w:val="24"/>
          <w:szCs w:val="24"/>
          <w:lang w:eastAsia="da-DK"/>
        </w:rPr>
        <w:t>.</w:t>
      </w:r>
    </w:p>
    <w:p w:rsidR="008E1036" w:rsidRPr="00450FFD" w:rsidRDefault="008E1036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Når </w:t>
      </w:r>
      <w:proofErr w:type="spellStart"/>
      <w:r w:rsidRPr="00450FFD">
        <w:rPr>
          <w:sz w:val="24"/>
          <w:szCs w:val="24"/>
          <w:lang w:eastAsia="da-DK"/>
        </w:rPr>
        <w:t>buprenorphin</w:t>
      </w:r>
      <w:proofErr w:type="spellEnd"/>
      <w:r w:rsidRPr="00450FFD">
        <w:rPr>
          <w:sz w:val="24"/>
          <w:szCs w:val="24"/>
          <w:lang w:eastAsia="da-DK"/>
        </w:rPr>
        <w:t xml:space="preserve"> anvendes til heste, skal der administreres et intravenøst </w:t>
      </w:r>
      <w:proofErr w:type="spellStart"/>
      <w:r w:rsidRPr="00450FFD">
        <w:rPr>
          <w:sz w:val="24"/>
          <w:szCs w:val="24"/>
          <w:lang w:eastAsia="da-DK"/>
        </w:rPr>
        <w:t>sedativum</w:t>
      </w:r>
      <w:proofErr w:type="spellEnd"/>
      <w:r w:rsidRPr="00450FFD">
        <w:rPr>
          <w:sz w:val="24"/>
          <w:szCs w:val="24"/>
          <w:lang w:eastAsia="da-DK"/>
        </w:rPr>
        <w:t xml:space="preserve"> inden for fem minutter før injektionen.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Hos hunde </w:t>
      </w:r>
      <w:proofErr w:type="spellStart"/>
      <w:r w:rsidRPr="00450FFD">
        <w:rPr>
          <w:sz w:val="24"/>
          <w:szCs w:val="24"/>
          <w:lang w:eastAsia="da-DK"/>
        </w:rPr>
        <w:t>indtræderer</w:t>
      </w:r>
      <w:proofErr w:type="spellEnd"/>
      <w:r w:rsidRPr="00450FFD">
        <w:rPr>
          <w:sz w:val="24"/>
          <w:szCs w:val="24"/>
          <w:lang w:eastAsia="da-DK"/>
        </w:rPr>
        <w:t xml:space="preserve"> den sederende virkning 15 minutter efter </w:t>
      </w:r>
      <w:proofErr w:type="spellStart"/>
      <w:r w:rsidRPr="00450FFD">
        <w:rPr>
          <w:sz w:val="24"/>
          <w:szCs w:val="24"/>
          <w:lang w:eastAsia="da-DK"/>
        </w:rPr>
        <w:t>indgivelseen</w:t>
      </w:r>
      <w:proofErr w:type="spellEnd"/>
      <w:r w:rsidRPr="00450FFD">
        <w:rPr>
          <w:sz w:val="24"/>
          <w:szCs w:val="24"/>
          <w:lang w:eastAsia="da-DK"/>
        </w:rPr>
        <w:t>.</w:t>
      </w:r>
    </w:p>
    <w:p w:rsidR="00803F3B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>Fuld smertestillende effekt indtræder først op til 30 minutter efter indgivelse. For at sikre analgesi under operationen og umiddelbart efter opvågningen, skal præparatet administreres præoperativt som en del af præmedicineringen.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Ved indgivelse for at potensere </w:t>
      </w:r>
      <w:proofErr w:type="spellStart"/>
      <w:r w:rsidRPr="00450FFD">
        <w:rPr>
          <w:sz w:val="24"/>
          <w:szCs w:val="24"/>
          <w:lang w:eastAsia="da-DK"/>
        </w:rPr>
        <w:t>sedering</w:t>
      </w:r>
      <w:proofErr w:type="spellEnd"/>
      <w:r w:rsidRPr="00450FFD">
        <w:rPr>
          <w:sz w:val="24"/>
          <w:szCs w:val="24"/>
          <w:lang w:eastAsia="da-DK"/>
        </w:rPr>
        <w:t xml:space="preserve"> eller som en del af præmedicineringen, skal dosis af andre centralt virkende midler, såsom </w:t>
      </w:r>
      <w:proofErr w:type="spellStart"/>
      <w:r w:rsidRPr="00450FFD">
        <w:rPr>
          <w:sz w:val="24"/>
          <w:szCs w:val="24"/>
          <w:lang w:eastAsia="da-DK"/>
        </w:rPr>
        <w:t>acepromazin</w:t>
      </w:r>
      <w:proofErr w:type="spellEnd"/>
      <w:r w:rsidRPr="00450FFD">
        <w:rPr>
          <w:sz w:val="24"/>
          <w:szCs w:val="24"/>
          <w:lang w:eastAsia="da-DK"/>
        </w:rPr>
        <w:t xml:space="preserve"> eller </w:t>
      </w:r>
      <w:proofErr w:type="spellStart"/>
      <w:r w:rsidRPr="00450FFD">
        <w:rPr>
          <w:sz w:val="24"/>
          <w:szCs w:val="24"/>
          <w:lang w:eastAsia="da-DK"/>
        </w:rPr>
        <w:t>medetomidin</w:t>
      </w:r>
      <w:proofErr w:type="spellEnd"/>
      <w:r w:rsidRPr="00450FFD">
        <w:rPr>
          <w:sz w:val="24"/>
          <w:szCs w:val="24"/>
          <w:lang w:eastAsia="da-DK"/>
        </w:rPr>
        <w:t xml:space="preserve">, reduceres. Reduktionen vil afhænge af hvor meget </w:t>
      </w:r>
      <w:proofErr w:type="spellStart"/>
      <w:r w:rsidRPr="00450FFD">
        <w:rPr>
          <w:sz w:val="24"/>
          <w:szCs w:val="24"/>
          <w:lang w:eastAsia="da-DK"/>
        </w:rPr>
        <w:t>sedering</w:t>
      </w:r>
      <w:proofErr w:type="spellEnd"/>
      <w:r w:rsidRPr="00450FFD">
        <w:rPr>
          <w:sz w:val="24"/>
          <w:szCs w:val="24"/>
          <w:lang w:eastAsia="da-DK"/>
        </w:rPr>
        <w:t xml:space="preserve"> er nødvendig, det enkelte dyr, typen af </w:t>
      </w:r>
      <w:r w:rsidRPr="00450FFD">
        <w:rPr>
          <w:sz w:val="24"/>
          <w:szCs w:val="24"/>
          <w:lang w:eastAsia="da-DK"/>
        </w:rPr>
        <w:lastRenderedPageBreak/>
        <w:t>andre mi</w:t>
      </w:r>
      <w:r>
        <w:rPr>
          <w:sz w:val="24"/>
          <w:szCs w:val="24"/>
          <w:lang w:eastAsia="da-DK"/>
        </w:rPr>
        <w:t>dler i præmedicineringen samt</w:t>
      </w:r>
      <w:r w:rsidRPr="00450FFD">
        <w:rPr>
          <w:sz w:val="24"/>
          <w:szCs w:val="24"/>
          <w:lang w:eastAsia="da-DK"/>
        </w:rPr>
        <w:t xml:space="preserve"> hvordan anæstesien skal induceres og opretholdes. Det kan også være muligt at reducere mængden af </w:t>
      </w:r>
      <w:proofErr w:type="spellStart"/>
      <w:r w:rsidRPr="00450FFD">
        <w:rPr>
          <w:sz w:val="24"/>
          <w:szCs w:val="24"/>
          <w:lang w:eastAsia="da-DK"/>
        </w:rPr>
        <w:t>inhalationsanæstetika</w:t>
      </w:r>
      <w:proofErr w:type="spellEnd"/>
      <w:r w:rsidRPr="00450FFD">
        <w:rPr>
          <w:sz w:val="24"/>
          <w:szCs w:val="24"/>
          <w:lang w:eastAsia="da-DK"/>
        </w:rPr>
        <w:t>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 xml:space="preserve">Når dyr får opioider med sederende eller analgetiske egenskaber, kan de udvise variabelt respons. Derfor skal responset hos det enkelte dyr overvåges, og de efterfølgende doser skal justeres i henhold hertil. I nogle tilfælde kan det forekomme, at gentagne doser ikke giver yderligere analgesi. I disse tilfælde bør det overvejes at anvende et egnet </w:t>
      </w:r>
      <w:proofErr w:type="spellStart"/>
      <w:r w:rsidRPr="00450FFD">
        <w:rPr>
          <w:sz w:val="24"/>
          <w:szCs w:val="24"/>
          <w:lang w:eastAsia="da-DK"/>
        </w:rPr>
        <w:t>injicerbart</w:t>
      </w:r>
      <w:proofErr w:type="spellEnd"/>
      <w:r w:rsidRPr="00450FFD">
        <w:rPr>
          <w:sz w:val="24"/>
          <w:szCs w:val="24"/>
          <w:lang w:eastAsia="da-DK"/>
        </w:rPr>
        <w:t xml:space="preserve"> NSAID.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>Der skal anvendes en sprøjte med passende gradueringer for at administrere en nøjagtig dosis.</w:t>
      </w:r>
    </w:p>
    <w:p w:rsidR="00803F3B" w:rsidRPr="00450FFD" w:rsidRDefault="00803F3B" w:rsidP="00803F3B">
      <w:pPr>
        <w:tabs>
          <w:tab w:val="left" w:pos="851"/>
        </w:tabs>
        <w:ind w:left="851"/>
        <w:contextualSpacing/>
        <w:rPr>
          <w:sz w:val="24"/>
          <w:szCs w:val="24"/>
          <w:lang w:eastAsia="da-DK"/>
        </w:rPr>
      </w:pPr>
      <w:r w:rsidRPr="00450FFD">
        <w:rPr>
          <w:sz w:val="24"/>
          <w:szCs w:val="24"/>
          <w:lang w:eastAsia="da-DK"/>
        </w:rPr>
        <w:t>Lukningen må ikke gennembrydes over 100 gange (med en 21G- eller 23G-kanyle).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4.10</w:t>
      </w:r>
      <w:r w:rsidRPr="00BD17F7">
        <w:rPr>
          <w:b/>
          <w:sz w:val="24"/>
          <w:szCs w:val="24"/>
        </w:rPr>
        <w:tab/>
        <w:t>Overdosering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I tilfælde af overdosering skal der iværksættes støttende forholdsregler, og der kan om nødvendigt anvendes </w:t>
      </w:r>
      <w:proofErr w:type="spellStart"/>
      <w:r w:rsidRPr="00BD17F7">
        <w:rPr>
          <w:sz w:val="24"/>
          <w:szCs w:val="24"/>
        </w:rPr>
        <w:t>naloxon</w:t>
      </w:r>
      <w:proofErr w:type="spellEnd"/>
      <w:r w:rsidRPr="00BD17F7">
        <w:rPr>
          <w:sz w:val="24"/>
          <w:szCs w:val="24"/>
        </w:rPr>
        <w:t xml:space="preserve"> eller </w:t>
      </w:r>
      <w:proofErr w:type="spellStart"/>
      <w:r w:rsidRPr="00BD17F7">
        <w:rPr>
          <w:sz w:val="24"/>
          <w:szCs w:val="24"/>
        </w:rPr>
        <w:t>respirationsstimulantia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Når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administreres som en overdosering til hunde, kan det forårsage letargi. Ved meget høje doser kan der observeres bradykardi og </w:t>
      </w:r>
      <w:proofErr w:type="spellStart"/>
      <w:r w:rsidRPr="00BD17F7">
        <w:rPr>
          <w:sz w:val="24"/>
          <w:szCs w:val="24"/>
        </w:rPr>
        <w:t>miosis</w:t>
      </w:r>
      <w:proofErr w:type="spellEnd"/>
      <w:r w:rsidRPr="00BD17F7">
        <w:rPr>
          <w:sz w:val="24"/>
          <w:szCs w:val="24"/>
        </w:rPr>
        <w:t>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I studier med heste, hvor </w:t>
      </w:r>
      <w:proofErr w:type="spellStart"/>
      <w:r w:rsidRPr="00BD17F7">
        <w:rPr>
          <w:sz w:val="24"/>
          <w:szCs w:val="24"/>
        </w:rPr>
        <w:t>buprenorphin</w:t>
      </w:r>
      <w:proofErr w:type="spellEnd"/>
      <w:r w:rsidRPr="00BD17F7">
        <w:rPr>
          <w:sz w:val="24"/>
          <w:szCs w:val="24"/>
        </w:rPr>
        <w:t xml:space="preserve"> er blevet administreret sammen med </w:t>
      </w:r>
      <w:proofErr w:type="spellStart"/>
      <w:r w:rsidRPr="00BD17F7">
        <w:rPr>
          <w:sz w:val="24"/>
          <w:szCs w:val="24"/>
        </w:rPr>
        <w:t>sedativa</w:t>
      </w:r>
      <w:proofErr w:type="spellEnd"/>
      <w:r w:rsidRPr="00BD17F7">
        <w:rPr>
          <w:sz w:val="24"/>
          <w:szCs w:val="24"/>
        </w:rPr>
        <w:t>, blev der påvist meget få virkninger ved op til fem gange den anbefalede dosis, men ved indgivelse alene kan det forårsage uro.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Når lægemidlet anvendes med henblik på en analgetisk virkning til heste</w:t>
      </w:r>
      <w:r>
        <w:rPr>
          <w:sz w:val="24"/>
          <w:szCs w:val="24"/>
        </w:rPr>
        <w:t>,</w:t>
      </w:r>
      <w:r w:rsidRPr="00BD17F7">
        <w:rPr>
          <w:sz w:val="24"/>
          <w:szCs w:val="24"/>
        </w:rPr>
        <w:t xml:space="preserve"> ses der sjældent </w:t>
      </w:r>
      <w:proofErr w:type="spellStart"/>
      <w:r w:rsidRPr="00BD17F7">
        <w:rPr>
          <w:sz w:val="24"/>
          <w:szCs w:val="24"/>
        </w:rPr>
        <w:t>sedering</w:t>
      </w:r>
      <w:proofErr w:type="spellEnd"/>
      <w:r w:rsidRPr="00BD17F7">
        <w:rPr>
          <w:sz w:val="24"/>
          <w:szCs w:val="24"/>
        </w:rPr>
        <w:t>, men det kan opstå ved dosering over de anbefalede niveauer.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Naloxon</w:t>
      </w:r>
      <w:proofErr w:type="spellEnd"/>
      <w:r>
        <w:rPr>
          <w:sz w:val="24"/>
          <w:szCs w:val="24"/>
        </w:rPr>
        <w:t xml:space="preserve"> kan med fordel anvendes til at revertere en nedsat respirationsfrekvens.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 xml:space="preserve">I toksikologistudier hos hunde med </w:t>
      </w:r>
      <w:proofErr w:type="spellStart"/>
      <w:r w:rsidRPr="00BD17F7">
        <w:rPr>
          <w:sz w:val="24"/>
          <w:szCs w:val="24"/>
        </w:rPr>
        <w:t>buprenorphinhydrochlorid</w:t>
      </w:r>
      <w:proofErr w:type="spellEnd"/>
      <w:r w:rsidRPr="00BD17F7">
        <w:rPr>
          <w:sz w:val="24"/>
          <w:szCs w:val="24"/>
        </w:rPr>
        <w:t xml:space="preserve"> blev der observeret biliær </w:t>
      </w:r>
      <w:proofErr w:type="spellStart"/>
      <w:r w:rsidRPr="00BD17F7">
        <w:rPr>
          <w:sz w:val="24"/>
          <w:szCs w:val="24"/>
        </w:rPr>
        <w:t>hyperplasi</w:t>
      </w:r>
      <w:proofErr w:type="spellEnd"/>
      <w:r w:rsidRPr="00BD17F7">
        <w:rPr>
          <w:sz w:val="24"/>
          <w:szCs w:val="24"/>
        </w:rPr>
        <w:t xml:space="preserve"> efter oral indgivelse i et år ved doseringsniveauer på 3,5 mg/kg/dag og derover. Der blev ikke observeret biliær </w:t>
      </w:r>
      <w:proofErr w:type="spellStart"/>
      <w:r w:rsidRPr="00BD17F7">
        <w:rPr>
          <w:sz w:val="24"/>
          <w:szCs w:val="24"/>
        </w:rPr>
        <w:t>hyperplasi</w:t>
      </w:r>
      <w:proofErr w:type="spellEnd"/>
      <w:r w:rsidRPr="00BD17F7">
        <w:rPr>
          <w:sz w:val="24"/>
          <w:szCs w:val="24"/>
        </w:rPr>
        <w:t xml:space="preserve"> efter daglige intramuskulære injektioner ved dosisniveauer på op til 2,5 mg/kg/dag i 3 måneder. Dette er meget højere end noget klinisk doseringsprogram til hunde (se også pkt. 4.5 og 4.6).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4.11</w:t>
      </w:r>
      <w:r w:rsidRPr="00BD17F7">
        <w:rPr>
          <w:b/>
          <w:sz w:val="24"/>
          <w:szCs w:val="24"/>
        </w:rPr>
        <w:tab/>
        <w:t>Tilbageholdelsestid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BD17F7">
        <w:rPr>
          <w:sz w:val="24"/>
          <w:szCs w:val="24"/>
        </w:rPr>
        <w:t>Må ikke anvendes til heste bestemt til menneskeføde.</w:t>
      </w:r>
    </w:p>
    <w:p w:rsidR="00803F3B" w:rsidRPr="00BD17F7" w:rsidRDefault="00803F3B" w:rsidP="00803F3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5.</w:t>
      </w:r>
      <w:r w:rsidRPr="00BD17F7">
        <w:rPr>
          <w:b/>
          <w:sz w:val="24"/>
          <w:szCs w:val="24"/>
        </w:rPr>
        <w:tab/>
        <w:t>FARMAKOLOGISKE EGENSKABER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gruppe: Opioider, </w:t>
      </w:r>
      <w:proofErr w:type="spellStart"/>
      <w:r>
        <w:rPr>
          <w:sz w:val="24"/>
          <w:szCs w:val="24"/>
        </w:rPr>
        <w:t>oripavin</w:t>
      </w:r>
      <w:proofErr w:type="spellEnd"/>
      <w:r>
        <w:rPr>
          <w:sz w:val="24"/>
          <w:szCs w:val="24"/>
        </w:rPr>
        <w:t xml:space="preserve">-derivater, </w:t>
      </w: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>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ATCvet</w:t>
      </w:r>
      <w:proofErr w:type="spellEnd"/>
      <w:r>
        <w:rPr>
          <w:sz w:val="24"/>
          <w:szCs w:val="24"/>
        </w:rPr>
        <w:t>-kode: QN 02 AE 01.</w:t>
      </w:r>
    </w:p>
    <w:p w:rsidR="00803F3B" w:rsidRPr="00BD17F7" w:rsidRDefault="00803F3B" w:rsidP="00803F3B">
      <w:pPr>
        <w:tabs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5.1</w:t>
      </w:r>
      <w:r w:rsidRPr="00BD17F7">
        <w:rPr>
          <w:b/>
          <w:sz w:val="24"/>
          <w:szCs w:val="24"/>
        </w:rPr>
        <w:tab/>
      </w:r>
      <w:proofErr w:type="spellStart"/>
      <w:r w:rsidRPr="00BD17F7">
        <w:rPr>
          <w:b/>
          <w:sz w:val="24"/>
          <w:szCs w:val="24"/>
        </w:rPr>
        <w:t>Farmakodynamiske</w:t>
      </w:r>
      <w:proofErr w:type="spellEnd"/>
      <w:r w:rsidRPr="00BD17F7">
        <w:rPr>
          <w:b/>
          <w:sz w:val="24"/>
          <w:szCs w:val="24"/>
        </w:rPr>
        <w:t xml:space="preserve"> egenskaber</w:t>
      </w:r>
    </w:p>
    <w:p w:rsidR="00803F3B" w:rsidRPr="0095727E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95727E">
        <w:rPr>
          <w:sz w:val="24"/>
          <w:szCs w:val="24"/>
        </w:rPr>
        <w:t xml:space="preserve">Samlet er </w:t>
      </w: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et potent, langvarigt </w:t>
      </w:r>
      <w:proofErr w:type="spellStart"/>
      <w:r w:rsidRPr="0095727E">
        <w:rPr>
          <w:sz w:val="24"/>
          <w:szCs w:val="24"/>
        </w:rPr>
        <w:t>analgetikum</w:t>
      </w:r>
      <w:proofErr w:type="spellEnd"/>
      <w:r w:rsidRPr="0095727E">
        <w:rPr>
          <w:sz w:val="24"/>
          <w:szCs w:val="24"/>
        </w:rPr>
        <w:t>, som virker på opiatreceptorer i det centrale nervesystem.</w:t>
      </w:r>
    </w:p>
    <w:p w:rsidR="00803F3B" w:rsidRPr="0095727E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kan potensere virkningen af andre centralt virkende midler, men i modsætning til de fleste opiater er </w:t>
      </w:r>
      <w:proofErr w:type="spellStart"/>
      <w:r w:rsidRPr="0095727E">
        <w:rPr>
          <w:sz w:val="24"/>
          <w:szCs w:val="24"/>
        </w:rPr>
        <w:t>buprenorphins</w:t>
      </w:r>
      <w:proofErr w:type="spellEnd"/>
      <w:r w:rsidRPr="0095727E">
        <w:rPr>
          <w:sz w:val="24"/>
          <w:szCs w:val="24"/>
        </w:rPr>
        <w:t xml:space="preserve"> egen sederende effekt ved kliniske doser kun begrænset.</w:t>
      </w:r>
    </w:p>
    <w:p w:rsidR="00803F3B" w:rsidRPr="0095727E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udøver sin analgetiske effekt via højaffinitetsbinding til forskellige undergrupper af opiatreceptorer, især µ, i det centrale nervesystem. Ved kliniske dosisniveauer for </w:t>
      </w:r>
      <w:proofErr w:type="spellStart"/>
      <w:r w:rsidRPr="0095727E">
        <w:rPr>
          <w:sz w:val="24"/>
          <w:szCs w:val="24"/>
        </w:rPr>
        <w:t>analgetika</w:t>
      </w:r>
      <w:proofErr w:type="spellEnd"/>
      <w:r w:rsidRPr="0095727E">
        <w:rPr>
          <w:sz w:val="24"/>
          <w:szCs w:val="24"/>
        </w:rPr>
        <w:t xml:space="preserve"> binder </w:t>
      </w: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til opiatreceptorer med en høj affinitet og </w:t>
      </w:r>
      <w:r w:rsidRPr="0095727E">
        <w:rPr>
          <w:sz w:val="24"/>
          <w:szCs w:val="24"/>
        </w:rPr>
        <w:lastRenderedPageBreak/>
        <w:t xml:space="preserve">med en høj </w:t>
      </w:r>
      <w:proofErr w:type="spellStart"/>
      <w:r w:rsidRPr="0095727E">
        <w:rPr>
          <w:sz w:val="24"/>
          <w:szCs w:val="24"/>
        </w:rPr>
        <w:t>receptoraviditet</w:t>
      </w:r>
      <w:proofErr w:type="spellEnd"/>
      <w:r w:rsidRPr="0095727E">
        <w:rPr>
          <w:sz w:val="24"/>
          <w:szCs w:val="24"/>
        </w:rPr>
        <w:t xml:space="preserve">, således at dissociationen fra receptorstedet er langsom, som vist i </w:t>
      </w:r>
      <w:r w:rsidRPr="0095727E">
        <w:rPr>
          <w:i/>
          <w:sz w:val="24"/>
          <w:szCs w:val="24"/>
        </w:rPr>
        <w:t xml:space="preserve">in </w:t>
      </w:r>
      <w:proofErr w:type="spellStart"/>
      <w:r w:rsidRPr="0095727E">
        <w:rPr>
          <w:i/>
          <w:sz w:val="24"/>
          <w:szCs w:val="24"/>
        </w:rPr>
        <w:t>vitro</w:t>
      </w:r>
      <w:proofErr w:type="spellEnd"/>
      <w:r w:rsidRPr="0095727E">
        <w:rPr>
          <w:sz w:val="24"/>
          <w:szCs w:val="24"/>
        </w:rPr>
        <w:t>-studier.</w:t>
      </w:r>
    </w:p>
    <w:p w:rsidR="00803F3B" w:rsidRPr="0095727E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95727E">
        <w:rPr>
          <w:sz w:val="24"/>
          <w:szCs w:val="24"/>
        </w:rPr>
        <w:t xml:space="preserve">Denne unikke egenskab ved </w:t>
      </w: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kunne forklare den længere aktivitet, sammenlignet med morfin. I omstændigheder, hvor en anden opioidagonist allerede har mættet opioidreceptorerne, kan </w:t>
      </w: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udøve en narkotisk antagonistisk aktivitet som følge af den høje affinitet for opiatreceptorer, således at en antagonistisk virkning på morfin svarende til </w:t>
      </w:r>
      <w:proofErr w:type="spellStart"/>
      <w:r w:rsidRPr="0095727E">
        <w:rPr>
          <w:sz w:val="24"/>
          <w:szCs w:val="24"/>
        </w:rPr>
        <w:t>naloxon</w:t>
      </w:r>
      <w:proofErr w:type="spellEnd"/>
      <w:r w:rsidRPr="0095727E">
        <w:rPr>
          <w:sz w:val="24"/>
          <w:szCs w:val="24"/>
        </w:rPr>
        <w:t>, er blevet vist.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95727E">
        <w:rPr>
          <w:sz w:val="24"/>
          <w:szCs w:val="24"/>
        </w:rPr>
        <w:t>Buprenorphin</w:t>
      </w:r>
      <w:proofErr w:type="spellEnd"/>
      <w:r w:rsidRPr="0095727E">
        <w:rPr>
          <w:sz w:val="24"/>
          <w:szCs w:val="24"/>
        </w:rPr>
        <w:t xml:space="preserve"> har kun en lille virkning på mave-tarm-kanalens </w:t>
      </w:r>
      <w:proofErr w:type="spellStart"/>
      <w:r w:rsidRPr="0095727E">
        <w:rPr>
          <w:sz w:val="24"/>
          <w:szCs w:val="24"/>
        </w:rPr>
        <w:t>motilitet</w:t>
      </w:r>
      <w:proofErr w:type="spellEnd"/>
      <w:r w:rsidRPr="0095727E">
        <w:rPr>
          <w:sz w:val="24"/>
          <w:szCs w:val="24"/>
        </w:rPr>
        <w:t>.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BD17F7">
        <w:rPr>
          <w:sz w:val="24"/>
          <w:szCs w:val="24"/>
        </w:rPr>
        <w:tab/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5.2</w:t>
      </w:r>
      <w:r w:rsidRPr="00BD17F7">
        <w:rPr>
          <w:b/>
          <w:sz w:val="24"/>
          <w:szCs w:val="24"/>
        </w:rPr>
        <w:tab/>
      </w:r>
      <w:proofErr w:type="spellStart"/>
      <w:r w:rsidRPr="00BD17F7">
        <w:rPr>
          <w:b/>
          <w:sz w:val="24"/>
          <w:szCs w:val="24"/>
        </w:rPr>
        <w:t>Farmakokinetiske</w:t>
      </w:r>
      <w:proofErr w:type="spellEnd"/>
      <w:r w:rsidRPr="00BD17F7">
        <w:rPr>
          <w:b/>
          <w:sz w:val="24"/>
          <w:szCs w:val="24"/>
        </w:rPr>
        <w:t xml:space="preserve"> egenskaber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 xml:space="preserve"> absorberes hurtigt efter intramuskulær injektion hos forskellige dyrearter. Midlet er meget </w:t>
      </w:r>
      <w:proofErr w:type="spellStart"/>
      <w:r>
        <w:rPr>
          <w:sz w:val="24"/>
          <w:szCs w:val="24"/>
        </w:rPr>
        <w:t>lipofilt</w:t>
      </w:r>
      <w:proofErr w:type="spellEnd"/>
      <w:r>
        <w:rPr>
          <w:sz w:val="24"/>
          <w:szCs w:val="24"/>
        </w:rPr>
        <w:t>, og fordelingsvoluminet i kroppen er stort.</w:t>
      </w:r>
    </w:p>
    <w:p w:rsidR="00803F3B" w:rsidRPr="00097A10" w:rsidRDefault="00803F3B" w:rsidP="008E1036">
      <w:pPr>
        <w:pStyle w:val="BODY"/>
        <w:tabs>
          <w:tab w:val="clear" w:pos="567"/>
          <w:tab w:val="left" w:pos="851"/>
        </w:tabs>
        <w:spacing w:after="0"/>
        <w:rPr>
          <w:sz w:val="24"/>
          <w:szCs w:val="24"/>
        </w:rPr>
      </w:pP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Farmakologiske virkninger (f.eks. </w:t>
      </w:r>
      <w:proofErr w:type="spellStart"/>
      <w:r w:rsidRPr="00097A10">
        <w:rPr>
          <w:sz w:val="24"/>
          <w:szCs w:val="24"/>
        </w:rPr>
        <w:t>mydriasis</w:t>
      </w:r>
      <w:proofErr w:type="spellEnd"/>
      <w:r w:rsidRPr="00097A10">
        <w:rPr>
          <w:sz w:val="24"/>
          <w:szCs w:val="24"/>
        </w:rPr>
        <w:t xml:space="preserve">) kan forekomme i løbet af minutter efter indgivelse, og tegn på </w:t>
      </w:r>
      <w:proofErr w:type="spellStart"/>
      <w:r w:rsidRPr="00097A10">
        <w:rPr>
          <w:sz w:val="24"/>
          <w:szCs w:val="24"/>
        </w:rPr>
        <w:t>sedering</w:t>
      </w:r>
      <w:proofErr w:type="spellEnd"/>
      <w:r w:rsidRPr="00097A10">
        <w:rPr>
          <w:sz w:val="24"/>
          <w:szCs w:val="24"/>
        </w:rPr>
        <w:t xml:space="preserve"> op</w:t>
      </w:r>
      <w:r>
        <w:rPr>
          <w:sz w:val="24"/>
          <w:szCs w:val="24"/>
        </w:rPr>
        <w:t>står normalt efter 15 minutter.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>Analgetiske virkninger hos hunde og katte opstår efter ca. 30 minutter, og den maksimale virkning observeres normalt efter ca. 1-</w:t>
      </w:r>
      <w:r>
        <w:rPr>
          <w:sz w:val="24"/>
          <w:szCs w:val="24"/>
        </w:rPr>
        <w:t>1,5 timer.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Hos heste uden smerter opstår den </w:t>
      </w:r>
      <w:proofErr w:type="spellStart"/>
      <w:r w:rsidRPr="00097A10">
        <w:rPr>
          <w:sz w:val="24"/>
          <w:szCs w:val="24"/>
        </w:rPr>
        <w:t>antinociceptive</w:t>
      </w:r>
      <w:proofErr w:type="spellEnd"/>
      <w:r w:rsidRPr="00097A10">
        <w:rPr>
          <w:sz w:val="24"/>
          <w:szCs w:val="24"/>
        </w:rPr>
        <w:t xml:space="preserve"> virkning i løbet af de første 15-</w:t>
      </w:r>
      <w:r>
        <w:rPr>
          <w:sz w:val="24"/>
          <w:szCs w:val="24"/>
        </w:rPr>
        <w:t>30</w:t>
      </w:r>
    </w:p>
    <w:p w:rsidR="00803F3B" w:rsidRPr="00097A1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minutter. Den maksimale </w:t>
      </w:r>
      <w:proofErr w:type="spellStart"/>
      <w:r w:rsidRPr="00097A10">
        <w:rPr>
          <w:sz w:val="24"/>
          <w:szCs w:val="24"/>
        </w:rPr>
        <w:t>antinociceptive</w:t>
      </w:r>
      <w:proofErr w:type="spellEnd"/>
      <w:r w:rsidRPr="00097A10">
        <w:rPr>
          <w:sz w:val="24"/>
          <w:szCs w:val="24"/>
        </w:rPr>
        <w:t xml:space="preserve"> virkning opstår fra 45 minutter til 6 timer efter indgivelse.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>Efter intravenøs indgivelse til hunde ved en dosis på 20 </w:t>
      </w:r>
      <w:proofErr w:type="spellStart"/>
      <w:r w:rsidRPr="00097A10">
        <w:rPr>
          <w:sz w:val="24"/>
          <w:szCs w:val="24"/>
        </w:rPr>
        <w:t>μg</w:t>
      </w:r>
      <w:proofErr w:type="spellEnd"/>
      <w:r w:rsidRPr="00097A10">
        <w:rPr>
          <w:sz w:val="24"/>
          <w:szCs w:val="24"/>
        </w:rPr>
        <w:t xml:space="preserve">/kg var den gennemsnitlige terminale halveringstid 9 timer, og den gennemsnitlige </w:t>
      </w:r>
      <w:proofErr w:type="spellStart"/>
      <w:r w:rsidRPr="00097A10">
        <w:rPr>
          <w:sz w:val="24"/>
          <w:szCs w:val="24"/>
        </w:rPr>
        <w:t>clearance</w:t>
      </w:r>
      <w:proofErr w:type="spellEnd"/>
      <w:r w:rsidRPr="00097A10">
        <w:rPr>
          <w:sz w:val="24"/>
          <w:szCs w:val="24"/>
        </w:rPr>
        <w:t xml:space="preserve"> var 24 ml/kg/min. Der er imidlertid en betydelig variabilitet fra hund til hund med hensyn til </w:t>
      </w:r>
      <w:proofErr w:type="spellStart"/>
      <w:r w:rsidRPr="00097A10">
        <w:rPr>
          <w:sz w:val="24"/>
          <w:szCs w:val="24"/>
        </w:rPr>
        <w:t>farmakokinetiske</w:t>
      </w:r>
      <w:proofErr w:type="spellEnd"/>
      <w:r w:rsidRPr="00097A10">
        <w:rPr>
          <w:sz w:val="24"/>
          <w:szCs w:val="24"/>
        </w:rPr>
        <w:t xml:space="preserve"> parametre.</w:t>
      </w:r>
    </w:p>
    <w:p w:rsidR="00803F3B" w:rsidRPr="00097A1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Efter intramuskulær indgivelse til katte var den gennemsnitlige terminale halveringstid 6,3 timer, og den gennemsnitlige </w:t>
      </w:r>
      <w:proofErr w:type="spellStart"/>
      <w:r w:rsidRPr="00097A10">
        <w:rPr>
          <w:sz w:val="24"/>
          <w:szCs w:val="24"/>
        </w:rPr>
        <w:t>clearance</w:t>
      </w:r>
      <w:proofErr w:type="spellEnd"/>
      <w:r w:rsidRPr="00097A10">
        <w:rPr>
          <w:sz w:val="24"/>
          <w:szCs w:val="24"/>
        </w:rPr>
        <w:t xml:space="preserve"> var 23 ml/kg/min. Der er imidlertid en betydelig variabilitet fra kat til kat med hensyn til </w:t>
      </w:r>
      <w:proofErr w:type="spellStart"/>
      <w:r w:rsidRPr="00097A10">
        <w:rPr>
          <w:sz w:val="24"/>
          <w:szCs w:val="24"/>
        </w:rPr>
        <w:t>farmakokinetiske</w:t>
      </w:r>
      <w:proofErr w:type="spellEnd"/>
      <w:r w:rsidRPr="00097A10">
        <w:rPr>
          <w:sz w:val="24"/>
          <w:szCs w:val="24"/>
        </w:rPr>
        <w:t xml:space="preserve"> parametre.</w:t>
      </w:r>
    </w:p>
    <w:p w:rsidR="00803F3B" w:rsidRPr="00097A1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097A1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Efter intravenøs indgivelse til heste har </w:t>
      </w:r>
      <w:proofErr w:type="spellStart"/>
      <w:r w:rsidRPr="00097A10">
        <w:rPr>
          <w:sz w:val="24"/>
          <w:szCs w:val="24"/>
        </w:rPr>
        <w:t>buprenorphin</w:t>
      </w:r>
      <w:proofErr w:type="spellEnd"/>
      <w:r w:rsidRPr="00097A10">
        <w:rPr>
          <w:sz w:val="24"/>
          <w:szCs w:val="24"/>
        </w:rPr>
        <w:t xml:space="preserve"> en gennemsnitlig opholdstid på ca. 150 minutter, et fordelingsvolumen på ca. 2,5 l/kg og en </w:t>
      </w:r>
      <w:proofErr w:type="spellStart"/>
      <w:r w:rsidRPr="00097A10">
        <w:rPr>
          <w:sz w:val="24"/>
          <w:szCs w:val="24"/>
        </w:rPr>
        <w:t>clearance</w:t>
      </w:r>
      <w:proofErr w:type="spellEnd"/>
      <w:r w:rsidRPr="00097A10">
        <w:rPr>
          <w:sz w:val="24"/>
          <w:szCs w:val="24"/>
        </w:rPr>
        <w:t>-hastighed på 10 l/minut.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Kombinerede </w:t>
      </w:r>
      <w:proofErr w:type="spellStart"/>
      <w:r w:rsidRPr="00097A10">
        <w:rPr>
          <w:sz w:val="24"/>
          <w:szCs w:val="24"/>
        </w:rPr>
        <w:t>farmakokinetiske</w:t>
      </w:r>
      <w:proofErr w:type="spellEnd"/>
      <w:r w:rsidRPr="00097A10">
        <w:rPr>
          <w:sz w:val="24"/>
          <w:szCs w:val="24"/>
        </w:rPr>
        <w:t xml:space="preserve"> og </w:t>
      </w:r>
      <w:proofErr w:type="spellStart"/>
      <w:r w:rsidRPr="00097A10">
        <w:rPr>
          <w:sz w:val="24"/>
          <w:szCs w:val="24"/>
        </w:rPr>
        <w:t>farmakodynamiske</w:t>
      </w:r>
      <w:proofErr w:type="spellEnd"/>
      <w:r w:rsidRPr="00097A10">
        <w:rPr>
          <w:sz w:val="24"/>
          <w:szCs w:val="24"/>
        </w:rPr>
        <w:t xml:space="preserve"> studier har vist en udpræget </w:t>
      </w:r>
      <w:proofErr w:type="spellStart"/>
      <w:r w:rsidRPr="00097A10">
        <w:rPr>
          <w:sz w:val="24"/>
          <w:szCs w:val="24"/>
        </w:rPr>
        <w:t>hysterese</w:t>
      </w:r>
      <w:proofErr w:type="spellEnd"/>
      <w:r w:rsidRPr="00097A10">
        <w:rPr>
          <w:sz w:val="24"/>
          <w:szCs w:val="24"/>
        </w:rPr>
        <w:t xml:space="preserve"> mellem plasmakoncentrationen og den analgetiske virkning. 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97A10">
        <w:rPr>
          <w:sz w:val="24"/>
          <w:szCs w:val="24"/>
        </w:rPr>
        <w:t xml:space="preserve">Plasmakoncentrationerne for </w:t>
      </w:r>
      <w:proofErr w:type="spellStart"/>
      <w:r w:rsidRPr="00097A10">
        <w:rPr>
          <w:sz w:val="24"/>
          <w:szCs w:val="24"/>
        </w:rPr>
        <w:t>buprenorphin</w:t>
      </w:r>
      <w:proofErr w:type="spellEnd"/>
      <w:r w:rsidRPr="00097A10">
        <w:rPr>
          <w:sz w:val="24"/>
          <w:szCs w:val="24"/>
        </w:rPr>
        <w:t xml:space="preserve"> bør ikke anvendes til at bestemme doseringsprogrammer til de enkelte dyr. De bør bestemmes ved at overvåge patientens respons.</w:t>
      </w:r>
    </w:p>
    <w:p w:rsidR="00803F3B" w:rsidRPr="00097A10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Den primære udskillelsesvej i alle arter, undtagen kaniner (hvor udskillelse hovedsageligt finder sted via urinen), er i fæces.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 xml:space="preserve"> gennemgår N-</w:t>
      </w:r>
      <w:proofErr w:type="spellStart"/>
      <w:r>
        <w:rPr>
          <w:sz w:val="24"/>
          <w:szCs w:val="24"/>
        </w:rPr>
        <w:t>dealkylering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glukuronid-konjugering</w:t>
      </w:r>
      <w:proofErr w:type="spellEnd"/>
      <w:r>
        <w:rPr>
          <w:sz w:val="24"/>
          <w:szCs w:val="24"/>
        </w:rPr>
        <w:t xml:space="preserve"> i tarmvæggen, og metabolitterne udskilles via galden i mave-tarm-kanalen.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I studier af vævsfordelingen udført hos rotter og rhesusaber blev de højeste koncentrationer af lægemiddelrelateret materiale observeret i leveren, lungerne og hjernen. Maksimale niveauer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) opstod hurtigt og faldt til lave niveauer 24 timer efter dosering.</w:t>
      </w:r>
    </w:p>
    <w:p w:rsidR="008E1036" w:rsidRDefault="008E1036" w:rsidP="008E1036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Proteinbindingsstudier hos rotter har vist, at </w:t>
      </w:r>
      <w:proofErr w:type="spellStart"/>
      <w:r>
        <w:rPr>
          <w:sz w:val="24"/>
          <w:szCs w:val="24"/>
        </w:rPr>
        <w:t>buprenorphin</w:t>
      </w:r>
      <w:proofErr w:type="spellEnd"/>
      <w:r>
        <w:rPr>
          <w:sz w:val="24"/>
          <w:szCs w:val="24"/>
        </w:rPr>
        <w:t xml:space="preserve"> i høj grad er bundet til plasmaproteiner, primært til alfa- og </w:t>
      </w:r>
      <w:proofErr w:type="spellStart"/>
      <w:r>
        <w:rPr>
          <w:sz w:val="24"/>
          <w:szCs w:val="24"/>
        </w:rPr>
        <w:t>betaglobuliner</w:t>
      </w:r>
      <w:proofErr w:type="spellEnd"/>
      <w:r>
        <w:rPr>
          <w:sz w:val="24"/>
          <w:szCs w:val="24"/>
        </w:rPr>
        <w:t>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5.3</w:t>
      </w:r>
      <w:r w:rsidRPr="00BD17F7">
        <w:rPr>
          <w:b/>
          <w:sz w:val="24"/>
          <w:szCs w:val="24"/>
        </w:rPr>
        <w:tab/>
        <w:t>Miljømæssige forhold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BD17F7">
        <w:rPr>
          <w:sz w:val="24"/>
          <w:szCs w:val="24"/>
        </w:rPr>
        <w:tab/>
      </w:r>
      <w:r>
        <w:rPr>
          <w:sz w:val="24"/>
          <w:szCs w:val="24"/>
        </w:rPr>
        <w:t>-</w:t>
      </w:r>
    </w:p>
    <w:p w:rsidR="00803F3B" w:rsidRPr="00BD17F7" w:rsidRDefault="00803F3B" w:rsidP="00803F3B">
      <w:pPr>
        <w:tabs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</w:t>
      </w:r>
      <w:r w:rsidRPr="00BD17F7">
        <w:rPr>
          <w:b/>
          <w:sz w:val="24"/>
          <w:szCs w:val="24"/>
        </w:rPr>
        <w:tab/>
        <w:t>FARMACEUTISKE OPLYSNINGER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6.1</w:t>
      </w:r>
      <w:r w:rsidRPr="00BD17F7">
        <w:rPr>
          <w:b/>
          <w:sz w:val="24"/>
          <w:szCs w:val="24"/>
        </w:rPr>
        <w:tab/>
        <w:t>Hjælpestoffer</w:t>
      </w:r>
    </w:p>
    <w:p w:rsidR="00803F3B" w:rsidRPr="000C0711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0C0711">
        <w:rPr>
          <w:sz w:val="24"/>
          <w:szCs w:val="24"/>
        </w:rPr>
        <w:t>Chlorocresol</w:t>
      </w:r>
      <w:proofErr w:type="spellEnd"/>
    </w:p>
    <w:p w:rsidR="00803F3B" w:rsidRPr="000C0711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proofErr w:type="spellStart"/>
      <w:r w:rsidRPr="000C0711">
        <w:rPr>
          <w:sz w:val="24"/>
          <w:szCs w:val="24"/>
        </w:rPr>
        <w:t>Glucosemonohydrat</w:t>
      </w:r>
      <w:proofErr w:type="spellEnd"/>
    </w:p>
    <w:p w:rsidR="00803F3B" w:rsidRPr="000C0711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C0711">
        <w:rPr>
          <w:sz w:val="24"/>
          <w:szCs w:val="24"/>
        </w:rPr>
        <w:t>Saltsyre, fortyndet (pH-justering)</w:t>
      </w:r>
    </w:p>
    <w:p w:rsidR="00803F3B" w:rsidRPr="000C0711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C0711">
        <w:rPr>
          <w:sz w:val="24"/>
          <w:szCs w:val="24"/>
        </w:rPr>
        <w:t>Natriumhydroxid (pH-justering)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0C0711">
        <w:rPr>
          <w:sz w:val="24"/>
          <w:szCs w:val="24"/>
        </w:rPr>
        <w:t>Vand til injektionsvæsker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6.2</w:t>
      </w:r>
      <w:r w:rsidRPr="00BD17F7">
        <w:rPr>
          <w:b/>
          <w:sz w:val="24"/>
          <w:szCs w:val="24"/>
        </w:rPr>
        <w:tab/>
        <w:t>Uforligeligheder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AF770E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6.3</w:t>
      </w:r>
      <w:r w:rsidRPr="00BD17F7">
        <w:rPr>
          <w:b/>
          <w:sz w:val="24"/>
          <w:szCs w:val="24"/>
        </w:rPr>
        <w:tab/>
        <w:t>Opbevaringstid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Pr="00E01792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  <w:u w:val="single"/>
        </w:rPr>
      </w:pPr>
      <w:r w:rsidRPr="00E01792">
        <w:rPr>
          <w:sz w:val="24"/>
          <w:szCs w:val="24"/>
          <w:u w:val="single"/>
        </w:rPr>
        <w:t>I salgspakning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306CB8">
        <w:rPr>
          <w:sz w:val="24"/>
          <w:szCs w:val="24"/>
        </w:rPr>
        <w:t>2 år</w:t>
      </w:r>
      <w:r>
        <w:rPr>
          <w:sz w:val="24"/>
          <w:szCs w:val="24"/>
        </w:rPr>
        <w:t>.</w:t>
      </w:r>
    </w:p>
    <w:p w:rsidR="00803F3B" w:rsidRPr="00306CB8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E01792">
        <w:rPr>
          <w:sz w:val="24"/>
          <w:szCs w:val="24"/>
          <w:u w:val="single"/>
        </w:rPr>
        <w:t>Efter første åbning af den indre emballage</w:t>
      </w:r>
    </w:p>
    <w:p w:rsidR="00803F3B" w:rsidRPr="00306CB8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306CB8">
        <w:rPr>
          <w:sz w:val="24"/>
          <w:szCs w:val="24"/>
        </w:rPr>
        <w:t>28 dage.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6.4</w:t>
      </w:r>
      <w:r w:rsidRPr="00BD17F7">
        <w:rPr>
          <w:b/>
          <w:sz w:val="24"/>
          <w:szCs w:val="24"/>
        </w:rPr>
        <w:tab/>
        <w:t>Særlige opbevaringsforhold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9E5AD6">
        <w:rPr>
          <w:sz w:val="24"/>
          <w:szCs w:val="24"/>
        </w:rPr>
        <w:t>Dette veterinærlægemiddel kræver ingen særlige forholdsregler vedrørende opbevaringen.</w:t>
      </w:r>
    </w:p>
    <w:p w:rsidR="00803F3B" w:rsidRPr="00BD17F7" w:rsidRDefault="00803F3B" w:rsidP="00803F3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6.5</w:t>
      </w:r>
      <w:r w:rsidRPr="00BD17F7">
        <w:rPr>
          <w:b/>
          <w:sz w:val="24"/>
          <w:szCs w:val="24"/>
        </w:rPr>
        <w:tab/>
        <w:t>Emballage</w:t>
      </w:r>
    </w:p>
    <w:p w:rsidR="00803F3B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Gennemsigtigt</w:t>
      </w:r>
      <w:r w:rsidRPr="0098293A">
        <w:rPr>
          <w:sz w:val="24"/>
          <w:szCs w:val="24"/>
        </w:rPr>
        <w:t xml:space="preserve"> type I hætteglas lukket med en prop belagt med </w:t>
      </w:r>
      <w:proofErr w:type="spellStart"/>
      <w:r w:rsidRPr="0098293A">
        <w:rPr>
          <w:sz w:val="24"/>
          <w:szCs w:val="24"/>
        </w:rPr>
        <w:t>brombutylgummi</w:t>
      </w:r>
      <w:proofErr w:type="spellEnd"/>
      <w:r w:rsidRPr="0098293A">
        <w:rPr>
          <w:sz w:val="24"/>
          <w:szCs w:val="24"/>
        </w:rPr>
        <w:t xml:space="preserve"> og et aluminiumslåg</w:t>
      </w:r>
      <w:r>
        <w:rPr>
          <w:sz w:val="24"/>
          <w:szCs w:val="24"/>
        </w:rPr>
        <w:t>, i en kartonæske.</w:t>
      </w:r>
    </w:p>
    <w:p w:rsidR="00803F3B" w:rsidRPr="0098293A" w:rsidRDefault="00803F3B" w:rsidP="00803F3B">
      <w:pPr>
        <w:pStyle w:val="BODY"/>
        <w:tabs>
          <w:tab w:val="clear" w:pos="567"/>
          <w:tab w:val="left" w:pos="851"/>
          <w:tab w:val="center" w:pos="5244"/>
        </w:tabs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br/>
        <w:t>Pakningsstørrelser: 5, 10, 20, 50</w:t>
      </w:r>
      <w:r w:rsidRPr="0098293A">
        <w:rPr>
          <w:sz w:val="24"/>
          <w:szCs w:val="24"/>
        </w:rPr>
        <w:t xml:space="preserve"> og 100 ml.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98293A">
        <w:rPr>
          <w:sz w:val="24"/>
          <w:szCs w:val="24"/>
        </w:rPr>
        <w:t>Ikke alle pakningsstørrelser er nødvendigvis markedsført.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6.6</w:t>
      </w:r>
      <w:r w:rsidRPr="00BD17F7">
        <w:rPr>
          <w:b/>
          <w:sz w:val="24"/>
          <w:szCs w:val="24"/>
        </w:rPr>
        <w:tab/>
        <w:t>Særlige forholdsregler ved bortskaffelse af rester af lægemidlet eller affald</w:t>
      </w:r>
    </w:p>
    <w:p w:rsidR="00803F3B" w:rsidRPr="00BD17F7" w:rsidRDefault="00803F3B" w:rsidP="00803F3B">
      <w:pPr>
        <w:pStyle w:val="BODY"/>
        <w:tabs>
          <w:tab w:val="clear" w:pos="567"/>
          <w:tab w:val="left" w:pos="851"/>
        </w:tabs>
        <w:spacing w:after="0"/>
        <w:ind w:left="851"/>
        <w:rPr>
          <w:sz w:val="24"/>
          <w:szCs w:val="24"/>
        </w:rPr>
      </w:pPr>
      <w:r w:rsidRPr="00FC6B4D">
        <w:rPr>
          <w:sz w:val="24"/>
          <w:szCs w:val="24"/>
        </w:rPr>
        <w:t>Ikke anvendte veterinærlæ</w:t>
      </w:r>
      <w:r>
        <w:rPr>
          <w:sz w:val="24"/>
          <w:szCs w:val="24"/>
        </w:rPr>
        <w:t>gemidler</w:t>
      </w:r>
      <w:r w:rsidRPr="00FC6B4D">
        <w:rPr>
          <w:sz w:val="24"/>
          <w:szCs w:val="24"/>
        </w:rPr>
        <w:t xml:space="preserve"> samt affald heraf bør destrueres i henhold til lokale </w:t>
      </w:r>
      <w:proofErr w:type="spellStart"/>
      <w:r w:rsidRPr="00FC6B4D">
        <w:rPr>
          <w:sz w:val="24"/>
          <w:szCs w:val="24"/>
        </w:rPr>
        <w:t>retningslinier</w:t>
      </w:r>
      <w:proofErr w:type="spellEnd"/>
      <w:r w:rsidRPr="00FC6B4D">
        <w:rPr>
          <w:sz w:val="24"/>
          <w:szCs w:val="24"/>
        </w:rPr>
        <w:t>.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7.</w:t>
      </w:r>
      <w:r w:rsidRPr="00BD17F7">
        <w:rPr>
          <w:b/>
          <w:sz w:val="24"/>
          <w:szCs w:val="24"/>
        </w:rPr>
        <w:tab/>
        <w:t>INDEHAVER AF MARKEDSFØRINGSTILLADELSEN</w:t>
      </w:r>
    </w:p>
    <w:p w:rsidR="00803F3B" w:rsidRPr="00EC2803" w:rsidRDefault="00803F3B" w:rsidP="00803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C2803">
        <w:rPr>
          <w:sz w:val="24"/>
          <w:szCs w:val="24"/>
          <w:lang w:eastAsia="da-DK"/>
        </w:rPr>
        <w:t xml:space="preserve">Le </w:t>
      </w:r>
      <w:proofErr w:type="spellStart"/>
      <w:r w:rsidRPr="00EC2803">
        <w:rPr>
          <w:sz w:val="24"/>
          <w:szCs w:val="24"/>
          <w:lang w:eastAsia="da-DK"/>
        </w:rPr>
        <w:t>Vet</w:t>
      </w:r>
      <w:proofErr w:type="spellEnd"/>
      <w:r w:rsidRPr="00EC2803">
        <w:rPr>
          <w:sz w:val="24"/>
          <w:szCs w:val="24"/>
          <w:lang w:eastAsia="da-DK"/>
        </w:rPr>
        <w:t xml:space="preserve"> </w:t>
      </w:r>
      <w:proofErr w:type="spellStart"/>
      <w:r w:rsidRPr="00EC2803">
        <w:rPr>
          <w:sz w:val="24"/>
          <w:szCs w:val="24"/>
          <w:lang w:eastAsia="da-DK"/>
        </w:rPr>
        <w:t>Beheer</w:t>
      </w:r>
      <w:proofErr w:type="spellEnd"/>
      <w:r w:rsidRPr="00EC2803">
        <w:rPr>
          <w:sz w:val="24"/>
          <w:szCs w:val="24"/>
          <w:lang w:eastAsia="da-DK"/>
        </w:rPr>
        <w:t xml:space="preserve"> B.V.</w:t>
      </w:r>
    </w:p>
    <w:p w:rsidR="00803F3B" w:rsidRPr="00BB5852" w:rsidRDefault="00803F3B" w:rsidP="00803F3B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  <w:proofErr w:type="spellStart"/>
      <w:r w:rsidRPr="00BB5852">
        <w:rPr>
          <w:sz w:val="24"/>
          <w:szCs w:val="24"/>
          <w:lang w:val="en-US" w:eastAsia="da-DK"/>
        </w:rPr>
        <w:t>Wilgenweg</w:t>
      </w:r>
      <w:proofErr w:type="spellEnd"/>
      <w:r w:rsidRPr="00BB5852">
        <w:rPr>
          <w:sz w:val="24"/>
          <w:szCs w:val="24"/>
          <w:lang w:val="en-US" w:eastAsia="da-DK"/>
        </w:rPr>
        <w:t xml:space="preserve"> 7</w:t>
      </w:r>
    </w:p>
    <w:p w:rsidR="00803F3B" w:rsidRPr="00BB5852" w:rsidRDefault="00803F3B" w:rsidP="00803F3B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  <w:r w:rsidRPr="00BB5852">
        <w:rPr>
          <w:sz w:val="24"/>
          <w:szCs w:val="24"/>
          <w:lang w:val="en-US" w:eastAsia="da-DK"/>
        </w:rPr>
        <w:t xml:space="preserve">3421 TV </w:t>
      </w:r>
      <w:proofErr w:type="spellStart"/>
      <w:r w:rsidRPr="00BB5852">
        <w:rPr>
          <w:sz w:val="24"/>
          <w:szCs w:val="24"/>
          <w:lang w:val="en-US" w:eastAsia="da-DK"/>
        </w:rPr>
        <w:t>Oudewater</w:t>
      </w:r>
      <w:proofErr w:type="spellEnd"/>
    </w:p>
    <w:p w:rsidR="00803F3B" w:rsidRPr="00BB5852" w:rsidRDefault="00803F3B" w:rsidP="00803F3B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  <w:r w:rsidRPr="00BB5852">
        <w:rPr>
          <w:sz w:val="24"/>
          <w:szCs w:val="24"/>
          <w:lang w:val="en-US" w:eastAsia="da-DK"/>
        </w:rPr>
        <w:t>Holland</w:t>
      </w:r>
    </w:p>
    <w:p w:rsidR="00803F3B" w:rsidRPr="00BB5852" w:rsidRDefault="00803F3B" w:rsidP="00803F3B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</w:p>
    <w:p w:rsidR="00803F3B" w:rsidRPr="00BB5852" w:rsidRDefault="00803F3B" w:rsidP="00803F3B">
      <w:pPr>
        <w:tabs>
          <w:tab w:val="left" w:pos="851"/>
        </w:tabs>
        <w:ind w:left="851"/>
        <w:rPr>
          <w:b/>
          <w:sz w:val="24"/>
          <w:szCs w:val="24"/>
          <w:lang w:val="en-US" w:eastAsia="da-DK"/>
        </w:rPr>
      </w:pPr>
      <w:proofErr w:type="spellStart"/>
      <w:r w:rsidRPr="00BB5852">
        <w:rPr>
          <w:b/>
          <w:sz w:val="24"/>
          <w:szCs w:val="24"/>
          <w:lang w:val="en-US" w:eastAsia="da-DK"/>
        </w:rPr>
        <w:t>Repræsentant</w:t>
      </w:r>
      <w:proofErr w:type="spellEnd"/>
    </w:p>
    <w:p w:rsidR="00803F3B" w:rsidRDefault="00803F3B" w:rsidP="00803F3B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  <w:proofErr w:type="spellStart"/>
      <w:r w:rsidRPr="005B4E7B">
        <w:rPr>
          <w:sz w:val="24"/>
          <w:szCs w:val="24"/>
          <w:lang w:val="en-US" w:eastAsia="da-DK"/>
        </w:rPr>
        <w:t>Dechra</w:t>
      </w:r>
      <w:proofErr w:type="spellEnd"/>
      <w:r w:rsidRPr="005B4E7B">
        <w:rPr>
          <w:sz w:val="24"/>
          <w:szCs w:val="24"/>
          <w:lang w:val="en-US" w:eastAsia="da-DK"/>
        </w:rPr>
        <w:t xml:space="preserve"> Veterinary Products A/S</w:t>
      </w:r>
    </w:p>
    <w:p w:rsidR="00803F3B" w:rsidRPr="002318FF" w:rsidRDefault="00803F3B" w:rsidP="00803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2318FF">
        <w:rPr>
          <w:sz w:val="24"/>
          <w:szCs w:val="24"/>
          <w:lang w:eastAsia="da-DK"/>
        </w:rPr>
        <w:t>Mekuvej</w:t>
      </w:r>
      <w:proofErr w:type="spellEnd"/>
      <w:r w:rsidRPr="002318FF">
        <w:rPr>
          <w:sz w:val="24"/>
          <w:szCs w:val="24"/>
          <w:lang w:eastAsia="da-DK"/>
        </w:rPr>
        <w:t xml:space="preserve"> 9</w:t>
      </w:r>
    </w:p>
    <w:p w:rsidR="00803F3B" w:rsidRPr="00BD17F7" w:rsidRDefault="00803F3B" w:rsidP="00803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7171 Uldum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8.</w:t>
      </w:r>
      <w:r w:rsidRPr="00BD17F7">
        <w:rPr>
          <w:b/>
          <w:sz w:val="24"/>
          <w:szCs w:val="24"/>
        </w:rPr>
        <w:tab/>
        <w:t>MARKEDSFØRINGSTILLADELSESNUMMER (NUMRE)</w:t>
      </w:r>
      <w:bookmarkStart w:id="0" w:name="_GoBack"/>
      <w:bookmarkEnd w:id="0"/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BD17F7">
        <w:rPr>
          <w:sz w:val="24"/>
          <w:szCs w:val="24"/>
        </w:rPr>
        <w:tab/>
      </w:r>
      <w:r>
        <w:rPr>
          <w:sz w:val="24"/>
          <w:szCs w:val="24"/>
        </w:rPr>
        <w:t>54940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9.</w:t>
      </w:r>
      <w:r w:rsidRPr="00BD17F7">
        <w:rPr>
          <w:b/>
          <w:sz w:val="24"/>
          <w:szCs w:val="24"/>
        </w:rPr>
        <w:tab/>
        <w:t>DATO FOR FØRSTE MARKEDSFØRINGSTILLADELSE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BD17F7">
        <w:rPr>
          <w:sz w:val="24"/>
          <w:szCs w:val="24"/>
        </w:rPr>
        <w:lastRenderedPageBreak/>
        <w:tab/>
      </w:r>
      <w:r>
        <w:rPr>
          <w:sz w:val="24"/>
          <w:szCs w:val="24"/>
        </w:rPr>
        <w:t>11. november 2015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10.</w:t>
      </w:r>
      <w:r w:rsidRPr="00BD17F7">
        <w:rPr>
          <w:b/>
          <w:sz w:val="24"/>
          <w:szCs w:val="24"/>
        </w:rPr>
        <w:tab/>
        <w:t>DATO FOR ÆNDRING AF TEKSTEN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BD17F7">
        <w:rPr>
          <w:sz w:val="24"/>
          <w:szCs w:val="24"/>
        </w:rPr>
        <w:tab/>
      </w:r>
      <w:r w:rsidR="00074D78">
        <w:rPr>
          <w:sz w:val="24"/>
          <w:szCs w:val="24"/>
        </w:rPr>
        <w:t>3. december 2021</w:t>
      </w:r>
    </w:p>
    <w:p w:rsidR="00803F3B" w:rsidRPr="00BD17F7" w:rsidRDefault="00803F3B" w:rsidP="00803F3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03F3B" w:rsidRPr="00BD17F7" w:rsidRDefault="00803F3B" w:rsidP="00803F3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7F7">
        <w:rPr>
          <w:b/>
          <w:sz w:val="24"/>
          <w:szCs w:val="24"/>
        </w:rPr>
        <w:t>11.</w:t>
      </w:r>
      <w:r w:rsidRPr="00BD17F7">
        <w:rPr>
          <w:b/>
          <w:sz w:val="24"/>
          <w:szCs w:val="24"/>
        </w:rPr>
        <w:tab/>
        <w:t>UDLEVERINGSBESTEMMELSE</w:t>
      </w:r>
    </w:p>
    <w:p w:rsidR="00803F3B" w:rsidRPr="00406EE7" w:rsidRDefault="00803F3B" w:rsidP="00803F3B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BD17F7">
        <w:rPr>
          <w:szCs w:val="24"/>
        </w:rPr>
        <w:tab/>
      </w:r>
      <w:r>
        <w:rPr>
          <w:szCs w:val="24"/>
        </w:rPr>
        <w:t>A</w:t>
      </w:r>
    </w:p>
    <w:p w:rsidR="00803F3B" w:rsidRPr="00084370" w:rsidRDefault="00803F3B" w:rsidP="00803F3B"/>
    <w:p w:rsidR="0003527F" w:rsidRPr="00803F3B" w:rsidRDefault="0003527F" w:rsidP="00803F3B"/>
    <w:sectPr w:rsidR="0003527F" w:rsidRPr="00803F3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F3B" w:rsidRDefault="00803F3B">
      <w:r>
        <w:separator/>
      </w:r>
    </w:p>
  </w:endnote>
  <w:endnote w:type="continuationSeparator" w:id="0">
    <w:p w:rsidR="00803F3B" w:rsidRDefault="0080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74D78">
      <w:rPr>
        <w:i/>
        <w:noProof/>
        <w:snapToGrid w:val="0"/>
        <w:sz w:val="18"/>
      </w:rPr>
      <w:t>Bupredine Vet., injektionsvæske, opløsning 0,3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74D78">
      <w:rPr>
        <w:i/>
        <w:noProof/>
        <w:snapToGrid w:val="0"/>
        <w:sz w:val="18"/>
      </w:rPr>
      <w:t>Bupredine Vet., injektionsvæske, opløsning 0,3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F3B" w:rsidRDefault="00803F3B">
      <w:r>
        <w:separator/>
      </w:r>
    </w:p>
  </w:footnote>
  <w:footnote w:type="continuationSeparator" w:id="0">
    <w:p w:rsidR="00803F3B" w:rsidRDefault="0080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B"/>
    <w:rsid w:val="0003527F"/>
    <w:rsid w:val="00065C7D"/>
    <w:rsid w:val="00074D78"/>
    <w:rsid w:val="00093960"/>
    <w:rsid w:val="000C6CD4"/>
    <w:rsid w:val="000E6C44"/>
    <w:rsid w:val="001577E4"/>
    <w:rsid w:val="001858CA"/>
    <w:rsid w:val="001C4AEF"/>
    <w:rsid w:val="001D3CC5"/>
    <w:rsid w:val="002318FF"/>
    <w:rsid w:val="00237744"/>
    <w:rsid w:val="00322BDE"/>
    <w:rsid w:val="00406EE7"/>
    <w:rsid w:val="00407013"/>
    <w:rsid w:val="00424832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03F3B"/>
    <w:rsid w:val="008E1036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557D4"/>
    <w:rsid w:val="00D567AA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D8865"/>
  <w15:chartTrackingRefBased/>
  <w15:docId w15:val="{C921C8C0-1467-478B-BD6B-3FB7C210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BODY">
    <w:name w:val="BODY"/>
    <w:basedOn w:val="Normal"/>
    <w:qFormat/>
    <w:rsid w:val="00803F3B"/>
    <w:pPr>
      <w:tabs>
        <w:tab w:val="left" w:pos="567"/>
      </w:tabs>
      <w:spacing w:after="220"/>
      <w:contextualSpacing/>
    </w:pPr>
    <w:rPr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16</TotalTime>
  <Pages>9</Pages>
  <Words>2175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Ekwall Weihrauch </dc:creator>
  <cp:keywords/>
  <dc:description>2020052592 spc.pkt. 2, 4, 4.4, 4.5, 4.7, 4.9, 4.10, 5, 5.2</dc:description>
  <cp:lastModifiedBy>Janni Kim Ekwall Weihrauch</cp:lastModifiedBy>
  <cp:revision>4</cp:revision>
  <dcterms:created xsi:type="dcterms:W3CDTF">2021-12-03T08:47:00Z</dcterms:created>
  <dcterms:modified xsi:type="dcterms:W3CDTF">2021-12-03T09:07:00Z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