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0B148" w14:textId="77777777" w:rsidR="008203A8" w:rsidRPr="008F49E1" w:rsidRDefault="008203A8" w:rsidP="008203A8">
      <w:pPr>
        <w:rPr>
          <w:sz w:val="24"/>
          <w:szCs w:val="24"/>
        </w:rPr>
      </w:pPr>
      <w:r w:rsidRPr="005B0036">
        <w:rPr>
          <w:noProof/>
          <w:sz w:val="24"/>
          <w:szCs w:val="24"/>
          <w:lang w:eastAsia="da-DK"/>
        </w:rPr>
        <w:drawing>
          <wp:inline distT="0" distB="0" distL="0" distR="0" wp14:anchorId="3E94925C" wp14:editId="64BF998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4EE0C0C" w14:textId="77777777" w:rsidR="008203A8" w:rsidRDefault="008203A8" w:rsidP="008203A8">
      <w:pPr>
        <w:rPr>
          <w:sz w:val="24"/>
          <w:szCs w:val="24"/>
        </w:rPr>
      </w:pPr>
    </w:p>
    <w:p w14:paraId="2B50E9A0" w14:textId="398A6F46" w:rsidR="008203A8" w:rsidRPr="00406EE7" w:rsidRDefault="008203A8" w:rsidP="008203A8">
      <w:pPr>
        <w:tabs>
          <w:tab w:val="right" w:pos="9356"/>
        </w:tabs>
        <w:rPr>
          <w:b/>
          <w:sz w:val="24"/>
          <w:szCs w:val="24"/>
        </w:rPr>
      </w:pPr>
      <w:r>
        <w:rPr>
          <w:b/>
          <w:sz w:val="24"/>
          <w:szCs w:val="24"/>
        </w:rPr>
        <w:tab/>
      </w:r>
      <w:r w:rsidR="002E2968">
        <w:rPr>
          <w:b/>
          <w:sz w:val="24"/>
          <w:szCs w:val="24"/>
        </w:rPr>
        <w:t>16. december 2024</w:t>
      </w:r>
    </w:p>
    <w:p w14:paraId="5A1F5A9E" w14:textId="77777777" w:rsidR="008203A8" w:rsidRDefault="008203A8" w:rsidP="008203A8">
      <w:pPr>
        <w:rPr>
          <w:sz w:val="24"/>
          <w:szCs w:val="24"/>
        </w:rPr>
      </w:pPr>
    </w:p>
    <w:p w14:paraId="7FE441C7" w14:textId="77777777" w:rsidR="008203A8" w:rsidRDefault="008203A8" w:rsidP="008203A8">
      <w:pPr>
        <w:jc w:val="center"/>
        <w:rPr>
          <w:b/>
          <w:sz w:val="24"/>
          <w:szCs w:val="24"/>
        </w:rPr>
      </w:pPr>
    </w:p>
    <w:p w14:paraId="72BC5C16" w14:textId="77777777" w:rsidR="008203A8" w:rsidRPr="00406EE7" w:rsidRDefault="008203A8" w:rsidP="008203A8">
      <w:pPr>
        <w:jc w:val="center"/>
        <w:rPr>
          <w:b/>
          <w:sz w:val="24"/>
          <w:szCs w:val="24"/>
        </w:rPr>
      </w:pPr>
      <w:r w:rsidRPr="00406EE7">
        <w:rPr>
          <w:b/>
          <w:sz w:val="24"/>
          <w:szCs w:val="24"/>
        </w:rPr>
        <w:t>PRODUKTRESUMÉ</w:t>
      </w:r>
    </w:p>
    <w:p w14:paraId="3F25AE4E" w14:textId="77777777" w:rsidR="008203A8" w:rsidRPr="00406EE7" w:rsidRDefault="008203A8" w:rsidP="008203A8">
      <w:pPr>
        <w:jc w:val="center"/>
        <w:rPr>
          <w:b/>
          <w:sz w:val="24"/>
          <w:szCs w:val="24"/>
        </w:rPr>
      </w:pPr>
    </w:p>
    <w:p w14:paraId="239CB8FC" w14:textId="77777777" w:rsidR="008203A8" w:rsidRPr="00406EE7" w:rsidRDefault="008203A8" w:rsidP="008203A8">
      <w:pPr>
        <w:jc w:val="center"/>
        <w:rPr>
          <w:b/>
          <w:sz w:val="24"/>
          <w:szCs w:val="24"/>
        </w:rPr>
      </w:pPr>
      <w:r w:rsidRPr="00406EE7">
        <w:rPr>
          <w:b/>
          <w:sz w:val="24"/>
          <w:szCs w:val="24"/>
        </w:rPr>
        <w:t>for</w:t>
      </w:r>
    </w:p>
    <w:p w14:paraId="4E715C6F" w14:textId="77777777" w:rsidR="008203A8" w:rsidRPr="00406EE7" w:rsidRDefault="008203A8" w:rsidP="008203A8">
      <w:pPr>
        <w:jc w:val="center"/>
        <w:rPr>
          <w:b/>
          <w:sz w:val="24"/>
          <w:szCs w:val="24"/>
        </w:rPr>
      </w:pPr>
    </w:p>
    <w:p w14:paraId="6DF3F3B3" w14:textId="16903935" w:rsidR="008203A8" w:rsidRPr="00565A74" w:rsidRDefault="00D01A39" w:rsidP="008203A8">
      <w:pPr>
        <w:jc w:val="center"/>
        <w:rPr>
          <w:b/>
          <w:sz w:val="24"/>
          <w:szCs w:val="24"/>
        </w:rPr>
      </w:pPr>
      <w:r w:rsidRPr="00D01A39">
        <w:rPr>
          <w:b/>
          <w:sz w:val="24"/>
          <w:szCs w:val="24"/>
        </w:rPr>
        <w:t>Buprelab</w:t>
      </w:r>
      <w:r>
        <w:rPr>
          <w:b/>
          <w:sz w:val="24"/>
          <w:szCs w:val="24"/>
        </w:rPr>
        <w:t>,</w:t>
      </w:r>
      <w:r w:rsidRPr="00D01A39">
        <w:rPr>
          <w:b/>
          <w:sz w:val="24"/>
          <w:szCs w:val="24"/>
        </w:rPr>
        <w:t xml:space="preserve"> injektionsvæske, opløsning </w:t>
      </w:r>
    </w:p>
    <w:p w14:paraId="42D91103" w14:textId="77777777" w:rsidR="008203A8" w:rsidRPr="00406EE7" w:rsidRDefault="008203A8" w:rsidP="008203A8">
      <w:pPr>
        <w:jc w:val="both"/>
        <w:rPr>
          <w:sz w:val="24"/>
          <w:szCs w:val="24"/>
        </w:rPr>
      </w:pPr>
    </w:p>
    <w:p w14:paraId="1C6E8B04" w14:textId="77777777" w:rsidR="008203A8" w:rsidRDefault="008203A8" w:rsidP="008203A8">
      <w:pPr>
        <w:jc w:val="both"/>
        <w:rPr>
          <w:sz w:val="24"/>
          <w:szCs w:val="24"/>
        </w:rPr>
      </w:pPr>
    </w:p>
    <w:p w14:paraId="57D7D3A5" w14:textId="77777777" w:rsidR="008203A8" w:rsidRPr="00406EE7" w:rsidRDefault="008203A8" w:rsidP="008203A8">
      <w:pPr>
        <w:jc w:val="both"/>
        <w:rPr>
          <w:sz w:val="24"/>
          <w:szCs w:val="24"/>
        </w:rPr>
      </w:pPr>
    </w:p>
    <w:p w14:paraId="0DDF4DD1"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AB8FB7B" w14:textId="7C3CA99C" w:rsidR="008203A8" w:rsidRPr="00406EE7" w:rsidRDefault="00C119AA" w:rsidP="008203A8">
      <w:pPr>
        <w:ind w:left="851"/>
        <w:rPr>
          <w:sz w:val="24"/>
          <w:szCs w:val="24"/>
        </w:rPr>
      </w:pPr>
      <w:r>
        <w:rPr>
          <w:sz w:val="24"/>
          <w:szCs w:val="24"/>
        </w:rPr>
        <w:t>34123</w:t>
      </w:r>
    </w:p>
    <w:p w14:paraId="35946C22" w14:textId="77777777" w:rsidR="008203A8" w:rsidRPr="00406EE7" w:rsidRDefault="008203A8" w:rsidP="008203A8">
      <w:pPr>
        <w:ind w:left="851"/>
        <w:rPr>
          <w:sz w:val="24"/>
          <w:szCs w:val="24"/>
        </w:rPr>
      </w:pPr>
    </w:p>
    <w:p w14:paraId="1A053503"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4CF73B4" w14:textId="27FEEB09" w:rsidR="008203A8" w:rsidRDefault="00C119AA" w:rsidP="008203A8">
      <w:pPr>
        <w:ind w:left="851"/>
        <w:rPr>
          <w:sz w:val="24"/>
          <w:szCs w:val="24"/>
        </w:rPr>
      </w:pPr>
      <w:r>
        <w:rPr>
          <w:sz w:val="24"/>
          <w:szCs w:val="24"/>
        </w:rPr>
        <w:t>Buprelab</w:t>
      </w:r>
    </w:p>
    <w:p w14:paraId="3596A266" w14:textId="77777777" w:rsidR="008203A8" w:rsidRDefault="008203A8" w:rsidP="008203A8">
      <w:pPr>
        <w:ind w:left="851"/>
        <w:rPr>
          <w:sz w:val="24"/>
          <w:szCs w:val="24"/>
        </w:rPr>
      </w:pPr>
    </w:p>
    <w:p w14:paraId="6EE0ED02" w14:textId="223A2C08" w:rsidR="008203A8" w:rsidRPr="007967A9" w:rsidRDefault="008203A8" w:rsidP="008203A8">
      <w:pPr>
        <w:ind w:left="851"/>
        <w:rPr>
          <w:sz w:val="24"/>
          <w:szCs w:val="24"/>
        </w:rPr>
      </w:pPr>
      <w:r w:rsidRPr="007967A9">
        <w:rPr>
          <w:sz w:val="24"/>
          <w:szCs w:val="24"/>
        </w:rPr>
        <w:t xml:space="preserve">Lægemiddelform: </w:t>
      </w:r>
      <w:r w:rsidR="00C119AA" w:rsidRPr="007967A9">
        <w:rPr>
          <w:sz w:val="24"/>
          <w:szCs w:val="24"/>
        </w:rPr>
        <w:t>Injektionsvæske, opløsning</w:t>
      </w:r>
    </w:p>
    <w:p w14:paraId="45F14A48" w14:textId="22AB9DC7" w:rsidR="008203A8" w:rsidRPr="00776C2C" w:rsidRDefault="008203A8" w:rsidP="008203A8">
      <w:pPr>
        <w:ind w:left="851"/>
        <w:rPr>
          <w:sz w:val="24"/>
          <w:szCs w:val="24"/>
        </w:rPr>
      </w:pPr>
      <w:r w:rsidRPr="00776C2C">
        <w:rPr>
          <w:sz w:val="24"/>
          <w:szCs w:val="24"/>
        </w:rPr>
        <w:t xml:space="preserve">Styrke: </w:t>
      </w:r>
      <w:r w:rsidR="00C119AA">
        <w:rPr>
          <w:sz w:val="24"/>
          <w:szCs w:val="24"/>
        </w:rPr>
        <w:t>0,3 mg/ml</w:t>
      </w:r>
    </w:p>
    <w:p w14:paraId="54BB7D01" w14:textId="77777777" w:rsidR="008203A8" w:rsidRPr="00406EE7" w:rsidRDefault="008203A8" w:rsidP="008203A8">
      <w:pPr>
        <w:ind w:left="851"/>
        <w:rPr>
          <w:sz w:val="24"/>
          <w:szCs w:val="24"/>
        </w:rPr>
      </w:pPr>
    </w:p>
    <w:p w14:paraId="37B768D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51873CAB" w14:textId="77777777" w:rsidR="007967A9" w:rsidRPr="007967A9" w:rsidRDefault="007967A9" w:rsidP="007967A9">
      <w:pPr>
        <w:ind w:left="851"/>
        <w:rPr>
          <w:b/>
          <w:sz w:val="24"/>
          <w:szCs w:val="24"/>
        </w:rPr>
      </w:pPr>
      <w:r w:rsidRPr="007967A9">
        <w:rPr>
          <w:bCs/>
          <w:sz w:val="24"/>
          <w:szCs w:val="24"/>
        </w:rPr>
        <w:t>Hver ml indeholder:</w:t>
      </w:r>
    </w:p>
    <w:p w14:paraId="4C2F4E6D" w14:textId="77777777" w:rsidR="007967A9" w:rsidRPr="007967A9" w:rsidRDefault="007967A9" w:rsidP="007967A9">
      <w:pPr>
        <w:ind w:left="851"/>
        <w:rPr>
          <w:b/>
          <w:sz w:val="24"/>
          <w:szCs w:val="24"/>
        </w:rPr>
      </w:pPr>
    </w:p>
    <w:p w14:paraId="3B37D6AB" w14:textId="6D6E0547" w:rsidR="007967A9" w:rsidRPr="007967A9" w:rsidRDefault="007967A9" w:rsidP="007967A9">
      <w:pPr>
        <w:tabs>
          <w:tab w:val="left" w:pos="5103"/>
        </w:tabs>
        <w:ind w:left="851"/>
        <w:rPr>
          <w:iCs/>
          <w:sz w:val="24"/>
          <w:szCs w:val="24"/>
        </w:rPr>
      </w:pPr>
      <w:r w:rsidRPr="007967A9">
        <w:rPr>
          <w:b/>
          <w:sz w:val="24"/>
          <w:szCs w:val="24"/>
        </w:rPr>
        <w:t>Aktivt stof:</w:t>
      </w:r>
      <w:r>
        <w:rPr>
          <w:b/>
          <w:sz w:val="24"/>
          <w:szCs w:val="24"/>
        </w:rPr>
        <w:t xml:space="preserve"> </w:t>
      </w:r>
      <w:r w:rsidRPr="007967A9">
        <w:rPr>
          <w:iCs/>
          <w:sz w:val="24"/>
          <w:szCs w:val="24"/>
        </w:rPr>
        <w:t>Buprenorphin</w:t>
      </w:r>
      <w:r w:rsidRPr="007967A9">
        <w:rPr>
          <w:iCs/>
          <w:sz w:val="24"/>
          <w:szCs w:val="24"/>
        </w:rPr>
        <w:tab/>
      </w:r>
      <w:r w:rsidRPr="007967A9">
        <w:rPr>
          <w:iCs/>
          <w:sz w:val="24"/>
          <w:szCs w:val="24"/>
        </w:rPr>
        <w:tab/>
        <w:t>0,3 mg</w:t>
      </w:r>
    </w:p>
    <w:p w14:paraId="68333051" w14:textId="0CD0A5AA" w:rsidR="007967A9" w:rsidRPr="007967A9" w:rsidRDefault="007967A9" w:rsidP="007967A9">
      <w:pPr>
        <w:ind w:left="851"/>
        <w:rPr>
          <w:iCs/>
          <w:sz w:val="24"/>
          <w:szCs w:val="24"/>
        </w:rPr>
      </w:pPr>
      <w:r w:rsidRPr="007967A9">
        <w:rPr>
          <w:iCs/>
          <w:sz w:val="24"/>
          <w:szCs w:val="24"/>
        </w:rPr>
        <w:t xml:space="preserve">(som buprenorphinhydrochlorid </w:t>
      </w:r>
      <w:r w:rsidRPr="007967A9">
        <w:rPr>
          <w:iCs/>
          <w:sz w:val="24"/>
          <w:szCs w:val="24"/>
        </w:rPr>
        <w:tab/>
        <w:t>0,324 mg)</w:t>
      </w:r>
    </w:p>
    <w:p w14:paraId="0ED1773C" w14:textId="77777777" w:rsidR="007967A9" w:rsidRPr="007967A9" w:rsidRDefault="007967A9" w:rsidP="007967A9">
      <w:pPr>
        <w:ind w:left="851"/>
        <w:rPr>
          <w:iCs/>
          <w:sz w:val="24"/>
          <w:szCs w:val="24"/>
        </w:rPr>
      </w:pPr>
    </w:p>
    <w:p w14:paraId="14D7EA2D" w14:textId="77777777" w:rsidR="007967A9" w:rsidRPr="007967A9" w:rsidRDefault="007967A9" w:rsidP="007967A9">
      <w:pPr>
        <w:ind w:left="851"/>
        <w:rPr>
          <w:sz w:val="24"/>
          <w:szCs w:val="24"/>
        </w:rPr>
      </w:pPr>
      <w:r w:rsidRPr="007967A9">
        <w:rPr>
          <w:b/>
          <w:sz w:val="24"/>
          <w:szCs w:val="24"/>
        </w:rPr>
        <w:t>Hjælpestoffer:</w:t>
      </w:r>
    </w:p>
    <w:tbl>
      <w:tblPr>
        <w:tblpPr w:leftFromText="141" w:rightFromText="141" w:vertAnchor="text" w:horzAnchor="margin" w:tblpXSpec="right"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543"/>
      </w:tblGrid>
      <w:tr w:rsidR="007967A9" w:rsidRPr="007967A9" w14:paraId="1B935D82" w14:textId="77777777" w:rsidTr="007967A9">
        <w:tc>
          <w:tcPr>
            <w:tcW w:w="4518" w:type="dxa"/>
            <w:tcBorders>
              <w:top w:val="single" w:sz="4" w:space="0" w:color="000000"/>
              <w:left w:val="single" w:sz="4" w:space="0" w:color="000000"/>
              <w:bottom w:val="single" w:sz="4" w:space="0" w:color="000000"/>
              <w:right w:val="single" w:sz="4" w:space="0" w:color="000000"/>
            </w:tcBorders>
            <w:vAlign w:val="center"/>
            <w:hideMark/>
          </w:tcPr>
          <w:p w14:paraId="1BEBEEA1" w14:textId="77777777" w:rsidR="007967A9" w:rsidRPr="007967A9" w:rsidRDefault="007967A9" w:rsidP="007967A9">
            <w:pPr>
              <w:rPr>
                <w:b/>
                <w:bCs/>
                <w:iCs/>
                <w:sz w:val="24"/>
                <w:szCs w:val="24"/>
              </w:rPr>
            </w:pPr>
            <w:r w:rsidRPr="007967A9">
              <w:rPr>
                <w:b/>
                <w:bCs/>
                <w:iCs/>
                <w:sz w:val="24"/>
                <w:szCs w:val="24"/>
              </w:rPr>
              <w:t>Kvalitativ sammensætning af hjælpestoffer og andre bestanddele</w:t>
            </w:r>
          </w:p>
        </w:tc>
        <w:tc>
          <w:tcPr>
            <w:tcW w:w="4543" w:type="dxa"/>
            <w:tcBorders>
              <w:top w:val="single" w:sz="4" w:space="0" w:color="000000"/>
              <w:left w:val="single" w:sz="4" w:space="0" w:color="000000"/>
              <w:bottom w:val="single" w:sz="4" w:space="0" w:color="000000"/>
              <w:right w:val="single" w:sz="4" w:space="0" w:color="000000"/>
            </w:tcBorders>
            <w:vAlign w:val="center"/>
            <w:hideMark/>
          </w:tcPr>
          <w:p w14:paraId="452E482A" w14:textId="77777777" w:rsidR="007967A9" w:rsidRPr="007967A9" w:rsidRDefault="007967A9" w:rsidP="007967A9">
            <w:pPr>
              <w:ind w:left="48"/>
              <w:rPr>
                <w:b/>
                <w:bCs/>
                <w:iCs/>
                <w:sz w:val="24"/>
                <w:szCs w:val="24"/>
              </w:rPr>
            </w:pPr>
            <w:r w:rsidRPr="007967A9">
              <w:rPr>
                <w:b/>
                <w:bCs/>
                <w:iCs/>
                <w:sz w:val="24"/>
                <w:szCs w:val="24"/>
              </w:rPr>
              <w:t>Kvantitativ sammensætning, hvis oplysningen er vigtig for korrekt administration af veterinærlægemidlet</w:t>
            </w:r>
          </w:p>
        </w:tc>
      </w:tr>
      <w:tr w:rsidR="007967A9" w:rsidRPr="007967A9" w14:paraId="7E2CE17E" w14:textId="77777777" w:rsidTr="007967A9">
        <w:tc>
          <w:tcPr>
            <w:tcW w:w="4518" w:type="dxa"/>
            <w:tcBorders>
              <w:top w:val="single" w:sz="4" w:space="0" w:color="000000"/>
              <w:left w:val="single" w:sz="4" w:space="0" w:color="000000"/>
              <w:bottom w:val="single" w:sz="4" w:space="0" w:color="000000"/>
              <w:right w:val="single" w:sz="4" w:space="0" w:color="000000"/>
            </w:tcBorders>
            <w:vAlign w:val="center"/>
            <w:hideMark/>
          </w:tcPr>
          <w:p w14:paraId="7F770D6E" w14:textId="77777777" w:rsidR="007967A9" w:rsidRPr="007967A9" w:rsidRDefault="007967A9" w:rsidP="007967A9">
            <w:pPr>
              <w:rPr>
                <w:iCs/>
                <w:sz w:val="24"/>
                <w:szCs w:val="24"/>
              </w:rPr>
            </w:pPr>
            <w:r w:rsidRPr="007967A9">
              <w:rPr>
                <w:iCs/>
                <w:sz w:val="24"/>
                <w:szCs w:val="24"/>
              </w:rPr>
              <w:t>Chlorcresol</w:t>
            </w:r>
          </w:p>
        </w:tc>
        <w:tc>
          <w:tcPr>
            <w:tcW w:w="4543" w:type="dxa"/>
            <w:tcBorders>
              <w:top w:val="single" w:sz="4" w:space="0" w:color="000000"/>
              <w:left w:val="single" w:sz="4" w:space="0" w:color="000000"/>
              <w:bottom w:val="single" w:sz="4" w:space="0" w:color="000000"/>
              <w:right w:val="single" w:sz="4" w:space="0" w:color="000000"/>
            </w:tcBorders>
            <w:vAlign w:val="center"/>
            <w:hideMark/>
          </w:tcPr>
          <w:p w14:paraId="154B2090" w14:textId="77777777" w:rsidR="007967A9" w:rsidRPr="007967A9" w:rsidRDefault="007967A9" w:rsidP="007967A9">
            <w:pPr>
              <w:ind w:left="48"/>
              <w:rPr>
                <w:iCs/>
                <w:sz w:val="24"/>
                <w:szCs w:val="24"/>
              </w:rPr>
            </w:pPr>
            <w:r w:rsidRPr="007967A9">
              <w:rPr>
                <w:iCs/>
                <w:sz w:val="24"/>
                <w:szCs w:val="24"/>
              </w:rPr>
              <w:t>1,35 mg</w:t>
            </w:r>
          </w:p>
        </w:tc>
      </w:tr>
      <w:tr w:rsidR="007967A9" w:rsidRPr="007967A9" w14:paraId="509D0141" w14:textId="77777777" w:rsidTr="007967A9">
        <w:tc>
          <w:tcPr>
            <w:tcW w:w="4518" w:type="dxa"/>
            <w:tcBorders>
              <w:top w:val="single" w:sz="4" w:space="0" w:color="000000"/>
              <w:left w:val="single" w:sz="4" w:space="0" w:color="000000"/>
              <w:bottom w:val="single" w:sz="4" w:space="0" w:color="000000"/>
              <w:right w:val="single" w:sz="4" w:space="0" w:color="000000"/>
            </w:tcBorders>
            <w:vAlign w:val="center"/>
            <w:hideMark/>
          </w:tcPr>
          <w:p w14:paraId="1AD38CEC" w14:textId="77777777" w:rsidR="007967A9" w:rsidRPr="007967A9" w:rsidRDefault="007967A9" w:rsidP="007967A9">
            <w:pPr>
              <w:rPr>
                <w:iCs/>
                <w:sz w:val="24"/>
                <w:szCs w:val="24"/>
              </w:rPr>
            </w:pPr>
            <w:r w:rsidRPr="007967A9">
              <w:rPr>
                <w:iCs/>
                <w:sz w:val="24"/>
                <w:szCs w:val="24"/>
              </w:rPr>
              <w:t>Glucose, vandfri</w:t>
            </w:r>
          </w:p>
        </w:tc>
        <w:tc>
          <w:tcPr>
            <w:tcW w:w="4543" w:type="dxa"/>
            <w:tcBorders>
              <w:top w:val="single" w:sz="4" w:space="0" w:color="000000"/>
              <w:left w:val="single" w:sz="4" w:space="0" w:color="000000"/>
              <w:bottom w:val="single" w:sz="4" w:space="0" w:color="000000"/>
              <w:right w:val="single" w:sz="4" w:space="0" w:color="000000"/>
            </w:tcBorders>
            <w:vAlign w:val="center"/>
          </w:tcPr>
          <w:p w14:paraId="40D1EDCF" w14:textId="77777777" w:rsidR="007967A9" w:rsidRPr="007967A9" w:rsidRDefault="007967A9" w:rsidP="007967A9">
            <w:pPr>
              <w:ind w:left="48"/>
              <w:rPr>
                <w:iCs/>
                <w:sz w:val="24"/>
                <w:szCs w:val="24"/>
              </w:rPr>
            </w:pPr>
          </w:p>
        </w:tc>
      </w:tr>
      <w:tr w:rsidR="007967A9" w:rsidRPr="007967A9" w14:paraId="08EE6CBD" w14:textId="77777777" w:rsidTr="007967A9">
        <w:tc>
          <w:tcPr>
            <w:tcW w:w="4518" w:type="dxa"/>
            <w:tcBorders>
              <w:top w:val="single" w:sz="4" w:space="0" w:color="000000"/>
              <w:left w:val="single" w:sz="4" w:space="0" w:color="000000"/>
              <w:bottom w:val="single" w:sz="4" w:space="0" w:color="000000"/>
              <w:right w:val="single" w:sz="4" w:space="0" w:color="000000"/>
            </w:tcBorders>
            <w:vAlign w:val="center"/>
            <w:hideMark/>
          </w:tcPr>
          <w:p w14:paraId="3245F966" w14:textId="77777777" w:rsidR="007967A9" w:rsidRPr="007967A9" w:rsidRDefault="007967A9" w:rsidP="007967A9">
            <w:pPr>
              <w:rPr>
                <w:iCs/>
                <w:sz w:val="24"/>
                <w:szCs w:val="24"/>
              </w:rPr>
            </w:pPr>
            <w:r w:rsidRPr="007967A9">
              <w:rPr>
                <w:iCs/>
                <w:sz w:val="24"/>
                <w:szCs w:val="24"/>
              </w:rPr>
              <w:t>Saltsyre</w:t>
            </w:r>
          </w:p>
        </w:tc>
        <w:tc>
          <w:tcPr>
            <w:tcW w:w="4543" w:type="dxa"/>
            <w:tcBorders>
              <w:top w:val="single" w:sz="4" w:space="0" w:color="000000"/>
              <w:left w:val="single" w:sz="4" w:space="0" w:color="000000"/>
              <w:bottom w:val="single" w:sz="4" w:space="0" w:color="000000"/>
              <w:right w:val="single" w:sz="4" w:space="0" w:color="000000"/>
            </w:tcBorders>
            <w:vAlign w:val="center"/>
          </w:tcPr>
          <w:p w14:paraId="417D8F47" w14:textId="77777777" w:rsidR="007967A9" w:rsidRPr="007967A9" w:rsidRDefault="007967A9" w:rsidP="007967A9">
            <w:pPr>
              <w:ind w:left="48"/>
              <w:rPr>
                <w:iCs/>
                <w:sz w:val="24"/>
                <w:szCs w:val="24"/>
              </w:rPr>
            </w:pPr>
          </w:p>
        </w:tc>
      </w:tr>
      <w:tr w:rsidR="007967A9" w:rsidRPr="007967A9" w14:paraId="0CD9B439" w14:textId="77777777" w:rsidTr="007967A9">
        <w:tc>
          <w:tcPr>
            <w:tcW w:w="4518" w:type="dxa"/>
            <w:tcBorders>
              <w:top w:val="single" w:sz="4" w:space="0" w:color="000000"/>
              <w:left w:val="single" w:sz="4" w:space="0" w:color="000000"/>
              <w:bottom w:val="single" w:sz="4" w:space="0" w:color="000000"/>
              <w:right w:val="single" w:sz="4" w:space="0" w:color="000000"/>
            </w:tcBorders>
            <w:vAlign w:val="center"/>
            <w:hideMark/>
          </w:tcPr>
          <w:p w14:paraId="3DCE4F40" w14:textId="77777777" w:rsidR="007967A9" w:rsidRPr="007967A9" w:rsidRDefault="007967A9" w:rsidP="007967A9">
            <w:pPr>
              <w:rPr>
                <w:b/>
                <w:bCs/>
                <w:iCs/>
                <w:sz w:val="24"/>
                <w:szCs w:val="24"/>
              </w:rPr>
            </w:pPr>
            <w:r w:rsidRPr="007967A9">
              <w:rPr>
                <w:iCs/>
                <w:sz w:val="24"/>
                <w:szCs w:val="24"/>
              </w:rPr>
              <w:t>Vand til injektionsvæsker</w:t>
            </w:r>
          </w:p>
        </w:tc>
        <w:tc>
          <w:tcPr>
            <w:tcW w:w="4543" w:type="dxa"/>
            <w:tcBorders>
              <w:top w:val="single" w:sz="4" w:space="0" w:color="000000"/>
              <w:left w:val="single" w:sz="4" w:space="0" w:color="000000"/>
              <w:bottom w:val="single" w:sz="4" w:space="0" w:color="000000"/>
              <w:right w:val="single" w:sz="4" w:space="0" w:color="000000"/>
            </w:tcBorders>
            <w:vAlign w:val="center"/>
          </w:tcPr>
          <w:p w14:paraId="2EC313C2" w14:textId="77777777" w:rsidR="007967A9" w:rsidRPr="007967A9" w:rsidRDefault="007967A9" w:rsidP="007967A9">
            <w:pPr>
              <w:ind w:left="48"/>
              <w:rPr>
                <w:iCs/>
                <w:sz w:val="24"/>
                <w:szCs w:val="24"/>
              </w:rPr>
            </w:pPr>
          </w:p>
        </w:tc>
      </w:tr>
    </w:tbl>
    <w:p w14:paraId="64C89773" w14:textId="77777777" w:rsidR="007967A9" w:rsidRPr="007967A9" w:rsidRDefault="007967A9" w:rsidP="007967A9">
      <w:pPr>
        <w:ind w:left="851"/>
        <w:rPr>
          <w:sz w:val="24"/>
          <w:szCs w:val="24"/>
        </w:rPr>
      </w:pPr>
    </w:p>
    <w:p w14:paraId="7E67115B" w14:textId="77777777" w:rsidR="007967A9" w:rsidRPr="007967A9" w:rsidRDefault="007967A9" w:rsidP="007967A9">
      <w:pPr>
        <w:ind w:left="851"/>
        <w:rPr>
          <w:sz w:val="24"/>
          <w:szCs w:val="24"/>
        </w:rPr>
      </w:pPr>
      <w:r w:rsidRPr="007967A9">
        <w:rPr>
          <w:sz w:val="24"/>
          <w:szCs w:val="24"/>
        </w:rPr>
        <w:t>Klar, farveløs injektionsvæske, opløsning.</w:t>
      </w:r>
    </w:p>
    <w:p w14:paraId="57ED793F" w14:textId="77777777" w:rsidR="008203A8" w:rsidRDefault="008203A8" w:rsidP="008203A8">
      <w:pPr>
        <w:ind w:left="851"/>
        <w:rPr>
          <w:sz w:val="24"/>
          <w:szCs w:val="24"/>
        </w:rPr>
      </w:pPr>
    </w:p>
    <w:p w14:paraId="4C51589A" w14:textId="77777777" w:rsidR="008203A8" w:rsidRPr="008509BB" w:rsidRDefault="008203A8" w:rsidP="008203A8">
      <w:pPr>
        <w:ind w:left="851"/>
        <w:rPr>
          <w:sz w:val="24"/>
          <w:szCs w:val="24"/>
        </w:rPr>
      </w:pPr>
    </w:p>
    <w:p w14:paraId="67C0E94E"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EC33B9C" w14:textId="77777777" w:rsidR="008203A8" w:rsidRPr="00406EE7" w:rsidRDefault="008203A8" w:rsidP="008203A8">
      <w:pPr>
        <w:tabs>
          <w:tab w:val="left" w:pos="851"/>
        </w:tabs>
        <w:ind w:left="851"/>
        <w:rPr>
          <w:sz w:val="24"/>
          <w:szCs w:val="24"/>
        </w:rPr>
      </w:pPr>
    </w:p>
    <w:p w14:paraId="52D2CD8D"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C247A0D" w14:textId="56476442" w:rsidR="008203A8" w:rsidRDefault="007967A9" w:rsidP="008203A8">
      <w:pPr>
        <w:ind w:left="851"/>
        <w:rPr>
          <w:sz w:val="24"/>
          <w:szCs w:val="24"/>
        </w:rPr>
      </w:pPr>
      <w:r>
        <w:rPr>
          <w:sz w:val="24"/>
          <w:szCs w:val="24"/>
        </w:rPr>
        <w:t>Hund</w:t>
      </w:r>
    </w:p>
    <w:p w14:paraId="0BDE0F46" w14:textId="1A8F35CA" w:rsidR="007967A9" w:rsidRPr="00406EE7" w:rsidRDefault="007967A9" w:rsidP="008203A8">
      <w:pPr>
        <w:ind w:left="851"/>
        <w:rPr>
          <w:sz w:val="24"/>
          <w:szCs w:val="24"/>
        </w:rPr>
      </w:pPr>
      <w:r>
        <w:rPr>
          <w:sz w:val="24"/>
          <w:szCs w:val="24"/>
        </w:rPr>
        <w:t>Kat</w:t>
      </w:r>
    </w:p>
    <w:p w14:paraId="1E6B5124" w14:textId="0B81440A" w:rsidR="007967A9" w:rsidRDefault="007967A9">
      <w:pPr>
        <w:rPr>
          <w:sz w:val="24"/>
          <w:szCs w:val="24"/>
        </w:rPr>
      </w:pPr>
      <w:r>
        <w:rPr>
          <w:sz w:val="24"/>
          <w:szCs w:val="24"/>
        </w:rPr>
        <w:br w:type="page"/>
      </w:r>
    </w:p>
    <w:p w14:paraId="791BF3FE" w14:textId="77777777" w:rsidR="008203A8" w:rsidRPr="00406EE7" w:rsidRDefault="008203A8" w:rsidP="008203A8">
      <w:pPr>
        <w:ind w:left="851"/>
        <w:rPr>
          <w:sz w:val="24"/>
          <w:szCs w:val="24"/>
        </w:rPr>
      </w:pPr>
    </w:p>
    <w:p w14:paraId="161494D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C67DC41" w14:textId="77777777" w:rsidR="007967A9" w:rsidRDefault="007967A9" w:rsidP="007967A9">
      <w:pPr>
        <w:pStyle w:val="Sidehoved"/>
        <w:ind w:left="851"/>
        <w:rPr>
          <w:szCs w:val="24"/>
        </w:rPr>
      </w:pPr>
    </w:p>
    <w:p w14:paraId="0A771969" w14:textId="4EBA0806" w:rsidR="007967A9" w:rsidRPr="007967A9" w:rsidRDefault="007967A9" w:rsidP="007967A9">
      <w:pPr>
        <w:pStyle w:val="Sidehoved"/>
        <w:ind w:left="851"/>
        <w:rPr>
          <w:szCs w:val="24"/>
          <w:u w:val="single"/>
        </w:rPr>
      </w:pPr>
      <w:r w:rsidRPr="007967A9">
        <w:rPr>
          <w:szCs w:val="24"/>
          <w:u w:val="single"/>
        </w:rPr>
        <w:t>Hund</w:t>
      </w:r>
    </w:p>
    <w:p w14:paraId="1616987B" w14:textId="77777777" w:rsidR="007967A9" w:rsidRPr="007967A9" w:rsidRDefault="007967A9" w:rsidP="007967A9">
      <w:pPr>
        <w:pStyle w:val="Sidehoved"/>
        <w:numPr>
          <w:ilvl w:val="0"/>
          <w:numId w:val="4"/>
        </w:numPr>
        <w:ind w:left="1134" w:hanging="283"/>
        <w:rPr>
          <w:szCs w:val="24"/>
        </w:rPr>
      </w:pPr>
      <w:r w:rsidRPr="007967A9">
        <w:rPr>
          <w:szCs w:val="24"/>
        </w:rPr>
        <w:t xml:space="preserve">Postoperativ analgesi. </w:t>
      </w:r>
    </w:p>
    <w:p w14:paraId="7BE45729" w14:textId="77777777" w:rsidR="007967A9" w:rsidRPr="007967A9" w:rsidRDefault="007967A9" w:rsidP="007967A9">
      <w:pPr>
        <w:pStyle w:val="Sidehoved"/>
        <w:numPr>
          <w:ilvl w:val="0"/>
          <w:numId w:val="4"/>
        </w:numPr>
        <w:ind w:left="1134" w:hanging="283"/>
        <w:rPr>
          <w:szCs w:val="24"/>
        </w:rPr>
      </w:pPr>
      <w:r w:rsidRPr="007967A9">
        <w:rPr>
          <w:szCs w:val="24"/>
        </w:rPr>
        <w:t>Potensering af den sedative effekt af midler, som påvirker hundens centralnervesystem.</w:t>
      </w:r>
    </w:p>
    <w:p w14:paraId="01F0ADBE" w14:textId="77777777" w:rsidR="007967A9" w:rsidRPr="007967A9" w:rsidRDefault="007967A9" w:rsidP="007967A9">
      <w:pPr>
        <w:pStyle w:val="Sidehoved"/>
        <w:ind w:left="851"/>
        <w:rPr>
          <w:szCs w:val="24"/>
        </w:rPr>
      </w:pPr>
    </w:p>
    <w:p w14:paraId="09461098" w14:textId="1A0BB36A" w:rsidR="007967A9" w:rsidRPr="007967A9" w:rsidRDefault="007967A9" w:rsidP="007967A9">
      <w:pPr>
        <w:pStyle w:val="Sidehoved"/>
        <w:ind w:left="851"/>
        <w:rPr>
          <w:szCs w:val="24"/>
          <w:u w:val="single"/>
        </w:rPr>
      </w:pPr>
      <w:r w:rsidRPr="007967A9">
        <w:rPr>
          <w:szCs w:val="24"/>
          <w:u w:val="single"/>
        </w:rPr>
        <w:t>Kat</w:t>
      </w:r>
    </w:p>
    <w:p w14:paraId="5FF73E08" w14:textId="77777777" w:rsidR="007967A9" w:rsidRPr="007967A9" w:rsidRDefault="007967A9" w:rsidP="007967A9">
      <w:pPr>
        <w:pStyle w:val="Sidehoved"/>
        <w:numPr>
          <w:ilvl w:val="0"/>
          <w:numId w:val="4"/>
        </w:numPr>
        <w:ind w:left="1134" w:hanging="283"/>
        <w:rPr>
          <w:szCs w:val="24"/>
        </w:rPr>
      </w:pPr>
      <w:r w:rsidRPr="007967A9">
        <w:rPr>
          <w:szCs w:val="24"/>
        </w:rPr>
        <w:t>Postoperativ analgesi.</w:t>
      </w:r>
    </w:p>
    <w:p w14:paraId="1D99A110" w14:textId="77777777" w:rsidR="008203A8" w:rsidRDefault="008203A8" w:rsidP="008203A8">
      <w:pPr>
        <w:pStyle w:val="Sidehoved"/>
        <w:ind w:left="851"/>
        <w:rPr>
          <w:szCs w:val="24"/>
        </w:rPr>
      </w:pPr>
    </w:p>
    <w:p w14:paraId="29C4B0BD"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35E6F4F0" w14:textId="77777777" w:rsidR="007967A9" w:rsidRPr="007967A9" w:rsidRDefault="007967A9" w:rsidP="007967A9">
      <w:pPr>
        <w:pStyle w:val="Sidehoved"/>
        <w:ind w:left="851"/>
        <w:rPr>
          <w:szCs w:val="24"/>
        </w:rPr>
      </w:pPr>
      <w:r w:rsidRPr="007967A9">
        <w:rPr>
          <w:szCs w:val="24"/>
        </w:rPr>
        <w:t>Må ikke administreres intratekalt eller periduralt.</w:t>
      </w:r>
    </w:p>
    <w:p w14:paraId="784F68BC" w14:textId="77777777" w:rsidR="007967A9" w:rsidRPr="007967A9" w:rsidRDefault="007967A9" w:rsidP="007967A9">
      <w:pPr>
        <w:pStyle w:val="Sidehoved"/>
        <w:ind w:left="851"/>
        <w:rPr>
          <w:szCs w:val="24"/>
        </w:rPr>
      </w:pPr>
      <w:r w:rsidRPr="007967A9">
        <w:rPr>
          <w:szCs w:val="24"/>
        </w:rPr>
        <w:t xml:space="preserve">Må ikke anvendes præoperativt ved kejsersnit (se pkt. 3.7). </w:t>
      </w:r>
    </w:p>
    <w:p w14:paraId="1971F46D" w14:textId="77777777" w:rsidR="007967A9" w:rsidRPr="007967A9" w:rsidRDefault="007967A9" w:rsidP="007967A9">
      <w:pPr>
        <w:pStyle w:val="Sidehoved"/>
        <w:ind w:left="851"/>
        <w:rPr>
          <w:szCs w:val="24"/>
        </w:rPr>
      </w:pPr>
      <w:r w:rsidRPr="007967A9">
        <w:rPr>
          <w:szCs w:val="24"/>
        </w:rPr>
        <w:t>Må ikke anvendes i tilfælde af overfølsomhed over for det aktive stof eller over for et eller flere af hjælpestofferne.</w:t>
      </w:r>
    </w:p>
    <w:p w14:paraId="66713261" w14:textId="77777777" w:rsidR="008203A8" w:rsidRPr="00406EE7" w:rsidRDefault="008203A8" w:rsidP="008203A8">
      <w:pPr>
        <w:pStyle w:val="Sidehoved"/>
        <w:tabs>
          <w:tab w:val="clear" w:pos="4819"/>
        </w:tabs>
        <w:ind w:left="851"/>
        <w:rPr>
          <w:szCs w:val="24"/>
        </w:rPr>
      </w:pPr>
    </w:p>
    <w:p w14:paraId="1FA692C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459801C" w14:textId="7AB2F933" w:rsidR="008203A8" w:rsidRPr="00406EE7" w:rsidRDefault="007967A9" w:rsidP="008203A8">
      <w:pPr>
        <w:tabs>
          <w:tab w:val="left" w:pos="851"/>
        </w:tabs>
        <w:ind w:left="851"/>
        <w:rPr>
          <w:sz w:val="24"/>
          <w:szCs w:val="24"/>
        </w:rPr>
      </w:pPr>
      <w:r>
        <w:rPr>
          <w:sz w:val="24"/>
          <w:szCs w:val="24"/>
        </w:rPr>
        <w:t>Ingen</w:t>
      </w:r>
    </w:p>
    <w:p w14:paraId="08948545" w14:textId="77777777" w:rsidR="008203A8" w:rsidRPr="00406EE7" w:rsidRDefault="008203A8" w:rsidP="008203A8">
      <w:pPr>
        <w:pStyle w:val="Sidehoved"/>
        <w:tabs>
          <w:tab w:val="clear" w:pos="4819"/>
        </w:tabs>
        <w:ind w:left="851"/>
        <w:rPr>
          <w:szCs w:val="24"/>
        </w:rPr>
      </w:pPr>
    </w:p>
    <w:p w14:paraId="44C96C6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E507811" w14:textId="77777777" w:rsidR="008203A8" w:rsidRPr="002374DA" w:rsidRDefault="008203A8" w:rsidP="008203A8">
      <w:pPr>
        <w:tabs>
          <w:tab w:val="left" w:pos="851"/>
        </w:tabs>
        <w:ind w:left="851"/>
        <w:rPr>
          <w:sz w:val="24"/>
          <w:szCs w:val="24"/>
        </w:rPr>
      </w:pPr>
    </w:p>
    <w:p w14:paraId="701B1D68"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3E727077" w14:textId="77777777" w:rsidR="007967A9" w:rsidRPr="007967A9" w:rsidRDefault="007967A9" w:rsidP="007967A9">
      <w:pPr>
        <w:tabs>
          <w:tab w:val="left" w:pos="851"/>
        </w:tabs>
        <w:ind w:left="851"/>
        <w:rPr>
          <w:sz w:val="24"/>
          <w:szCs w:val="24"/>
        </w:rPr>
      </w:pPr>
      <w:r w:rsidRPr="007967A9">
        <w:rPr>
          <w:sz w:val="24"/>
          <w:szCs w:val="24"/>
        </w:rPr>
        <w:t xml:space="preserve">Buprenorphin kan forårsage respirationsdepression, og der skal som ved andre opioider udvises forsigtighed ved behandling af dyr med nedsat respirationsfunktion eller dyr, der får lægemidler, som kan forårsage respirationsdepression. </w:t>
      </w:r>
    </w:p>
    <w:p w14:paraId="47515A6C" w14:textId="77777777" w:rsidR="007967A9" w:rsidRPr="007967A9" w:rsidRDefault="007967A9" w:rsidP="007967A9">
      <w:pPr>
        <w:tabs>
          <w:tab w:val="left" w:pos="851"/>
        </w:tabs>
        <w:ind w:left="851"/>
        <w:rPr>
          <w:sz w:val="24"/>
          <w:szCs w:val="24"/>
        </w:rPr>
      </w:pPr>
    </w:p>
    <w:p w14:paraId="1706CF3B" w14:textId="77777777" w:rsidR="007967A9" w:rsidRPr="007967A9" w:rsidRDefault="007967A9" w:rsidP="007967A9">
      <w:pPr>
        <w:tabs>
          <w:tab w:val="left" w:pos="851"/>
        </w:tabs>
        <w:ind w:left="851"/>
        <w:rPr>
          <w:sz w:val="24"/>
          <w:szCs w:val="24"/>
        </w:rPr>
      </w:pPr>
      <w:r w:rsidRPr="007967A9">
        <w:rPr>
          <w:sz w:val="24"/>
          <w:szCs w:val="24"/>
        </w:rPr>
        <w:t>Ved nedsat nyre-, lever- eller hjertefunktion eller shock kan der være en større risiko forbundet med brugen af veterinærlægemidlet. Den behandlende dyrlæge vurderer benefit/risk-forholdet ved brugen af veterinærlægemidlet. Sikkerheden er ikke undersøgt fuldt ud for klinisk svækkede katte.</w:t>
      </w:r>
    </w:p>
    <w:p w14:paraId="7B48D6C8" w14:textId="77777777" w:rsidR="007967A9" w:rsidRPr="007967A9" w:rsidRDefault="007967A9" w:rsidP="007967A9">
      <w:pPr>
        <w:tabs>
          <w:tab w:val="left" w:pos="851"/>
        </w:tabs>
        <w:ind w:left="851"/>
        <w:rPr>
          <w:sz w:val="24"/>
          <w:szCs w:val="24"/>
        </w:rPr>
      </w:pPr>
    </w:p>
    <w:p w14:paraId="3464BA62" w14:textId="77777777" w:rsidR="007967A9" w:rsidRPr="007967A9" w:rsidRDefault="007967A9" w:rsidP="007967A9">
      <w:pPr>
        <w:tabs>
          <w:tab w:val="left" w:pos="851"/>
        </w:tabs>
        <w:ind w:left="851"/>
        <w:rPr>
          <w:sz w:val="24"/>
          <w:szCs w:val="24"/>
        </w:rPr>
      </w:pPr>
      <w:r w:rsidRPr="007967A9">
        <w:rPr>
          <w:sz w:val="24"/>
          <w:szCs w:val="24"/>
        </w:rPr>
        <w:t>Buprenorphin skal anvendes med forsigtighed til dyr med nedsat leverfunktion, særligt sygdomme i galdevejene, idet stoffet metaboliseres af leveren, og dets styrke og virkningsvarighed kan påvirkes hos disse dyr.</w:t>
      </w:r>
    </w:p>
    <w:p w14:paraId="174F01AB" w14:textId="77777777" w:rsidR="007967A9" w:rsidRPr="007967A9" w:rsidRDefault="007967A9" w:rsidP="007967A9">
      <w:pPr>
        <w:tabs>
          <w:tab w:val="left" w:pos="851"/>
        </w:tabs>
        <w:ind w:left="851"/>
        <w:rPr>
          <w:sz w:val="24"/>
          <w:szCs w:val="24"/>
        </w:rPr>
      </w:pPr>
    </w:p>
    <w:p w14:paraId="4CFFBC36" w14:textId="77777777" w:rsidR="007967A9" w:rsidRPr="007967A9" w:rsidRDefault="007967A9" w:rsidP="007967A9">
      <w:pPr>
        <w:tabs>
          <w:tab w:val="left" w:pos="851"/>
        </w:tabs>
        <w:ind w:left="851"/>
        <w:rPr>
          <w:sz w:val="24"/>
          <w:szCs w:val="24"/>
        </w:rPr>
      </w:pPr>
      <w:r w:rsidRPr="007967A9">
        <w:rPr>
          <w:sz w:val="24"/>
          <w:szCs w:val="24"/>
        </w:rPr>
        <w:t>Sikkerheden ved brugen af buprenorphin er ikke påvist for dyr, der er under 7 uger, og derfor skal brugen til disse dyr baseres på dyrlægens vurdering af benefit/risk-forholdet.</w:t>
      </w:r>
    </w:p>
    <w:p w14:paraId="09E43B36" w14:textId="77777777" w:rsidR="007967A9" w:rsidRPr="007967A9" w:rsidRDefault="007967A9" w:rsidP="007967A9">
      <w:pPr>
        <w:tabs>
          <w:tab w:val="left" w:pos="851"/>
        </w:tabs>
        <w:ind w:left="851"/>
        <w:rPr>
          <w:sz w:val="24"/>
          <w:szCs w:val="24"/>
        </w:rPr>
      </w:pPr>
    </w:p>
    <w:p w14:paraId="13C0470F" w14:textId="77777777" w:rsidR="007967A9" w:rsidRPr="007967A9" w:rsidRDefault="007967A9" w:rsidP="007967A9">
      <w:pPr>
        <w:tabs>
          <w:tab w:val="left" w:pos="851"/>
        </w:tabs>
        <w:ind w:left="851"/>
        <w:rPr>
          <w:sz w:val="24"/>
          <w:szCs w:val="24"/>
        </w:rPr>
      </w:pPr>
      <w:r w:rsidRPr="007967A9">
        <w:rPr>
          <w:sz w:val="24"/>
          <w:szCs w:val="24"/>
        </w:rPr>
        <w:t>Gentagen administration tidligere end det gentagelsesinterval, der anbefales i pkt. 3.9, frarådes.</w:t>
      </w:r>
    </w:p>
    <w:p w14:paraId="5272C604" w14:textId="77777777" w:rsidR="007967A9" w:rsidRPr="007967A9" w:rsidRDefault="007967A9" w:rsidP="007967A9">
      <w:pPr>
        <w:tabs>
          <w:tab w:val="left" w:pos="851"/>
        </w:tabs>
        <w:ind w:left="851"/>
        <w:rPr>
          <w:sz w:val="24"/>
          <w:szCs w:val="24"/>
        </w:rPr>
      </w:pPr>
    </w:p>
    <w:p w14:paraId="182370CE" w14:textId="77777777" w:rsidR="007967A9" w:rsidRPr="007967A9" w:rsidRDefault="007967A9" w:rsidP="007967A9">
      <w:pPr>
        <w:tabs>
          <w:tab w:val="left" w:pos="851"/>
        </w:tabs>
        <w:ind w:left="851"/>
        <w:rPr>
          <w:sz w:val="24"/>
          <w:szCs w:val="24"/>
        </w:rPr>
      </w:pPr>
      <w:r w:rsidRPr="007967A9">
        <w:rPr>
          <w:sz w:val="24"/>
          <w:szCs w:val="24"/>
        </w:rPr>
        <w:t>Sikkerheden ved langvarig brug af buprenorphin til katte er ikke undersøgt ved mere end 5 fortløbende dages administration.</w:t>
      </w:r>
    </w:p>
    <w:p w14:paraId="22AB5126" w14:textId="77777777" w:rsidR="007967A9" w:rsidRPr="007967A9" w:rsidRDefault="007967A9" w:rsidP="007967A9">
      <w:pPr>
        <w:tabs>
          <w:tab w:val="left" w:pos="851"/>
        </w:tabs>
        <w:ind w:left="851"/>
        <w:rPr>
          <w:sz w:val="24"/>
          <w:szCs w:val="24"/>
        </w:rPr>
      </w:pPr>
    </w:p>
    <w:p w14:paraId="2154EF21" w14:textId="77777777" w:rsidR="007967A9" w:rsidRPr="007967A9" w:rsidRDefault="007967A9" w:rsidP="007967A9">
      <w:pPr>
        <w:tabs>
          <w:tab w:val="left" w:pos="851"/>
        </w:tabs>
        <w:ind w:left="851"/>
        <w:rPr>
          <w:sz w:val="24"/>
          <w:szCs w:val="24"/>
        </w:rPr>
      </w:pPr>
      <w:r w:rsidRPr="007967A9">
        <w:rPr>
          <w:sz w:val="24"/>
          <w:szCs w:val="24"/>
        </w:rPr>
        <w:t>Virkningen af et opioid ved hovedtraume afhænger af skadens type og sværhedsgrad samt af den anvendte respirationsunderstøttelse. Veterinærlægemidlet skal anvendes i overensstemmelse med den behandlende dyrlæges vurdering af benefit/risk-forholdet.</w:t>
      </w:r>
    </w:p>
    <w:p w14:paraId="5ED00204" w14:textId="6BF85450" w:rsidR="007967A9" w:rsidRDefault="007967A9">
      <w:pPr>
        <w:rPr>
          <w:sz w:val="24"/>
          <w:szCs w:val="24"/>
        </w:rPr>
      </w:pPr>
      <w:r>
        <w:rPr>
          <w:sz w:val="24"/>
          <w:szCs w:val="24"/>
        </w:rPr>
        <w:br w:type="page"/>
      </w:r>
    </w:p>
    <w:p w14:paraId="30C77E92" w14:textId="77777777" w:rsidR="008203A8" w:rsidRPr="00406EE7" w:rsidRDefault="008203A8" w:rsidP="008203A8">
      <w:pPr>
        <w:tabs>
          <w:tab w:val="left" w:pos="851"/>
        </w:tabs>
        <w:ind w:left="851"/>
        <w:rPr>
          <w:sz w:val="24"/>
          <w:szCs w:val="24"/>
        </w:rPr>
      </w:pPr>
    </w:p>
    <w:p w14:paraId="6CEA4A4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CF4A6AE" w14:textId="77777777" w:rsidR="007967A9" w:rsidRPr="007967A9" w:rsidRDefault="007967A9" w:rsidP="007967A9">
      <w:pPr>
        <w:tabs>
          <w:tab w:val="left" w:pos="851"/>
        </w:tabs>
        <w:ind w:left="851"/>
        <w:rPr>
          <w:sz w:val="24"/>
          <w:szCs w:val="24"/>
        </w:rPr>
      </w:pPr>
      <w:r w:rsidRPr="007967A9">
        <w:rPr>
          <w:sz w:val="24"/>
          <w:szCs w:val="24"/>
        </w:rPr>
        <w:t xml:space="preserve">Hjælpestoffet chlorcresol kan forårsage overfølsomhed (allergiske reaktioner) ved hudkontakt. Ved overfølsomhed over for chlorcresol bør kontakt med veterinærlægemidlet undgås. I tilfælde af utilsigtet kontakt med huden skal huden straks skylles med vand. </w:t>
      </w:r>
    </w:p>
    <w:p w14:paraId="50AB5C05" w14:textId="77777777" w:rsidR="007967A9" w:rsidRPr="007967A9" w:rsidRDefault="007967A9" w:rsidP="007967A9">
      <w:pPr>
        <w:tabs>
          <w:tab w:val="left" w:pos="851"/>
        </w:tabs>
        <w:ind w:left="851"/>
        <w:rPr>
          <w:sz w:val="24"/>
          <w:szCs w:val="24"/>
        </w:rPr>
      </w:pPr>
    </w:p>
    <w:p w14:paraId="58F5FA91" w14:textId="77777777" w:rsidR="007967A9" w:rsidRPr="007967A9" w:rsidRDefault="007967A9" w:rsidP="007967A9">
      <w:pPr>
        <w:tabs>
          <w:tab w:val="left" w:pos="851"/>
        </w:tabs>
        <w:ind w:left="851"/>
        <w:rPr>
          <w:sz w:val="24"/>
          <w:szCs w:val="24"/>
        </w:rPr>
      </w:pPr>
      <w:r w:rsidRPr="007967A9">
        <w:rPr>
          <w:sz w:val="24"/>
          <w:szCs w:val="24"/>
        </w:rPr>
        <w:t xml:space="preserve">Buprenorphin har opioidlignende aktivitet, og der skal derfor udvises forsigtighed for at undgå selvinjektion eller indtagelse. </w:t>
      </w:r>
    </w:p>
    <w:p w14:paraId="6F9A62D7" w14:textId="77777777" w:rsidR="007967A9" w:rsidRPr="007967A9" w:rsidRDefault="007967A9" w:rsidP="007967A9">
      <w:pPr>
        <w:tabs>
          <w:tab w:val="left" w:pos="851"/>
        </w:tabs>
        <w:ind w:left="851"/>
        <w:rPr>
          <w:sz w:val="24"/>
          <w:szCs w:val="24"/>
        </w:rPr>
      </w:pPr>
      <w:r w:rsidRPr="007967A9">
        <w:rPr>
          <w:sz w:val="24"/>
          <w:szCs w:val="24"/>
        </w:rPr>
        <w:t>Buprenorphin absorberes systemisk ved eksponering via slimhinderne. Veterinærlægemidlet er svagt syreholdigt og kan derfor forårsage hud- eller øjenirritation. I tilfælde af øjen-, hud- eller mundkontakt skylles straks grundigt med vand. Søg lægehjælp ved vedvarende irritation.</w:t>
      </w:r>
    </w:p>
    <w:p w14:paraId="10CECDF7" w14:textId="77777777" w:rsidR="007967A9" w:rsidRPr="007967A9" w:rsidRDefault="007967A9" w:rsidP="007967A9">
      <w:pPr>
        <w:tabs>
          <w:tab w:val="left" w:pos="851"/>
        </w:tabs>
        <w:ind w:left="851"/>
        <w:rPr>
          <w:sz w:val="24"/>
          <w:szCs w:val="24"/>
        </w:rPr>
      </w:pPr>
      <w:r w:rsidRPr="007967A9">
        <w:rPr>
          <w:sz w:val="24"/>
          <w:szCs w:val="24"/>
        </w:rPr>
        <w:t>I tilfælde af utilsigtet selvinjektion eller indtagelse ved hændeligt uheld skal der straks søges lægehjælp, og indlægssedlen eller etiketten bør vises til lægen. Vask hænderne efter brug.</w:t>
      </w:r>
    </w:p>
    <w:p w14:paraId="68C039F2" w14:textId="77777777" w:rsidR="007967A9" w:rsidRPr="007967A9" w:rsidRDefault="007967A9" w:rsidP="007967A9">
      <w:pPr>
        <w:tabs>
          <w:tab w:val="left" w:pos="851"/>
        </w:tabs>
        <w:ind w:left="851"/>
        <w:rPr>
          <w:sz w:val="24"/>
          <w:szCs w:val="24"/>
        </w:rPr>
      </w:pPr>
      <w:r w:rsidRPr="007967A9">
        <w:rPr>
          <w:sz w:val="24"/>
          <w:szCs w:val="24"/>
        </w:rPr>
        <w:t>I tilfælde af øjen- eller hudkontakt skal øjet eller huden straks skylles grundigt med rindende koldt vand. Søg lægehjælp ved vedvarende irritation.</w:t>
      </w:r>
    </w:p>
    <w:p w14:paraId="317BE21D" w14:textId="77777777" w:rsidR="007967A9" w:rsidRPr="007967A9" w:rsidRDefault="007967A9" w:rsidP="007967A9">
      <w:pPr>
        <w:tabs>
          <w:tab w:val="left" w:pos="851"/>
        </w:tabs>
        <w:ind w:left="851"/>
        <w:rPr>
          <w:sz w:val="24"/>
          <w:szCs w:val="24"/>
        </w:rPr>
      </w:pPr>
    </w:p>
    <w:p w14:paraId="789E4D45" w14:textId="77777777" w:rsidR="007967A9" w:rsidRPr="007967A9" w:rsidRDefault="007967A9" w:rsidP="007967A9">
      <w:pPr>
        <w:tabs>
          <w:tab w:val="left" w:pos="851"/>
        </w:tabs>
        <w:ind w:left="851"/>
        <w:rPr>
          <w:sz w:val="24"/>
          <w:szCs w:val="24"/>
        </w:rPr>
      </w:pPr>
      <w:r w:rsidRPr="007967A9">
        <w:rPr>
          <w:sz w:val="24"/>
          <w:szCs w:val="24"/>
        </w:rPr>
        <w:t>Til lægen: I tilfælde af utilsigtet selvinjektion kan opioidantagonisten naloxon anvendes som antidot.</w:t>
      </w:r>
    </w:p>
    <w:p w14:paraId="33898F86" w14:textId="77777777" w:rsidR="008203A8" w:rsidRDefault="008203A8" w:rsidP="008203A8">
      <w:pPr>
        <w:tabs>
          <w:tab w:val="left" w:pos="851"/>
        </w:tabs>
        <w:ind w:left="851"/>
        <w:rPr>
          <w:sz w:val="24"/>
          <w:szCs w:val="24"/>
        </w:rPr>
      </w:pPr>
    </w:p>
    <w:p w14:paraId="3F53D47B"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0E0B537F" w14:textId="10B92AE4" w:rsidR="008203A8" w:rsidRPr="002E304C" w:rsidRDefault="007967A9" w:rsidP="008203A8">
      <w:pPr>
        <w:tabs>
          <w:tab w:val="left" w:pos="851"/>
        </w:tabs>
        <w:ind w:left="851"/>
        <w:rPr>
          <w:sz w:val="24"/>
          <w:szCs w:val="24"/>
        </w:rPr>
      </w:pPr>
      <w:r>
        <w:rPr>
          <w:sz w:val="24"/>
          <w:szCs w:val="24"/>
        </w:rPr>
        <w:t>Ikke relevant.</w:t>
      </w:r>
    </w:p>
    <w:p w14:paraId="638ED653" w14:textId="77777777" w:rsidR="008203A8" w:rsidRPr="00406EE7" w:rsidRDefault="008203A8" w:rsidP="008203A8">
      <w:pPr>
        <w:tabs>
          <w:tab w:val="left" w:pos="851"/>
        </w:tabs>
        <w:ind w:left="851"/>
        <w:rPr>
          <w:sz w:val="24"/>
          <w:szCs w:val="24"/>
        </w:rPr>
      </w:pPr>
    </w:p>
    <w:p w14:paraId="0041634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3A5E0E5C" w14:textId="77777777" w:rsidR="00EE5390" w:rsidRDefault="00EE5390" w:rsidP="00EE5390">
      <w:pPr>
        <w:tabs>
          <w:tab w:val="left" w:pos="1304"/>
        </w:tabs>
        <w:rPr>
          <w:sz w:val="24"/>
          <w:szCs w:val="24"/>
        </w:rPr>
      </w:pPr>
    </w:p>
    <w:p w14:paraId="32C4DFCE" w14:textId="4559BF68" w:rsidR="00EE5390" w:rsidRPr="00EE5390" w:rsidRDefault="00EE5390" w:rsidP="00EE5390">
      <w:pPr>
        <w:tabs>
          <w:tab w:val="left" w:pos="1304"/>
        </w:tabs>
        <w:ind w:left="851"/>
        <w:rPr>
          <w:sz w:val="24"/>
          <w:szCs w:val="24"/>
          <w:u w:val="single"/>
        </w:rPr>
      </w:pPr>
      <w:r w:rsidRPr="00EE5390">
        <w:rPr>
          <w:sz w:val="24"/>
          <w:szCs w:val="24"/>
          <w:u w:val="single"/>
        </w:rPr>
        <w:t>Hund</w:t>
      </w:r>
    </w:p>
    <w:p w14:paraId="45CAA832" w14:textId="77777777" w:rsidR="00EE5390" w:rsidRDefault="00EE5390" w:rsidP="00EE5390">
      <w:pPr>
        <w:ind w:left="851"/>
        <w:rPr>
          <w:szCs w:val="22"/>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EE5390" w14:paraId="5098CC7D"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0AA34F26" w14:textId="77777777" w:rsidR="00EE5390" w:rsidRDefault="00EE5390">
            <w:pPr>
              <w:spacing w:before="60" w:after="60"/>
              <w:rPr>
                <w:szCs w:val="22"/>
              </w:rPr>
            </w:pPr>
            <w:r>
              <w:t>Ikke almindelig</w:t>
            </w:r>
          </w:p>
          <w:p w14:paraId="36201522" w14:textId="77777777" w:rsidR="00EE5390" w:rsidRDefault="00EE5390">
            <w:pPr>
              <w:spacing w:before="60" w:after="60"/>
              <w:rPr>
                <w:szCs w:val="22"/>
              </w:rPr>
            </w:pPr>
            <w:r>
              <w:t>(1 til 10 dyr ud af 1.000 behandlede dyr):</w:t>
            </w:r>
          </w:p>
        </w:tc>
        <w:tc>
          <w:tcPr>
            <w:tcW w:w="2477" w:type="pct"/>
            <w:tcBorders>
              <w:top w:val="single" w:sz="4" w:space="0" w:color="auto"/>
              <w:left w:val="single" w:sz="4" w:space="0" w:color="auto"/>
              <w:bottom w:val="single" w:sz="4" w:space="0" w:color="auto"/>
              <w:right w:val="single" w:sz="4" w:space="0" w:color="auto"/>
            </w:tcBorders>
            <w:hideMark/>
          </w:tcPr>
          <w:p w14:paraId="07D79943" w14:textId="77777777" w:rsidR="00EE5390" w:rsidRDefault="00EE5390">
            <w:pPr>
              <w:spacing w:before="60" w:after="60"/>
              <w:rPr>
                <w:iCs/>
                <w:szCs w:val="22"/>
              </w:rPr>
            </w:pPr>
            <w:r>
              <w:rPr>
                <w:iCs/>
                <w:szCs w:val="22"/>
              </w:rPr>
              <w:t>Øget spytsekretion, bradykardi, hypotermi, agitation, dehydrering og miosis.</w:t>
            </w:r>
          </w:p>
          <w:p w14:paraId="751F65FF" w14:textId="77777777" w:rsidR="00EE5390" w:rsidRDefault="00EE5390">
            <w:pPr>
              <w:spacing w:before="60" w:after="60"/>
              <w:rPr>
                <w:iCs/>
                <w:szCs w:val="22"/>
              </w:rPr>
            </w:pPr>
            <w:r>
              <w:rPr>
                <w:iCs/>
                <w:szCs w:val="22"/>
              </w:rPr>
              <w:t>Respirationsdepression.</w:t>
            </w:r>
            <w:r>
              <w:rPr>
                <w:iCs/>
                <w:szCs w:val="22"/>
                <w:vertAlign w:val="superscript"/>
              </w:rPr>
              <w:t>1</w:t>
            </w:r>
          </w:p>
        </w:tc>
      </w:tr>
      <w:tr w:rsidR="00EE5390" w14:paraId="43C5A4CE"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10E9C422" w14:textId="77777777" w:rsidR="00EE5390" w:rsidRDefault="00EE5390">
            <w:pPr>
              <w:spacing w:before="60" w:after="60"/>
              <w:rPr>
                <w:szCs w:val="22"/>
              </w:rPr>
            </w:pPr>
            <w:r>
              <w:t>Sjælden</w:t>
            </w:r>
          </w:p>
          <w:p w14:paraId="73161554" w14:textId="77777777" w:rsidR="00EE5390" w:rsidRDefault="00EE5390">
            <w:pPr>
              <w:spacing w:before="60" w:after="60"/>
              <w:rPr>
                <w:szCs w:val="22"/>
              </w:rPr>
            </w:pPr>
            <w:r>
              <w:t>(1 til 10 dyr ud af 10.000 behandlede dyr):</w:t>
            </w:r>
          </w:p>
        </w:tc>
        <w:tc>
          <w:tcPr>
            <w:tcW w:w="2477" w:type="pct"/>
            <w:tcBorders>
              <w:top w:val="single" w:sz="4" w:space="0" w:color="auto"/>
              <w:left w:val="single" w:sz="4" w:space="0" w:color="auto"/>
              <w:bottom w:val="single" w:sz="4" w:space="0" w:color="auto"/>
              <w:right w:val="single" w:sz="4" w:space="0" w:color="auto"/>
            </w:tcBorders>
            <w:hideMark/>
          </w:tcPr>
          <w:p w14:paraId="313D3492" w14:textId="77777777" w:rsidR="00EE5390" w:rsidRDefault="00EE5390">
            <w:pPr>
              <w:spacing w:before="60" w:after="60"/>
              <w:rPr>
                <w:iCs/>
                <w:szCs w:val="22"/>
                <w:vertAlign w:val="superscript"/>
              </w:rPr>
            </w:pPr>
            <w:r>
              <w:rPr>
                <w:iCs/>
                <w:szCs w:val="22"/>
              </w:rPr>
              <w:t>Hypertension, takykardi.</w:t>
            </w:r>
          </w:p>
          <w:p w14:paraId="1416A506" w14:textId="77777777" w:rsidR="00EE5390" w:rsidRDefault="00EE5390">
            <w:pPr>
              <w:spacing w:before="60" w:after="60"/>
              <w:rPr>
                <w:iCs/>
                <w:szCs w:val="22"/>
              </w:rPr>
            </w:pPr>
            <w:r>
              <w:rPr>
                <w:iCs/>
                <w:szCs w:val="22"/>
              </w:rPr>
              <w:t>Sedation.</w:t>
            </w:r>
            <w:r>
              <w:rPr>
                <w:iCs/>
                <w:szCs w:val="22"/>
                <w:vertAlign w:val="superscript"/>
              </w:rPr>
              <w:t>2</w:t>
            </w:r>
          </w:p>
        </w:tc>
      </w:tr>
      <w:tr w:rsidR="00EE5390" w14:paraId="61A9B5B5"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10505392" w14:textId="77777777" w:rsidR="00EE5390" w:rsidRDefault="00EE5390">
            <w:pPr>
              <w:spacing w:before="60" w:after="60"/>
              <w:rPr>
                <w:szCs w:val="22"/>
              </w:rPr>
            </w:pPr>
            <w:r>
              <w:t>Meget sjælden</w:t>
            </w:r>
          </w:p>
          <w:p w14:paraId="74A2CE9E" w14:textId="77777777" w:rsidR="00EE5390" w:rsidRDefault="00EE5390">
            <w:pPr>
              <w:spacing w:before="60" w:after="60"/>
              <w:rPr>
                <w:szCs w:val="22"/>
              </w:rPr>
            </w:pPr>
            <w:r>
              <w:t>(&lt; 1 dyr ud af 10.000 behandlede dyr, herunder enkeltstående indberetninger):</w:t>
            </w:r>
          </w:p>
        </w:tc>
        <w:tc>
          <w:tcPr>
            <w:tcW w:w="2477" w:type="pct"/>
            <w:tcBorders>
              <w:top w:val="single" w:sz="4" w:space="0" w:color="auto"/>
              <w:left w:val="single" w:sz="4" w:space="0" w:color="auto"/>
              <w:bottom w:val="single" w:sz="4" w:space="0" w:color="auto"/>
              <w:right w:val="single" w:sz="4" w:space="0" w:color="auto"/>
            </w:tcBorders>
            <w:hideMark/>
          </w:tcPr>
          <w:p w14:paraId="24DD87A6" w14:textId="77777777" w:rsidR="00EE5390" w:rsidRDefault="00EE5390">
            <w:pPr>
              <w:spacing w:before="60" w:after="60"/>
              <w:rPr>
                <w:iCs/>
                <w:szCs w:val="22"/>
              </w:rPr>
            </w:pPr>
            <w:r>
              <w:rPr>
                <w:iCs/>
                <w:szCs w:val="22"/>
              </w:rPr>
              <w:t>Ubehag</w:t>
            </w:r>
            <w:r>
              <w:rPr>
                <w:iCs/>
                <w:szCs w:val="22"/>
                <w:vertAlign w:val="superscript"/>
              </w:rPr>
              <w:t>4</w:t>
            </w:r>
            <w:r>
              <w:rPr>
                <w:vertAlign w:val="superscript"/>
              </w:rPr>
              <w:t xml:space="preserve"> </w:t>
            </w:r>
            <w:r>
              <w:t>, smerter ved injektionsstedet</w:t>
            </w:r>
            <w:r>
              <w:rPr>
                <w:iCs/>
                <w:szCs w:val="22"/>
              </w:rPr>
              <w:t>.</w:t>
            </w:r>
            <w:r>
              <w:rPr>
                <w:iCs/>
                <w:sz w:val="20"/>
                <w:vertAlign w:val="superscript"/>
              </w:rPr>
              <w:t>3</w:t>
            </w:r>
          </w:p>
        </w:tc>
      </w:tr>
    </w:tbl>
    <w:p w14:paraId="46ACC8C1" w14:textId="77777777" w:rsidR="00EE5390" w:rsidRPr="00EE5390" w:rsidRDefault="00EE5390" w:rsidP="00EE5390">
      <w:pPr>
        <w:pStyle w:val="Listeafsnit"/>
        <w:numPr>
          <w:ilvl w:val="0"/>
          <w:numId w:val="5"/>
        </w:numPr>
        <w:tabs>
          <w:tab w:val="clear" w:pos="567"/>
          <w:tab w:val="left" w:pos="1304"/>
        </w:tabs>
        <w:spacing w:line="240" w:lineRule="auto"/>
        <w:ind w:left="1134" w:right="-143" w:hanging="283"/>
        <w:rPr>
          <w:sz w:val="20"/>
        </w:rPr>
      </w:pPr>
      <w:bookmarkStart w:id="0" w:name="_Hlk66891708"/>
      <w:r w:rsidRPr="00EE5390">
        <w:rPr>
          <w:sz w:val="20"/>
        </w:rPr>
        <w:t>Se pkt. 3.5 Særlige forholdsregler vedrørende sikker brug hos de dyrearter, som lægemidlet er beregnet til.</w:t>
      </w:r>
    </w:p>
    <w:p w14:paraId="6D9E7272" w14:textId="77777777" w:rsidR="00EE5390" w:rsidRPr="00EE5390" w:rsidRDefault="00EE5390" w:rsidP="00EE5390">
      <w:pPr>
        <w:pStyle w:val="Listeafsnit"/>
        <w:numPr>
          <w:ilvl w:val="0"/>
          <w:numId w:val="5"/>
        </w:numPr>
        <w:tabs>
          <w:tab w:val="clear" w:pos="567"/>
          <w:tab w:val="left" w:pos="1304"/>
        </w:tabs>
        <w:spacing w:line="240" w:lineRule="auto"/>
        <w:ind w:left="1134" w:right="-143" w:hanging="283"/>
        <w:rPr>
          <w:sz w:val="20"/>
        </w:rPr>
      </w:pPr>
      <w:r w:rsidRPr="00EE5390">
        <w:rPr>
          <w:sz w:val="20"/>
        </w:rPr>
        <w:t>Ved anvendelse til analgesi kan sedation forekomme ved doser, der er højere end anbefalet.</w:t>
      </w:r>
    </w:p>
    <w:p w14:paraId="7299738D" w14:textId="77777777" w:rsidR="00EE5390" w:rsidRPr="00EE5390" w:rsidRDefault="00EE5390" w:rsidP="00EE5390">
      <w:pPr>
        <w:pStyle w:val="Listeafsnit"/>
        <w:numPr>
          <w:ilvl w:val="0"/>
          <w:numId w:val="5"/>
        </w:numPr>
        <w:tabs>
          <w:tab w:val="clear" w:pos="567"/>
          <w:tab w:val="left" w:pos="1304"/>
        </w:tabs>
        <w:spacing w:line="240" w:lineRule="auto"/>
        <w:ind w:left="1134" w:right="-143" w:hanging="283"/>
        <w:rPr>
          <w:sz w:val="20"/>
        </w:rPr>
      </w:pPr>
      <w:r w:rsidRPr="00EE5390">
        <w:rPr>
          <w:sz w:val="20"/>
        </w:rPr>
        <w:t>Medfører vokalisering.</w:t>
      </w:r>
    </w:p>
    <w:p w14:paraId="03F2D70C" w14:textId="77777777" w:rsidR="00EE5390" w:rsidRPr="00EE5390" w:rsidRDefault="00EE5390" w:rsidP="00EE5390">
      <w:pPr>
        <w:pStyle w:val="Listeafsnit"/>
        <w:numPr>
          <w:ilvl w:val="0"/>
          <w:numId w:val="5"/>
        </w:numPr>
        <w:tabs>
          <w:tab w:val="clear" w:pos="567"/>
          <w:tab w:val="left" w:pos="1304"/>
        </w:tabs>
        <w:spacing w:line="240" w:lineRule="auto"/>
        <w:ind w:left="1134" w:right="-143" w:hanging="283"/>
        <w:rPr>
          <w:sz w:val="20"/>
        </w:rPr>
      </w:pPr>
      <w:r w:rsidRPr="00EE5390">
        <w:rPr>
          <w:sz w:val="20"/>
        </w:rPr>
        <w:t>Lokalt.</w:t>
      </w:r>
    </w:p>
    <w:p w14:paraId="16308D5A" w14:textId="77777777" w:rsidR="00EE5390" w:rsidRDefault="00EE5390" w:rsidP="00EE5390"/>
    <w:p w14:paraId="5FAB6CB1" w14:textId="40A58AA5" w:rsidR="00EE5390" w:rsidRPr="00EE5390" w:rsidRDefault="00EE5390" w:rsidP="00EE5390">
      <w:pPr>
        <w:ind w:left="851"/>
        <w:rPr>
          <w:sz w:val="24"/>
          <w:szCs w:val="24"/>
          <w:u w:val="single"/>
        </w:rPr>
      </w:pPr>
      <w:r w:rsidRPr="00EE5390">
        <w:rPr>
          <w:sz w:val="24"/>
          <w:szCs w:val="24"/>
          <w:u w:val="single"/>
        </w:rPr>
        <w:t>Kat</w:t>
      </w:r>
    </w:p>
    <w:p w14:paraId="4E75A894" w14:textId="77777777" w:rsidR="00EE5390" w:rsidRDefault="00EE5390" w:rsidP="00EE5390"/>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EE5390" w14:paraId="15B5148C"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12D10D49" w14:textId="77777777" w:rsidR="00EE5390" w:rsidRDefault="00EE5390">
            <w:pPr>
              <w:spacing w:before="60" w:after="60"/>
              <w:rPr>
                <w:szCs w:val="22"/>
              </w:rPr>
            </w:pPr>
            <w:r>
              <w:t>Almindelig</w:t>
            </w:r>
          </w:p>
          <w:p w14:paraId="78F762FD" w14:textId="77777777" w:rsidR="00EE5390" w:rsidRDefault="00EE5390">
            <w:pPr>
              <w:spacing w:before="60" w:after="60"/>
              <w:rPr>
                <w:szCs w:val="22"/>
              </w:rPr>
            </w:pPr>
            <w:r>
              <w:t>(1 til 10 dyr ud af 100 behandlede dyr):</w:t>
            </w:r>
          </w:p>
        </w:tc>
        <w:tc>
          <w:tcPr>
            <w:tcW w:w="2477" w:type="pct"/>
            <w:tcBorders>
              <w:top w:val="single" w:sz="4" w:space="0" w:color="auto"/>
              <w:left w:val="single" w:sz="4" w:space="0" w:color="auto"/>
              <w:bottom w:val="single" w:sz="4" w:space="0" w:color="auto"/>
              <w:right w:val="single" w:sz="4" w:space="0" w:color="auto"/>
            </w:tcBorders>
            <w:hideMark/>
          </w:tcPr>
          <w:p w14:paraId="459D69F6" w14:textId="77777777" w:rsidR="00EE5390" w:rsidRDefault="00EE5390">
            <w:pPr>
              <w:spacing w:before="60" w:after="60"/>
              <w:rPr>
                <w:iCs/>
                <w:szCs w:val="22"/>
              </w:rPr>
            </w:pPr>
            <w:r>
              <w:rPr>
                <w:iCs/>
                <w:szCs w:val="22"/>
              </w:rPr>
              <w:t>Mydriasis.</w:t>
            </w:r>
          </w:p>
          <w:p w14:paraId="42F6EB7E" w14:textId="77777777" w:rsidR="00EE5390" w:rsidRDefault="00EE5390">
            <w:pPr>
              <w:spacing w:before="60" w:after="60"/>
              <w:rPr>
                <w:iCs/>
                <w:szCs w:val="22"/>
              </w:rPr>
            </w:pPr>
            <w:r>
              <w:rPr>
                <w:iCs/>
                <w:szCs w:val="22"/>
              </w:rPr>
              <w:t>Adfærdsforstyrrelser (rastløshed, spinden og øget gnubben).</w:t>
            </w:r>
            <w:r>
              <w:rPr>
                <w:iCs/>
                <w:szCs w:val="22"/>
                <w:vertAlign w:val="superscript"/>
              </w:rPr>
              <w:t>4</w:t>
            </w:r>
          </w:p>
        </w:tc>
      </w:tr>
      <w:tr w:rsidR="00EE5390" w14:paraId="78200EFB"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5EE1F52E" w14:textId="77777777" w:rsidR="00EE5390" w:rsidRDefault="00EE5390">
            <w:pPr>
              <w:spacing w:before="60" w:after="60"/>
              <w:rPr>
                <w:szCs w:val="22"/>
              </w:rPr>
            </w:pPr>
            <w:r>
              <w:t>Ikke almindelig</w:t>
            </w:r>
          </w:p>
          <w:p w14:paraId="1D87DA01" w14:textId="77777777" w:rsidR="00EE5390" w:rsidRDefault="00EE5390">
            <w:pPr>
              <w:spacing w:before="60" w:after="60"/>
              <w:rPr>
                <w:szCs w:val="22"/>
              </w:rPr>
            </w:pPr>
            <w:r>
              <w:t>(1 til 10 dyr ud af 1.000 behandlede dyr):</w:t>
            </w:r>
          </w:p>
        </w:tc>
        <w:tc>
          <w:tcPr>
            <w:tcW w:w="2477" w:type="pct"/>
            <w:tcBorders>
              <w:top w:val="single" w:sz="4" w:space="0" w:color="auto"/>
              <w:left w:val="single" w:sz="4" w:space="0" w:color="auto"/>
              <w:bottom w:val="single" w:sz="4" w:space="0" w:color="auto"/>
              <w:right w:val="single" w:sz="4" w:space="0" w:color="auto"/>
            </w:tcBorders>
            <w:hideMark/>
          </w:tcPr>
          <w:p w14:paraId="7FC3083D" w14:textId="77777777" w:rsidR="00EE5390" w:rsidRDefault="00EE5390">
            <w:pPr>
              <w:spacing w:before="60" w:after="60"/>
              <w:rPr>
                <w:iCs/>
                <w:szCs w:val="22"/>
              </w:rPr>
            </w:pPr>
            <w:r>
              <w:rPr>
                <w:iCs/>
                <w:szCs w:val="22"/>
              </w:rPr>
              <w:t>Respirationsdepression.</w:t>
            </w:r>
            <w:r>
              <w:rPr>
                <w:iCs/>
                <w:szCs w:val="22"/>
                <w:vertAlign w:val="superscript"/>
              </w:rPr>
              <w:t>1</w:t>
            </w:r>
          </w:p>
        </w:tc>
      </w:tr>
      <w:tr w:rsidR="00EE5390" w14:paraId="189583DB"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00EBB916" w14:textId="77777777" w:rsidR="00EE5390" w:rsidRDefault="00EE5390">
            <w:pPr>
              <w:spacing w:before="60" w:after="60"/>
              <w:rPr>
                <w:szCs w:val="22"/>
              </w:rPr>
            </w:pPr>
            <w:r>
              <w:lastRenderedPageBreak/>
              <w:t>Sjælden</w:t>
            </w:r>
          </w:p>
          <w:p w14:paraId="6E2824E1" w14:textId="77777777" w:rsidR="00EE5390" w:rsidRDefault="00EE5390">
            <w:pPr>
              <w:spacing w:before="60" w:after="60"/>
              <w:rPr>
                <w:szCs w:val="22"/>
              </w:rPr>
            </w:pPr>
            <w:r>
              <w:t>(1 til 10 dyr ud af 10.000 behandlede dyr):</w:t>
            </w:r>
          </w:p>
        </w:tc>
        <w:tc>
          <w:tcPr>
            <w:tcW w:w="2477" w:type="pct"/>
            <w:tcBorders>
              <w:top w:val="single" w:sz="4" w:space="0" w:color="auto"/>
              <w:left w:val="single" w:sz="4" w:space="0" w:color="auto"/>
              <w:bottom w:val="single" w:sz="4" w:space="0" w:color="auto"/>
              <w:right w:val="single" w:sz="4" w:space="0" w:color="auto"/>
            </w:tcBorders>
          </w:tcPr>
          <w:p w14:paraId="151BCC2B" w14:textId="77777777" w:rsidR="00EE5390" w:rsidRDefault="00EE5390">
            <w:pPr>
              <w:spacing w:before="60" w:after="60"/>
              <w:rPr>
                <w:iCs/>
                <w:szCs w:val="22"/>
                <w:vertAlign w:val="superscript"/>
              </w:rPr>
            </w:pPr>
            <w:r>
              <w:rPr>
                <w:iCs/>
                <w:szCs w:val="22"/>
              </w:rPr>
              <w:t>Sedation.</w:t>
            </w:r>
            <w:r>
              <w:rPr>
                <w:iCs/>
                <w:szCs w:val="22"/>
                <w:vertAlign w:val="superscript"/>
              </w:rPr>
              <w:t>2</w:t>
            </w:r>
          </w:p>
          <w:p w14:paraId="6674595F" w14:textId="77777777" w:rsidR="00EE5390" w:rsidRDefault="00EE5390">
            <w:pPr>
              <w:spacing w:before="60" w:after="60"/>
              <w:rPr>
                <w:iCs/>
                <w:szCs w:val="22"/>
              </w:rPr>
            </w:pPr>
          </w:p>
        </w:tc>
      </w:tr>
      <w:tr w:rsidR="00EE5390" w14:paraId="503542D6" w14:textId="77777777" w:rsidTr="00EE5390">
        <w:tc>
          <w:tcPr>
            <w:tcW w:w="2523" w:type="pct"/>
            <w:tcBorders>
              <w:top w:val="single" w:sz="4" w:space="0" w:color="auto"/>
              <w:left w:val="single" w:sz="4" w:space="0" w:color="auto"/>
              <w:bottom w:val="single" w:sz="4" w:space="0" w:color="auto"/>
              <w:right w:val="single" w:sz="4" w:space="0" w:color="auto"/>
            </w:tcBorders>
            <w:hideMark/>
          </w:tcPr>
          <w:p w14:paraId="3AF02314" w14:textId="77777777" w:rsidR="00EE5390" w:rsidRDefault="00EE5390">
            <w:pPr>
              <w:spacing w:before="60" w:after="60"/>
              <w:rPr>
                <w:szCs w:val="22"/>
              </w:rPr>
            </w:pPr>
            <w:r>
              <w:t>Meget sjælden</w:t>
            </w:r>
          </w:p>
          <w:p w14:paraId="297E8AC9" w14:textId="77777777" w:rsidR="00EE5390" w:rsidRDefault="00EE5390">
            <w:pPr>
              <w:spacing w:before="60" w:after="60"/>
              <w:rPr>
                <w:szCs w:val="22"/>
              </w:rPr>
            </w:pPr>
            <w:r>
              <w:t>(&lt; 1 dyr ud af 10.000 behandlede dyr, herunder enkeltstående indberetninger):</w:t>
            </w:r>
          </w:p>
        </w:tc>
        <w:tc>
          <w:tcPr>
            <w:tcW w:w="2477" w:type="pct"/>
            <w:tcBorders>
              <w:top w:val="single" w:sz="4" w:space="0" w:color="auto"/>
              <w:left w:val="single" w:sz="4" w:space="0" w:color="auto"/>
              <w:bottom w:val="single" w:sz="4" w:space="0" w:color="auto"/>
              <w:right w:val="single" w:sz="4" w:space="0" w:color="auto"/>
            </w:tcBorders>
            <w:hideMark/>
          </w:tcPr>
          <w:p w14:paraId="769F16A9" w14:textId="77777777" w:rsidR="00EE5390" w:rsidRDefault="00EE5390">
            <w:pPr>
              <w:spacing w:before="60" w:after="60"/>
              <w:rPr>
                <w:iCs/>
                <w:szCs w:val="22"/>
              </w:rPr>
            </w:pPr>
            <w:r>
              <w:rPr>
                <w:iCs/>
                <w:szCs w:val="22"/>
              </w:rPr>
              <w:t>Ubehag</w:t>
            </w:r>
            <w:r>
              <w:rPr>
                <w:iCs/>
                <w:sz w:val="20"/>
                <w:vertAlign w:val="superscript"/>
              </w:rPr>
              <w:t>5</w:t>
            </w:r>
            <w:r>
              <w:t>,</w:t>
            </w:r>
            <w:r>
              <w:rPr>
                <w:iCs/>
                <w:szCs w:val="22"/>
              </w:rPr>
              <w:t xml:space="preserve"> smerter ved injektionsstedet.</w:t>
            </w:r>
            <w:r>
              <w:rPr>
                <w:iCs/>
                <w:sz w:val="20"/>
                <w:vertAlign w:val="superscript"/>
              </w:rPr>
              <w:t>3</w:t>
            </w:r>
          </w:p>
        </w:tc>
      </w:tr>
    </w:tbl>
    <w:p w14:paraId="2651E5E2" w14:textId="77777777" w:rsidR="00EE5390" w:rsidRPr="00EE5390" w:rsidRDefault="00EE5390" w:rsidP="00EE5390">
      <w:pPr>
        <w:pStyle w:val="Listeafsnit"/>
        <w:numPr>
          <w:ilvl w:val="0"/>
          <w:numId w:val="6"/>
        </w:numPr>
        <w:tabs>
          <w:tab w:val="clear" w:pos="567"/>
          <w:tab w:val="left" w:pos="1304"/>
        </w:tabs>
        <w:spacing w:line="240" w:lineRule="auto"/>
        <w:ind w:left="1134" w:right="-143" w:hanging="283"/>
        <w:rPr>
          <w:sz w:val="20"/>
        </w:rPr>
      </w:pPr>
      <w:r w:rsidRPr="00EE5390">
        <w:rPr>
          <w:sz w:val="20"/>
        </w:rPr>
        <w:t>Se pkt. 3.5 Særlige forholdsregler vedrørende sikker brug hos de dyrearter, som lægemidlet er beregnet til.</w:t>
      </w:r>
    </w:p>
    <w:p w14:paraId="2EECD649" w14:textId="77777777" w:rsidR="00EE5390" w:rsidRPr="00EE5390" w:rsidRDefault="00EE5390" w:rsidP="00EE5390">
      <w:pPr>
        <w:pStyle w:val="Listeafsnit"/>
        <w:numPr>
          <w:ilvl w:val="0"/>
          <w:numId w:val="6"/>
        </w:numPr>
        <w:tabs>
          <w:tab w:val="clear" w:pos="567"/>
          <w:tab w:val="left" w:pos="1304"/>
        </w:tabs>
        <w:spacing w:line="240" w:lineRule="auto"/>
        <w:ind w:left="1134" w:right="-143" w:hanging="283"/>
        <w:rPr>
          <w:sz w:val="20"/>
        </w:rPr>
      </w:pPr>
      <w:r w:rsidRPr="00EE5390">
        <w:rPr>
          <w:sz w:val="20"/>
        </w:rPr>
        <w:t>Ved anvendelse til analgesi kan sedation forekomme ved doser, der er højere end anbefalet.</w:t>
      </w:r>
    </w:p>
    <w:p w14:paraId="4EE5776D" w14:textId="77777777" w:rsidR="00EE5390" w:rsidRPr="00EE5390" w:rsidRDefault="00EE5390" w:rsidP="00EE5390">
      <w:pPr>
        <w:pStyle w:val="Listeafsnit"/>
        <w:numPr>
          <w:ilvl w:val="0"/>
          <w:numId w:val="6"/>
        </w:numPr>
        <w:tabs>
          <w:tab w:val="clear" w:pos="567"/>
          <w:tab w:val="left" w:pos="1304"/>
        </w:tabs>
        <w:spacing w:line="240" w:lineRule="auto"/>
        <w:ind w:left="1134" w:right="-143" w:hanging="283"/>
        <w:rPr>
          <w:sz w:val="20"/>
        </w:rPr>
      </w:pPr>
      <w:r w:rsidRPr="00EE5390">
        <w:rPr>
          <w:sz w:val="20"/>
        </w:rPr>
        <w:t>Medfører vokalisering.</w:t>
      </w:r>
    </w:p>
    <w:p w14:paraId="54236052" w14:textId="77777777" w:rsidR="00EE5390" w:rsidRPr="00EE5390" w:rsidRDefault="00EE5390" w:rsidP="00EE5390">
      <w:pPr>
        <w:pStyle w:val="Listeafsnit"/>
        <w:numPr>
          <w:ilvl w:val="0"/>
          <w:numId w:val="6"/>
        </w:numPr>
        <w:tabs>
          <w:tab w:val="clear" w:pos="567"/>
          <w:tab w:val="left" w:pos="1304"/>
        </w:tabs>
        <w:spacing w:line="240" w:lineRule="auto"/>
        <w:ind w:left="1134" w:right="-143" w:hanging="283"/>
        <w:rPr>
          <w:sz w:val="20"/>
        </w:rPr>
      </w:pPr>
      <w:r w:rsidRPr="00EE5390">
        <w:rPr>
          <w:sz w:val="20"/>
        </w:rPr>
        <w:t xml:space="preserve">Forsvinder normalt inden for 24 timer. </w:t>
      </w:r>
    </w:p>
    <w:p w14:paraId="6C330DD1" w14:textId="77777777" w:rsidR="00EE5390" w:rsidRPr="00EE5390" w:rsidRDefault="00EE5390" w:rsidP="00EE5390">
      <w:pPr>
        <w:pStyle w:val="Listeafsnit"/>
        <w:numPr>
          <w:ilvl w:val="0"/>
          <w:numId w:val="6"/>
        </w:numPr>
        <w:tabs>
          <w:tab w:val="clear" w:pos="567"/>
          <w:tab w:val="left" w:pos="1304"/>
        </w:tabs>
        <w:spacing w:line="240" w:lineRule="auto"/>
        <w:ind w:left="1134" w:right="-143" w:hanging="283"/>
        <w:rPr>
          <w:sz w:val="20"/>
        </w:rPr>
      </w:pPr>
      <w:r w:rsidRPr="00EE5390">
        <w:rPr>
          <w:sz w:val="20"/>
        </w:rPr>
        <w:t>Lokalt.</w:t>
      </w:r>
    </w:p>
    <w:p w14:paraId="7DA5F792" w14:textId="77777777" w:rsidR="00EE5390" w:rsidRPr="00EE5390" w:rsidRDefault="00EE5390" w:rsidP="00EE5390">
      <w:pPr>
        <w:ind w:left="851"/>
        <w:rPr>
          <w:sz w:val="24"/>
          <w:szCs w:val="24"/>
        </w:rPr>
      </w:pPr>
    </w:p>
    <w:p w14:paraId="63178490" w14:textId="77777777" w:rsidR="00EE5390" w:rsidRPr="00EE5390" w:rsidRDefault="00EE5390" w:rsidP="00EE5390">
      <w:pPr>
        <w:ind w:left="851"/>
        <w:rPr>
          <w:sz w:val="24"/>
          <w:szCs w:val="24"/>
        </w:rPr>
      </w:pPr>
      <w:r w:rsidRPr="00EE539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0"/>
    </w:p>
    <w:p w14:paraId="6CC23A36" w14:textId="77777777" w:rsidR="008203A8" w:rsidRPr="00EE5390" w:rsidRDefault="008203A8" w:rsidP="00EE5390">
      <w:pPr>
        <w:tabs>
          <w:tab w:val="left" w:pos="851"/>
        </w:tabs>
        <w:ind w:left="851"/>
        <w:rPr>
          <w:sz w:val="24"/>
          <w:szCs w:val="24"/>
        </w:rPr>
      </w:pPr>
    </w:p>
    <w:p w14:paraId="72400FB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F7D87F7" w14:textId="77777777" w:rsidR="002F3A86" w:rsidRPr="002F3A86" w:rsidRDefault="002F3A86" w:rsidP="002F3A86">
      <w:pPr>
        <w:tabs>
          <w:tab w:val="left" w:pos="851"/>
        </w:tabs>
        <w:ind w:left="851"/>
        <w:rPr>
          <w:sz w:val="24"/>
          <w:szCs w:val="24"/>
        </w:rPr>
      </w:pPr>
    </w:p>
    <w:p w14:paraId="5DD5D0E4" w14:textId="678350DF" w:rsidR="002F3A86" w:rsidRPr="002F3A86" w:rsidRDefault="002F3A86" w:rsidP="002F3A86">
      <w:pPr>
        <w:tabs>
          <w:tab w:val="left" w:pos="851"/>
        </w:tabs>
        <w:ind w:left="851"/>
        <w:rPr>
          <w:sz w:val="24"/>
          <w:szCs w:val="24"/>
        </w:rPr>
      </w:pPr>
      <w:r w:rsidRPr="002F3A86">
        <w:rPr>
          <w:sz w:val="24"/>
          <w:szCs w:val="24"/>
          <w:u w:val="single"/>
        </w:rPr>
        <w:t>Drægtighed</w:t>
      </w:r>
    </w:p>
    <w:p w14:paraId="2F7F3C0F" w14:textId="77777777" w:rsidR="002F3A86" w:rsidRPr="002F3A86" w:rsidRDefault="002F3A86" w:rsidP="002F3A86">
      <w:pPr>
        <w:tabs>
          <w:tab w:val="left" w:pos="851"/>
        </w:tabs>
        <w:ind w:left="851"/>
        <w:rPr>
          <w:sz w:val="24"/>
          <w:szCs w:val="24"/>
        </w:rPr>
      </w:pPr>
      <w:r w:rsidRPr="002F3A86">
        <w:rPr>
          <w:sz w:val="24"/>
          <w:szCs w:val="24"/>
        </w:rPr>
        <w:t>Laboratorieundersøgelser af rotter har ikke afsløret teratogene virkninger. Disse undersøgelser har imidlertid vist postimplantationstab og tidlig fosterdød. Dette kan skyldes forringet ernæringstilstand hos moderen under gestation og i den postnatale pleje på grund af sedation af moderen.</w:t>
      </w:r>
    </w:p>
    <w:p w14:paraId="3F2FD674" w14:textId="77777777" w:rsidR="002F3A86" w:rsidRPr="002F3A86" w:rsidRDefault="002F3A86" w:rsidP="002F3A86">
      <w:pPr>
        <w:tabs>
          <w:tab w:val="left" w:pos="851"/>
        </w:tabs>
        <w:ind w:left="851"/>
        <w:rPr>
          <w:sz w:val="24"/>
          <w:szCs w:val="24"/>
        </w:rPr>
      </w:pPr>
    </w:p>
    <w:p w14:paraId="2942F32A" w14:textId="77777777" w:rsidR="002F3A86" w:rsidRPr="002F3A86" w:rsidRDefault="002F3A86" w:rsidP="002F3A86">
      <w:pPr>
        <w:tabs>
          <w:tab w:val="left" w:pos="851"/>
        </w:tabs>
        <w:ind w:left="851"/>
        <w:rPr>
          <w:sz w:val="24"/>
          <w:szCs w:val="24"/>
        </w:rPr>
      </w:pPr>
      <w:r w:rsidRPr="002F3A86">
        <w:rPr>
          <w:sz w:val="24"/>
          <w:szCs w:val="24"/>
        </w:rPr>
        <w:t>Veterinærlægemidlets sikkerhed under drægtighed er ikke fastlagt. Må kun anvendes i overensstemmelse med den ansvarlige dyrlæges vurdering af benefit/risk-forholdet.</w:t>
      </w:r>
    </w:p>
    <w:p w14:paraId="08774FA1" w14:textId="77777777" w:rsidR="002F3A86" w:rsidRPr="002F3A86" w:rsidRDefault="002F3A86" w:rsidP="002F3A86">
      <w:pPr>
        <w:tabs>
          <w:tab w:val="left" w:pos="851"/>
        </w:tabs>
        <w:ind w:left="851"/>
        <w:rPr>
          <w:sz w:val="24"/>
          <w:szCs w:val="24"/>
        </w:rPr>
      </w:pPr>
    </w:p>
    <w:p w14:paraId="64367DE5" w14:textId="77777777" w:rsidR="002F3A86" w:rsidRPr="002F3A86" w:rsidRDefault="002F3A86" w:rsidP="002F3A86">
      <w:pPr>
        <w:tabs>
          <w:tab w:val="left" w:pos="851"/>
        </w:tabs>
        <w:ind w:left="851"/>
        <w:rPr>
          <w:sz w:val="24"/>
          <w:szCs w:val="24"/>
        </w:rPr>
      </w:pPr>
      <w:r w:rsidRPr="002F3A86">
        <w:rPr>
          <w:sz w:val="24"/>
          <w:szCs w:val="24"/>
        </w:rPr>
        <w:t>Veterinærlægemidlet må ikke anvendes præoperativt ved kejsersnit pga. risikoen for respirationsdepression hos afkommet under fødslen og må kun anvendes postoperativt under udvisning af særlig forsigtighed (se nedenfor).</w:t>
      </w:r>
    </w:p>
    <w:p w14:paraId="1988B30E" w14:textId="77777777" w:rsidR="002F3A86" w:rsidRPr="002F3A86" w:rsidRDefault="002F3A86" w:rsidP="002F3A86">
      <w:pPr>
        <w:tabs>
          <w:tab w:val="left" w:pos="851"/>
        </w:tabs>
        <w:ind w:left="851"/>
        <w:rPr>
          <w:sz w:val="24"/>
          <w:szCs w:val="24"/>
        </w:rPr>
      </w:pPr>
    </w:p>
    <w:p w14:paraId="2C49D30A" w14:textId="33C26376" w:rsidR="002F3A86" w:rsidRPr="002F3A86" w:rsidRDefault="002F3A86" w:rsidP="002F3A86">
      <w:pPr>
        <w:tabs>
          <w:tab w:val="left" w:pos="851"/>
        </w:tabs>
        <w:ind w:left="851"/>
        <w:rPr>
          <w:sz w:val="24"/>
          <w:szCs w:val="24"/>
        </w:rPr>
      </w:pPr>
      <w:r w:rsidRPr="002F3A86">
        <w:rPr>
          <w:sz w:val="24"/>
          <w:szCs w:val="24"/>
          <w:u w:val="single"/>
        </w:rPr>
        <w:t>Laktation</w:t>
      </w:r>
    </w:p>
    <w:p w14:paraId="418013B4" w14:textId="77777777" w:rsidR="002F3A86" w:rsidRPr="002F3A86" w:rsidRDefault="002F3A86" w:rsidP="002F3A86">
      <w:pPr>
        <w:tabs>
          <w:tab w:val="left" w:pos="851"/>
        </w:tabs>
        <w:ind w:left="851"/>
        <w:rPr>
          <w:sz w:val="24"/>
          <w:szCs w:val="24"/>
        </w:rPr>
      </w:pPr>
      <w:r w:rsidRPr="002F3A86">
        <w:rPr>
          <w:sz w:val="24"/>
          <w:szCs w:val="24"/>
        </w:rPr>
        <w:t xml:space="preserve">Studier med diegivende rotter har vist, at koncentrationer af uændret buprenorphin i mælk svarede til eller oversteg koncentrationerne i plasma efter intramuskulær administration af buprenorphin. Da det er sandsynligt, at buprenorphin også udskilles i mælken hos andre arter, frarådes anvendelse under diegivning. </w:t>
      </w:r>
    </w:p>
    <w:p w14:paraId="4F0E5AC0" w14:textId="77777777" w:rsidR="008203A8" w:rsidRPr="00406EE7" w:rsidRDefault="008203A8" w:rsidP="008203A8">
      <w:pPr>
        <w:tabs>
          <w:tab w:val="left" w:pos="851"/>
        </w:tabs>
        <w:ind w:left="851"/>
        <w:rPr>
          <w:sz w:val="24"/>
          <w:szCs w:val="24"/>
        </w:rPr>
      </w:pPr>
    </w:p>
    <w:p w14:paraId="74BC5FE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061F590A" w14:textId="77777777" w:rsidR="002F3A86" w:rsidRPr="002F3A86" w:rsidRDefault="002F3A86" w:rsidP="002F3A86">
      <w:pPr>
        <w:tabs>
          <w:tab w:val="left" w:pos="851"/>
        </w:tabs>
        <w:ind w:left="851"/>
        <w:rPr>
          <w:sz w:val="24"/>
          <w:szCs w:val="24"/>
        </w:rPr>
      </w:pPr>
      <w:r w:rsidRPr="002F3A86">
        <w:rPr>
          <w:sz w:val="24"/>
          <w:szCs w:val="24"/>
        </w:rPr>
        <w:t xml:space="preserve">Buprenorphin kan forårsage døsighed, der kan forstærkes af andre midler, som påvirker centralnervesystemet, herunder beroligende midler, sedativa og hypnotika. </w:t>
      </w:r>
    </w:p>
    <w:p w14:paraId="7BA798D0" w14:textId="77777777" w:rsidR="002F3A86" w:rsidRPr="002F3A86" w:rsidRDefault="002F3A86" w:rsidP="002F3A86">
      <w:pPr>
        <w:tabs>
          <w:tab w:val="left" w:pos="851"/>
        </w:tabs>
        <w:ind w:left="851"/>
        <w:rPr>
          <w:sz w:val="24"/>
          <w:szCs w:val="24"/>
        </w:rPr>
      </w:pPr>
      <w:r w:rsidRPr="002F3A86">
        <w:rPr>
          <w:sz w:val="24"/>
          <w:szCs w:val="24"/>
        </w:rPr>
        <w:t>Hos mennesker er der evidens for, at terapeutiske doser af buprenorphin ikke nedsætter den analgetiske virkning af standarddoser af en opioidagonist, og når buprenorphin indsættes med en dosis inden for det normale terapeutiske område, kan standarddoser af opioidagonister administreres, før virkningen af buprenorphin er ophørt uden at kompromittere den analgetiske virkning.</w:t>
      </w:r>
    </w:p>
    <w:p w14:paraId="679E6F01" w14:textId="77777777" w:rsidR="002F3A86" w:rsidRPr="002F3A86" w:rsidRDefault="002F3A86" w:rsidP="002F3A86">
      <w:pPr>
        <w:tabs>
          <w:tab w:val="left" w:pos="851"/>
        </w:tabs>
        <w:ind w:left="851"/>
        <w:rPr>
          <w:sz w:val="24"/>
          <w:szCs w:val="24"/>
        </w:rPr>
      </w:pPr>
      <w:r w:rsidRPr="002F3A86">
        <w:rPr>
          <w:sz w:val="24"/>
          <w:szCs w:val="24"/>
        </w:rPr>
        <w:t>Det frarådes dog, at buprenorphin anvendes sammen med morfin eller andre opioidlignende analgetika, f.eks. etorfin, fentanyl, pethidin, metadon, papaveretum eller butorfanol.</w:t>
      </w:r>
    </w:p>
    <w:p w14:paraId="4415548D" w14:textId="77777777" w:rsidR="002F3A86" w:rsidRPr="002F3A86" w:rsidRDefault="002F3A86" w:rsidP="002F3A86">
      <w:pPr>
        <w:tabs>
          <w:tab w:val="left" w:pos="851"/>
        </w:tabs>
        <w:ind w:left="851"/>
        <w:rPr>
          <w:sz w:val="24"/>
          <w:szCs w:val="24"/>
        </w:rPr>
      </w:pPr>
    </w:p>
    <w:p w14:paraId="0159813D" w14:textId="77777777" w:rsidR="002F3A86" w:rsidRPr="002F3A86" w:rsidRDefault="002F3A86" w:rsidP="002F3A86">
      <w:pPr>
        <w:tabs>
          <w:tab w:val="left" w:pos="851"/>
        </w:tabs>
        <w:ind w:left="851"/>
        <w:rPr>
          <w:sz w:val="24"/>
          <w:szCs w:val="24"/>
        </w:rPr>
      </w:pPr>
      <w:r w:rsidRPr="002F3A86">
        <w:rPr>
          <w:sz w:val="24"/>
          <w:szCs w:val="24"/>
        </w:rPr>
        <w:lastRenderedPageBreak/>
        <w:t>Buprenorphin er anvendt sammen med acepromazin, alfaxalon/alfadalon, atropin, dexmedetomidin, halothan, isofluran, ketamin, medetomidin, propofol, sevofluran, thiopenton og xylazin. Når veterinærlægemidlet anvendes sammen med sedativa, kan den depressive virkning på hjertefrekvens og respiration forstærkes.</w:t>
      </w:r>
    </w:p>
    <w:p w14:paraId="61BFB6BB" w14:textId="77777777" w:rsidR="002F3A86" w:rsidRPr="002F3A86" w:rsidRDefault="002F3A86" w:rsidP="002F3A86">
      <w:pPr>
        <w:tabs>
          <w:tab w:val="left" w:pos="851"/>
        </w:tabs>
        <w:ind w:left="851"/>
        <w:rPr>
          <w:sz w:val="24"/>
          <w:szCs w:val="24"/>
        </w:rPr>
      </w:pPr>
    </w:p>
    <w:p w14:paraId="0700823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7A1766F3" w14:textId="77777777" w:rsidR="002F3A86" w:rsidRPr="002F3A86" w:rsidRDefault="002F3A86" w:rsidP="002F3A86">
      <w:pPr>
        <w:tabs>
          <w:tab w:val="left" w:pos="851"/>
          <w:tab w:val="left" w:pos="8222"/>
        </w:tabs>
        <w:ind w:left="851"/>
        <w:rPr>
          <w:sz w:val="24"/>
          <w:szCs w:val="24"/>
        </w:rPr>
      </w:pPr>
      <w:r w:rsidRPr="002F3A86">
        <w:rPr>
          <w:sz w:val="24"/>
          <w:szCs w:val="24"/>
        </w:rPr>
        <w:t>Intramuskulær eller intravenøs anvendelse.</w:t>
      </w:r>
    </w:p>
    <w:p w14:paraId="6ED57DB9" w14:textId="77777777" w:rsidR="002F3A86" w:rsidRDefault="002F3A86" w:rsidP="002F3A86">
      <w:pPr>
        <w:tabs>
          <w:tab w:val="left" w:pos="851"/>
          <w:tab w:val="left" w:pos="8222"/>
        </w:tabs>
        <w:rPr>
          <w:szCs w:val="22"/>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054"/>
        <w:gridCol w:w="1841"/>
        <w:gridCol w:w="3376"/>
        <w:gridCol w:w="3084"/>
      </w:tblGrid>
      <w:tr w:rsidR="002F3A86" w14:paraId="31F445E6" w14:textId="77777777" w:rsidTr="002F3A86">
        <w:tc>
          <w:tcPr>
            <w:tcW w:w="1054" w:type="dxa"/>
            <w:tcBorders>
              <w:top w:val="single" w:sz="12" w:space="0" w:color="000000"/>
              <w:left w:val="single" w:sz="12" w:space="0" w:color="000000"/>
              <w:bottom w:val="single" w:sz="12" w:space="0" w:color="000000"/>
              <w:right w:val="single" w:sz="6" w:space="0" w:color="000000"/>
            </w:tcBorders>
            <w:vAlign w:val="center"/>
            <w:hideMark/>
          </w:tcPr>
          <w:p w14:paraId="0F450F61" w14:textId="77777777" w:rsidR="002F3A86" w:rsidRDefault="002F3A86">
            <w:pPr>
              <w:ind w:right="2"/>
              <w:jc w:val="center"/>
              <w:rPr>
                <w:rFonts w:eastAsia="Arial"/>
                <w:b/>
                <w:bCs/>
              </w:rPr>
            </w:pPr>
            <w:r>
              <w:rPr>
                <w:rFonts w:eastAsia="Arial"/>
                <w:b/>
                <w:bCs/>
              </w:rPr>
              <w:t>Art</w:t>
            </w:r>
          </w:p>
        </w:tc>
        <w:tc>
          <w:tcPr>
            <w:tcW w:w="1774" w:type="dxa"/>
            <w:tcBorders>
              <w:top w:val="single" w:sz="12" w:space="0" w:color="000000"/>
              <w:left w:val="single" w:sz="6" w:space="0" w:color="000000"/>
              <w:bottom w:val="single" w:sz="12" w:space="0" w:color="000000"/>
              <w:right w:val="single" w:sz="6" w:space="0" w:color="000000"/>
            </w:tcBorders>
            <w:vAlign w:val="center"/>
            <w:hideMark/>
          </w:tcPr>
          <w:p w14:paraId="676BC8BD" w14:textId="77777777" w:rsidR="002F3A86" w:rsidRDefault="002F3A86">
            <w:pPr>
              <w:ind w:right="2"/>
              <w:jc w:val="center"/>
              <w:rPr>
                <w:rFonts w:eastAsia="Arial"/>
                <w:b/>
                <w:bCs/>
              </w:rPr>
            </w:pPr>
            <w:r>
              <w:rPr>
                <w:rFonts w:eastAsia="Arial"/>
                <w:b/>
                <w:bCs/>
              </w:rPr>
              <w:t>Indgivelsesmåde</w:t>
            </w:r>
          </w:p>
        </w:tc>
        <w:tc>
          <w:tcPr>
            <w:tcW w:w="3376" w:type="dxa"/>
            <w:tcBorders>
              <w:top w:val="single" w:sz="12" w:space="0" w:color="000000"/>
              <w:left w:val="single" w:sz="6" w:space="0" w:color="000000"/>
              <w:bottom w:val="single" w:sz="12" w:space="0" w:color="000000"/>
              <w:right w:val="single" w:sz="6" w:space="0" w:color="000000"/>
            </w:tcBorders>
            <w:vAlign w:val="center"/>
            <w:hideMark/>
          </w:tcPr>
          <w:p w14:paraId="2D00E5F5" w14:textId="77777777" w:rsidR="002F3A86" w:rsidRDefault="002F3A86">
            <w:pPr>
              <w:ind w:right="2"/>
              <w:jc w:val="center"/>
              <w:rPr>
                <w:rFonts w:eastAsia="Arial"/>
                <w:b/>
                <w:bCs/>
              </w:rPr>
            </w:pPr>
            <w:r>
              <w:rPr>
                <w:rFonts w:eastAsia="Arial"/>
                <w:b/>
                <w:bCs/>
              </w:rPr>
              <w:t>Postoperativ analgesi</w:t>
            </w:r>
          </w:p>
        </w:tc>
        <w:tc>
          <w:tcPr>
            <w:tcW w:w="3084" w:type="dxa"/>
            <w:tcBorders>
              <w:top w:val="single" w:sz="12" w:space="0" w:color="000000"/>
              <w:left w:val="single" w:sz="6" w:space="0" w:color="000000"/>
              <w:bottom w:val="single" w:sz="12" w:space="0" w:color="000000"/>
              <w:right w:val="single" w:sz="12" w:space="0" w:color="000000"/>
            </w:tcBorders>
            <w:vAlign w:val="center"/>
            <w:hideMark/>
          </w:tcPr>
          <w:p w14:paraId="1682C60B" w14:textId="77777777" w:rsidR="002F3A86" w:rsidRDefault="002F3A86">
            <w:pPr>
              <w:ind w:right="2"/>
              <w:jc w:val="center"/>
              <w:rPr>
                <w:rFonts w:eastAsia="Arial"/>
                <w:b/>
                <w:bCs/>
              </w:rPr>
            </w:pPr>
            <w:r>
              <w:rPr>
                <w:rFonts w:eastAsia="Arial"/>
                <w:b/>
                <w:bCs/>
              </w:rPr>
              <w:t>Potensering af sedation</w:t>
            </w:r>
          </w:p>
        </w:tc>
      </w:tr>
      <w:tr w:rsidR="002F3A86" w14:paraId="090DEA8E" w14:textId="77777777" w:rsidTr="002F3A86">
        <w:tc>
          <w:tcPr>
            <w:tcW w:w="1054" w:type="dxa"/>
            <w:tcBorders>
              <w:top w:val="single" w:sz="6" w:space="0" w:color="000000"/>
              <w:left w:val="single" w:sz="12" w:space="0" w:color="000000"/>
              <w:bottom w:val="single" w:sz="6" w:space="0" w:color="000000"/>
              <w:right w:val="single" w:sz="6" w:space="0" w:color="000000"/>
            </w:tcBorders>
            <w:vAlign w:val="center"/>
            <w:hideMark/>
          </w:tcPr>
          <w:p w14:paraId="032A6159" w14:textId="77777777" w:rsidR="002F3A86" w:rsidRDefault="002F3A86">
            <w:pPr>
              <w:ind w:right="2"/>
              <w:jc w:val="both"/>
              <w:rPr>
                <w:rFonts w:eastAsia="Arial"/>
                <w:b/>
                <w:bCs/>
              </w:rPr>
            </w:pPr>
            <w:r>
              <w:rPr>
                <w:rFonts w:eastAsia="Arial"/>
                <w:b/>
                <w:bCs/>
              </w:rPr>
              <w:t>Hund</w:t>
            </w:r>
          </w:p>
        </w:tc>
        <w:tc>
          <w:tcPr>
            <w:tcW w:w="1774" w:type="dxa"/>
            <w:tcBorders>
              <w:top w:val="single" w:sz="6" w:space="0" w:color="000000"/>
              <w:left w:val="single" w:sz="6" w:space="0" w:color="000000"/>
              <w:bottom w:val="single" w:sz="6" w:space="0" w:color="000000"/>
              <w:right w:val="single" w:sz="6" w:space="0" w:color="000000"/>
            </w:tcBorders>
            <w:vAlign w:val="center"/>
            <w:hideMark/>
          </w:tcPr>
          <w:p w14:paraId="0BE5502D" w14:textId="77777777" w:rsidR="002F3A86" w:rsidRDefault="002F3A86">
            <w:pPr>
              <w:ind w:right="2"/>
              <w:rPr>
                <w:rFonts w:eastAsia="Arial"/>
                <w:color w:val="FF0000"/>
              </w:rPr>
            </w:pPr>
            <w:r>
              <w:rPr>
                <w:szCs w:val="22"/>
              </w:rPr>
              <w:t>Intramuskulær eller intravenøs injektion</w:t>
            </w:r>
          </w:p>
        </w:tc>
        <w:tc>
          <w:tcPr>
            <w:tcW w:w="3376" w:type="dxa"/>
            <w:tcBorders>
              <w:top w:val="single" w:sz="6" w:space="0" w:color="000000"/>
              <w:left w:val="single" w:sz="6" w:space="0" w:color="000000"/>
              <w:bottom w:val="single" w:sz="6" w:space="0" w:color="000000"/>
              <w:right w:val="single" w:sz="6" w:space="0" w:color="000000"/>
            </w:tcBorders>
            <w:vAlign w:val="center"/>
          </w:tcPr>
          <w:p w14:paraId="774194B4" w14:textId="77777777" w:rsidR="002F3A86" w:rsidRDefault="002F3A86">
            <w:pPr>
              <w:ind w:right="2"/>
              <w:rPr>
                <w:rFonts w:eastAsia="Arial"/>
              </w:rPr>
            </w:pPr>
            <w:r>
              <w:rPr>
                <w:rFonts w:eastAsia="Arial"/>
              </w:rPr>
              <w:t>10-20 mikrog. buprenorphin/kg legemsvægt (svarende til 0,03-0,06 ml veterinærlægemiddel pr. kg legemsvægt).</w:t>
            </w:r>
          </w:p>
          <w:p w14:paraId="29F2C3BB" w14:textId="77777777" w:rsidR="002F3A86" w:rsidRDefault="002F3A86">
            <w:pPr>
              <w:ind w:right="2"/>
              <w:rPr>
                <w:rFonts w:eastAsia="Arial"/>
              </w:rPr>
            </w:pPr>
          </w:p>
          <w:p w14:paraId="614B9B59" w14:textId="77777777" w:rsidR="002F3A86" w:rsidRDefault="002F3A86">
            <w:pPr>
              <w:ind w:right="2"/>
              <w:rPr>
                <w:rFonts w:eastAsia="Arial"/>
              </w:rPr>
            </w:pPr>
            <w:r>
              <w:rPr>
                <w:rFonts w:eastAsia="Arial"/>
              </w:rPr>
              <w:t>Gentages om nødvendigt efter 3-4</w:t>
            </w:r>
          </w:p>
          <w:p w14:paraId="2C938AF0" w14:textId="77777777" w:rsidR="002F3A86" w:rsidRDefault="002F3A86">
            <w:pPr>
              <w:ind w:right="2"/>
              <w:rPr>
                <w:rFonts w:eastAsia="Arial"/>
                <w:color w:val="FF0000"/>
              </w:rPr>
            </w:pPr>
            <w:r>
              <w:rPr>
                <w:rFonts w:eastAsia="Arial"/>
              </w:rPr>
              <w:t xml:space="preserve">timer med 10 mikrog. buprenorphin/ kg legemsvægt eller efter 5-6 timer med 20 mikrog. buprenorphin pr. kg legemsvægt. </w:t>
            </w:r>
          </w:p>
        </w:tc>
        <w:tc>
          <w:tcPr>
            <w:tcW w:w="3084" w:type="dxa"/>
            <w:tcBorders>
              <w:top w:val="single" w:sz="6" w:space="0" w:color="000000"/>
              <w:left w:val="single" w:sz="6" w:space="0" w:color="000000"/>
              <w:bottom w:val="single" w:sz="6" w:space="0" w:color="000000"/>
              <w:right w:val="single" w:sz="12" w:space="0" w:color="000000"/>
            </w:tcBorders>
            <w:vAlign w:val="center"/>
          </w:tcPr>
          <w:p w14:paraId="3345D85A" w14:textId="77777777" w:rsidR="002F3A86" w:rsidRDefault="002F3A86">
            <w:pPr>
              <w:ind w:right="2"/>
              <w:rPr>
                <w:rFonts w:eastAsia="Arial"/>
              </w:rPr>
            </w:pPr>
            <w:r>
              <w:rPr>
                <w:rFonts w:eastAsia="Arial"/>
              </w:rPr>
              <w:t>10-20 mikrog. buprenorphin/ kg legemsvægt</w:t>
            </w:r>
          </w:p>
          <w:p w14:paraId="1989D342" w14:textId="77777777" w:rsidR="002F3A86" w:rsidRDefault="002F3A86">
            <w:pPr>
              <w:ind w:right="2"/>
              <w:rPr>
                <w:rFonts w:eastAsia="Arial"/>
              </w:rPr>
            </w:pPr>
            <w:r>
              <w:rPr>
                <w:rFonts w:eastAsia="Arial"/>
              </w:rPr>
              <w:t>(svarende til 0,03-0,06 ml veterinærlægemiddel pr. kg legemsvægt)</w:t>
            </w:r>
          </w:p>
          <w:p w14:paraId="577A474B" w14:textId="77777777" w:rsidR="002F3A86" w:rsidRDefault="002F3A86">
            <w:pPr>
              <w:ind w:right="2"/>
              <w:rPr>
                <w:rFonts w:eastAsia="Arial"/>
                <w:color w:val="FF0000"/>
              </w:rPr>
            </w:pPr>
          </w:p>
        </w:tc>
      </w:tr>
      <w:tr w:rsidR="002F3A86" w14:paraId="1C55D825" w14:textId="77777777" w:rsidTr="002F3A86">
        <w:tc>
          <w:tcPr>
            <w:tcW w:w="1054" w:type="dxa"/>
            <w:tcBorders>
              <w:top w:val="single" w:sz="6" w:space="0" w:color="000000"/>
              <w:left w:val="single" w:sz="12" w:space="0" w:color="000000"/>
              <w:bottom w:val="single" w:sz="12" w:space="0" w:color="000000"/>
              <w:right w:val="single" w:sz="6" w:space="0" w:color="000000"/>
            </w:tcBorders>
            <w:vAlign w:val="center"/>
            <w:hideMark/>
          </w:tcPr>
          <w:p w14:paraId="75EC090C" w14:textId="77777777" w:rsidR="002F3A86" w:rsidRDefault="002F3A86">
            <w:pPr>
              <w:ind w:right="2"/>
              <w:jc w:val="both"/>
              <w:rPr>
                <w:rFonts w:eastAsia="Arial"/>
                <w:b/>
                <w:bCs/>
              </w:rPr>
            </w:pPr>
            <w:r>
              <w:rPr>
                <w:rFonts w:eastAsia="Arial"/>
                <w:b/>
                <w:bCs/>
              </w:rPr>
              <w:t>Kat</w:t>
            </w:r>
          </w:p>
        </w:tc>
        <w:tc>
          <w:tcPr>
            <w:tcW w:w="1774" w:type="dxa"/>
            <w:tcBorders>
              <w:top w:val="single" w:sz="6" w:space="0" w:color="000000"/>
              <w:left w:val="single" w:sz="6" w:space="0" w:color="000000"/>
              <w:bottom w:val="single" w:sz="12" w:space="0" w:color="000000"/>
              <w:right w:val="single" w:sz="6" w:space="0" w:color="000000"/>
            </w:tcBorders>
            <w:vAlign w:val="center"/>
            <w:hideMark/>
          </w:tcPr>
          <w:p w14:paraId="7B240BCA" w14:textId="77777777" w:rsidR="002F3A86" w:rsidRDefault="002F3A86">
            <w:pPr>
              <w:ind w:right="2"/>
              <w:rPr>
                <w:rFonts w:eastAsia="Arial"/>
                <w:color w:val="FF0000"/>
              </w:rPr>
            </w:pPr>
            <w:r>
              <w:rPr>
                <w:szCs w:val="22"/>
              </w:rPr>
              <w:t>Intramuskulær eller intravenøs injektion</w:t>
            </w:r>
          </w:p>
        </w:tc>
        <w:tc>
          <w:tcPr>
            <w:tcW w:w="3376" w:type="dxa"/>
            <w:tcBorders>
              <w:top w:val="single" w:sz="6" w:space="0" w:color="000000"/>
              <w:left w:val="single" w:sz="6" w:space="0" w:color="000000"/>
              <w:bottom w:val="single" w:sz="12" w:space="0" w:color="000000"/>
              <w:right w:val="single" w:sz="6" w:space="0" w:color="000000"/>
            </w:tcBorders>
            <w:vAlign w:val="center"/>
            <w:hideMark/>
          </w:tcPr>
          <w:p w14:paraId="30E53D18" w14:textId="77777777" w:rsidR="002F3A86" w:rsidRDefault="002F3A86">
            <w:pPr>
              <w:ind w:right="2"/>
              <w:rPr>
                <w:rFonts w:eastAsia="Arial"/>
              </w:rPr>
            </w:pPr>
            <w:r>
              <w:rPr>
                <w:rFonts w:eastAsia="Arial"/>
              </w:rPr>
              <w:t>10-20 mikrog. buprenorphin/kg legemsvægt (svarende til 0,03-0,06 ml veterinærlægemiddel pr. kg legemsvægt).</w:t>
            </w:r>
          </w:p>
          <w:p w14:paraId="65658D2B" w14:textId="77777777" w:rsidR="002F3A86" w:rsidRDefault="002F3A86">
            <w:pPr>
              <w:ind w:right="2"/>
              <w:rPr>
                <w:rFonts w:eastAsia="Arial"/>
                <w:color w:val="FF0000"/>
              </w:rPr>
            </w:pPr>
            <w:r>
              <w:rPr>
                <w:rFonts w:eastAsia="Arial"/>
              </w:rPr>
              <w:t>Gentages om nødvendigt en gang efter 1-2 timer.</w:t>
            </w:r>
          </w:p>
        </w:tc>
        <w:tc>
          <w:tcPr>
            <w:tcW w:w="3084" w:type="dxa"/>
            <w:tcBorders>
              <w:top w:val="single" w:sz="6" w:space="0" w:color="000000"/>
              <w:left w:val="single" w:sz="6" w:space="0" w:color="000000"/>
              <w:bottom w:val="single" w:sz="12" w:space="0" w:color="000000"/>
              <w:right w:val="single" w:sz="12" w:space="0" w:color="000000"/>
            </w:tcBorders>
            <w:vAlign w:val="center"/>
            <w:hideMark/>
          </w:tcPr>
          <w:p w14:paraId="03E5A775" w14:textId="77777777" w:rsidR="002F3A86" w:rsidRDefault="002F3A86">
            <w:pPr>
              <w:ind w:right="2"/>
              <w:rPr>
                <w:rFonts w:eastAsia="Arial"/>
              </w:rPr>
            </w:pPr>
            <w:r>
              <w:rPr>
                <w:rFonts w:eastAsia="Arial"/>
              </w:rPr>
              <w:t>------</w:t>
            </w:r>
          </w:p>
        </w:tc>
      </w:tr>
    </w:tbl>
    <w:p w14:paraId="2451D677" w14:textId="77777777" w:rsidR="002F3A86" w:rsidRDefault="002F3A86" w:rsidP="002F3A86">
      <w:pPr>
        <w:tabs>
          <w:tab w:val="left" w:pos="851"/>
          <w:tab w:val="left" w:pos="8222"/>
        </w:tabs>
        <w:rPr>
          <w:sz w:val="22"/>
          <w:szCs w:val="22"/>
        </w:rPr>
      </w:pPr>
    </w:p>
    <w:p w14:paraId="729D5098" w14:textId="77777777" w:rsidR="002F3A86" w:rsidRPr="002F3A86" w:rsidRDefault="002F3A86" w:rsidP="002F3A86">
      <w:pPr>
        <w:ind w:left="851"/>
        <w:rPr>
          <w:sz w:val="24"/>
          <w:szCs w:val="24"/>
        </w:rPr>
      </w:pPr>
      <w:r w:rsidRPr="002F3A86">
        <w:rPr>
          <w:sz w:val="24"/>
          <w:szCs w:val="24"/>
        </w:rPr>
        <w:t xml:space="preserve">Mens den sedative virkning indtræder inden for 15 minutter efter administration, viser den analgetiske virkning sig efter ca. 30 minutter. Veterinærlægemidlet skal administreres præoperativt som en del af præmedicineringen for at sikre tilstedeværelse af analgesi under operation og straks ved opvågning. </w:t>
      </w:r>
    </w:p>
    <w:p w14:paraId="1829CE5C" w14:textId="77777777" w:rsidR="002F3A86" w:rsidRPr="002F3A86" w:rsidRDefault="002F3A86" w:rsidP="002F3A86">
      <w:pPr>
        <w:ind w:left="851"/>
        <w:rPr>
          <w:sz w:val="24"/>
          <w:szCs w:val="24"/>
        </w:rPr>
      </w:pPr>
    </w:p>
    <w:p w14:paraId="16DE4BB5" w14:textId="77777777" w:rsidR="002F3A86" w:rsidRPr="002F3A86" w:rsidRDefault="002F3A86" w:rsidP="002F3A86">
      <w:pPr>
        <w:ind w:left="851"/>
        <w:rPr>
          <w:sz w:val="24"/>
          <w:szCs w:val="24"/>
        </w:rPr>
      </w:pPr>
      <w:r w:rsidRPr="002F3A86">
        <w:rPr>
          <w:sz w:val="24"/>
          <w:szCs w:val="24"/>
        </w:rPr>
        <w:t xml:space="preserve">Ved anvendelse til potensering af sedation eller ved anvendelse som del af præmedicinering bør dosis af andre midler, som påvirker centralnervesystemet, f.eks. acepromazin eller medetomidin, reduceres. Denne reduktion afhænger af den tilstræbte sederingsgrad, det enkelte dyr, typen af andre midler, der indgår i præmedicineringen, og hvordan anæstesien skal induceres og opretholdes. Mængden af inhalationsanæstetika kan muligvis også nedsættes. </w:t>
      </w:r>
    </w:p>
    <w:p w14:paraId="690B1FA4" w14:textId="77777777" w:rsidR="002F3A86" w:rsidRPr="002F3A86" w:rsidRDefault="002F3A86" w:rsidP="002F3A86">
      <w:pPr>
        <w:ind w:left="851"/>
        <w:rPr>
          <w:sz w:val="24"/>
          <w:szCs w:val="24"/>
        </w:rPr>
      </w:pPr>
    </w:p>
    <w:p w14:paraId="6AC9BBF4" w14:textId="77777777" w:rsidR="002F3A86" w:rsidRPr="002F3A86" w:rsidRDefault="002F3A86" w:rsidP="002F3A86">
      <w:pPr>
        <w:ind w:left="851"/>
        <w:rPr>
          <w:sz w:val="24"/>
          <w:szCs w:val="24"/>
        </w:rPr>
      </w:pPr>
      <w:r w:rsidRPr="002F3A86">
        <w:rPr>
          <w:sz w:val="24"/>
          <w:szCs w:val="24"/>
        </w:rPr>
        <w:t>Dyr, der får administreret opioider med sedative og analgetiske egenskaber, kan udvise forskellige reaktioner. Derfor skal det enkelte dyrs reaktion overvåges, og efterfølgende doser skal justeres i henhold hertil. Gentagne doser kan i nogle tilfælde vise sig ikke at give yderligere analgesi. I disse tilfælde bør det overvejes at anvende et egnet injicerbart NSAID.</w:t>
      </w:r>
    </w:p>
    <w:p w14:paraId="583C76A0" w14:textId="77777777" w:rsidR="002F3A86" w:rsidRPr="002F3A86" w:rsidRDefault="002F3A86" w:rsidP="002F3A86">
      <w:pPr>
        <w:ind w:left="851"/>
        <w:rPr>
          <w:sz w:val="24"/>
          <w:szCs w:val="24"/>
        </w:rPr>
      </w:pPr>
    </w:p>
    <w:p w14:paraId="229FC30D" w14:textId="77777777" w:rsidR="002F3A86" w:rsidRPr="002F3A86" w:rsidRDefault="002F3A86" w:rsidP="002F3A86">
      <w:pPr>
        <w:ind w:left="851"/>
        <w:rPr>
          <w:sz w:val="24"/>
          <w:szCs w:val="24"/>
        </w:rPr>
      </w:pPr>
      <w:r w:rsidRPr="002F3A86">
        <w:rPr>
          <w:sz w:val="24"/>
          <w:szCs w:val="24"/>
        </w:rPr>
        <w:t>Der skal anvendes en sprøjte med en passende dosisinddeling for at opnå præcis dosering. Proppen må ikke gennemstikkes mere end 44 gange.</w:t>
      </w:r>
    </w:p>
    <w:p w14:paraId="7D1F0705" w14:textId="47DFF14C" w:rsidR="00345F5D" w:rsidRDefault="00345F5D">
      <w:pPr>
        <w:rPr>
          <w:sz w:val="24"/>
          <w:szCs w:val="24"/>
        </w:rPr>
      </w:pPr>
      <w:r>
        <w:rPr>
          <w:sz w:val="24"/>
          <w:szCs w:val="24"/>
        </w:rPr>
        <w:br w:type="page"/>
      </w:r>
    </w:p>
    <w:p w14:paraId="7538BFA8" w14:textId="77777777" w:rsidR="008203A8" w:rsidRPr="002F3A86" w:rsidRDefault="008203A8" w:rsidP="002F3A86">
      <w:pPr>
        <w:tabs>
          <w:tab w:val="left" w:pos="851"/>
        </w:tabs>
        <w:ind w:left="851"/>
        <w:rPr>
          <w:sz w:val="24"/>
          <w:szCs w:val="24"/>
        </w:rPr>
      </w:pPr>
    </w:p>
    <w:p w14:paraId="2A5D351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6C9F9829" w14:textId="77777777" w:rsidR="00E80E3D" w:rsidRPr="00E80E3D" w:rsidRDefault="00E80E3D" w:rsidP="00E80E3D">
      <w:pPr>
        <w:tabs>
          <w:tab w:val="left" w:pos="851"/>
        </w:tabs>
        <w:ind w:left="851"/>
        <w:rPr>
          <w:sz w:val="24"/>
          <w:szCs w:val="24"/>
        </w:rPr>
      </w:pPr>
      <w:bookmarkStart w:id="1" w:name="_GoBack"/>
      <w:bookmarkEnd w:id="1"/>
      <w:r w:rsidRPr="00E80E3D">
        <w:rPr>
          <w:sz w:val="24"/>
          <w:szCs w:val="24"/>
        </w:rPr>
        <w:t xml:space="preserve">Ved overdosering skal der iværksættes understøttende behandling og hvis det findes passende, kan naloxon eller respiratoriske stimulantia anvendes. </w:t>
      </w:r>
    </w:p>
    <w:p w14:paraId="419D5169" w14:textId="77777777" w:rsidR="00E80E3D" w:rsidRPr="00E80E3D" w:rsidRDefault="00E80E3D" w:rsidP="00E80E3D">
      <w:pPr>
        <w:tabs>
          <w:tab w:val="left" w:pos="851"/>
        </w:tabs>
        <w:ind w:left="851"/>
        <w:rPr>
          <w:sz w:val="24"/>
          <w:szCs w:val="24"/>
        </w:rPr>
      </w:pPr>
    </w:p>
    <w:p w14:paraId="4B48EE01" w14:textId="77777777" w:rsidR="00E80E3D" w:rsidRPr="00E80E3D" w:rsidRDefault="00E80E3D" w:rsidP="00E80E3D">
      <w:pPr>
        <w:tabs>
          <w:tab w:val="left" w:pos="851"/>
        </w:tabs>
        <w:ind w:left="851"/>
        <w:rPr>
          <w:sz w:val="24"/>
          <w:szCs w:val="24"/>
        </w:rPr>
      </w:pPr>
      <w:r w:rsidRPr="00E80E3D">
        <w:rPr>
          <w:sz w:val="24"/>
          <w:szCs w:val="24"/>
        </w:rPr>
        <w:t xml:space="preserve">Når buprenorphin overdoseres til hunde, kan det forårsage letargi. Ved meget høje doser kan der observeres bradykardi og miosis. </w:t>
      </w:r>
    </w:p>
    <w:p w14:paraId="47DF736E" w14:textId="77777777" w:rsidR="00E80E3D" w:rsidRPr="00E80E3D" w:rsidRDefault="00E80E3D" w:rsidP="00E80E3D">
      <w:pPr>
        <w:tabs>
          <w:tab w:val="left" w:pos="851"/>
        </w:tabs>
        <w:ind w:left="851"/>
        <w:rPr>
          <w:sz w:val="24"/>
          <w:szCs w:val="24"/>
        </w:rPr>
      </w:pPr>
    </w:p>
    <w:p w14:paraId="625C1F59" w14:textId="77777777" w:rsidR="00E80E3D" w:rsidRPr="002E2968" w:rsidRDefault="00E80E3D" w:rsidP="00E80E3D">
      <w:pPr>
        <w:tabs>
          <w:tab w:val="left" w:pos="851"/>
        </w:tabs>
        <w:ind w:left="851"/>
        <w:rPr>
          <w:sz w:val="24"/>
          <w:szCs w:val="24"/>
        </w:rPr>
      </w:pPr>
      <w:r w:rsidRPr="00E80E3D">
        <w:rPr>
          <w:sz w:val="24"/>
          <w:szCs w:val="24"/>
        </w:rPr>
        <w:t xml:space="preserve">Naloxon kan med fordel anvendes til at modvirke nedsat respirationsfrekvens, og </w:t>
      </w:r>
      <w:r w:rsidRPr="002E2968">
        <w:rPr>
          <w:sz w:val="24"/>
          <w:szCs w:val="24"/>
        </w:rPr>
        <w:t xml:space="preserve">respiratoriske stimulantia, som fx doxapram, er også effektive hos mennesker. På grund af buprenorphins længere virkningsvarighed sammenlignet med disse midler skal sådanne muligvis administreres gentagne gange eller ved kontinuerlig infusion. </w:t>
      </w:r>
    </w:p>
    <w:p w14:paraId="032B71C0" w14:textId="77777777" w:rsidR="00E80E3D" w:rsidRPr="002E2968" w:rsidRDefault="00E80E3D" w:rsidP="00E80E3D">
      <w:pPr>
        <w:tabs>
          <w:tab w:val="left" w:pos="851"/>
        </w:tabs>
        <w:ind w:left="851"/>
        <w:rPr>
          <w:sz w:val="24"/>
          <w:szCs w:val="24"/>
        </w:rPr>
      </w:pPr>
      <w:r w:rsidRPr="002E2968">
        <w:rPr>
          <w:sz w:val="24"/>
          <w:szCs w:val="24"/>
        </w:rPr>
        <w:t>Studier med frivillige forsøgspersoner har indikeret, at opiat-antagonister muligvis ikke fuldt ud kan reversere effekten af buprenorphin.</w:t>
      </w:r>
    </w:p>
    <w:p w14:paraId="34B7931D" w14:textId="77777777" w:rsidR="00E80E3D" w:rsidRPr="00E80E3D" w:rsidRDefault="00E80E3D" w:rsidP="00E80E3D">
      <w:pPr>
        <w:tabs>
          <w:tab w:val="left" w:pos="851"/>
        </w:tabs>
        <w:ind w:left="851"/>
        <w:rPr>
          <w:sz w:val="24"/>
          <w:szCs w:val="24"/>
        </w:rPr>
      </w:pPr>
    </w:p>
    <w:p w14:paraId="01939A81" w14:textId="77777777" w:rsidR="00E80E3D" w:rsidRPr="00E80E3D" w:rsidRDefault="00E80E3D" w:rsidP="00E80E3D">
      <w:pPr>
        <w:tabs>
          <w:tab w:val="left" w:pos="851"/>
        </w:tabs>
        <w:ind w:left="851"/>
        <w:rPr>
          <w:sz w:val="24"/>
          <w:szCs w:val="24"/>
        </w:rPr>
      </w:pPr>
      <w:r w:rsidRPr="00E80E3D">
        <w:rPr>
          <w:sz w:val="24"/>
          <w:szCs w:val="24"/>
        </w:rPr>
        <w:t>I toksikologiske studier med buprenorphinhydrochlorid til hunde blev der observeret biliær hyperplasi efter oral administration af doser på 3,5 mg/kg/dag og derover i et år. Biliær hyperplasi blev ikke observeret efter daglig intramuskulær injektion af doser på op til 2,5 mg/kg/dag i 3 måneder. Dette er langt over ethvert klinisk doseringsregime til hunde.</w:t>
      </w:r>
    </w:p>
    <w:p w14:paraId="169AFE9D" w14:textId="77777777" w:rsidR="00E80E3D" w:rsidRPr="00E80E3D" w:rsidRDefault="00E80E3D" w:rsidP="00E80E3D">
      <w:pPr>
        <w:tabs>
          <w:tab w:val="left" w:pos="851"/>
        </w:tabs>
        <w:ind w:left="851"/>
        <w:rPr>
          <w:sz w:val="24"/>
          <w:szCs w:val="24"/>
        </w:rPr>
      </w:pPr>
    </w:p>
    <w:p w14:paraId="532685E8" w14:textId="5FBE1770" w:rsidR="00E80E3D" w:rsidRPr="00E80E3D" w:rsidRDefault="00E80E3D" w:rsidP="00E80E3D">
      <w:pPr>
        <w:tabs>
          <w:tab w:val="left" w:pos="851"/>
        </w:tabs>
        <w:ind w:left="851"/>
        <w:rPr>
          <w:sz w:val="24"/>
          <w:szCs w:val="24"/>
        </w:rPr>
      </w:pPr>
      <w:r w:rsidRPr="00E80E3D">
        <w:rPr>
          <w:sz w:val="24"/>
          <w:szCs w:val="24"/>
        </w:rPr>
        <w:t>Se også pkt. 3.5 og 3.6 i dette produktresum</w:t>
      </w:r>
      <w:r w:rsidR="002E2968">
        <w:rPr>
          <w:sz w:val="24"/>
          <w:szCs w:val="24"/>
        </w:rPr>
        <w:t>é</w:t>
      </w:r>
      <w:r w:rsidRPr="00E80E3D">
        <w:rPr>
          <w:sz w:val="24"/>
          <w:szCs w:val="24"/>
        </w:rPr>
        <w:t>.</w:t>
      </w:r>
    </w:p>
    <w:p w14:paraId="54A0B293" w14:textId="77777777" w:rsidR="008203A8" w:rsidRDefault="008203A8" w:rsidP="008203A8">
      <w:pPr>
        <w:tabs>
          <w:tab w:val="left" w:pos="851"/>
        </w:tabs>
        <w:ind w:left="851"/>
        <w:rPr>
          <w:sz w:val="24"/>
          <w:szCs w:val="24"/>
        </w:rPr>
      </w:pPr>
    </w:p>
    <w:p w14:paraId="33EFA312"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1D34FFB" w14:textId="77777777" w:rsidR="008C606E" w:rsidRPr="008C606E" w:rsidRDefault="008C606E" w:rsidP="008C606E">
      <w:pPr>
        <w:tabs>
          <w:tab w:val="left" w:pos="851"/>
        </w:tabs>
        <w:ind w:left="851"/>
        <w:rPr>
          <w:sz w:val="24"/>
          <w:szCs w:val="24"/>
        </w:rPr>
      </w:pPr>
      <w:r w:rsidRPr="008C606E">
        <w:rPr>
          <w:sz w:val="24"/>
          <w:szCs w:val="24"/>
        </w:rPr>
        <w:t>Ikke relevant.</w:t>
      </w:r>
    </w:p>
    <w:p w14:paraId="0B6F2FCA" w14:textId="77777777" w:rsidR="008203A8" w:rsidRPr="00406EE7" w:rsidRDefault="008203A8" w:rsidP="008203A8">
      <w:pPr>
        <w:tabs>
          <w:tab w:val="left" w:pos="851"/>
        </w:tabs>
        <w:ind w:left="851"/>
        <w:rPr>
          <w:sz w:val="24"/>
          <w:szCs w:val="24"/>
        </w:rPr>
      </w:pPr>
    </w:p>
    <w:p w14:paraId="4389044A"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E14C82B" w14:textId="77777777" w:rsidR="008C606E" w:rsidRPr="008C606E" w:rsidRDefault="008C606E" w:rsidP="008C606E">
      <w:pPr>
        <w:pStyle w:val="Sidehoved"/>
        <w:ind w:left="851"/>
        <w:rPr>
          <w:szCs w:val="24"/>
        </w:rPr>
      </w:pPr>
      <w:r w:rsidRPr="008C606E">
        <w:rPr>
          <w:szCs w:val="24"/>
        </w:rPr>
        <w:t>Ikke relevant.</w:t>
      </w:r>
    </w:p>
    <w:p w14:paraId="2D8C81A7" w14:textId="77777777" w:rsidR="008203A8" w:rsidRPr="00406EE7" w:rsidRDefault="008203A8" w:rsidP="008203A8">
      <w:pPr>
        <w:pStyle w:val="Sidehoved"/>
        <w:tabs>
          <w:tab w:val="clear" w:pos="4819"/>
        </w:tabs>
        <w:ind w:left="851"/>
        <w:rPr>
          <w:szCs w:val="24"/>
        </w:rPr>
      </w:pPr>
    </w:p>
    <w:p w14:paraId="0256B26C" w14:textId="77777777" w:rsidR="008203A8" w:rsidRPr="00406EE7" w:rsidRDefault="008203A8" w:rsidP="008203A8">
      <w:pPr>
        <w:tabs>
          <w:tab w:val="left" w:pos="851"/>
        </w:tabs>
        <w:ind w:left="851"/>
        <w:rPr>
          <w:sz w:val="24"/>
          <w:szCs w:val="24"/>
        </w:rPr>
      </w:pPr>
    </w:p>
    <w:p w14:paraId="5307890A" w14:textId="7FEFC4B8" w:rsidR="008203A8" w:rsidRPr="00406EE7" w:rsidRDefault="008203A8" w:rsidP="008203A8">
      <w:pPr>
        <w:ind w:left="851" w:hanging="851"/>
        <w:rPr>
          <w:b/>
          <w:sz w:val="24"/>
          <w:szCs w:val="24"/>
        </w:rPr>
      </w:pPr>
      <w:r w:rsidRPr="008C606E">
        <w:rPr>
          <w:b/>
          <w:sz w:val="24"/>
          <w:szCs w:val="24"/>
        </w:rPr>
        <w:t>4.</w:t>
      </w:r>
      <w:r w:rsidRPr="008C606E">
        <w:rPr>
          <w:b/>
          <w:sz w:val="24"/>
          <w:szCs w:val="24"/>
        </w:rPr>
        <w:tab/>
        <w:t>FARMAKOLOGISKE OPLYSNINGER</w:t>
      </w:r>
    </w:p>
    <w:p w14:paraId="63211A20" w14:textId="77777777" w:rsidR="008203A8" w:rsidRDefault="008203A8" w:rsidP="008203A8">
      <w:pPr>
        <w:ind w:left="851"/>
        <w:rPr>
          <w:sz w:val="24"/>
          <w:szCs w:val="24"/>
        </w:rPr>
      </w:pPr>
    </w:p>
    <w:p w14:paraId="07F43823"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t>ATCvet-kode</w:t>
      </w:r>
    </w:p>
    <w:p w14:paraId="26E75155" w14:textId="77777777" w:rsidR="008C606E" w:rsidRPr="008C606E" w:rsidRDefault="008C606E" w:rsidP="008C606E">
      <w:pPr>
        <w:ind w:left="851"/>
        <w:rPr>
          <w:sz w:val="24"/>
          <w:szCs w:val="24"/>
        </w:rPr>
      </w:pPr>
      <w:r w:rsidRPr="008C606E">
        <w:rPr>
          <w:sz w:val="24"/>
          <w:szCs w:val="24"/>
        </w:rPr>
        <w:t>QN02AE01</w:t>
      </w:r>
    </w:p>
    <w:p w14:paraId="6E832CA2" w14:textId="77777777" w:rsidR="008203A8" w:rsidRPr="00406EE7" w:rsidRDefault="008203A8" w:rsidP="008203A8">
      <w:pPr>
        <w:ind w:left="851"/>
        <w:rPr>
          <w:sz w:val="24"/>
          <w:szCs w:val="24"/>
        </w:rPr>
      </w:pPr>
    </w:p>
    <w:p w14:paraId="39544155" w14:textId="77777777" w:rsidR="008203A8" w:rsidRPr="00406EE7" w:rsidRDefault="008203A8" w:rsidP="008203A8">
      <w:pPr>
        <w:tabs>
          <w:tab w:val="left" w:pos="851"/>
        </w:tabs>
        <w:ind w:left="851" w:hanging="851"/>
        <w:rPr>
          <w:b/>
          <w:sz w:val="24"/>
          <w:szCs w:val="24"/>
        </w:rPr>
      </w:pPr>
      <w:r w:rsidRPr="008C606E">
        <w:rPr>
          <w:b/>
          <w:sz w:val="24"/>
          <w:szCs w:val="24"/>
        </w:rPr>
        <w:t>4.2</w:t>
      </w:r>
      <w:r w:rsidRPr="008C606E">
        <w:rPr>
          <w:b/>
          <w:sz w:val="24"/>
          <w:szCs w:val="24"/>
        </w:rPr>
        <w:tab/>
        <w:t>Farmakodynamiske oplysninger</w:t>
      </w:r>
    </w:p>
    <w:p w14:paraId="040EF620" w14:textId="77777777" w:rsidR="008C606E" w:rsidRPr="008C606E" w:rsidRDefault="008C606E" w:rsidP="008C606E">
      <w:pPr>
        <w:tabs>
          <w:tab w:val="left" w:pos="851"/>
        </w:tabs>
        <w:ind w:left="851"/>
        <w:rPr>
          <w:sz w:val="24"/>
          <w:szCs w:val="24"/>
        </w:rPr>
      </w:pPr>
      <w:r w:rsidRPr="008C606E">
        <w:rPr>
          <w:sz w:val="24"/>
          <w:szCs w:val="24"/>
        </w:rPr>
        <w:t>Buprenorphin er kort sagt et potent, langtidsvirkende analgetikum, der virker på opiatreceptorer i centralnervesystemet. Det kan potensere effekten af midler, som påvirker centralnervesystemet, men buprenorphin har i modsætning til de fleste opiater i kliniske doser kun en begrænset sedativ effekt i sig selv.</w:t>
      </w:r>
    </w:p>
    <w:p w14:paraId="4D04DFA6" w14:textId="77777777" w:rsidR="008C606E" w:rsidRPr="008C606E" w:rsidRDefault="008C606E" w:rsidP="008C606E">
      <w:pPr>
        <w:tabs>
          <w:tab w:val="left" w:pos="851"/>
        </w:tabs>
        <w:ind w:left="851"/>
        <w:rPr>
          <w:sz w:val="24"/>
          <w:szCs w:val="24"/>
        </w:rPr>
      </w:pPr>
    </w:p>
    <w:p w14:paraId="4F04BBB8" w14:textId="77777777" w:rsidR="008C606E" w:rsidRPr="008C606E" w:rsidRDefault="008C606E" w:rsidP="008C606E">
      <w:pPr>
        <w:tabs>
          <w:tab w:val="left" w:pos="851"/>
        </w:tabs>
        <w:ind w:left="851"/>
        <w:rPr>
          <w:sz w:val="24"/>
          <w:szCs w:val="24"/>
        </w:rPr>
      </w:pPr>
      <w:r w:rsidRPr="008C606E">
        <w:rPr>
          <w:sz w:val="24"/>
          <w:szCs w:val="24"/>
        </w:rPr>
        <w:t xml:space="preserve">Buprenorphin udøver sin analgetiske virkning via en høj affinitetsbinding til forskellige underklasser af opiatreceptorer, særligt µ-receptorer, i centralnervesystemet. Ved kliniske analgetiske doser binder buprenorphin sig til opiatreceptorer med høj affinitet og høj receptoraviditet, således at dissociationen fra receptorstedet er langsom, som påvist i </w:t>
      </w:r>
      <w:r w:rsidRPr="008C606E">
        <w:rPr>
          <w:i/>
          <w:iCs/>
          <w:sz w:val="24"/>
          <w:szCs w:val="24"/>
        </w:rPr>
        <w:t>in vitro</w:t>
      </w:r>
      <w:r w:rsidRPr="008C606E">
        <w:rPr>
          <w:sz w:val="24"/>
          <w:szCs w:val="24"/>
        </w:rPr>
        <w:t>-studier. Denne unikke egenskab ved buprenorphin kan være forklaringen på dens længere aktivitetsvarighed sammenlignet med morfin. Under forhold, hvor en anden opiatagonist allerede har mættet opioidreceptorerne, kan buprenorphin udøve en narkotisk antagonistisk effekt som konsekvens af dens høje affinitetsbinding til opiatreceptorer. Således er der påvist en antagonistisk virkning på morfin svarende til naloxon.</w:t>
      </w:r>
    </w:p>
    <w:p w14:paraId="03A26893" w14:textId="77777777" w:rsidR="008C606E" w:rsidRPr="008C606E" w:rsidRDefault="008C606E" w:rsidP="008C606E">
      <w:pPr>
        <w:tabs>
          <w:tab w:val="left" w:pos="851"/>
        </w:tabs>
        <w:ind w:left="851"/>
        <w:rPr>
          <w:sz w:val="24"/>
          <w:szCs w:val="24"/>
        </w:rPr>
      </w:pPr>
      <w:r w:rsidRPr="008C606E">
        <w:rPr>
          <w:sz w:val="24"/>
          <w:szCs w:val="24"/>
        </w:rPr>
        <w:lastRenderedPageBreak/>
        <w:t>Buprenorphin har kun begrænset virkning på motiliteten i mave-tarm-kanalen.</w:t>
      </w:r>
    </w:p>
    <w:p w14:paraId="739D0561" w14:textId="77777777" w:rsidR="008203A8" w:rsidRPr="00406EE7" w:rsidRDefault="008203A8" w:rsidP="008203A8">
      <w:pPr>
        <w:tabs>
          <w:tab w:val="left" w:pos="851"/>
        </w:tabs>
        <w:ind w:left="851"/>
        <w:rPr>
          <w:sz w:val="24"/>
          <w:szCs w:val="24"/>
        </w:rPr>
      </w:pPr>
    </w:p>
    <w:p w14:paraId="69E4465C" w14:textId="77777777" w:rsidR="008203A8" w:rsidRPr="00406EE7" w:rsidRDefault="008203A8" w:rsidP="008203A8">
      <w:pPr>
        <w:tabs>
          <w:tab w:val="left" w:pos="851"/>
        </w:tabs>
        <w:ind w:left="851" w:hanging="851"/>
        <w:rPr>
          <w:b/>
          <w:sz w:val="24"/>
          <w:szCs w:val="24"/>
        </w:rPr>
      </w:pPr>
      <w:r w:rsidRPr="008C606E">
        <w:rPr>
          <w:b/>
          <w:sz w:val="24"/>
          <w:szCs w:val="24"/>
        </w:rPr>
        <w:t>4.3</w:t>
      </w:r>
      <w:r w:rsidRPr="008C606E">
        <w:rPr>
          <w:b/>
          <w:sz w:val="24"/>
          <w:szCs w:val="24"/>
        </w:rPr>
        <w:tab/>
        <w:t>Farmakokinetiske oplysninger</w:t>
      </w:r>
    </w:p>
    <w:p w14:paraId="403AE6C6" w14:textId="77777777" w:rsidR="008C606E" w:rsidRPr="008C606E" w:rsidRDefault="008C606E" w:rsidP="008C606E">
      <w:pPr>
        <w:tabs>
          <w:tab w:val="left" w:pos="851"/>
        </w:tabs>
        <w:ind w:left="851"/>
        <w:rPr>
          <w:sz w:val="24"/>
          <w:szCs w:val="24"/>
        </w:rPr>
      </w:pPr>
      <w:r w:rsidRPr="008C606E">
        <w:rPr>
          <w:sz w:val="24"/>
          <w:szCs w:val="24"/>
        </w:rPr>
        <w:t>Når lægemidlet indgives parenteralt, kan det administreres ved intramuskulær eller intravenøs injektion.</w:t>
      </w:r>
    </w:p>
    <w:p w14:paraId="2EB41485" w14:textId="77777777" w:rsidR="008C606E" w:rsidRPr="008C606E" w:rsidRDefault="008C606E" w:rsidP="008C606E">
      <w:pPr>
        <w:tabs>
          <w:tab w:val="left" w:pos="851"/>
        </w:tabs>
        <w:ind w:left="851"/>
        <w:rPr>
          <w:sz w:val="24"/>
          <w:szCs w:val="24"/>
        </w:rPr>
      </w:pPr>
    </w:p>
    <w:p w14:paraId="4D83FCF2" w14:textId="77777777" w:rsidR="008C606E" w:rsidRPr="008C606E" w:rsidRDefault="008C606E" w:rsidP="008C606E">
      <w:pPr>
        <w:tabs>
          <w:tab w:val="left" w:pos="851"/>
        </w:tabs>
        <w:ind w:left="851"/>
        <w:rPr>
          <w:sz w:val="24"/>
          <w:szCs w:val="24"/>
        </w:rPr>
      </w:pPr>
      <w:r w:rsidRPr="008C606E">
        <w:rPr>
          <w:sz w:val="24"/>
          <w:szCs w:val="24"/>
        </w:rPr>
        <w:t>Buprenorphin absorberes hurtigt efter intramuskulær injektion hos forskellige dyrearter og mennesket. Stoffet er yderst lipofilt, og fordelingsvolumenet i kroppen er stort. Den farmakologiske effekt (f.eks. mydriasis) kan indtræde inden for minutter efter administration, og tegn på sedation viser sig normalt inden for 15 minutter. Analgetisk effekt viser sig efter ca. 30 minutter, idet den maksimale effekt normalt observeres efter ca. 1-1,5 timer.</w:t>
      </w:r>
    </w:p>
    <w:p w14:paraId="5B8BA674" w14:textId="77777777" w:rsidR="008C606E" w:rsidRPr="008C606E" w:rsidRDefault="008C606E" w:rsidP="008C606E">
      <w:pPr>
        <w:tabs>
          <w:tab w:val="left" w:pos="851"/>
        </w:tabs>
        <w:ind w:left="851"/>
        <w:rPr>
          <w:sz w:val="24"/>
          <w:szCs w:val="24"/>
        </w:rPr>
      </w:pPr>
    </w:p>
    <w:p w14:paraId="177DA87A" w14:textId="77777777" w:rsidR="008C606E" w:rsidRPr="008C606E" w:rsidRDefault="008C606E" w:rsidP="008C606E">
      <w:pPr>
        <w:tabs>
          <w:tab w:val="left" w:pos="851"/>
        </w:tabs>
        <w:ind w:left="851"/>
        <w:rPr>
          <w:sz w:val="24"/>
          <w:szCs w:val="24"/>
        </w:rPr>
      </w:pPr>
      <w:r w:rsidRPr="008C606E">
        <w:rPr>
          <w:sz w:val="24"/>
          <w:szCs w:val="24"/>
        </w:rPr>
        <w:t xml:space="preserve">Efter intravenøs administration til hunde ved en dosis på 20 μg/kg var den gennemsnitlige terminale halveringstid 9 timer, og gennemsnitlig </w:t>
      </w:r>
      <w:r w:rsidRPr="008C606E">
        <w:rPr>
          <w:i/>
          <w:iCs/>
          <w:sz w:val="24"/>
          <w:szCs w:val="24"/>
        </w:rPr>
        <w:t xml:space="preserve">clearance </w:t>
      </w:r>
      <w:r w:rsidRPr="008C606E">
        <w:rPr>
          <w:sz w:val="24"/>
          <w:szCs w:val="24"/>
        </w:rPr>
        <w:t>var 24 ml/kg/min. Der er dog betydelig variation i de farmakokinetiske parametre hundene imellem.</w:t>
      </w:r>
    </w:p>
    <w:p w14:paraId="4AB51F38" w14:textId="77777777" w:rsidR="008C606E" w:rsidRPr="008C606E" w:rsidRDefault="008C606E" w:rsidP="008C606E">
      <w:pPr>
        <w:tabs>
          <w:tab w:val="left" w:pos="851"/>
        </w:tabs>
        <w:ind w:left="851"/>
        <w:rPr>
          <w:sz w:val="24"/>
          <w:szCs w:val="24"/>
        </w:rPr>
      </w:pPr>
    </w:p>
    <w:p w14:paraId="217B8B73" w14:textId="77777777" w:rsidR="008C606E" w:rsidRPr="008C606E" w:rsidRDefault="008C606E" w:rsidP="008C606E">
      <w:pPr>
        <w:tabs>
          <w:tab w:val="left" w:pos="851"/>
        </w:tabs>
        <w:ind w:left="851"/>
        <w:rPr>
          <w:sz w:val="24"/>
          <w:szCs w:val="24"/>
        </w:rPr>
      </w:pPr>
      <w:r w:rsidRPr="008C606E">
        <w:rPr>
          <w:sz w:val="24"/>
          <w:szCs w:val="24"/>
        </w:rPr>
        <w:t xml:space="preserve">Efter intramuskulær administration til katte var den gennemsnitlige terminale halveringstid 6,3 timer, og </w:t>
      </w:r>
      <w:r w:rsidRPr="008C606E">
        <w:rPr>
          <w:i/>
          <w:iCs/>
          <w:sz w:val="24"/>
          <w:szCs w:val="24"/>
        </w:rPr>
        <w:t xml:space="preserve">clearance </w:t>
      </w:r>
      <w:r w:rsidRPr="008C606E">
        <w:rPr>
          <w:sz w:val="24"/>
          <w:szCs w:val="24"/>
        </w:rPr>
        <w:t xml:space="preserve">var 23 ml/kg/min. Der var dog betydelig variation i de farmakokinetiske parametre kattene imellem. </w:t>
      </w:r>
    </w:p>
    <w:p w14:paraId="1BA18808" w14:textId="77777777" w:rsidR="008C606E" w:rsidRPr="008C606E" w:rsidRDefault="008C606E" w:rsidP="008C606E">
      <w:pPr>
        <w:tabs>
          <w:tab w:val="left" w:pos="851"/>
        </w:tabs>
        <w:ind w:left="851"/>
        <w:rPr>
          <w:sz w:val="24"/>
          <w:szCs w:val="24"/>
        </w:rPr>
      </w:pPr>
    </w:p>
    <w:p w14:paraId="1EEC58CD" w14:textId="77777777" w:rsidR="008C606E" w:rsidRPr="008C606E" w:rsidRDefault="008C606E" w:rsidP="008C606E">
      <w:pPr>
        <w:tabs>
          <w:tab w:val="left" w:pos="851"/>
        </w:tabs>
        <w:ind w:left="851"/>
        <w:rPr>
          <w:sz w:val="24"/>
          <w:szCs w:val="24"/>
        </w:rPr>
      </w:pPr>
      <w:r w:rsidRPr="008C606E">
        <w:rPr>
          <w:sz w:val="24"/>
          <w:szCs w:val="24"/>
        </w:rPr>
        <w:t>Kombinerede farmakokinetiske og farmakodynamiske studier har vist markant hysterese mellem plasmakoncentration og analgetisk effekt. Plasmakoncentrationer af buprenorphin bør derfor ikke anvendes til at vurdere den korrekte dosering af det enkelte dyr. Den individuelle dosering skal i stedet baseres på monitorering af patientens respons.</w:t>
      </w:r>
    </w:p>
    <w:p w14:paraId="6C17654B" w14:textId="77777777" w:rsidR="008C606E" w:rsidRPr="008C606E" w:rsidRDefault="008C606E" w:rsidP="008C606E">
      <w:pPr>
        <w:tabs>
          <w:tab w:val="left" w:pos="851"/>
        </w:tabs>
        <w:ind w:left="851"/>
        <w:rPr>
          <w:sz w:val="24"/>
          <w:szCs w:val="24"/>
        </w:rPr>
      </w:pPr>
    </w:p>
    <w:p w14:paraId="5895F09F" w14:textId="77777777" w:rsidR="008C606E" w:rsidRPr="008C606E" w:rsidRDefault="008C606E" w:rsidP="008C606E">
      <w:pPr>
        <w:tabs>
          <w:tab w:val="left" w:pos="851"/>
        </w:tabs>
        <w:ind w:left="851"/>
        <w:rPr>
          <w:sz w:val="24"/>
          <w:szCs w:val="24"/>
        </w:rPr>
      </w:pPr>
      <w:r w:rsidRPr="008C606E">
        <w:rPr>
          <w:sz w:val="24"/>
          <w:szCs w:val="24"/>
        </w:rPr>
        <w:t>Den vigtigste udskillelsesvej er fæces hos alle arter undtagen kaniner (hvor udskillelse i urinen er den dominerende). Buprenorphin gennemgår N-dealkylering og glukuronidering via tarmvæggen og leveren, og dets metabolitter udskilles via galden til mave-tarm-kanalen.</w:t>
      </w:r>
    </w:p>
    <w:p w14:paraId="0B3CDFB4" w14:textId="77777777" w:rsidR="008C606E" w:rsidRPr="008C606E" w:rsidRDefault="008C606E" w:rsidP="008C606E">
      <w:pPr>
        <w:tabs>
          <w:tab w:val="left" w:pos="851"/>
        </w:tabs>
        <w:ind w:left="851"/>
        <w:rPr>
          <w:sz w:val="24"/>
          <w:szCs w:val="24"/>
        </w:rPr>
      </w:pPr>
    </w:p>
    <w:p w14:paraId="395EAAFF" w14:textId="77777777" w:rsidR="008C606E" w:rsidRPr="008C606E" w:rsidRDefault="008C606E" w:rsidP="008C606E">
      <w:pPr>
        <w:tabs>
          <w:tab w:val="left" w:pos="851"/>
        </w:tabs>
        <w:ind w:left="851"/>
        <w:rPr>
          <w:sz w:val="24"/>
          <w:szCs w:val="24"/>
        </w:rPr>
      </w:pPr>
      <w:r w:rsidRPr="008C606E">
        <w:rPr>
          <w:sz w:val="24"/>
          <w:szCs w:val="24"/>
        </w:rPr>
        <w:t>I vævsfordelingsstudier hos rotter og rhesusaber blev de højeste koncentrationer af aktivt stof og metabolitter observeret i lever, lunge og hjerne. Maksimalniveauer blev hurtigt nået og faldt til lave niveauer inden for 24 timer efter doseringen.</w:t>
      </w:r>
    </w:p>
    <w:p w14:paraId="7FD2D1B9" w14:textId="77777777" w:rsidR="008C606E" w:rsidRPr="008C606E" w:rsidRDefault="008C606E" w:rsidP="008C606E">
      <w:pPr>
        <w:tabs>
          <w:tab w:val="left" w:pos="851"/>
        </w:tabs>
        <w:ind w:left="851"/>
        <w:rPr>
          <w:sz w:val="24"/>
          <w:szCs w:val="24"/>
        </w:rPr>
      </w:pPr>
    </w:p>
    <w:p w14:paraId="55C4A549" w14:textId="77777777" w:rsidR="008C606E" w:rsidRPr="008C606E" w:rsidRDefault="008C606E" w:rsidP="008C606E">
      <w:pPr>
        <w:tabs>
          <w:tab w:val="left" w:pos="851"/>
        </w:tabs>
        <w:ind w:left="851"/>
        <w:rPr>
          <w:sz w:val="24"/>
          <w:szCs w:val="24"/>
        </w:rPr>
      </w:pPr>
      <w:r w:rsidRPr="008C606E">
        <w:rPr>
          <w:sz w:val="24"/>
          <w:szCs w:val="24"/>
        </w:rPr>
        <w:t>Proteinbindingsforsøg hos rotter har vist, at buprenorphin i høj grad er bundet til plasmaproteiner, primært til alfa- og betaglobuliner.</w:t>
      </w:r>
    </w:p>
    <w:p w14:paraId="4E8001C5" w14:textId="77777777" w:rsidR="008203A8" w:rsidRPr="00406EE7" w:rsidRDefault="008203A8" w:rsidP="008203A8">
      <w:pPr>
        <w:tabs>
          <w:tab w:val="left" w:pos="851"/>
        </w:tabs>
        <w:ind w:left="851"/>
        <w:rPr>
          <w:sz w:val="24"/>
          <w:szCs w:val="24"/>
        </w:rPr>
      </w:pPr>
    </w:p>
    <w:p w14:paraId="0A966734" w14:textId="77777777" w:rsidR="008203A8" w:rsidRPr="00406EE7" w:rsidRDefault="008203A8" w:rsidP="008203A8">
      <w:pPr>
        <w:tabs>
          <w:tab w:val="left" w:pos="851"/>
        </w:tabs>
        <w:ind w:left="851"/>
        <w:rPr>
          <w:sz w:val="24"/>
          <w:szCs w:val="24"/>
        </w:rPr>
      </w:pPr>
    </w:p>
    <w:p w14:paraId="4701DF2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2DDB9E69" w14:textId="77777777" w:rsidR="008203A8" w:rsidRPr="00406EE7" w:rsidRDefault="008203A8" w:rsidP="008203A8">
      <w:pPr>
        <w:tabs>
          <w:tab w:val="left" w:pos="851"/>
        </w:tabs>
        <w:ind w:left="851"/>
        <w:rPr>
          <w:sz w:val="24"/>
          <w:szCs w:val="24"/>
        </w:rPr>
      </w:pPr>
    </w:p>
    <w:p w14:paraId="5D58EC8C"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32100BD1" w14:textId="77777777" w:rsidR="008C606E" w:rsidRPr="008C606E" w:rsidRDefault="008C606E" w:rsidP="008C606E">
      <w:pPr>
        <w:tabs>
          <w:tab w:val="left" w:pos="851"/>
        </w:tabs>
        <w:ind w:left="851"/>
        <w:rPr>
          <w:sz w:val="24"/>
          <w:szCs w:val="24"/>
        </w:rPr>
      </w:pPr>
      <w:r w:rsidRPr="008C606E">
        <w:rPr>
          <w:sz w:val="24"/>
          <w:szCs w:val="24"/>
        </w:rPr>
        <w:t>Da der ikke foreligger undersøgelser vedrørende eventuelle uforligeligheder, bør dette veterinærlægemiddel ikke blandes med andre veterinærlægemidler.</w:t>
      </w:r>
    </w:p>
    <w:p w14:paraId="03163C43" w14:textId="77777777" w:rsidR="008203A8" w:rsidRPr="00406EE7" w:rsidRDefault="008203A8" w:rsidP="008203A8">
      <w:pPr>
        <w:tabs>
          <w:tab w:val="left" w:pos="851"/>
        </w:tabs>
        <w:ind w:left="851"/>
        <w:rPr>
          <w:sz w:val="24"/>
          <w:szCs w:val="24"/>
        </w:rPr>
      </w:pPr>
    </w:p>
    <w:p w14:paraId="07127DC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2D0FC4AF" w14:textId="57CBE6E6" w:rsidR="008C606E" w:rsidRPr="008C606E" w:rsidRDefault="008C606E" w:rsidP="008C606E">
      <w:pPr>
        <w:tabs>
          <w:tab w:val="left" w:pos="851"/>
        </w:tabs>
        <w:ind w:left="851"/>
        <w:rPr>
          <w:sz w:val="24"/>
          <w:szCs w:val="24"/>
        </w:rPr>
      </w:pPr>
      <w:r w:rsidRPr="008C606E">
        <w:rPr>
          <w:sz w:val="24"/>
          <w:szCs w:val="24"/>
        </w:rPr>
        <w:t>Opbevaringstid for veterinærlægemidlet i salgspakning: 2 år</w:t>
      </w:r>
      <w:r>
        <w:rPr>
          <w:sz w:val="24"/>
          <w:szCs w:val="24"/>
        </w:rPr>
        <w:t>.</w:t>
      </w:r>
    </w:p>
    <w:p w14:paraId="50F937FA" w14:textId="4465F439" w:rsidR="008C606E" w:rsidRPr="008C606E" w:rsidRDefault="008C606E" w:rsidP="008C606E">
      <w:pPr>
        <w:tabs>
          <w:tab w:val="left" w:pos="851"/>
        </w:tabs>
        <w:ind w:left="851"/>
        <w:rPr>
          <w:sz w:val="24"/>
          <w:szCs w:val="24"/>
        </w:rPr>
      </w:pPr>
      <w:r w:rsidRPr="008C606E">
        <w:rPr>
          <w:sz w:val="24"/>
          <w:szCs w:val="24"/>
        </w:rPr>
        <w:t>Opbevaringstid efter første åbning af den indre emballage: 28 dage</w:t>
      </w:r>
      <w:r>
        <w:rPr>
          <w:sz w:val="24"/>
          <w:szCs w:val="24"/>
        </w:rPr>
        <w:t>.</w:t>
      </w:r>
    </w:p>
    <w:p w14:paraId="20C88D92" w14:textId="77777777" w:rsidR="008203A8" w:rsidRPr="00406EE7" w:rsidRDefault="008203A8" w:rsidP="008203A8">
      <w:pPr>
        <w:tabs>
          <w:tab w:val="left" w:pos="851"/>
        </w:tabs>
        <w:ind w:left="851"/>
        <w:rPr>
          <w:sz w:val="24"/>
          <w:szCs w:val="24"/>
        </w:rPr>
      </w:pPr>
    </w:p>
    <w:p w14:paraId="48EBE06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EEE7205" w14:textId="77777777" w:rsidR="008C606E" w:rsidRPr="008C606E" w:rsidRDefault="008C606E" w:rsidP="008C606E">
      <w:pPr>
        <w:tabs>
          <w:tab w:val="left" w:pos="851"/>
        </w:tabs>
        <w:ind w:left="851"/>
        <w:rPr>
          <w:sz w:val="24"/>
          <w:szCs w:val="24"/>
        </w:rPr>
      </w:pPr>
      <w:r w:rsidRPr="008C606E">
        <w:rPr>
          <w:sz w:val="24"/>
          <w:szCs w:val="24"/>
        </w:rPr>
        <w:t>Opbevar hætteglasset i den ydre æske for at beskytte mod lys.</w:t>
      </w:r>
    </w:p>
    <w:p w14:paraId="76B07BFE" w14:textId="77777777" w:rsidR="008203A8" w:rsidRPr="00406EE7" w:rsidRDefault="008203A8" w:rsidP="008203A8">
      <w:pPr>
        <w:tabs>
          <w:tab w:val="left" w:pos="851"/>
        </w:tabs>
        <w:ind w:left="851"/>
        <w:rPr>
          <w:sz w:val="24"/>
          <w:szCs w:val="24"/>
        </w:rPr>
      </w:pPr>
    </w:p>
    <w:p w14:paraId="4E425246"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3D92FB56" w14:textId="77777777" w:rsidR="008C606E" w:rsidRPr="008C606E" w:rsidRDefault="008C606E" w:rsidP="008C606E">
      <w:pPr>
        <w:tabs>
          <w:tab w:val="left" w:pos="851"/>
        </w:tabs>
        <w:ind w:left="851"/>
        <w:rPr>
          <w:sz w:val="24"/>
          <w:szCs w:val="24"/>
        </w:rPr>
      </w:pPr>
      <w:r w:rsidRPr="008C606E">
        <w:rPr>
          <w:sz w:val="24"/>
          <w:szCs w:val="24"/>
        </w:rPr>
        <w:t>Ravfarvet type I hætteglas med chlorobutylprop og aluminiumshætte.</w:t>
      </w:r>
    </w:p>
    <w:p w14:paraId="4AC0E5C9" w14:textId="77777777" w:rsidR="008C606E" w:rsidRPr="008C606E" w:rsidRDefault="008C606E" w:rsidP="008C606E">
      <w:pPr>
        <w:tabs>
          <w:tab w:val="left" w:pos="851"/>
        </w:tabs>
        <w:ind w:left="851"/>
        <w:rPr>
          <w:sz w:val="24"/>
          <w:szCs w:val="24"/>
        </w:rPr>
      </w:pPr>
    </w:p>
    <w:p w14:paraId="653C3E2A" w14:textId="2E19804E" w:rsidR="008C606E" w:rsidRPr="008C606E" w:rsidRDefault="008C606E" w:rsidP="008C606E">
      <w:pPr>
        <w:tabs>
          <w:tab w:val="left" w:pos="851"/>
        </w:tabs>
        <w:ind w:left="851"/>
        <w:rPr>
          <w:sz w:val="24"/>
          <w:szCs w:val="24"/>
          <w:u w:val="single"/>
        </w:rPr>
      </w:pPr>
      <w:r w:rsidRPr="008C606E">
        <w:rPr>
          <w:sz w:val="24"/>
          <w:szCs w:val="24"/>
          <w:u w:val="single"/>
        </w:rPr>
        <w:t>Pakningsstørrelser</w:t>
      </w:r>
    </w:p>
    <w:p w14:paraId="5329AB8C" w14:textId="235BF98B" w:rsidR="008C606E" w:rsidRPr="008C606E" w:rsidRDefault="008C606E" w:rsidP="008C606E">
      <w:pPr>
        <w:tabs>
          <w:tab w:val="left" w:pos="851"/>
        </w:tabs>
        <w:ind w:left="851"/>
        <w:rPr>
          <w:sz w:val="24"/>
          <w:szCs w:val="24"/>
        </w:rPr>
      </w:pPr>
      <w:r w:rsidRPr="008C606E">
        <w:rPr>
          <w:sz w:val="24"/>
          <w:szCs w:val="24"/>
        </w:rPr>
        <w:t>Æske med 1 hætteglas med 10 ml</w:t>
      </w:r>
      <w:r>
        <w:rPr>
          <w:sz w:val="24"/>
          <w:szCs w:val="24"/>
        </w:rPr>
        <w:t>.</w:t>
      </w:r>
    </w:p>
    <w:p w14:paraId="00A6EEFB" w14:textId="1A810EBC" w:rsidR="008C606E" w:rsidRPr="008C606E" w:rsidRDefault="008C606E" w:rsidP="008C606E">
      <w:pPr>
        <w:tabs>
          <w:tab w:val="left" w:pos="851"/>
        </w:tabs>
        <w:ind w:left="851"/>
        <w:rPr>
          <w:sz w:val="24"/>
          <w:szCs w:val="24"/>
        </w:rPr>
      </w:pPr>
      <w:r w:rsidRPr="008C606E">
        <w:rPr>
          <w:sz w:val="24"/>
          <w:szCs w:val="24"/>
        </w:rPr>
        <w:t>Æske med 5 hætteglas med 10 ml</w:t>
      </w:r>
      <w:r>
        <w:rPr>
          <w:sz w:val="24"/>
          <w:szCs w:val="24"/>
        </w:rPr>
        <w:t>.</w:t>
      </w:r>
    </w:p>
    <w:p w14:paraId="1F2AD3D9" w14:textId="641EEF7A" w:rsidR="008C606E" w:rsidRPr="008C606E" w:rsidRDefault="008C606E" w:rsidP="008C606E">
      <w:pPr>
        <w:tabs>
          <w:tab w:val="left" w:pos="851"/>
        </w:tabs>
        <w:ind w:left="851"/>
        <w:rPr>
          <w:sz w:val="24"/>
          <w:szCs w:val="24"/>
        </w:rPr>
      </w:pPr>
      <w:r w:rsidRPr="008C606E">
        <w:rPr>
          <w:sz w:val="24"/>
          <w:szCs w:val="24"/>
        </w:rPr>
        <w:t>Æske med 10 hætteglas med 10 ml</w:t>
      </w:r>
      <w:r>
        <w:rPr>
          <w:sz w:val="24"/>
          <w:szCs w:val="24"/>
        </w:rPr>
        <w:t>.</w:t>
      </w:r>
    </w:p>
    <w:p w14:paraId="490DFC4E" w14:textId="77777777" w:rsidR="008C606E" w:rsidRPr="008C606E" w:rsidRDefault="008C606E" w:rsidP="008C606E">
      <w:pPr>
        <w:tabs>
          <w:tab w:val="left" w:pos="851"/>
        </w:tabs>
        <w:ind w:left="851"/>
        <w:rPr>
          <w:sz w:val="24"/>
          <w:szCs w:val="24"/>
        </w:rPr>
      </w:pPr>
    </w:p>
    <w:p w14:paraId="389524D3" w14:textId="77777777" w:rsidR="008C606E" w:rsidRPr="008C606E" w:rsidRDefault="008C606E" w:rsidP="008C606E">
      <w:pPr>
        <w:tabs>
          <w:tab w:val="left" w:pos="851"/>
        </w:tabs>
        <w:ind w:left="851"/>
        <w:rPr>
          <w:sz w:val="24"/>
          <w:szCs w:val="24"/>
        </w:rPr>
      </w:pPr>
      <w:r w:rsidRPr="008C606E">
        <w:rPr>
          <w:sz w:val="24"/>
          <w:szCs w:val="24"/>
        </w:rPr>
        <w:t>Ikke alle pakningsstørrelser er nødvendigvis markedsført.</w:t>
      </w:r>
    </w:p>
    <w:p w14:paraId="02F804A3" w14:textId="77777777" w:rsidR="008203A8" w:rsidRPr="00406EE7" w:rsidRDefault="008203A8" w:rsidP="008203A8">
      <w:pPr>
        <w:tabs>
          <w:tab w:val="left" w:pos="851"/>
        </w:tabs>
        <w:ind w:left="851"/>
        <w:rPr>
          <w:sz w:val="24"/>
          <w:szCs w:val="24"/>
        </w:rPr>
      </w:pPr>
    </w:p>
    <w:p w14:paraId="7FD6810E"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7497C252" w14:textId="77777777" w:rsidR="00F15176" w:rsidRPr="00F15176" w:rsidRDefault="00F15176" w:rsidP="00F15176">
      <w:pPr>
        <w:tabs>
          <w:tab w:val="left" w:pos="851"/>
        </w:tabs>
        <w:ind w:left="851"/>
        <w:rPr>
          <w:sz w:val="24"/>
          <w:szCs w:val="24"/>
        </w:rPr>
      </w:pPr>
      <w:r w:rsidRPr="00F15176">
        <w:rPr>
          <w:sz w:val="24"/>
          <w:szCs w:val="24"/>
        </w:rPr>
        <w:t>Lægemidler må ikke bortskaffes sammen med spildevand eller husholdningsaffald.</w:t>
      </w:r>
    </w:p>
    <w:p w14:paraId="7D06ACE9" w14:textId="77777777" w:rsidR="00F15176" w:rsidRPr="00F15176" w:rsidRDefault="00F15176" w:rsidP="00F15176">
      <w:pPr>
        <w:tabs>
          <w:tab w:val="left" w:pos="851"/>
        </w:tabs>
        <w:ind w:left="851"/>
        <w:rPr>
          <w:sz w:val="24"/>
          <w:szCs w:val="24"/>
        </w:rPr>
      </w:pPr>
    </w:p>
    <w:p w14:paraId="042460DB" w14:textId="77777777" w:rsidR="00F15176" w:rsidRPr="00F15176" w:rsidRDefault="00F15176" w:rsidP="00F15176">
      <w:pPr>
        <w:tabs>
          <w:tab w:val="left" w:pos="851"/>
        </w:tabs>
        <w:ind w:left="851"/>
        <w:rPr>
          <w:sz w:val="24"/>
          <w:szCs w:val="24"/>
        </w:rPr>
      </w:pPr>
      <w:r w:rsidRPr="00F1517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A14B093" w14:textId="77777777" w:rsidR="008203A8" w:rsidRDefault="008203A8" w:rsidP="008203A8">
      <w:pPr>
        <w:tabs>
          <w:tab w:val="left" w:pos="851"/>
        </w:tabs>
        <w:ind w:left="851"/>
        <w:rPr>
          <w:sz w:val="24"/>
          <w:szCs w:val="24"/>
        </w:rPr>
      </w:pPr>
    </w:p>
    <w:p w14:paraId="76C6AE19" w14:textId="77777777" w:rsidR="008203A8" w:rsidRPr="00070728" w:rsidRDefault="008203A8" w:rsidP="008203A8">
      <w:pPr>
        <w:tabs>
          <w:tab w:val="left" w:pos="851"/>
        </w:tabs>
        <w:ind w:left="851"/>
        <w:rPr>
          <w:sz w:val="24"/>
          <w:szCs w:val="24"/>
        </w:rPr>
      </w:pPr>
    </w:p>
    <w:p w14:paraId="3F11E5D9"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601A4C63" w14:textId="77777777" w:rsidR="00F15176" w:rsidRPr="002E2968" w:rsidRDefault="00F15176" w:rsidP="00F15176">
      <w:pPr>
        <w:tabs>
          <w:tab w:val="left" w:pos="851"/>
        </w:tabs>
        <w:ind w:left="851"/>
        <w:rPr>
          <w:sz w:val="24"/>
          <w:szCs w:val="24"/>
        </w:rPr>
      </w:pPr>
      <w:r w:rsidRPr="002E2968">
        <w:rPr>
          <w:sz w:val="24"/>
          <w:szCs w:val="24"/>
        </w:rPr>
        <w:t>Labiana Life Sciences, S.A.</w:t>
      </w:r>
    </w:p>
    <w:p w14:paraId="6BF15072" w14:textId="77777777" w:rsidR="00F15176" w:rsidRPr="00F15176" w:rsidRDefault="00F15176" w:rsidP="00F15176">
      <w:pPr>
        <w:tabs>
          <w:tab w:val="left" w:pos="851"/>
        </w:tabs>
        <w:ind w:left="851"/>
        <w:rPr>
          <w:sz w:val="24"/>
          <w:szCs w:val="24"/>
          <w:lang w:val="en-US"/>
        </w:rPr>
      </w:pPr>
      <w:r w:rsidRPr="00F15176">
        <w:rPr>
          <w:sz w:val="24"/>
          <w:szCs w:val="24"/>
          <w:lang w:val="en-US"/>
        </w:rPr>
        <w:t>Calle Venus 26</w:t>
      </w:r>
    </w:p>
    <w:p w14:paraId="23A8277E" w14:textId="77777777" w:rsidR="00F15176" w:rsidRPr="00F15176" w:rsidRDefault="00F15176" w:rsidP="00F15176">
      <w:pPr>
        <w:tabs>
          <w:tab w:val="left" w:pos="851"/>
        </w:tabs>
        <w:ind w:left="851"/>
        <w:rPr>
          <w:sz w:val="24"/>
          <w:szCs w:val="24"/>
          <w:lang w:val="en-US"/>
        </w:rPr>
      </w:pPr>
      <w:r w:rsidRPr="00F15176">
        <w:rPr>
          <w:sz w:val="24"/>
          <w:szCs w:val="24"/>
          <w:lang w:val="en-US"/>
        </w:rPr>
        <w:t>08228 Terrassa (Barcelona)</w:t>
      </w:r>
    </w:p>
    <w:p w14:paraId="04FFCCD7" w14:textId="77777777" w:rsidR="00F15176" w:rsidRPr="00F15176" w:rsidRDefault="00F15176" w:rsidP="00F15176">
      <w:pPr>
        <w:tabs>
          <w:tab w:val="left" w:pos="851"/>
        </w:tabs>
        <w:ind w:left="851"/>
        <w:rPr>
          <w:sz w:val="24"/>
          <w:szCs w:val="24"/>
          <w:lang w:val="en-US"/>
        </w:rPr>
      </w:pPr>
      <w:r w:rsidRPr="00F15176">
        <w:rPr>
          <w:sz w:val="24"/>
          <w:szCs w:val="24"/>
          <w:lang w:val="en-US"/>
        </w:rPr>
        <w:t>Spanien</w:t>
      </w:r>
    </w:p>
    <w:p w14:paraId="64621331" w14:textId="77777777" w:rsidR="00F15176" w:rsidRPr="00F15176" w:rsidRDefault="00F15176" w:rsidP="00F15176">
      <w:pPr>
        <w:tabs>
          <w:tab w:val="left" w:pos="851"/>
        </w:tabs>
        <w:ind w:left="851"/>
        <w:rPr>
          <w:sz w:val="24"/>
          <w:szCs w:val="24"/>
          <w:lang w:val="en-US"/>
        </w:rPr>
      </w:pPr>
    </w:p>
    <w:p w14:paraId="21873CC2" w14:textId="77777777" w:rsidR="00F15176" w:rsidRPr="00F15176" w:rsidRDefault="00F15176" w:rsidP="00F15176">
      <w:pPr>
        <w:tabs>
          <w:tab w:val="left" w:pos="851"/>
        </w:tabs>
        <w:ind w:left="851"/>
        <w:rPr>
          <w:b/>
          <w:bCs/>
          <w:sz w:val="24"/>
          <w:szCs w:val="24"/>
          <w:lang w:val="en-US"/>
        </w:rPr>
      </w:pPr>
      <w:r w:rsidRPr="00F15176">
        <w:rPr>
          <w:b/>
          <w:bCs/>
          <w:sz w:val="24"/>
          <w:szCs w:val="24"/>
          <w:lang w:val="en-US"/>
        </w:rPr>
        <w:t>Repræsentant</w:t>
      </w:r>
    </w:p>
    <w:p w14:paraId="5C329EEA" w14:textId="77777777" w:rsidR="00F15176" w:rsidRPr="00F15176" w:rsidRDefault="00F15176" w:rsidP="00F15176">
      <w:pPr>
        <w:tabs>
          <w:tab w:val="left" w:pos="851"/>
        </w:tabs>
        <w:ind w:left="851"/>
        <w:rPr>
          <w:sz w:val="24"/>
          <w:szCs w:val="24"/>
          <w:lang w:val="en-US"/>
        </w:rPr>
      </w:pPr>
      <w:r w:rsidRPr="00F15176">
        <w:rPr>
          <w:sz w:val="24"/>
          <w:szCs w:val="24"/>
          <w:lang w:val="en-US"/>
        </w:rPr>
        <w:t>ScanVet Animal Health A/S</w:t>
      </w:r>
    </w:p>
    <w:p w14:paraId="1D0758F1" w14:textId="77777777" w:rsidR="00F15176" w:rsidRPr="00F15176" w:rsidRDefault="00F15176" w:rsidP="00F15176">
      <w:pPr>
        <w:tabs>
          <w:tab w:val="left" w:pos="851"/>
        </w:tabs>
        <w:ind w:left="851"/>
        <w:rPr>
          <w:sz w:val="24"/>
          <w:szCs w:val="24"/>
        </w:rPr>
      </w:pPr>
      <w:r w:rsidRPr="00F15176">
        <w:rPr>
          <w:sz w:val="24"/>
          <w:szCs w:val="24"/>
        </w:rPr>
        <w:t>Kongevejen 66</w:t>
      </w:r>
    </w:p>
    <w:p w14:paraId="3DEBD88A" w14:textId="77777777" w:rsidR="00F15176" w:rsidRPr="00F15176" w:rsidRDefault="00F15176" w:rsidP="00F15176">
      <w:pPr>
        <w:tabs>
          <w:tab w:val="left" w:pos="851"/>
        </w:tabs>
        <w:ind w:left="851"/>
        <w:rPr>
          <w:sz w:val="24"/>
          <w:szCs w:val="24"/>
        </w:rPr>
      </w:pPr>
      <w:r w:rsidRPr="00F15176">
        <w:rPr>
          <w:sz w:val="24"/>
          <w:szCs w:val="24"/>
        </w:rPr>
        <w:t>3480 Fredensborg</w:t>
      </w:r>
    </w:p>
    <w:p w14:paraId="7612A660" w14:textId="77777777" w:rsidR="008203A8" w:rsidRPr="00406EE7" w:rsidRDefault="008203A8" w:rsidP="008203A8">
      <w:pPr>
        <w:tabs>
          <w:tab w:val="left" w:pos="851"/>
        </w:tabs>
        <w:ind w:left="851"/>
        <w:rPr>
          <w:sz w:val="24"/>
          <w:szCs w:val="24"/>
        </w:rPr>
      </w:pPr>
    </w:p>
    <w:p w14:paraId="4485AF34"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79F4152" w14:textId="195E598E" w:rsidR="008203A8" w:rsidRPr="00406EE7" w:rsidRDefault="00F15176" w:rsidP="008203A8">
      <w:pPr>
        <w:tabs>
          <w:tab w:val="left" w:pos="851"/>
        </w:tabs>
        <w:ind w:left="851"/>
        <w:rPr>
          <w:sz w:val="24"/>
          <w:szCs w:val="24"/>
        </w:rPr>
      </w:pPr>
      <w:r>
        <w:rPr>
          <w:sz w:val="24"/>
          <w:szCs w:val="24"/>
        </w:rPr>
        <w:t>72185</w:t>
      </w:r>
    </w:p>
    <w:p w14:paraId="1399C20E" w14:textId="77777777" w:rsidR="008203A8" w:rsidRPr="00406EE7" w:rsidRDefault="008203A8" w:rsidP="008203A8">
      <w:pPr>
        <w:tabs>
          <w:tab w:val="left" w:pos="851"/>
        </w:tabs>
        <w:ind w:left="851"/>
        <w:rPr>
          <w:sz w:val="24"/>
          <w:szCs w:val="24"/>
        </w:rPr>
      </w:pPr>
    </w:p>
    <w:p w14:paraId="0CB64FB5"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91C8435" w14:textId="1EDAB367" w:rsidR="008203A8" w:rsidRPr="00406EE7" w:rsidRDefault="002E2968" w:rsidP="008203A8">
      <w:pPr>
        <w:tabs>
          <w:tab w:val="left" w:pos="851"/>
        </w:tabs>
        <w:ind w:left="851"/>
        <w:rPr>
          <w:sz w:val="24"/>
          <w:szCs w:val="24"/>
        </w:rPr>
      </w:pPr>
      <w:r>
        <w:rPr>
          <w:sz w:val="24"/>
          <w:szCs w:val="24"/>
        </w:rPr>
        <w:t>16. december 2024</w:t>
      </w:r>
    </w:p>
    <w:p w14:paraId="6608BA98" w14:textId="77777777" w:rsidR="008203A8" w:rsidRPr="00406EE7" w:rsidRDefault="008203A8" w:rsidP="008203A8">
      <w:pPr>
        <w:tabs>
          <w:tab w:val="left" w:pos="851"/>
        </w:tabs>
        <w:ind w:left="851"/>
        <w:rPr>
          <w:sz w:val="24"/>
          <w:szCs w:val="24"/>
        </w:rPr>
      </w:pPr>
    </w:p>
    <w:p w14:paraId="77EB5526"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1A2E7D48" w14:textId="31E8610A" w:rsidR="008203A8" w:rsidRPr="00406EE7" w:rsidRDefault="00F15176" w:rsidP="008203A8">
      <w:pPr>
        <w:tabs>
          <w:tab w:val="left" w:pos="851"/>
        </w:tabs>
        <w:ind w:left="851"/>
        <w:rPr>
          <w:sz w:val="24"/>
          <w:szCs w:val="24"/>
        </w:rPr>
      </w:pPr>
      <w:r>
        <w:rPr>
          <w:sz w:val="24"/>
          <w:szCs w:val="24"/>
        </w:rPr>
        <w:t>-</w:t>
      </w:r>
    </w:p>
    <w:p w14:paraId="0488EAFB" w14:textId="77777777" w:rsidR="008203A8" w:rsidRPr="00406EE7" w:rsidRDefault="008203A8" w:rsidP="008203A8">
      <w:pPr>
        <w:tabs>
          <w:tab w:val="left" w:pos="851"/>
        </w:tabs>
        <w:ind w:left="851"/>
        <w:rPr>
          <w:sz w:val="24"/>
          <w:szCs w:val="24"/>
        </w:rPr>
      </w:pPr>
    </w:p>
    <w:p w14:paraId="13AB5F07"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306939BB" w14:textId="5C91A1AB" w:rsidR="008203A8" w:rsidRDefault="00F15176" w:rsidP="008203A8">
      <w:pPr>
        <w:pStyle w:val="Sidehoved"/>
        <w:tabs>
          <w:tab w:val="clear" w:pos="4819"/>
          <w:tab w:val="left" w:pos="851"/>
        </w:tabs>
        <w:ind w:left="851"/>
        <w:rPr>
          <w:szCs w:val="24"/>
        </w:rPr>
      </w:pPr>
      <w:r>
        <w:rPr>
          <w:szCs w:val="24"/>
        </w:rPr>
        <w:t>A</w:t>
      </w:r>
    </w:p>
    <w:p w14:paraId="59F40C3D" w14:textId="6E4C37FE" w:rsidR="00F15176" w:rsidRDefault="00F15176" w:rsidP="008203A8">
      <w:pPr>
        <w:pStyle w:val="Sidehoved"/>
        <w:tabs>
          <w:tab w:val="clear" w:pos="4819"/>
          <w:tab w:val="left" w:pos="851"/>
        </w:tabs>
        <w:ind w:left="851"/>
        <w:rPr>
          <w:szCs w:val="24"/>
        </w:rPr>
      </w:pPr>
    </w:p>
    <w:p w14:paraId="4FD87886" w14:textId="15D8182E" w:rsidR="0003527F" w:rsidRPr="00F15176" w:rsidRDefault="00F15176" w:rsidP="00F15176">
      <w:pPr>
        <w:pStyle w:val="Sidehoved"/>
        <w:tabs>
          <w:tab w:val="clear" w:pos="4819"/>
          <w:tab w:val="left" w:pos="851"/>
        </w:tabs>
        <w:ind w:left="851"/>
        <w:rPr>
          <w:szCs w:val="24"/>
        </w:rPr>
      </w:pPr>
      <w:r w:rsidRPr="00F15176">
        <w:rPr>
          <w:szCs w:val="24"/>
        </w:rPr>
        <w:t>Der findes detaljerede oplysninger om dette veterinærlægemiddel i EU-lægemiddeldatabasen</w:t>
      </w:r>
      <w:r>
        <w:rPr>
          <w:szCs w:val="24"/>
        </w:rPr>
        <w:t>.</w:t>
      </w:r>
    </w:p>
    <w:sectPr w:rsidR="0003527F" w:rsidRPr="00F1517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0C1A" w14:textId="77777777" w:rsidR="00B6177A" w:rsidRDefault="00B6177A">
      <w:r>
        <w:separator/>
      </w:r>
    </w:p>
  </w:endnote>
  <w:endnote w:type="continuationSeparator" w:id="0">
    <w:p w14:paraId="3E793F3B" w14:textId="77777777" w:rsidR="00B6177A" w:rsidRDefault="00B6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C8E4" w14:textId="77777777" w:rsidR="004A62CC" w:rsidRDefault="004A62CC">
    <w:pPr>
      <w:pStyle w:val="Sidefod"/>
      <w:pBdr>
        <w:bottom w:val="single" w:sz="6" w:space="1" w:color="auto"/>
      </w:pBdr>
      <w:tabs>
        <w:tab w:val="clear" w:pos="4819"/>
        <w:tab w:val="left" w:pos="8647"/>
      </w:tabs>
      <w:rPr>
        <w:i/>
        <w:snapToGrid w:val="0"/>
        <w:sz w:val="18"/>
      </w:rPr>
    </w:pPr>
  </w:p>
  <w:p w14:paraId="13C3CB8A" w14:textId="77777777" w:rsidR="004A62CC" w:rsidRDefault="004A62CC">
    <w:pPr>
      <w:pStyle w:val="Sidefod"/>
      <w:tabs>
        <w:tab w:val="clear" w:pos="4819"/>
        <w:tab w:val="left" w:pos="8647"/>
      </w:tabs>
      <w:rPr>
        <w:i/>
        <w:snapToGrid w:val="0"/>
        <w:sz w:val="18"/>
      </w:rPr>
    </w:pPr>
  </w:p>
  <w:p w14:paraId="59643882" w14:textId="7E810CA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967A9">
      <w:rPr>
        <w:i/>
        <w:noProof/>
        <w:snapToGrid w:val="0"/>
        <w:sz w:val="18"/>
      </w:rPr>
      <w:t>Buprelab, injektionsvæske, opløsning 0,3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10C5" w14:textId="77777777" w:rsidR="004A62CC" w:rsidRDefault="004A62CC">
    <w:pPr>
      <w:pStyle w:val="Sidefod"/>
      <w:pBdr>
        <w:bottom w:val="single" w:sz="6" w:space="1" w:color="auto"/>
      </w:pBdr>
      <w:tabs>
        <w:tab w:val="clear" w:pos="4819"/>
        <w:tab w:val="left" w:pos="8647"/>
      </w:tabs>
      <w:rPr>
        <w:i/>
        <w:snapToGrid w:val="0"/>
        <w:sz w:val="18"/>
      </w:rPr>
    </w:pPr>
  </w:p>
  <w:p w14:paraId="24761495" w14:textId="77777777" w:rsidR="004A62CC" w:rsidRDefault="004A62CC">
    <w:pPr>
      <w:pStyle w:val="Sidefod"/>
      <w:tabs>
        <w:tab w:val="clear" w:pos="4819"/>
        <w:tab w:val="left" w:pos="8647"/>
      </w:tabs>
      <w:rPr>
        <w:i/>
        <w:snapToGrid w:val="0"/>
        <w:sz w:val="18"/>
      </w:rPr>
    </w:pPr>
  </w:p>
  <w:p w14:paraId="610068C0" w14:textId="4412422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967A9">
      <w:rPr>
        <w:i/>
        <w:noProof/>
        <w:snapToGrid w:val="0"/>
        <w:sz w:val="18"/>
      </w:rPr>
      <w:t>Buprelab, injektionsvæske, opløsning 0,3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73C1A" w14:textId="77777777" w:rsidR="00B6177A" w:rsidRDefault="00B6177A">
      <w:r>
        <w:separator/>
      </w:r>
    </w:p>
  </w:footnote>
  <w:footnote w:type="continuationSeparator" w:id="0">
    <w:p w14:paraId="3ADE8894" w14:textId="77777777" w:rsidR="00B6177A" w:rsidRDefault="00B6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43D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467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397"/>
    <w:multiLevelType w:val="hybridMultilevel"/>
    <w:tmpl w:val="334C36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F1C5ECD"/>
    <w:multiLevelType w:val="hybridMultilevel"/>
    <w:tmpl w:val="B6F6AB96"/>
    <w:lvl w:ilvl="0" w:tplc="286C322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E8066F3"/>
    <w:multiLevelType w:val="hybridMultilevel"/>
    <w:tmpl w:val="334C3666"/>
    <w:lvl w:ilvl="0" w:tplc="DE76CE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7A"/>
    <w:rsid w:val="000241E8"/>
    <w:rsid w:val="0003527F"/>
    <w:rsid w:val="0004390D"/>
    <w:rsid w:val="0005355A"/>
    <w:rsid w:val="00065C7D"/>
    <w:rsid w:val="00092AFF"/>
    <w:rsid w:val="000B102C"/>
    <w:rsid w:val="000C6CD4"/>
    <w:rsid w:val="000D2F9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2968"/>
    <w:rsid w:val="002E304C"/>
    <w:rsid w:val="002E7439"/>
    <w:rsid w:val="002F3591"/>
    <w:rsid w:val="002F3A86"/>
    <w:rsid w:val="00322BDE"/>
    <w:rsid w:val="00340679"/>
    <w:rsid w:val="00345F5D"/>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967A9"/>
    <w:rsid w:val="007A684C"/>
    <w:rsid w:val="007C688A"/>
    <w:rsid w:val="007E2A00"/>
    <w:rsid w:val="008010F2"/>
    <w:rsid w:val="00805902"/>
    <w:rsid w:val="00813E75"/>
    <w:rsid w:val="0081533D"/>
    <w:rsid w:val="008203A8"/>
    <w:rsid w:val="008509BB"/>
    <w:rsid w:val="00851D7F"/>
    <w:rsid w:val="008803C5"/>
    <w:rsid w:val="008C606E"/>
    <w:rsid w:val="008E4866"/>
    <w:rsid w:val="009202AE"/>
    <w:rsid w:val="00942FB8"/>
    <w:rsid w:val="00960F5F"/>
    <w:rsid w:val="00967486"/>
    <w:rsid w:val="00973FF3"/>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6177A"/>
    <w:rsid w:val="00B764E3"/>
    <w:rsid w:val="00B85456"/>
    <w:rsid w:val="00B87267"/>
    <w:rsid w:val="00B93A25"/>
    <w:rsid w:val="00BC634B"/>
    <w:rsid w:val="00BF2AE0"/>
    <w:rsid w:val="00C119AA"/>
    <w:rsid w:val="00C41394"/>
    <w:rsid w:val="00C479BF"/>
    <w:rsid w:val="00C66C59"/>
    <w:rsid w:val="00C838AB"/>
    <w:rsid w:val="00C83AA2"/>
    <w:rsid w:val="00CE3A44"/>
    <w:rsid w:val="00CE3F86"/>
    <w:rsid w:val="00CF75B4"/>
    <w:rsid w:val="00D01A39"/>
    <w:rsid w:val="00D10EE1"/>
    <w:rsid w:val="00D14DBC"/>
    <w:rsid w:val="00D87E2B"/>
    <w:rsid w:val="00D910BA"/>
    <w:rsid w:val="00D96D04"/>
    <w:rsid w:val="00DD6D71"/>
    <w:rsid w:val="00DF32BE"/>
    <w:rsid w:val="00E14F0A"/>
    <w:rsid w:val="00E321D6"/>
    <w:rsid w:val="00E323FB"/>
    <w:rsid w:val="00E61E78"/>
    <w:rsid w:val="00E80E3D"/>
    <w:rsid w:val="00E84DC6"/>
    <w:rsid w:val="00EB5778"/>
    <w:rsid w:val="00EE14EA"/>
    <w:rsid w:val="00EE5253"/>
    <w:rsid w:val="00EE5390"/>
    <w:rsid w:val="00EF3C59"/>
    <w:rsid w:val="00F15176"/>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75678"/>
  <w15:chartTrackingRefBased/>
  <w15:docId w15:val="{71CC03BD-991E-4ABF-B298-6A1FC4A7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EE5390"/>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635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06120773">
      <w:bodyDiv w:val="1"/>
      <w:marLeft w:val="0"/>
      <w:marRight w:val="0"/>
      <w:marTop w:val="0"/>
      <w:marBottom w:val="0"/>
      <w:divBdr>
        <w:top w:val="none" w:sz="0" w:space="0" w:color="auto"/>
        <w:left w:val="none" w:sz="0" w:space="0" w:color="auto"/>
        <w:bottom w:val="none" w:sz="0" w:space="0" w:color="auto"/>
        <w:right w:val="none" w:sz="0" w:space="0" w:color="auto"/>
      </w:divBdr>
    </w:div>
    <w:div w:id="132257030">
      <w:bodyDiv w:val="1"/>
      <w:marLeft w:val="0"/>
      <w:marRight w:val="0"/>
      <w:marTop w:val="0"/>
      <w:marBottom w:val="0"/>
      <w:divBdr>
        <w:top w:val="none" w:sz="0" w:space="0" w:color="auto"/>
        <w:left w:val="none" w:sz="0" w:space="0" w:color="auto"/>
        <w:bottom w:val="none" w:sz="0" w:space="0" w:color="auto"/>
        <w:right w:val="none" w:sz="0" w:space="0" w:color="auto"/>
      </w:divBdr>
    </w:div>
    <w:div w:id="139537667">
      <w:bodyDiv w:val="1"/>
      <w:marLeft w:val="0"/>
      <w:marRight w:val="0"/>
      <w:marTop w:val="0"/>
      <w:marBottom w:val="0"/>
      <w:divBdr>
        <w:top w:val="none" w:sz="0" w:space="0" w:color="auto"/>
        <w:left w:val="none" w:sz="0" w:space="0" w:color="auto"/>
        <w:bottom w:val="none" w:sz="0" w:space="0" w:color="auto"/>
        <w:right w:val="none" w:sz="0" w:space="0" w:color="auto"/>
      </w:divBdr>
    </w:div>
    <w:div w:id="143207990">
      <w:bodyDiv w:val="1"/>
      <w:marLeft w:val="0"/>
      <w:marRight w:val="0"/>
      <w:marTop w:val="0"/>
      <w:marBottom w:val="0"/>
      <w:divBdr>
        <w:top w:val="none" w:sz="0" w:space="0" w:color="auto"/>
        <w:left w:val="none" w:sz="0" w:space="0" w:color="auto"/>
        <w:bottom w:val="none" w:sz="0" w:space="0" w:color="auto"/>
        <w:right w:val="none" w:sz="0" w:space="0" w:color="auto"/>
      </w:divBdr>
    </w:div>
    <w:div w:id="15684633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1359254">
      <w:bodyDiv w:val="1"/>
      <w:marLeft w:val="0"/>
      <w:marRight w:val="0"/>
      <w:marTop w:val="0"/>
      <w:marBottom w:val="0"/>
      <w:divBdr>
        <w:top w:val="none" w:sz="0" w:space="0" w:color="auto"/>
        <w:left w:val="none" w:sz="0" w:space="0" w:color="auto"/>
        <w:bottom w:val="none" w:sz="0" w:space="0" w:color="auto"/>
        <w:right w:val="none" w:sz="0" w:space="0" w:color="auto"/>
      </w:divBdr>
    </w:div>
    <w:div w:id="222107681">
      <w:bodyDiv w:val="1"/>
      <w:marLeft w:val="0"/>
      <w:marRight w:val="0"/>
      <w:marTop w:val="0"/>
      <w:marBottom w:val="0"/>
      <w:divBdr>
        <w:top w:val="none" w:sz="0" w:space="0" w:color="auto"/>
        <w:left w:val="none" w:sz="0" w:space="0" w:color="auto"/>
        <w:bottom w:val="none" w:sz="0" w:space="0" w:color="auto"/>
        <w:right w:val="none" w:sz="0" w:space="0" w:color="auto"/>
      </w:divBdr>
    </w:div>
    <w:div w:id="236521911">
      <w:bodyDiv w:val="1"/>
      <w:marLeft w:val="0"/>
      <w:marRight w:val="0"/>
      <w:marTop w:val="0"/>
      <w:marBottom w:val="0"/>
      <w:divBdr>
        <w:top w:val="none" w:sz="0" w:space="0" w:color="auto"/>
        <w:left w:val="none" w:sz="0" w:space="0" w:color="auto"/>
        <w:bottom w:val="none" w:sz="0" w:space="0" w:color="auto"/>
        <w:right w:val="none" w:sz="0" w:space="0" w:color="auto"/>
      </w:divBdr>
    </w:div>
    <w:div w:id="302585053">
      <w:bodyDiv w:val="1"/>
      <w:marLeft w:val="0"/>
      <w:marRight w:val="0"/>
      <w:marTop w:val="0"/>
      <w:marBottom w:val="0"/>
      <w:divBdr>
        <w:top w:val="none" w:sz="0" w:space="0" w:color="auto"/>
        <w:left w:val="none" w:sz="0" w:space="0" w:color="auto"/>
        <w:bottom w:val="none" w:sz="0" w:space="0" w:color="auto"/>
        <w:right w:val="none" w:sz="0" w:space="0" w:color="auto"/>
      </w:divBdr>
    </w:div>
    <w:div w:id="307591107">
      <w:bodyDiv w:val="1"/>
      <w:marLeft w:val="0"/>
      <w:marRight w:val="0"/>
      <w:marTop w:val="0"/>
      <w:marBottom w:val="0"/>
      <w:divBdr>
        <w:top w:val="none" w:sz="0" w:space="0" w:color="auto"/>
        <w:left w:val="none" w:sz="0" w:space="0" w:color="auto"/>
        <w:bottom w:val="none" w:sz="0" w:space="0" w:color="auto"/>
        <w:right w:val="none" w:sz="0" w:space="0" w:color="auto"/>
      </w:divBdr>
    </w:div>
    <w:div w:id="307591355">
      <w:bodyDiv w:val="1"/>
      <w:marLeft w:val="0"/>
      <w:marRight w:val="0"/>
      <w:marTop w:val="0"/>
      <w:marBottom w:val="0"/>
      <w:divBdr>
        <w:top w:val="none" w:sz="0" w:space="0" w:color="auto"/>
        <w:left w:val="none" w:sz="0" w:space="0" w:color="auto"/>
        <w:bottom w:val="none" w:sz="0" w:space="0" w:color="auto"/>
        <w:right w:val="none" w:sz="0" w:space="0" w:color="auto"/>
      </w:divBdr>
    </w:div>
    <w:div w:id="372077117">
      <w:bodyDiv w:val="1"/>
      <w:marLeft w:val="0"/>
      <w:marRight w:val="0"/>
      <w:marTop w:val="0"/>
      <w:marBottom w:val="0"/>
      <w:divBdr>
        <w:top w:val="none" w:sz="0" w:space="0" w:color="auto"/>
        <w:left w:val="none" w:sz="0" w:space="0" w:color="auto"/>
        <w:bottom w:val="none" w:sz="0" w:space="0" w:color="auto"/>
        <w:right w:val="none" w:sz="0" w:space="0" w:color="auto"/>
      </w:divBdr>
    </w:div>
    <w:div w:id="46500395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7572461">
      <w:bodyDiv w:val="1"/>
      <w:marLeft w:val="0"/>
      <w:marRight w:val="0"/>
      <w:marTop w:val="0"/>
      <w:marBottom w:val="0"/>
      <w:divBdr>
        <w:top w:val="none" w:sz="0" w:space="0" w:color="auto"/>
        <w:left w:val="none" w:sz="0" w:space="0" w:color="auto"/>
        <w:bottom w:val="none" w:sz="0" w:space="0" w:color="auto"/>
        <w:right w:val="none" w:sz="0" w:space="0" w:color="auto"/>
      </w:divBdr>
    </w:div>
    <w:div w:id="550849153">
      <w:bodyDiv w:val="1"/>
      <w:marLeft w:val="0"/>
      <w:marRight w:val="0"/>
      <w:marTop w:val="0"/>
      <w:marBottom w:val="0"/>
      <w:divBdr>
        <w:top w:val="none" w:sz="0" w:space="0" w:color="auto"/>
        <w:left w:val="none" w:sz="0" w:space="0" w:color="auto"/>
        <w:bottom w:val="none" w:sz="0" w:space="0" w:color="auto"/>
        <w:right w:val="none" w:sz="0" w:space="0" w:color="auto"/>
      </w:divBdr>
    </w:div>
    <w:div w:id="592789092">
      <w:bodyDiv w:val="1"/>
      <w:marLeft w:val="0"/>
      <w:marRight w:val="0"/>
      <w:marTop w:val="0"/>
      <w:marBottom w:val="0"/>
      <w:divBdr>
        <w:top w:val="none" w:sz="0" w:space="0" w:color="auto"/>
        <w:left w:val="none" w:sz="0" w:space="0" w:color="auto"/>
        <w:bottom w:val="none" w:sz="0" w:space="0" w:color="auto"/>
        <w:right w:val="none" w:sz="0" w:space="0" w:color="auto"/>
      </w:divBdr>
    </w:div>
    <w:div w:id="60708350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9647600">
      <w:bodyDiv w:val="1"/>
      <w:marLeft w:val="0"/>
      <w:marRight w:val="0"/>
      <w:marTop w:val="0"/>
      <w:marBottom w:val="0"/>
      <w:divBdr>
        <w:top w:val="none" w:sz="0" w:space="0" w:color="auto"/>
        <w:left w:val="none" w:sz="0" w:space="0" w:color="auto"/>
        <w:bottom w:val="none" w:sz="0" w:space="0" w:color="auto"/>
        <w:right w:val="none" w:sz="0" w:space="0" w:color="auto"/>
      </w:divBdr>
    </w:div>
    <w:div w:id="704597998">
      <w:bodyDiv w:val="1"/>
      <w:marLeft w:val="0"/>
      <w:marRight w:val="0"/>
      <w:marTop w:val="0"/>
      <w:marBottom w:val="0"/>
      <w:divBdr>
        <w:top w:val="none" w:sz="0" w:space="0" w:color="auto"/>
        <w:left w:val="none" w:sz="0" w:space="0" w:color="auto"/>
        <w:bottom w:val="none" w:sz="0" w:space="0" w:color="auto"/>
        <w:right w:val="none" w:sz="0" w:space="0" w:color="auto"/>
      </w:divBdr>
    </w:div>
    <w:div w:id="731929210">
      <w:bodyDiv w:val="1"/>
      <w:marLeft w:val="0"/>
      <w:marRight w:val="0"/>
      <w:marTop w:val="0"/>
      <w:marBottom w:val="0"/>
      <w:divBdr>
        <w:top w:val="none" w:sz="0" w:space="0" w:color="auto"/>
        <w:left w:val="none" w:sz="0" w:space="0" w:color="auto"/>
        <w:bottom w:val="none" w:sz="0" w:space="0" w:color="auto"/>
        <w:right w:val="none" w:sz="0" w:space="0" w:color="auto"/>
      </w:divBdr>
    </w:div>
    <w:div w:id="77713793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69219883">
      <w:bodyDiv w:val="1"/>
      <w:marLeft w:val="0"/>
      <w:marRight w:val="0"/>
      <w:marTop w:val="0"/>
      <w:marBottom w:val="0"/>
      <w:divBdr>
        <w:top w:val="none" w:sz="0" w:space="0" w:color="auto"/>
        <w:left w:val="none" w:sz="0" w:space="0" w:color="auto"/>
        <w:bottom w:val="none" w:sz="0" w:space="0" w:color="auto"/>
        <w:right w:val="none" w:sz="0" w:space="0" w:color="auto"/>
      </w:divBdr>
    </w:div>
    <w:div w:id="914243728">
      <w:bodyDiv w:val="1"/>
      <w:marLeft w:val="0"/>
      <w:marRight w:val="0"/>
      <w:marTop w:val="0"/>
      <w:marBottom w:val="0"/>
      <w:divBdr>
        <w:top w:val="none" w:sz="0" w:space="0" w:color="auto"/>
        <w:left w:val="none" w:sz="0" w:space="0" w:color="auto"/>
        <w:bottom w:val="none" w:sz="0" w:space="0" w:color="auto"/>
        <w:right w:val="none" w:sz="0" w:space="0" w:color="auto"/>
      </w:divBdr>
    </w:div>
    <w:div w:id="933168115">
      <w:bodyDiv w:val="1"/>
      <w:marLeft w:val="0"/>
      <w:marRight w:val="0"/>
      <w:marTop w:val="0"/>
      <w:marBottom w:val="0"/>
      <w:divBdr>
        <w:top w:val="none" w:sz="0" w:space="0" w:color="auto"/>
        <w:left w:val="none" w:sz="0" w:space="0" w:color="auto"/>
        <w:bottom w:val="none" w:sz="0" w:space="0" w:color="auto"/>
        <w:right w:val="none" w:sz="0" w:space="0" w:color="auto"/>
      </w:divBdr>
    </w:div>
    <w:div w:id="1013268912">
      <w:bodyDiv w:val="1"/>
      <w:marLeft w:val="0"/>
      <w:marRight w:val="0"/>
      <w:marTop w:val="0"/>
      <w:marBottom w:val="0"/>
      <w:divBdr>
        <w:top w:val="none" w:sz="0" w:space="0" w:color="auto"/>
        <w:left w:val="none" w:sz="0" w:space="0" w:color="auto"/>
        <w:bottom w:val="none" w:sz="0" w:space="0" w:color="auto"/>
        <w:right w:val="none" w:sz="0" w:space="0" w:color="auto"/>
      </w:divBdr>
    </w:div>
    <w:div w:id="104309241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5210340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2369371">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3960548">
      <w:bodyDiv w:val="1"/>
      <w:marLeft w:val="0"/>
      <w:marRight w:val="0"/>
      <w:marTop w:val="0"/>
      <w:marBottom w:val="0"/>
      <w:divBdr>
        <w:top w:val="none" w:sz="0" w:space="0" w:color="auto"/>
        <w:left w:val="none" w:sz="0" w:space="0" w:color="auto"/>
        <w:bottom w:val="none" w:sz="0" w:space="0" w:color="auto"/>
        <w:right w:val="none" w:sz="0" w:space="0" w:color="auto"/>
      </w:divBdr>
    </w:div>
    <w:div w:id="145393550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99838745">
      <w:bodyDiv w:val="1"/>
      <w:marLeft w:val="0"/>
      <w:marRight w:val="0"/>
      <w:marTop w:val="0"/>
      <w:marBottom w:val="0"/>
      <w:divBdr>
        <w:top w:val="none" w:sz="0" w:space="0" w:color="auto"/>
        <w:left w:val="none" w:sz="0" w:space="0" w:color="auto"/>
        <w:bottom w:val="none" w:sz="0" w:space="0" w:color="auto"/>
        <w:right w:val="none" w:sz="0" w:space="0" w:color="auto"/>
      </w:divBdr>
    </w:div>
    <w:div w:id="1888175112">
      <w:bodyDiv w:val="1"/>
      <w:marLeft w:val="0"/>
      <w:marRight w:val="0"/>
      <w:marTop w:val="0"/>
      <w:marBottom w:val="0"/>
      <w:divBdr>
        <w:top w:val="none" w:sz="0" w:space="0" w:color="auto"/>
        <w:left w:val="none" w:sz="0" w:space="0" w:color="auto"/>
        <w:bottom w:val="none" w:sz="0" w:space="0" w:color="auto"/>
        <w:right w:val="none" w:sz="0" w:space="0" w:color="auto"/>
      </w:divBdr>
    </w:div>
    <w:div w:id="1902476826">
      <w:bodyDiv w:val="1"/>
      <w:marLeft w:val="0"/>
      <w:marRight w:val="0"/>
      <w:marTop w:val="0"/>
      <w:marBottom w:val="0"/>
      <w:divBdr>
        <w:top w:val="none" w:sz="0" w:space="0" w:color="auto"/>
        <w:left w:val="none" w:sz="0" w:space="0" w:color="auto"/>
        <w:bottom w:val="none" w:sz="0" w:space="0" w:color="auto"/>
        <w:right w:val="none" w:sz="0" w:space="0" w:color="auto"/>
      </w:divBdr>
    </w:div>
    <w:div w:id="1914194557">
      <w:bodyDiv w:val="1"/>
      <w:marLeft w:val="0"/>
      <w:marRight w:val="0"/>
      <w:marTop w:val="0"/>
      <w:marBottom w:val="0"/>
      <w:divBdr>
        <w:top w:val="none" w:sz="0" w:space="0" w:color="auto"/>
        <w:left w:val="none" w:sz="0" w:space="0" w:color="auto"/>
        <w:bottom w:val="none" w:sz="0" w:space="0" w:color="auto"/>
        <w:right w:val="none" w:sz="0" w:space="0" w:color="auto"/>
      </w:divBdr>
    </w:div>
    <w:div w:id="1953972575">
      <w:bodyDiv w:val="1"/>
      <w:marLeft w:val="0"/>
      <w:marRight w:val="0"/>
      <w:marTop w:val="0"/>
      <w:marBottom w:val="0"/>
      <w:divBdr>
        <w:top w:val="none" w:sz="0" w:space="0" w:color="auto"/>
        <w:left w:val="none" w:sz="0" w:space="0" w:color="auto"/>
        <w:bottom w:val="none" w:sz="0" w:space="0" w:color="auto"/>
        <w:right w:val="none" w:sz="0" w:space="0" w:color="auto"/>
      </w:divBdr>
    </w:div>
    <w:div w:id="1992439321">
      <w:bodyDiv w:val="1"/>
      <w:marLeft w:val="0"/>
      <w:marRight w:val="0"/>
      <w:marTop w:val="0"/>
      <w:marBottom w:val="0"/>
      <w:divBdr>
        <w:top w:val="none" w:sz="0" w:space="0" w:color="auto"/>
        <w:left w:val="none" w:sz="0" w:space="0" w:color="auto"/>
        <w:bottom w:val="none" w:sz="0" w:space="0" w:color="auto"/>
        <w:right w:val="none" w:sz="0" w:space="0" w:color="auto"/>
      </w:divBdr>
    </w:div>
    <w:div w:id="2104647295">
      <w:bodyDiv w:val="1"/>
      <w:marLeft w:val="0"/>
      <w:marRight w:val="0"/>
      <w:marTop w:val="0"/>
      <w:marBottom w:val="0"/>
      <w:divBdr>
        <w:top w:val="none" w:sz="0" w:space="0" w:color="auto"/>
        <w:left w:val="none" w:sz="0" w:space="0" w:color="auto"/>
        <w:bottom w:val="none" w:sz="0" w:space="0" w:color="auto"/>
        <w:right w:val="none" w:sz="0" w:space="0" w:color="auto"/>
      </w:divBdr>
    </w:div>
    <w:div w:id="2135709109">
      <w:bodyDiv w:val="1"/>
      <w:marLeft w:val="0"/>
      <w:marRight w:val="0"/>
      <w:marTop w:val="0"/>
      <w:marBottom w:val="0"/>
      <w:divBdr>
        <w:top w:val="none" w:sz="0" w:space="0" w:color="auto"/>
        <w:left w:val="none" w:sz="0" w:space="0" w:color="auto"/>
        <w:bottom w:val="none" w:sz="0" w:space="0" w:color="auto"/>
        <w:right w:val="none" w:sz="0" w:space="0" w:color="auto"/>
      </w:divBdr>
    </w:div>
    <w:div w:id="213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74</TotalTime>
  <Pages>8</Pages>
  <Words>2129</Words>
  <Characters>14361</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2024072795 mt</dc:description>
  <cp:lastModifiedBy>Hanne Thy Iversen</cp:lastModifiedBy>
  <cp:revision>10</cp:revision>
  <cp:lastPrinted>2022-05-18T14:03:00Z</cp:lastPrinted>
  <dcterms:created xsi:type="dcterms:W3CDTF">2024-12-12T12:35:00Z</dcterms:created>
  <dcterms:modified xsi:type="dcterms:W3CDTF">2024-12-16T10:08:00Z</dcterms:modified>
</cp:coreProperties>
</file>