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644F5" w:rsidRPr="00406EE7" w:rsidRDefault="0070655B" w:rsidP="002644F5">
      <w:pPr>
        <w:tabs>
          <w:tab w:val="left" w:pos="6804"/>
        </w:tabs>
        <w:rPr>
          <w:b/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5014D4">
        <w:fldChar w:fldCharType="begin"/>
      </w:r>
      <w:r w:rsidR="005014D4">
        <w:instrText xml:space="preserve"> </w:instrText>
      </w:r>
      <w:r w:rsidR="005014D4">
        <w:instrText>INCLUDEPICTURE  "cid:image004.jpg@01D117E9.E5553340" \* MERGEFORMATINET</w:instrText>
      </w:r>
      <w:r w:rsidR="005014D4">
        <w:instrText xml:space="preserve"> </w:instrText>
      </w:r>
      <w:r w:rsidR="005014D4">
        <w:fldChar w:fldCharType="separate"/>
      </w:r>
      <w:r w:rsidR="00302A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5014D4">
        <w:fldChar w:fldCharType="end"/>
      </w:r>
      <w:r>
        <w:fldChar w:fldCharType="end"/>
      </w:r>
    </w:p>
    <w:p w:rsidR="002644F5" w:rsidRPr="00406EE7" w:rsidRDefault="002644F5" w:rsidP="002644F5">
      <w:pPr>
        <w:tabs>
          <w:tab w:val="left" w:pos="6804"/>
        </w:tabs>
        <w:rPr>
          <w:b/>
          <w:sz w:val="24"/>
          <w:szCs w:val="24"/>
        </w:rPr>
      </w:pPr>
    </w:p>
    <w:p w:rsidR="002644F5" w:rsidRPr="00406EE7" w:rsidRDefault="005014D4" w:rsidP="002644F5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0655B">
        <w:rPr>
          <w:b/>
          <w:sz w:val="24"/>
          <w:szCs w:val="24"/>
        </w:rPr>
        <w:t>. april 202</w:t>
      </w:r>
      <w:r>
        <w:rPr>
          <w:b/>
          <w:sz w:val="24"/>
          <w:szCs w:val="24"/>
        </w:rPr>
        <w:t>2</w:t>
      </w:r>
    </w:p>
    <w:p w:rsidR="002644F5" w:rsidRPr="00406EE7" w:rsidRDefault="002644F5" w:rsidP="002644F5">
      <w:pPr>
        <w:tabs>
          <w:tab w:val="left" w:pos="8222"/>
        </w:tabs>
        <w:rPr>
          <w:sz w:val="24"/>
          <w:szCs w:val="24"/>
        </w:rPr>
      </w:pPr>
    </w:p>
    <w:p w:rsidR="002644F5" w:rsidRPr="00406EE7" w:rsidRDefault="002644F5" w:rsidP="002644F5">
      <w:pPr>
        <w:tabs>
          <w:tab w:val="left" w:pos="8222"/>
        </w:tabs>
        <w:rPr>
          <w:sz w:val="24"/>
          <w:szCs w:val="24"/>
        </w:rPr>
      </w:pPr>
    </w:p>
    <w:p w:rsidR="002644F5" w:rsidRPr="00406EE7" w:rsidRDefault="002644F5" w:rsidP="002644F5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2644F5" w:rsidRPr="00406EE7" w:rsidRDefault="002644F5" w:rsidP="002644F5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644F5" w:rsidRPr="00406EE7" w:rsidRDefault="002644F5" w:rsidP="002644F5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2644F5" w:rsidRPr="00406EE7" w:rsidRDefault="002644F5" w:rsidP="002644F5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644F5" w:rsidRPr="00406EE7" w:rsidRDefault="002644F5" w:rsidP="002644F5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Canergy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tabletter</w:t>
      </w:r>
    </w:p>
    <w:p w:rsidR="002644F5" w:rsidRPr="00406EE7" w:rsidRDefault="002644F5" w:rsidP="002644F5">
      <w:pPr>
        <w:tabs>
          <w:tab w:val="left" w:pos="8222"/>
        </w:tabs>
        <w:jc w:val="both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jc w:val="both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0.</w:t>
      </w:r>
      <w:r w:rsidRPr="00F64D8A">
        <w:rPr>
          <w:b/>
          <w:sz w:val="24"/>
          <w:szCs w:val="24"/>
        </w:rPr>
        <w:tab/>
        <w:t>D.SP.NR.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29273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1.</w:t>
      </w:r>
      <w:r w:rsidRPr="00F64D8A">
        <w:rPr>
          <w:b/>
          <w:sz w:val="24"/>
          <w:szCs w:val="24"/>
        </w:rPr>
        <w:tab/>
        <w:t>VETERINÆRLÆGEMIDLETS NAVN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proofErr w:type="spellStart"/>
      <w:r w:rsidRPr="00F64D8A">
        <w:rPr>
          <w:sz w:val="24"/>
          <w:szCs w:val="24"/>
        </w:rPr>
        <w:t>Canergy</w:t>
      </w:r>
      <w:proofErr w:type="spellEnd"/>
      <w:r w:rsidRPr="00F64D8A">
        <w:rPr>
          <w:sz w:val="24"/>
          <w:szCs w:val="24"/>
        </w:rPr>
        <w:t xml:space="preserve"> </w:t>
      </w:r>
      <w:proofErr w:type="spellStart"/>
      <w:r w:rsidRPr="00F64D8A">
        <w:rPr>
          <w:sz w:val="24"/>
          <w:szCs w:val="24"/>
        </w:rPr>
        <w:t>Vet</w:t>
      </w:r>
      <w:proofErr w:type="spellEnd"/>
      <w:r w:rsidRPr="00F64D8A">
        <w:rPr>
          <w:sz w:val="24"/>
          <w:szCs w:val="24"/>
        </w:rPr>
        <w:t>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2.</w:t>
      </w:r>
      <w:r w:rsidRPr="00F64D8A">
        <w:rPr>
          <w:b/>
          <w:sz w:val="24"/>
          <w:szCs w:val="24"/>
        </w:rPr>
        <w:tab/>
        <w:t>KVALITATIV OG KVANTITATIV SAMMENSÆTNING</w:t>
      </w:r>
    </w:p>
    <w:p w:rsidR="002644F5" w:rsidRPr="00F64D8A" w:rsidRDefault="002644F5" w:rsidP="002644F5">
      <w:pPr>
        <w:ind w:left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 xml:space="preserve">Hver tablet indeholder: </w:t>
      </w:r>
    </w:p>
    <w:p w:rsidR="002644F5" w:rsidRPr="00F64D8A" w:rsidRDefault="002644F5" w:rsidP="002644F5">
      <w:pPr>
        <w:ind w:left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Aktivt stof:</w:t>
      </w:r>
    </w:p>
    <w:p w:rsidR="002644F5" w:rsidRPr="00F64D8A" w:rsidRDefault="002644F5" w:rsidP="002644F5">
      <w:pPr>
        <w:ind w:left="851"/>
        <w:rPr>
          <w:iCs/>
          <w:sz w:val="24"/>
          <w:szCs w:val="24"/>
        </w:rPr>
      </w:pPr>
      <w:proofErr w:type="spellStart"/>
      <w:r w:rsidRPr="00F64D8A">
        <w:rPr>
          <w:sz w:val="24"/>
          <w:szCs w:val="24"/>
        </w:rPr>
        <w:t>Propentofyllin</w:t>
      </w:r>
      <w:proofErr w:type="spellEnd"/>
      <w:r w:rsidRPr="00F64D8A">
        <w:rPr>
          <w:sz w:val="24"/>
          <w:szCs w:val="24"/>
        </w:rPr>
        <w:tab/>
      </w:r>
      <w:r w:rsidRPr="00F64D8A">
        <w:rPr>
          <w:sz w:val="24"/>
          <w:szCs w:val="24"/>
        </w:rPr>
        <w:tab/>
        <w:t>100 mg</w:t>
      </w:r>
    </w:p>
    <w:p w:rsidR="002644F5" w:rsidRDefault="002644F5" w:rsidP="002644F5">
      <w:pPr>
        <w:ind w:left="851"/>
        <w:rPr>
          <w:b/>
          <w:sz w:val="24"/>
          <w:szCs w:val="24"/>
        </w:rPr>
      </w:pPr>
    </w:p>
    <w:p w:rsidR="002644F5" w:rsidRPr="00F64D8A" w:rsidRDefault="002644F5" w:rsidP="002644F5">
      <w:pPr>
        <w:ind w:left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Hjælpestoffer: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Alle hjælpestoffer er anført under pkt. 6.1.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3.</w:t>
      </w:r>
      <w:r w:rsidRPr="00F64D8A">
        <w:rPr>
          <w:b/>
          <w:sz w:val="24"/>
          <w:szCs w:val="24"/>
        </w:rPr>
        <w:tab/>
        <w:t>LÆGEMIDDELFORM</w:t>
      </w:r>
    </w:p>
    <w:p w:rsidR="002644F5" w:rsidRPr="00F64D8A" w:rsidRDefault="002644F5" w:rsidP="002644F5">
      <w:pPr>
        <w:ind w:left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>Tablet</w:t>
      </w:r>
      <w:r>
        <w:rPr>
          <w:sz w:val="24"/>
          <w:szCs w:val="24"/>
        </w:rPr>
        <w:t>ter</w:t>
      </w:r>
      <w:r w:rsidRPr="00F64D8A">
        <w:rPr>
          <w:sz w:val="24"/>
          <w:szCs w:val="24"/>
        </w:rPr>
        <w:t>.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 xml:space="preserve">Lysebrun med brune prikker, rund og konveks tablet med smagsstof med en </w:t>
      </w:r>
      <w:proofErr w:type="spellStart"/>
      <w:r w:rsidRPr="00F64D8A">
        <w:rPr>
          <w:sz w:val="24"/>
          <w:szCs w:val="24"/>
        </w:rPr>
        <w:t>krydsformet</w:t>
      </w:r>
      <w:proofErr w:type="spellEnd"/>
      <w:r w:rsidRPr="00F64D8A">
        <w:rPr>
          <w:sz w:val="24"/>
          <w:szCs w:val="24"/>
        </w:rPr>
        <w:t xml:space="preserve"> delekærv på den ene side. 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Tabletterne kan deles i to eller fire lige store dele.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4.</w:t>
      </w:r>
      <w:r w:rsidRPr="00F64D8A">
        <w:rPr>
          <w:b/>
          <w:sz w:val="24"/>
          <w:szCs w:val="24"/>
        </w:rPr>
        <w:tab/>
        <w:t>KLINISKE OPLYSNINGER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  <w:u w:val="single"/>
        </w:rPr>
      </w:pPr>
      <w:r w:rsidRPr="00F64D8A">
        <w:rPr>
          <w:b/>
          <w:sz w:val="24"/>
          <w:szCs w:val="24"/>
        </w:rPr>
        <w:t>4.1</w:t>
      </w:r>
      <w:r w:rsidRPr="00F64D8A">
        <w:rPr>
          <w:b/>
          <w:sz w:val="24"/>
          <w:szCs w:val="24"/>
        </w:rPr>
        <w:tab/>
        <w:t>Dyrearter</w:t>
      </w:r>
    </w:p>
    <w:p w:rsidR="002644F5" w:rsidRPr="00F64D8A" w:rsidRDefault="002644F5" w:rsidP="002644F5">
      <w:pPr>
        <w:ind w:left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>Hunde.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64D8A">
        <w:rPr>
          <w:b/>
          <w:szCs w:val="24"/>
        </w:rPr>
        <w:t>4.2</w:t>
      </w:r>
      <w:r w:rsidRPr="00F64D8A">
        <w:rPr>
          <w:b/>
          <w:szCs w:val="24"/>
        </w:rPr>
        <w:tab/>
        <w:t>Terapeutiske indikationer</w:t>
      </w:r>
    </w:p>
    <w:p w:rsidR="002644F5" w:rsidRPr="00F64D8A" w:rsidRDefault="002644F5" w:rsidP="002644F5">
      <w:pPr>
        <w:ind w:left="851"/>
        <w:rPr>
          <w:b/>
          <w:sz w:val="24"/>
          <w:szCs w:val="24"/>
          <w:lang w:eastAsia="da-DK"/>
        </w:rPr>
      </w:pPr>
      <w:bookmarkStart w:id="1" w:name="OLE_LINK1"/>
      <w:bookmarkStart w:id="2" w:name="OLE_LINK2"/>
      <w:r w:rsidRPr="00F64D8A">
        <w:rPr>
          <w:sz w:val="24"/>
          <w:szCs w:val="24"/>
        </w:rPr>
        <w:t xml:space="preserve">Til at forbedre det perifere og cerebrale </w:t>
      </w:r>
      <w:proofErr w:type="spellStart"/>
      <w:r w:rsidRPr="00F64D8A">
        <w:rPr>
          <w:sz w:val="24"/>
          <w:szCs w:val="24"/>
        </w:rPr>
        <w:t>vaskulære</w:t>
      </w:r>
      <w:proofErr w:type="spellEnd"/>
      <w:r w:rsidRPr="00F64D8A">
        <w:rPr>
          <w:sz w:val="24"/>
          <w:szCs w:val="24"/>
        </w:rPr>
        <w:t xml:space="preserve"> blodomløb. Til forbedring af sløvhed, døsighed og overordnet adfærd hos hunde.</w:t>
      </w:r>
      <w:bookmarkEnd w:id="1"/>
      <w:bookmarkEnd w:id="2"/>
    </w:p>
    <w:p w:rsidR="002644F5" w:rsidRPr="00F64D8A" w:rsidRDefault="002644F5" w:rsidP="002644F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644F5" w:rsidRPr="00F64D8A" w:rsidRDefault="002644F5" w:rsidP="002644F5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64D8A">
        <w:rPr>
          <w:b/>
          <w:szCs w:val="24"/>
        </w:rPr>
        <w:t>4.3</w:t>
      </w:r>
      <w:r w:rsidRPr="00F64D8A">
        <w:rPr>
          <w:b/>
          <w:szCs w:val="24"/>
        </w:rPr>
        <w:tab/>
        <w:t>Kontraindikationer</w:t>
      </w:r>
    </w:p>
    <w:p w:rsidR="0070655B" w:rsidRPr="0070655B" w:rsidRDefault="0070655B" w:rsidP="0070655B">
      <w:pPr>
        <w:ind w:left="851"/>
        <w:rPr>
          <w:sz w:val="24"/>
          <w:szCs w:val="24"/>
        </w:rPr>
      </w:pPr>
      <w:r w:rsidRPr="0070655B">
        <w:rPr>
          <w:sz w:val="24"/>
          <w:szCs w:val="24"/>
        </w:rPr>
        <w:t>Bør ikke anvendes i kendte tilfælde af overfølsomhed over for det aktive stof eller over for et eller flere af hjælpestofferne.</w:t>
      </w:r>
    </w:p>
    <w:p w:rsidR="002644F5" w:rsidRPr="00F64D8A" w:rsidRDefault="0070655B" w:rsidP="0070655B">
      <w:pPr>
        <w:ind w:left="851"/>
        <w:rPr>
          <w:sz w:val="24"/>
          <w:szCs w:val="24"/>
        </w:rPr>
      </w:pPr>
      <w:r w:rsidRPr="0070655B">
        <w:rPr>
          <w:sz w:val="24"/>
          <w:szCs w:val="24"/>
        </w:rPr>
        <w:t>Se også pkt. 4.7.</w:t>
      </w:r>
    </w:p>
    <w:p w:rsidR="002644F5" w:rsidRPr="00F64D8A" w:rsidRDefault="002644F5" w:rsidP="002644F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br w:type="page"/>
      </w: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lastRenderedPageBreak/>
        <w:t>4.4</w:t>
      </w:r>
      <w:r w:rsidRPr="00F64D8A">
        <w:rPr>
          <w:b/>
          <w:sz w:val="24"/>
          <w:szCs w:val="24"/>
        </w:rPr>
        <w:tab/>
        <w:t>Særlige advarsler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>Ingen.</w:t>
      </w:r>
    </w:p>
    <w:p w:rsidR="002644F5" w:rsidRPr="00F64D8A" w:rsidRDefault="002644F5" w:rsidP="002644F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4.5</w:t>
      </w:r>
      <w:r w:rsidRPr="00F64D8A">
        <w:rPr>
          <w:b/>
          <w:sz w:val="24"/>
          <w:szCs w:val="24"/>
        </w:rPr>
        <w:tab/>
        <w:t>Særlige forsigtighedsregler vedrørende brugen</w:t>
      </w: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ab/>
      </w: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ab/>
        <w:t>Særlige forsigtighedsregler for dyret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>Specifikke sygdomme (f.eks. nyresygdom) bør behandles på passende vis.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 xml:space="preserve">Det bør overvejes at rationalisere lægemidler til hunde, der allerede får behandling for </w:t>
      </w:r>
      <w:proofErr w:type="spellStart"/>
      <w:r w:rsidRPr="00F64D8A">
        <w:rPr>
          <w:sz w:val="24"/>
          <w:szCs w:val="24"/>
        </w:rPr>
        <w:t>kongestivt</w:t>
      </w:r>
      <w:proofErr w:type="spellEnd"/>
      <w:r w:rsidRPr="00F64D8A">
        <w:rPr>
          <w:sz w:val="24"/>
          <w:szCs w:val="24"/>
        </w:rPr>
        <w:t xml:space="preserve"> hjertesvigt eller bronkiesygdom.</w:t>
      </w:r>
    </w:p>
    <w:p w:rsidR="002644F5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I tilfælde af nyresvigt skal dosis reduceres.</w:t>
      </w:r>
    </w:p>
    <w:p w:rsidR="0070655B" w:rsidRPr="00F64D8A" w:rsidRDefault="0070655B" w:rsidP="002644F5">
      <w:pPr>
        <w:ind w:left="851"/>
        <w:rPr>
          <w:sz w:val="24"/>
          <w:szCs w:val="24"/>
        </w:rPr>
      </w:pPr>
      <w:r w:rsidRPr="0070655B">
        <w:rPr>
          <w:sz w:val="24"/>
          <w:szCs w:val="24"/>
        </w:rPr>
        <w:t>Tabletterne er med smag. For at undgå tilfælde af indgift ved hændeligt uheld, skal tabletterne opbevares utilgængeligt for dyrene.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sz w:val="24"/>
          <w:szCs w:val="24"/>
        </w:rPr>
        <w:tab/>
      </w:r>
      <w:r w:rsidRPr="00F64D8A">
        <w:rPr>
          <w:b/>
          <w:sz w:val="24"/>
          <w:szCs w:val="24"/>
        </w:rPr>
        <w:t>Særlige forsigtighedsregler for personer, der administrerer lægemidlet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>Der bør udvises forsigtighed for at undgå indgift ved hændeligt uheld.</w:t>
      </w:r>
    </w:p>
    <w:p w:rsidR="002644F5" w:rsidRDefault="002644F5" w:rsidP="002644F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F64D8A">
        <w:rPr>
          <w:sz w:val="24"/>
          <w:szCs w:val="24"/>
        </w:rPr>
        <w:t xml:space="preserve">I tilfælde af indgift </w:t>
      </w:r>
      <w:r>
        <w:rPr>
          <w:sz w:val="24"/>
          <w:szCs w:val="24"/>
        </w:rPr>
        <w:t xml:space="preserve">af tabletterne </w:t>
      </w:r>
      <w:r w:rsidRPr="00F64D8A">
        <w:rPr>
          <w:sz w:val="24"/>
          <w:szCs w:val="24"/>
        </w:rPr>
        <w:t>ved hændeligt uheld</w:t>
      </w:r>
      <w:r>
        <w:rPr>
          <w:sz w:val="24"/>
          <w:szCs w:val="24"/>
        </w:rPr>
        <w:t>,</w:t>
      </w:r>
      <w:r w:rsidRPr="00F64D8A">
        <w:rPr>
          <w:sz w:val="24"/>
          <w:szCs w:val="24"/>
        </w:rPr>
        <w:t xml:space="preserve"> skal der straks søges lægehjælp, og indlægssedlen eller etiketten bør vises til lægen. Vask hænder efter brug.</w:t>
      </w:r>
    </w:p>
    <w:p w:rsidR="0070655B" w:rsidRPr="00F64D8A" w:rsidRDefault="0070655B" w:rsidP="002644F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0655B">
        <w:rPr>
          <w:sz w:val="24"/>
          <w:szCs w:val="24"/>
        </w:rPr>
        <w:t>Alle ubrugte tabletportioner skal returneres til den åbne blister og sættes tilbage i kartonen, så de kan anvendes til den næste administration.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sz w:val="24"/>
          <w:szCs w:val="24"/>
        </w:rPr>
        <w:tab/>
      </w:r>
      <w:r w:rsidRPr="00F64D8A">
        <w:rPr>
          <w:b/>
          <w:sz w:val="24"/>
          <w:szCs w:val="24"/>
        </w:rPr>
        <w:t>Andre forsigtighedsregler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  <w:t>-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4.6</w:t>
      </w:r>
      <w:r w:rsidRPr="00F64D8A">
        <w:rPr>
          <w:b/>
          <w:sz w:val="24"/>
          <w:szCs w:val="24"/>
        </w:rPr>
        <w:tab/>
        <w:t>Bivirkninger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  <w:t>I sjældne tilfælde (mere end 1, men mindre end 10 dyr ud af 10.000 </w:t>
      </w:r>
      <w:r w:rsidR="0070655B" w:rsidRPr="0070655B">
        <w:rPr>
          <w:sz w:val="24"/>
          <w:szCs w:val="24"/>
        </w:rPr>
        <w:t xml:space="preserve">behandlede </w:t>
      </w:r>
      <w:r w:rsidRPr="00F64D8A">
        <w:rPr>
          <w:sz w:val="24"/>
          <w:szCs w:val="24"/>
        </w:rPr>
        <w:t xml:space="preserve">dyr) er der blevet rapporteret allergiske hudreaktioner, opkastning og hjerteforstyrrelser. I disse tilfælde skal behandlingen stoppes. 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4.7</w:t>
      </w:r>
      <w:r w:rsidRPr="00F64D8A">
        <w:rPr>
          <w:b/>
          <w:sz w:val="24"/>
          <w:szCs w:val="24"/>
        </w:rPr>
        <w:tab/>
        <w:t>Drægtighed, diegivning eller æglægning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 xml:space="preserve">Lægemidlets sikkerhed under drægtighed og/eller </w:t>
      </w:r>
      <w:r>
        <w:rPr>
          <w:sz w:val="24"/>
          <w:szCs w:val="24"/>
        </w:rPr>
        <w:t>diegivning</w:t>
      </w:r>
      <w:r w:rsidRPr="00F64D8A">
        <w:rPr>
          <w:sz w:val="24"/>
          <w:szCs w:val="24"/>
        </w:rPr>
        <w:t xml:space="preserve"> er ikke fastlagt. Anvendelse frarådes til tæver under drægtighed og/eller </w:t>
      </w:r>
      <w:r>
        <w:rPr>
          <w:sz w:val="24"/>
          <w:szCs w:val="24"/>
        </w:rPr>
        <w:t>diegivning</w:t>
      </w:r>
      <w:r w:rsidRPr="00F64D8A">
        <w:rPr>
          <w:sz w:val="24"/>
          <w:szCs w:val="24"/>
        </w:rPr>
        <w:t xml:space="preserve"> og avl. 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4.8</w:t>
      </w:r>
      <w:r w:rsidRPr="00F64D8A">
        <w:rPr>
          <w:b/>
          <w:sz w:val="24"/>
          <w:szCs w:val="24"/>
        </w:rPr>
        <w:tab/>
        <w:t>Interaktion med andre lægemidler og andre former for interaktion</w:t>
      </w:r>
    </w:p>
    <w:p w:rsidR="002644F5" w:rsidRPr="00F64D8A" w:rsidRDefault="002644F5" w:rsidP="002644F5">
      <w:pPr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>Ingen kendte.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4.9</w:t>
      </w:r>
      <w:r w:rsidRPr="00F64D8A">
        <w:rPr>
          <w:b/>
          <w:sz w:val="24"/>
          <w:szCs w:val="24"/>
        </w:rPr>
        <w:tab/>
        <w:t>Dosering og indgivelsesmåde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</w:r>
      <w:r w:rsidR="0070655B" w:rsidRPr="0070655B">
        <w:rPr>
          <w:sz w:val="24"/>
          <w:szCs w:val="24"/>
        </w:rPr>
        <w:t>For at sikre, at den korrekte dosis bliver administreret, skal dyrets legemsvægt måles før behandlingen.</w:t>
      </w:r>
      <w:r w:rsidR="0070655B">
        <w:rPr>
          <w:sz w:val="24"/>
          <w:szCs w:val="24"/>
        </w:rPr>
        <w:t xml:space="preserve"> </w:t>
      </w:r>
      <w:r w:rsidR="0070655B" w:rsidRPr="00F64D8A">
        <w:rPr>
          <w:sz w:val="24"/>
          <w:szCs w:val="24"/>
        </w:rPr>
        <w:t>Den</w:t>
      </w:r>
      <w:r w:rsidRPr="00F64D8A">
        <w:rPr>
          <w:sz w:val="24"/>
          <w:szCs w:val="24"/>
        </w:rPr>
        <w:t xml:space="preserve"> basale dosering er 6-10 mg </w:t>
      </w:r>
      <w:proofErr w:type="spellStart"/>
      <w:r w:rsidRPr="00F64D8A">
        <w:rPr>
          <w:sz w:val="24"/>
          <w:szCs w:val="24"/>
        </w:rPr>
        <w:t>propentofyllin</w:t>
      </w:r>
      <w:proofErr w:type="spellEnd"/>
      <w:r w:rsidRPr="00F64D8A">
        <w:rPr>
          <w:sz w:val="24"/>
          <w:szCs w:val="24"/>
        </w:rPr>
        <w:t>/kg legemsvægt dagligt, delt i to doser på følgende måde:</w:t>
      </w:r>
    </w:p>
    <w:p w:rsidR="0070655B" w:rsidRDefault="0070655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2644F5" w:rsidRPr="00F64D8A" w:rsidRDefault="002644F5" w:rsidP="002644F5">
      <w:pPr>
        <w:ind w:left="851" w:hanging="851"/>
        <w:rPr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8"/>
        <w:gridCol w:w="1901"/>
        <w:gridCol w:w="1739"/>
        <w:gridCol w:w="1583"/>
        <w:gridCol w:w="2207"/>
      </w:tblGrid>
      <w:tr w:rsidR="002644F5" w:rsidRPr="00F64D8A" w:rsidTr="00AB5E79">
        <w:trPr>
          <w:trHeight w:val="434"/>
        </w:trPr>
        <w:tc>
          <w:tcPr>
            <w:tcW w:w="1146" w:type="pct"/>
            <w:shd w:val="clear" w:color="auto" w:fill="F0F0F0"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</w:p>
        </w:tc>
        <w:tc>
          <w:tcPr>
            <w:tcW w:w="3854" w:type="pct"/>
            <w:gridSpan w:val="4"/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/>
                <w:bCs/>
                <w:sz w:val="24"/>
                <w:szCs w:val="24"/>
              </w:rPr>
            </w:pPr>
            <w:r w:rsidRPr="00F64D8A">
              <w:rPr>
                <w:b/>
                <w:sz w:val="24"/>
                <w:szCs w:val="24"/>
              </w:rPr>
              <w:t>100 mg tabletter</w:t>
            </w:r>
          </w:p>
        </w:tc>
      </w:tr>
      <w:tr w:rsidR="002644F5" w:rsidRPr="00F64D8A" w:rsidTr="00AB5E79">
        <w:trPr>
          <w:trHeight w:val="832"/>
        </w:trPr>
        <w:tc>
          <w:tcPr>
            <w:tcW w:w="114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2644F5" w:rsidRPr="00F64D8A" w:rsidRDefault="002644F5" w:rsidP="00AB5E79">
            <w:pPr>
              <w:rPr>
                <w:b/>
                <w:bCs/>
                <w:sz w:val="24"/>
                <w:szCs w:val="24"/>
              </w:rPr>
            </w:pPr>
            <w:r w:rsidRPr="00F64D8A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986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2644F5" w:rsidRPr="00F64D8A" w:rsidRDefault="002644F5" w:rsidP="00AB5E79">
            <w:pPr>
              <w:rPr>
                <w:b/>
                <w:bCs/>
                <w:sz w:val="24"/>
                <w:szCs w:val="24"/>
              </w:rPr>
            </w:pPr>
            <w:r w:rsidRPr="00F64D8A">
              <w:rPr>
                <w:b/>
                <w:sz w:val="24"/>
                <w:szCs w:val="24"/>
              </w:rPr>
              <w:t>Morgen</w:t>
            </w:r>
          </w:p>
        </w:tc>
        <w:tc>
          <w:tcPr>
            <w:tcW w:w="90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2644F5" w:rsidRPr="00F64D8A" w:rsidRDefault="002644F5" w:rsidP="00AB5E79">
            <w:pPr>
              <w:rPr>
                <w:b/>
                <w:bCs/>
                <w:sz w:val="24"/>
                <w:szCs w:val="24"/>
              </w:rPr>
            </w:pPr>
            <w:r w:rsidRPr="00F64D8A">
              <w:rPr>
                <w:b/>
                <w:sz w:val="24"/>
                <w:szCs w:val="24"/>
              </w:rPr>
              <w:t>Aften</w:t>
            </w:r>
          </w:p>
        </w:tc>
        <w:tc>
          <w:tcPr>
            <w:tcW w:w="8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2644F5" w:rsidRPr="00F64D8A" w:rsidRDefault="002644F5" w:rsidP="00AB5E79">
            <w:pPr>
              <w:rPr>
                <w:b/>
                <w:bCs/>
                <w:sz w:val="24"/>
                <w:szCs w:val="24"/>
              </w:rPr>
            </w:pPr>
            <w:r w:rsidRPr="00F64D8A">
              <w:rPr>
                <w:b/>
                <w:sz w:val="24"/>
                <w:szCs w:val="24"/>
              </w:rPr>
              <w:t>Totalt antal daglige tabletter</w:t>
            </w:r>
          </w:p>
        </w:tc>
        <w:tc>
          <w:tcPr>
            <w:tcW w:w="1145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ECECEC"/>
            <w:vAlign w:val="center"/>
            <w:hideMark/>
          </w:tcPr>
          <w:p w:rsidR="002644F5" w:rsidRPr="00F64D8A" w:rsidRDefault="002644F5" w:rsidP="00AB5E79">
            <w:pPr>
              <w:rPr>
                <w:b/>
                <w:bCs/>
                <w:sz w:val="24"/>
                <w:szCs w:val="24"/>
              </w:rPr>
            </w:pPr>
            <w:r w:rsidRPr="00F64D8A">
              <w:rPr>
                <w:b/>
                <w:sz w:val="24"/>
                <w:szCs w:val="24"/>
              </w:rPr>
              <w:t>Total daglig dosis (mg/kg)</w:t>
            </w:r>
          </w:p>
        </w:tc>
      </w:tr>
      <w:tr w:rsidR="002644F5" w:rsidRPr="00F64D8A" w:rsidTr="00AB5E79">
        <w:tc>
          <w:tcPr>
            <w:tcW w:w="11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5 kg – 8 kg</w:t>
            </w:r>
          </w:p>
        </w:tc>
        <w:tc>
          <w:tcPr>
            <w:tcW w:w="9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  <w:vertAlign w:val="subscript"/>
              </w:rPr>
              <w:drawing>
                <wp:inline distT="0" distB="0" distL="0" distR="0" wp14:anchorId="77669DC7" wp14:editId="36BFDB0C">
                  <wp:extent cx="247650" cy="247650"/>
                  <wp:effectExtent l="0" t="0" r="0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  <w:vertAlign w:val="subscript"/>
              </w:rPr>
            </w:pPr>
            <w:r>
              <w:rPr>
                <w:noProof/>
                <w:sz w:val="24"/>
                <w:szCs w:val="24"/>
                <w:vertAlign w:val="subscript"/>
              </w:rPr>
              <w:drawing>
                <wp:inline distT="0" distB="0" distL="0" distR="0" wp14:anchorId="794329A8" wp14:editId="20A20B1E">
                  <wp:extent cx="247650" cy="247650"/>
                  <wp:effectExtent l="0" t="0" r="0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 xml:space="preserve"> ½ </w:t>
            </w:r>
          </w:p>
        </w:tc>
        <w:tc>
          <w:tcPr>
            <w:tcW w:w="114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jc w:val="center"/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6,25 – 10,0</w:t>
            </w:r>
          </w:p>
        </w:tc>
      </w:tr>
      <w:tr w:rsidR="002644F5" w:rsidRPr="00F64D8A" w:rsidTr="00AB5E79">
        <w:tc>
          <w:tcPr>
            <w:tcW w:w="11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&gt;8 kg – 10 kg</w:t>
            </w:r>
          </w:p>
        </w:tc>
        <w:tc>
          <w:tcPr>
            <w:tcW w:w="9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39145C2" wp14:editId="772DDE5E">
                  <wp:extent cx="247650" cy="247650"/>
                  <wp:effectExtent l="0" t="0" r="0" b="0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vertAlign w:val="subscript"/>
              </w:rPr>
              <w:drawing>
                <wp:inline distT="0" distB="0" distL="0" distR="0" wp14:anchorId="35B8B383" wp14:editId="09CB69B5">
                  <wp:extent cx="247650" cy="247650"/>
                  <wp:effectExtent l="0" t="0" r="0" b="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¾</w:t>
            </w:r>
          </w:p>
        </w:tc>
        <w:tc>
          <w:tcPr>
            <w:tcW w:w="114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jc w:val="center"/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7,5 – 9,4</w:t>
            </w:r>
          </w:p>
        </w:tc>
      </w:tr>
      <w:tr w:rsidR="002644F5" w:rsidRPr="00F64D8A" w:rsidTr="00AB5E79">
        <w:tc>
          <w:tcPr>
            <w:tcW w:w="11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&gt;10 kg – 15 kg</w:t>
            </w:r>
          </w:p>
        </w:tc>
        <w:tc>
          <w:tcPr>
            <w:tcW w:w="9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BA2F24F" wp14:editId="1536AB53">
                  <wp:extent cx="247650" cy="247650"/>
                  <wp:effectExtent l="0" t="0" r="0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D5754D5" wp14:editId="4A5E6CBC">
                  <wp:extent cx="247650" cy="247650"/>
                  <wp:effectExtent l="0" t="0" r="0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 1</w:t>
            </w:r>
          </w:p>
        </w:tc>
        <w:tc>
          <w:tcPr>
            <w:tcW w:w="114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jc w:val="center"/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6,7 – 10,0</w:t>
            </w:r>
          </w:p>
        </w:tc>
      </w:tr>
      <w:tr w:rsidR="002644F5" w:rsidRPr="00F64D8A" w:rsidTr="00AB5E79">
        <w:tc>
          <w:tcPr>
            <w:tcW w:w="11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&gt;15 kg – 25 kg</w:t>
            </w:r>
          </w:p>
        </w:tc>
        <w:tc>
          <w:tcPr>
            <w:tcW w:w="9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37E3DCB" wp14:editId="3D1551E3">
                  <wp:extent cx="247650" cy="247650"/>
                  <wp:effectExtent l="0" t="0" r="0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5F353B1" wp14:editId="12DEB287">
                  <wp:extent cx="247650" cy="247650"/>
                  <wp:effectExtent l="0" t="0" r="0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 xml:space="preserve">  1 ½ </w:t>
            </w:r>
          </w:p>
        </w:tc>
        <w:tc>
          <w:tcPr>
            <w:tcW w:w="114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jc w:val="center"/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6,0 – 10,0</w:t>
            </w:r>
          </w:p>
        </w:tc>
      </w:tr>
      <w:tr w:rsidR="002644F5" w:rsidRPr="00F64D8A" w:rsidTr="00AB5E79">
        <w:tc>
          <w:tcPr>
            <w:tcW w:w="11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&gt;25 kg – 33 kg</w:t>
            </w:r>
          </w:p>
        </w:tc>
        <w:tc>
          <w:tcPr>
            <w:tcW w:w="9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4739706" wp14:editId="61757A93">
                  <wp:extent cx="247650" cy="247650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2EC387C" wp14:editId="6B3FDA24">
                  <wp:extent cx="247650" cy="247650"/>
                  <wp:effectExtent l="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2</w:t>
            </w:r>
          </w:p>
        </w:tc>
        <w:tc>
          <w:tcPr>
            <w:tcW w:w="114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jc w:val="center"/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6,1 – 8,0</w:t>
            </w:r>
          </w:p>
        </w:tc>
      </w:tr>
      <w:tr w:rsidR="002644F5" w:rsidRPr="00F64D8A" w:rsidTr="00AB5E79">
        <w:tc>
          <w:tcPr>
            <w:tcW w:w="11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&gt;33 kg – 49 kg</w:t>
            </w:r>
          </w:p>
        </w:tc>
        <w:tc>
          <w:tcPr>
            <w:tcW w:w="9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 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BA082E7" wp14:editId="27CA9A15">
                  <wp:extent cx="247650" cy="247650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285DA04" wp14:editId="0409A2C0">
                  <wp:extent cx="247650" cy="247650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0B54452" wp14:editId="450AA37A">
                  <wp:extent cx="247650" cy="247650"/>
                  <wp:effectExtent l="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442E672C" wp14:editId="4338DED9">
                  <wp:extent cx="247650" cy="247650"/>
                  <wp:effectExtent l="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3</w:t>
            </w:r>
          </w:p>
        </w:tc>
        <w:tc>
          <w:tcPr>
            <w:tcW w:w="114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jc w:val="center"/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6,1 – 9,1</w:t>
            </w:r>
          </w:p>
        </w:tc>
      </w:tr>
      <w:tr w:rsidR="002644F5" w:rsidRPr="00F64D8A" w:rsidTr="00AB5E79">
        <w:tc>
          <w:tcPr>
            <w:tcW w:w="11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&gt;49 kg – 66 kg</w:t>
            </w:r>
          </w:p>
        </w:tc>
        <w:tc>
          <w:tcPr>
            <w:tcW w:w="9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 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77C9F8D4" wp14:editId="1A5BE098">
                  <wp:extent cx="247650" cy="247650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1C3D932" wp14:editId="617032EC">
                  <wp:extent cx="247650" cy="247650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85E66D2" wp14:editId="489B4D05">
                  <wp:extent cx="247650" cy="247650"/>
                  <wp:effectExtent l="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8E6A4A4" wp14:editId="1346E9AB">
                  <wp:extent cx="247650" cy="247650"/>
                  <wp:effectExtent l="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4</w:t>
            </w:r>
          </w:p>
        </w:tc>
        <w:tc>
          <w:tcPr>
            <w:tcW w:w="114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jc w:val="center"/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6,1 – 8,2</w:t>
            </w:r>
          </w:p>
        </w:tc>
      </w:tr>
      <w:tr w:rsidR="002644F5" w:rsidRPr="00F64D8A" w:rsidTr="00AB5E79">
        <w:tc>
          <w:tcPr>
            <w:tcW w:w="114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&gt;66 kg – 83 kg</w:t>
            </w:r>
          </w:p>
        </w:tc>
        <w:tc>
          <w:tcPr>
            <w:tcW w:w="98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 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27F008B" wp14:editId="7D44898B">
                  <wp:extent cx="247650" cy="247650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495D8A6A" wp14:editId="2493D429">
                  <wp:extent cx="247650" cy="247650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63EDF97" wp14:editId="4514949F">
                  <wp:extent cx="247650" cy="247650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967FC3" wp14:editId="45B03A2D">
                  <wp:extent cx="247650" cy="24765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4B49E20" wp14:editId="7022F9EE">
                  <wp:extent cx="247650" cy="24765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08DB042B" wp14:editId="553B9DE4">
                  <wp:extent cx="247650" cy="24765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5</w:t>
            </w:r>
          </w:p>
        </w:tc>
        <w:tc>
          <w:tcPr>
            <w:tcW w:w="114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0F0F0"/>
            <w:vAlign w:val="center"/>
            <w:hideMark/>
          </w:tcPr>
          <w:p w:rsidR="002644F5" w:rsidRPr="00F64D8A" w:rsidRDefault="002644F5" w:rsidP="00AB5E79">
            <w:pPr>
              <w:jc w:val="center"/>
              <w:rPr>
                <w:bCs/>
                <w:sz w:val="24"/>
                <w:szCs w:val="24"/>
              </w:rPr>
            </w:pPr>
            <w:r w:rsidRPr="00F64D8A">
              <w:rPr>
                <w:sz w:val="24"/>
                <w:szCs w:val="24"/>
              </w:rPr>
              <w:t>6,0 – 7,6</w:t>
            </w:r>
          </w:p>
        </w:tc>
      </w:tr>
    </w:tbl>
    <w:p w:rsidR="002644F5" w:rsidRPr="00F64D8A" w:rsidRDefault="002644F5" w:rsidP="002644F5">
      <w:pPr>
        <w:rPr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B251D7A" wp14:editId="09E8AF82">
            <wp:extent cx="247650" cy="24765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D8A">
        <w:rPr>
          <w:sz w:val="24"/>
          <w:szCs w:val="24"/>
        </w:rPr>
        <w:t>= ¼ tablet</w:t>
      </w:r>
      <w:r w:rsidRPr="00F64D8A"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3EA1CE24" wp14:editId="606E1298">
            <wp:extent cx="247650" cy="24765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D8A">
        <w:rPr>
          <w:sz w:val="24"/>
          <w:szCs w:val="24"/>
        </w:rPr>
        <w:t xml:space="preserve">= ½ tablet </w:t>
      </w:r>
      <w:r w:rsidRPr="00F64D8A"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79CC310D" wp14:editId="2982A5C7">
            <wp:extent cx="247650" cy="24765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D8A">
        <w:rPr>
          <w:sz w:val="24"/>
          <w:szCs w:val="24"/>
        </w:rPr>
        <w:t>= ¾ tablet</w:t>
      </w:r>
      <w:r w:rsidRPr="00F64D8A"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141E860F" wp14:editId="72099ADA">
            <wp:extent cx="247650" cy="2476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D8A">
        <w:rPr>
          <w:sz w:val="24"/>
          <w:szCs w:val="24"/>
        </w:rPr>
        <w:t>= 1 tablet</w:t>
      </w:r>
    </w:p>
    <w:p w:rsidR="002644F5" w:rsidRPr="00F64D8A" w:rsidRDefault="002644F5" w:rsidP="002644F5">
      <w:pPr>
        <w:ind w:left="851" w:hanging="851"/>
        <w:rPr>
          <w:bCs/>
          <w:sz w:val="24"/>
          <w:szCs w:val="24"/>
        </w:rPr>
      </w:pPr>
    </w:p>
    <w:p w:rsidR="002644F5" w:rsidRDefault="002644F5" w:rsidP="002644F5">
      <w:pPr>
        <w:autoSpaceDE w:val="0"/>
        <w:autoSpaceDN w:val="0"/>
        <w:ind w:left="851"/>
        <w:rPr>
          <w:sz w:val="24"/>
          <w:szCs w:val="24"/>
        </w:rPr>
      </w:pPr>
      <w:r w:rsidRPr="00F64D8A">
        <w:rPr>
          <w:sz w:val="24"/>
          <w:szCs w:val="24"/>
        </w:rPr>
        <w:t>Tabletterne kan administreres direkte i munden, under hundens tunge eller de kan blandes i en lille klump mad og administreres mindst 30 minutter før fodring.</w:t>
      </w:r>
    </w:p>
    <w:p w:rsidR="002644F5" w:rsidRDefault="002644F5" w:rsidP="002644F5">
      <w:pPr>
        <w:autoSpaceDE w:val="0"/>
        <w:autoSpaceDN w:val="0"/>
        <w:ind w:left="851"/>
        <w:rPr>
          <w:sz w:val="24"/>
          <w:szCs w:val="24"/>
        </w:rPr>
      </w:pPr>
    </w:p>
    <w:p w:rsidR="002644F5" w:rsidRPr="00F64D8A" w:rsidRDefault="002644F5" w:rsidP="002644F5">
      <w:pPr>
        <w:autoSpaceDE w:val="0"/>
        <w:autoSpaceDN w:val="0"/>
        <w:ind w:left="851"/>
        <w:rPr>
          <w:sz w:val="24"/>
          <w:szCs w:val="24"/>
        </w:rPr>
      </w:pPr>
      <w:r w:rsidRPr="00F64D8A">
        <w:rPr>
          <w:sz w:val="24"/>
          <w:szCs w:val="24"/>
        </w:rPr>
        <w:t>Tabletterne kan deles i 2 eller 4 lige store dele for at sikre en akkurat dosering. Placer tabletten på en flad overflade med delekærven opad og den konvekse (afrundede) side mod overfladen.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86A03E" wp14:editId="48BE5EE3">
            <wp:extent cx="2305050" cy="1955800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Halvdele: Tryk ned med tommelfingrene på begge sider af tabletten.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Fire dele: Tryk ned med tommelfingeren midt på tabletten.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4.10</w:t>
      </w:r>
      <w:r w:rsidRPr="00F64D8A">
        <w:rPr>
          <w:b/>
          <w:sz w:val="24"/>
          <w:szCs w:val="24"/>
        </w:rPr>
        <w:tab/>
        <w:t>Overdosering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</w:r>
      <w:proofErr w:type="spellStart"/>
      <w:r w:rsidRPr="00F64D8A">
        <w:rPr>
          <w:sz w:val="24"/>
          <w:szCs w:val="24"/>
        </w:rPr>
        <w:t>Takykardi</w:t>
      </w:r>
      <w:proofErr w:type="spellEnd"/>
      <w:r w:rsidRPr="00F64D8A">
        <w:rPr>
          <w:sz w:val="24"/>
          <w:szCs w:val="24"/>
        </w:rPr>
        <w:t xml:space="preserve"> ved ophidselse, hypotension, rødme af slimhinder og opkastning 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proofErr w:type="spellStart"/>
      <w:r w:rsidRPr="00F64D8A">
        <w:rPr>
          <w:sz w:val="24"/>
          <w:szCs w:val="24"/>
        </w:rPr>
        <w:t>Seponeringen</w:t>
      </w:r>
      <w:proofErr w:type="spellEnd"/>
      <w:r w:rsidRPr="00F64D8A">
        <w:rPr>
          <w:sz w:val="24"/>
          <w:szCs w:val="24"/>
        </w:rPr>
        <w:t xml:space="preserve"> af behandlingen fører til en spontan lindring af disse tegn.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4.11</w:t>
      </w:r>
      <w:r w:rsidRPr="00F64D8A">
        <w:rPr>
          <w:b/>
          <w:sz w:val="24"/>
          <w:szCs w:val="24"/>
        </w:rPr>
        <w:tab/>
        <w:t>Tilbageholdelsestid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>Ikke relevant</w:t>
      </w:r>
    </w:p>
    <w:p w:rsidR="002644F5" w:rsidRPr="00F64D8A" w:rsidRDefault="002644F5" w:rsidP="002644F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D1616" w:rsidRDefault="00FD161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5.</w:t>
      </w:r>
      <w:r w:rsidRPr="00F64D8A">
        <w:rPr>
          <w:b/>
          <w:sz w:val="24"/>
          <w:szCs w:val="24"/>
        </w:rPr>
        <w:tab/>
        <w:t>FARMAKOLOGISKE EGENSKABER</w:t>
      </w:r>
    </w:p>
    <w:p w:rsidR="002644F5" w:rsidRPr="00F64D8A" w:rsidRDefault="002644F5" w:rsidP="002644F5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F64D8A">
        <w:rPr>
          <w:sz w:val="24"/>
          <w:szCs w:val="24"/>
        </w:rPr>
        <w:t>Farmakoterapeutisk</w:t>
      </w:r>
      <w:proofErr w:type="spellEnd"/>
      <w:r w:rsidRPr="00F64D8A">
        <w:rPr>
          <w:sz w:val="24"/>
          <w:szCs w:val="24"/>
        </w:rPr>
        <w:t xml:space="preserve"> gruppe: perifer </w:t>
      </w:r>
      <w:proofErr w:type="spellStart"/>
      <w:r w:rsidRPr="00F64D8A">
        <w:rPr>
          <w:sz w:val="24"/>
          <w:szCs w:val="24"/>
        </w:rPr>
        <w:t>vasodilator</w:t>
      </w:r>
      <w:proofErr w:type="spellEnd"/>
      <w:r w:rsidRPr="00F64D8A">
        <w:rPr>
          <w:sz w:val="24"/>
          <w:szCs w:val="24"/>
        </w:rPr>
        <w:t xml:space="preserve">, </w:t>
      </w:r>
      <w:proofErr w:type="spellStart"/>
      <w:r w:rsidRPr="00F64D8A">
        <w:rPr>
          <w:sz w:val="24"/>
          <w:szCs w:val="24"/>
        </w:rPr>
        <w:t>purin</w:t>
      </w:r>
      <w:proofErr w:type="spellEnd"/>
      <w:r w:rsidRPr="00F64D8A">
        <w:rPr>
          <w:sz w:val="24"/>
          <w:szCs w:val="24"/>
        </w:rPr>
        <w:t xml:space="preserve">-derivater, </w:t>
      </w:r>
      <w:proofErr w:type="spellStart"/>
      <w:r w:rsidRPr="00F64D8A">
        <w:rPr>
          <w:sz w:val="24"/>
          <w:szCs w:val="24"/>
        </w:rPr>
        <w:t>propentofyllin</w:t>
      </w:r>
      <w:proofErr w:type="spellEnd"/>
      <w:r w:rsidRPr="00F64D8A">
        <w:rPr>
          <w:sz w:val="24"/>
          <w:szCs w:val="24"/>
        </w:rPr>
        <w:br/>
      </w:r>
      <w:proofErr w:type="spellStart"/>
      <w:r w:rsidRPr="00F64D8A">
        <w:rPr>
          <w:sz w:val="24"/>
          <w:szCs w:val="24"/>
        </w:rPr>
        <w:t>ATCvet</w:t>
      </w:r>
      <w:proofErr w:type="spellEnd"/>
      <w:r w:rsidRPr="00F64D8A">
        <w:rPr>
          <w:sz w:val="24"/>
          <w:szCs w:val="24"/>
        </w:rPr>
        <w:t>-kode: QC04AD90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5.1</w:t>
      </w:r>
      <w:r w:rsidRPr="00F64D8A">
        <w:rPr>
          <w:b/>
          <w:sz w:val="24"/>
          <w:szCs w:val="24"/>
        </w:rPr>
        <w:tab/>
      </w:r>
      <w:proofErr w:type="spellStart"/>
      <w:r w:rsidRPr="00F64D8A">
        <w:rPr>
          <w:b/>
          <w:sz w:val="24"/>
          <w:szCs w:val="24"/>
        </w:rPr>
        <w:t>Farmakodynamiske</w:t>
      </w:r>
      <w:proofErr w:type="spellEnd"/>
      <w:r w:rsidRPr="00F64D8A">
        <w:rPr>
          <w:b/>
          <w:sz w:val="24"/>
          <w:szCs w:val="24"/>
        </w:rPr>
        <w:t xml:space="preserve"> egenskaber</w:t>
      </w:r>
    </w:p>
    <w:p w:rsidR="002644F5" w:rsidRPr="00F64D8A" w:rsidRDefault="002644F5" w:rsidP="002644F5">
      <w:pPr>
        <w:ind w:left="851" w:hanging="851"/>
        <w:rPr>
          <w:bCs/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</w:r>
      <w:proofErr w:type="spellStart"/>
      <w:r w:rsidRPr="00F64D8A">
        <w:rPr>
          <w:sz w:val="24"/>
          <w:szCs w:val="24"/>
        </w:rPr>
        <w:t>Propentofyllin</w:t>
      </w:r>
      <w:proofErr w:type="spellEnd"/>
      <w:r w:rsidRPr="00F64D8A">
        <w:rPr>
          <w:sz w:val="24"/>
          <w:szCs w:val="24"/>
        </w:rPr>
        <w:t xml:space="preserve"> har vist sig at øge blodgennemstrømningen, især i hjertet og </w:t>
      </w:r>
      <w:proofErr w:type="spellStart"/>
      <w:r w:rsidRPr="00F64D8A">
        <w:rPr>
          <w:sz w:val="24"/>
          <w:szCs w:val="24"/>
        </w:rPr>
        <w:t>skeletmuskulatoren</w:t>
      </w:r>
      <w:proofErr w:type="spellEnd"/>
      <w:r w:rsidRPr="00F64D8A">
        <w:rPr>
          <w:sz w:val="24"/>
          <w:szCs w:val="24"/>
        </w:rPr>
        <w:t xml:space="preserve">. Det øger også blodgennemstrømningen til hjernen og dermed iltforsyningen, uden at øge hjernens behov for </w:t>
      </w:r>
      <w:proofErr w:type="spellStart"/>
      <w:r w:rsidRPr="00F64D8A">
        <w:rPr>
          <w:sz w:val="24"/>
          <w:szCs w:val="24"/>
        </w:rPr>
        <w:t>glucose</w:t>
      </w:r>
      <w:proofErr w:type="spellEnd"/>
      <w:r w:rsidRPr="00F64D8A">
        <w:rPr>
          <w:sz w:val="24"/>
          <w:szCs w:val="24"/>
        </w:rPr>
        <w:t xml:space="preserve">. Det har en moderat positiv </w:t>
      </w:r>
      <w:proofErr w:type="spellStart"/>
      <w:r w:rsidRPr="00F64D8A">
        <w:rPr>
          <w:sz w:val="24"/>
          <w:szCs w:val="24"/>
        </w:rPr>
        <w:t>kronotrop</w:t>
      </w:r>
      <w:proofErr w:type="spellEnd"/>
      <w:r w:rsidRPr="00F64D8A">
        <w:rPr>
          <w:sz w:val="24"/>
          <w:szCs w:val="24"/>
        </w:rPr>
        <w:t xml:space="preserve"> virkning og en markant positiv inotrop virkning. Desuden har det vist sig at have en </w:t>
      </w:r>
      <w:proofErr w:type="spellStart"/>
      <w:r w:rsidRPr="00F64D8A">
        <w:rPr>
          <w:sz w:val="24"/>
          <w:szCs w:val="24"/>
        </w:rPr>
        <w:t>antiarytmisk</w:t>
      </w:r>
      <w:proofErr w:type="spellEnd"/>
      <w:r w:rsidRPr="00F64D8A">
        <w:rPr>
          <w:sz w:val="24"/>
          <w:szCs w:val="24"/>
        </w:rPr>
        <w:t xml:space="preserve"> virkning på hunde med </w:t>
      </w:r>
      <w:proofErr w:type="spellStart"/>
      <w:r w:rsidRPr="00F64D8A">
        <w:rPr>
          <w:sz w:val="24"/>
          <w:szCs w:val="24"/>
        </w:rPr>
        <w:t>myokardieiskæmi</w:t>
      </w:r>
      <w:proofErr w:type="spellEnd"/>
      <w:r w:rsidRPr="00F64D8A">
        <w:rPr>
          <w:sz w:val="24"/>
          <w:szCs w:val="24"/>
        </w:rPr>
        <w:t xml:space="preserve">, og en </w:t>
      </w:r>
      <w:proofErr w:type="spellStart"/>
      <w:r w:rsidRPr="00F64D8A">
        <w:rPr>
          <w:sz w:val="24"/>
          <w:szCs w:val="24"/>
        </w:rPr>
        <w:t>bronkodilaterende</w:t>
      </w:r>
      <w:proofErr w:type="spellEnd"/>
      <w:r w:rsidRPr="00F64D8A">
        <w:rPr>
          <w:sz w:val="24"/>
          <w:szCs w:val="24"/>
        </w:rPr>
        <w:t xml:space="preserve"> virkning, der svarer til </w:t>
      </w:r>
      <w:proofErr w:type="spellStart"/>
      <w:r w:rsidRPr="00F64D8A">
        <w:rPr>
          <w:sz w:val="24"/>
          <w:szCs w:val="24"/>
        </w:rPr>
        <w:t>aminofyllins</w:t>
      </w:r>
      <w:proofErr w:type="spellEnd"/>
      <w:r w:rsidRPr="00F64D8A">
        <w:rPr>
          <w:sz w:val="24"/>
          <w:szCs w:val="24"/>
        </w:rPr>
        <w:t xml:space="preserve"> virkning.</w:t>
      </w:r>
    </w:p>
    <w:p w:rsidR="002644F5" w:rsidRPr="00F64D8A" w:rsidRDefault="002644F5" w:rsidP="002644F5">
      <w:pPr>
        <w:ind w:left="851" w:hanging="851"/>
        <w:rPr>
          <w:bCs/>
          <w:sz w:val="24"/>
          <w:szCs w:val="24"/>
        </w:rPr>
      </w:pPr>
    </w:p>
    <w:p w:rsidR="002644F5" w:rsidRPr="00F64D8A" w:rsidRDefault="002644F5" w:rsidP="002644F5">
      <w:pPr>
        <w:ind w:left="851"/>
        <w:rPr>
          <w:bCs/>
          <w:sz w:val="24"/>
          <w:szCs w:val="24"/>
        </w:rPr>
      </w:pPr>
      <w:proofErr w:type="spellStart"/>
      <w:r w:rsidRPr="00F64D8A">
        <w:rPr>
          <w:sz w:val="24"/>
          <w:szCs w:val="24"/>
        </w:rPr>
        <w:t>Propentofyllin</w:t>
      </w:r>
      <w:proofErr w:type="spellEnd"/>
      <w:r w:rsidRPr="00F64D8A">
        <w:rPr>
          <w:sz w:val="24"/>
          <w:szCs w:val="24"/>
        </w:rPr>
        <w:t xml:space="preserve"> hæmmer </w:t>
      </w:r>
      <w:proofErr w:type="spellStart"/>
      <w:r w:rsidRPr="00F64D8A">
        <w:rPr>
          <w:sz w:val="24"/>
          <w:szCs w:val="24"/>
        </w:rPr>
        <w:t>trombocytaggregation</w:t>
      </w:r>
      <w:proofErr w:type="spellEnd"/>
      <w:r w:rsidRPr="00F64D8A">
        <w:rPr>
          <w:sz w:val="24"/>
          <w:szCs w:val="24"/>
        </w:rPr>
        <w:t xml:space="preserve"> og forbedrer erytrocytternes flydeegenskaber. </w:t>
      </w:r>
    </w:p>
    <w:p w:rsidR="002644F5" w:rsidRPr="00F64D8A" w:rsidRDefault="002644F5" w:rsidP="002644F5">
      <w:pPr>
        <w:ind w:left="851"/>
        <w:rPr>
          <w:bCs/>
          <w:sz w:val="24"/>
          <w:szCs w:val="24"/>
        </w:rPr>
      </w:pPr>
      <w:r w:rsidRPr="00F64D8A">
        <w:rPr>
          <w:sz w:val="24"/>
          <w:szCs w:val="24"/>
        </w:rPr>
        <w:t xml:space="preserve">Det har en direkte virkning på hjertet, og reducerer den perifere </w:t>
      </w:r>
      <w:proofErr w:type="spellStart"/>
      <w:r w:rsidRPr="00F64D8A">
        <w:rPr>
          <w:sz w:val="24"/>
          <w:szCs w:val="24"/>
        </w:rPr>
        <w:t>vaskulære</w:t>
      </w:r>
      <w:proofErr w:type="spellEnd"/>
      <w:r w:rsidRPr="00F64D8A">
        <w:rPr>
          <w:sz w:val="24"/>
          <w:szCs w:val="24"/>
        </w:rPr>
        <w:t xml:space="preserve"> modstand, hvorved belastningen på hjertet formindskes.</w:t>
      </w:r>
    </w:p>
    <w:p w:rsidR="002644F5" w:rsidRPr="00F64D8A" w:rsidRDefault="002644F5" w:rsidP="002644F5">
      <w:pPr>
        <w:ind w:left="851" w:hanging="851"/>
        <w:rPr>
          <w:iCs/>
          <w:sz w:val="24"/>
          <w:szCs w:val="24"/>
        </w:rPr>
      </w:pPr>
    </w:p>
    <w:p w:rsidR="002644F5" w:rsidRPr="00F64D8A" w:rsidRDefault="002644F5" w:rsidP="002644F5">
      <w:pPr>
        <w:ind w:left="851"/>
        <w:rPr>
          <w:bCs/>
          <w:sz w:val="24"/>
          <w:szCs w:val="24"/>
        </w:rPr>
      </w:pPr>
      <w:proofErr w:type="spellStart"/>
      <w:r w:rsidRPr="00F64D8A">
        <w:rPr>
          <w:sz w:val="24"/>
          <w:szCs w:val="24"/>
        </w:rPr>
        <w:t>Propentofyllin</w:t>
      </w:r>
      <w:proofErr w:type="spellEnd"/>
      <w:r w:rsidRPr="00F64D8A">
        <w:rPr>
          <w:sz w:val="24"/>
          <w:szCs w:val="24"/>
        </w:rPr>
        <w:t xml:space="preserve"> kan øge villigheden til at dyrke motion og motionstolerancen, især hos ældre hunde.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5.2</w:t>
      </w:r>
      <w:r w:rsidRPr="00F64D8A">
        <w:rPr>
          <w:b/>
          <w:sz w:val="24"/>
          <w:szCs w:val="24"/>
        </w:rPr>
        <w:tab/>
      </w:r>
      <w:proofErr w:type="spellStart"/>
      <w:r w:rsidRPr="00F64D8A">
        <w:rPr>
          <w:b/>
          <w:sz w:val="24"/>
          <w:szCs w:val="24"/>
        </w:rPr>
        <w:t>Farmakokinetiske</w:t>
      </w:r>
      <w:proofErr w:type="spellEnd"/>
      <w:r w:rsidRPr="00F64D8A">
        <w:rPr>
          <w:b/>
          <w:sz w:val="24"/>
          <w:szCs w:val="24"/>
        </w:rPr>
        <w:t xml:space="preserve"> egenskaber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 xml:space="preserve">Efter oral administration absorberes </w:t>
      </w:r>
      <w:proofErr w:type="spellStart"/>
      <w:r w:rsidRPr="00F64D8A">
        <w:rPr>
          <w:sz w:val="24"/>
          <w:szCs w:val="24"/>
        </w:rPr>
        <w:t>propentofyllin</w:t>
      </w:r>
      <w:proofErr w:type="spellEnd"/>
      <w:r w:rsidRPr="00F64D8A">
        <w:rPr>
          <w:sz w:val="24"/>
          <w:szCs w:val="24"/>
        </w:rPr>
        <w:t xml:space="preserve"> hurtigt og fuldstændigt, og det fordeles hurtigt i vævet. De maksimale plasmaniveauer opnås 15 minutter efter oral dosering hos hunde. 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 xml:space="preserve">Halveringstiden er ca. 30 minutter, og biotilgængeligheden for udgangsstoffet er ca. 30 %. Der er et antal effektive metabolitter, og biotransformationen finder primært sted i leveren. 80-90 % af </w:t>
      </w:r>
      <w:proofErr w:type="spellStart"/>
      <w:r w:rsidRPr="00F64D8A">
        <w:rPr>
          <w:sz w:val="24"/>
          <w:szCs w:val="24"/>
        </w:rPr>
        <w:t>propentofyllin</w:t>
      </w:r>
      <w:proofErr w:type="spellEnd"/>
      <w:r w:rsidRPr="00F64D8A">
        <w:rPr>
          <w:sz w:val="24"/>
          <w:szCs w:val="24"/>
        </w:rPr>
        <w:t xml:space="preserve"> udskilles som metabolitter via nyrerne. Resten elimineres med afføringen. Der er ingen bioakkumulation.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5.3</w:t>
      </w:r>
      <w:r w:rsidRPr="00F64D8A">
        <w:rPr>
          <w:b/>
          <w:sz w:val="24"/>
          <w:szCs w:val="24"/>
        </w:rPr>
        <w:tab/>
        <w:t>Miljømæssige forhold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  <w:t>-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6.</w:t>
      </w:r>
      <w:r w:rsidRPr="00F64D8A">
        <w:rPr>
          <w:b/>
          <w:sz w:val="24"/>
          <w:szCs w:val="24"/>
        </w:rPr>
        <w:tab/>
        <w:t>FARMACEUTISKE OPLYSNINGER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6.1</w:t>
      </w:r>
      <w:r w:rsidRPr="00F64D8A">
        <w:rPr>
          <w:b/>
          <w:sz w:val="24"/>
          <w:szCs w:val="24"/>
        </w:rPr>
        <w:tab/>
        <w:t>Hjælpestoffer</w:t>
      </w:r>
    </w:p>
    <w:p w:rsidR="002644F5" w:rsidRPr="00F64D8A" w:rsidRDefault="002644F5" w:rsidP="002644F5">
      <w:pPr>
        <w:ind w:left="851"/>
        <w:rPr>
          <w:sz w:val="24"/>
          <w:szCs w:val="24"/>
          <w:lang w:eastAsia="da-DK"/>
        </w:rPr>
      </w:pPr>
      <w:proofErr w:type="spellStart"/>
      <w:r w:rsidRPr="00F64D8A">
        <w:rPr>
          <w:sz w:val="24"/>
          <w:szCs w:val="24"/>
        </w:rPr>
        <w:t>Lactosemonohydrat</w:t>
      </w:r>
      <w:proofErr w:type="spellEnd"/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Majsstivelse</w:t>
      </w:r>
    </w:p>
    <w:p w:rsidR="002644F5" w:rsidRPr="00F64D8A" w:rsidRDefault="002644F5" w:rsidP="002644F5">
      <w:pPr>
        <w:ind w:left="851"/>
        <w:rPr>
          <w:sz w:val="24"/>
          <w:szCs w:val="24"/>
          <w:lang w:val="en-US"/>
        </w:rPr>
      </w:pPr>
      <w:proofErr w:type="spellStart"/>
      <w:r w:rsidRPr="00F64D8A">
        <w:rPr>
          <w:sz w:val="24"/>
          <w:szCs w:val="24"/>
          <w:lang w:val="en-US"/>
        </w:rPr>
        <w:t>Crospovidon</w:t>
      </w:r>
      <w:proofErr w:type="spellEnd"/>
    </w:p>
    <w:p w:rsidR="002644F5" w:rsidRPr="00F64D8A" w:rsidRDefault="002644F5" w:rsidP="002644F5">
      <w:pPr>
        <w:ind w:left="851"/>
        <w:rPr>
          <w:sz w:val="24"/>
          <w:szCs w:val="24"/>
          <w:lang w:val="en-US"/>
        </w:rPr>
      </w:pPr>
      <w:r w:rsidRPr="00F64D8A">
        <w:rPr>
          <w:sz w:val="24"/>
          <w:szCs w:val="24"/>
          <w:lang w:val="en-US"/>
        </w:rPr>
        <w:t>Talcum</w:t>
      </w:r>
    </w:p>
    <w:p w:rsidR="002644F5" w:rsidRPr="00F64D8A" w:rsidRDefault="002644F5" w:rsidP="002644F5">
      <w:pPr>
        <w:ind w:left="851"/>
        <w:rPr>
          <w:sz w:val="24"/>
          <w:szCs w:val="24"/>
          <w:lang w:val="en-US"/>
        </w:rPr>
      </w:pPr>
      <w:r w:rsidRPr="00F64D8A">
        <w:rPr>
          <w:sz w:val="24"/>
          <w:szCs w:val="24"/>
          <w:lang w:val="en-US"/>
        </w:rPr>
        <w:t xml:space="preserve">Silica, </w:t>
      </w:r>
      <w:proofErr w:type="spellStart"/>
      <w:r w:rsidRPr="00F64D8A">
        <w:rPr>
          <w:sz w:val="24"/>
          <w:szCs w:val="24"/>
          <w:lang w:val="en-US"/>
        </w:rPr>
        <w:t>kolloid</w:t>
      </w:r>
      <w:proofErr w:type="spellEnd"/>
      <w:r w:rsidRPr="00F64D8A">
        <w:rPr>
          <w:sz w:val="24"/>
          <w:szCs w:val="24"/>
          <w:lang w:val="en-US"/>
        </w:rPr>
        <w:t xml:space="preserve"> </w:t>
      </w:r>
      <w:proofErr w:type="spellStart"/>
      <w:r w:rsidRPr="00F64D8A">
        <w:rPr>
          <w:sz w:val="24"/>
          <w:szCs w:val="24"/>
          <w:lang w:val="en-US"/>
        </w:rPr>
        <w:t>vandfri</w:t>
      </w:r>
      <w:proofErr w:type="spellEnd"/>
    </w:p>
    <w:p w:rsidR="002644F5" w:rsidRPr="00F64D8A" w:rsidRDefault="002644F5" w:rsidP="002644F5">
      <w:pPr>
        <w:ind w:left="851"/>
        <w:rPr>
          <w:sz w:val="24"/>
          <w:szCs w:val="24"/>
          <w:lang w:val="en-US"/>
        </w:rPr>
      </w:pPr>
      <w:proofErr w:type="spellStart"/>
      <w:r w:rsidRPr="00F64D8A">
        <w:rPr>
          <w:sz w:val="24"/>
          <w:szCs w:val="24"/>
          <w:lang w:val="en-US"/>
        </w:rPr>
        <w:t>Calciumbehenat</w:t>
      </w:r>
      <w:proofErr w:type="spellEnd"/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Gær, deaktiveret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Kunstig oksekødssmag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6.2</w:t>
      </w:r>
      <w:r w:rsidRPr="00F64D8A">
        <w:rPr>
          <w:b/>
          <w:sz w:val="24"/>
          <w:szCs w:val="24"/>
        </w:rPr>
        <w:tab/>
        <w:t>Uforligeligheder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>Ikke relevant.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6.3</w:t>
      </w:r>
      <w:r w:rsidRPr="00F64D8A">
        <w:rPr>
          <w:b/>
          <w:sz w:val="24"/>
          <w:szCs w:val="24"/>
        </w:rPr>
        <w:tab/>
        <w:t>Opbevaringstid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</w:r>
      <w:r>
        <w:rPr>
          <w:sz w:val="24"/>
          <w:szCs w:val="24"/>
        </w:rPr>
        <w:t>I</w:t>
      </w:r>
      <w:r w:rsidRPr="00F64D8A">
        <w:rPr>
          <w:sz w:val="24"/>
          <w:szCs w:val="24"/>
        </w:rPr>
        <w:t xml:space="preserve"> salgspakning: 3 år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  <w:t>Opbevaringstid for delte tabletter efter første åbning af den indre emballage: 4 dage.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6.4</w:t>
      </w:r>
      <w:r w:rsidRPr="00F64D8A">
        <w:rPr>
          <w:b/>
          <w:sz w:val="24"/>
          <w:szCs w:val="24"/>
        </w:rPr>
        <w:tab/>
        <w:t>Særlige opbevaringsforhold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>Dette veterinærlægemiddel kræver ingen særlige temperaturmæssige forholdsregler vedrørende opbevaringen.</w:t>
      </w:r>
    </w:p>
    <w:p w:rsidR="002644F5" w:rsidRPr="00F64D8A" w:rsidRDefault="002644F5" w:rsidP="002644F5">
      <w:pPr>
        <w:ind w:left="851" w:right="-318"/>
        <w:rPr>
          <w:sz w:val="24"/>
          <w:szCs w:val="24"/>
        </w:rPr>
      </w:pPr>
      <w:r w:rsidRPr="00F64D8A">
        <w:rPr>
          <w:sz w:val="24"/>
          <w:szCs w:val="24"/>
        </w:rPr>
        <w:t xml:space="preserve">Alle ubrugte tabletportioner skal returneres til den åbne blister og sættes tilbage i kartonen, så de kan anvendes til den næste administration. 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6.5</w:t>
      </w:r>
      <w:r w:rsidRPr="00F64D8A">
        <w:rPr>
          <w:b/>
          <w:sz w:val="24"/>
          <w:szCs w:val="24"/>
        </w:rPr>
        <w:tab/>
        <w:t>Emballage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>Aluminium - PA/ALU/PVC-blister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Kartonæske med 1, 2, 3, 4, 5, 6, 7, 8, 9, 10, 25 eller 50 blistere med 10 tabletter</w:t>
      </w:r>
    </w:p>
    <w:p w:rsidR="002644F5" w:rsidRPr="00F64D8A" w:rsidRDefault="002644F5" w:rsidP="002644F5">
      <w:pPr>
        <w:ind w:left="851"/>
        <w:rPr>
          <w:sz w:val="24"/>
          <w:szCs w:val="24"/>
        </w:rPr>
      </w:pPr>
      <w:r w:rsidRPr="00F64D8A">
        <w:rPr>
          <w:sz w:val="24"/>
          <w:szCs w:val="24"/>
        </w:rPr>
        <w:t>Ikke alle pakningsstørrelser er nødvendigvis markedsført.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6.6</w:t>
      </w:r>
      <w:r w:rsidRPr="00F64D8A">
        <w:rPr>
          <w:b/>
          <w:sz w:val="24"/>
          <w:szCs w:val="24"/>
        </w:rPr>
        <w:tab/>
        <w:t>Særlige forholdsregler ved bortskaffelse af rester af lægemidlet eller affald</w:t>
      </w:r>
    </w:p>
    <w:p w:rsidR="002644F5" w:rsidRDefault="002644F5" w:rsidP="002644F5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  <w:t xml:space="preserve">Ikke anvendte veterinærlægemidler, samt affald heraf bør destrueres i henhold til lokale </w:t>
      </w:r>
      <w:r w:rsidR="00FD1616" w:rsidRPr="00F64D8A">
        <w:rPr>
          <w:sz w:val="24"/>
          <w:szCs w:val="24"/>
        </w:rPr>
        <w:t>retningslinjer</w:t>
      </w:r>
      <w:r w:rsidRPr="00F64D8A">
        <w:rPr>
          <w:sz w:val="24"/>
          <w:szCs w:val="24"/>
        </w:rPr>
        <w:t>.</w:t>
      </w:r>
    </w:p>
    <w:p w:rsidR="00FD1616" w:rsidRDefault="00FD1616" w:rsidP="002644F5">
      <w:pPr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7.</w:t>
      </w:r>
      <w:r w:rsidRPr="00F64D8A">
        <w:rPr>
          <w:b/>
          <w:sz w:val="24"/>
          <w:szCs w:val="24"/>
        </w:rPr>
        <w:tab/>
        <w:t>INDEHAVER AF MARKEDSFØRINGSTILLADELSEN</w:t>
      </w:r>
    </w:p>
    <w:p w:rsidR="002644F5" w:rsidRPr="00F64D8A" w:rsidRDefault="002644F5" w:rsidP="002644F5">
      <w:pPr>
        <w:ind w:left="851" w:hanging="851"/>
        <w:rPr>
          <w:sz w:val="24"/>
          <w:szCs w:val="24"/>
          <w:lang w:eastAsia="da-DK"/>
        </w:rPr>
      </w:pPr>
      <w:r w:rsidRPr="00F64D8A">
        <w:rPr>
          <w:sz w:val="24"/>
          <w:szCs w:val="24"/>
        </w:rPr>
        <w:tab/>
        <w:t xml:space="preserve">Le </w:t>
      </w:r>
      <w:proofErr w:type="spellStart"/>
      <w:r w:rsidRPr="00F64D8A">
        <w:rPr>
          <w:sz w:val="24"/>
          <w:szCs w:val="24"/>
        </w:rPr>
        <w:t>Vet</w:t>
      </w:r>
      <w:proofErr w:type="spellEnd"/>
      <w:r w:rsidRPr="00F64D8A">
        <w:rPr>
          <w:sz w:val="24"/>
          <w:szCs w:val="24"/>
        </w:rPr>
        <w:t xml:space="preserve"> </w:t>
      </w:r>
      <w:proofErr w:type="spellStart"/>
      <w:r w:rsidRPr="00F64D8A">
        <w:rPr>
          <w:sz w:val="24"/>
          <w:szCs w:val="24"/>
        </w:rPr>
        <w:t>Beheer</w:t>
      </w:r>
      <w:proofErr w:type="spellEnd"/>
      <w:r w:rsidRPr="00F64D8A">
        <w:rPr>
          <w:sz w:val="24"/>
          <w:szCs w:val="24"/>
        </w:rPr>
        <w:t xml:space="preserve"> B.V.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</w:r>
      <w:proofErr w:type="spellStart"/>
      <w:r w:rsidRPr="00F64D8A">
        <w:rPr>
          <w:sz w:val="24"/>
          <w:szCs w:val="24"/>
        </w:rPr>
        <w:t>Wilgenweg</w:t>
      </w:r>
      <w:proofErr w:type="spellEnd"/>
      <w:r w:rsidRPr="00F64D8A">
        <w:rPr>
          <w:sz w:val="24"/>
          <w:szCs w:val="24"/>
        </w:rPr>
        <w:t xml:space="preserve"> 7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  <w:t xml:space="preserve">3421 TV </w:t>
      </w:r>
      <w:proofErr w:type="spellStart"/>
      <w:r w:rsidRPr="00F64D8A">
        <w:rPr>
          <w:sz w:val="24"/>
          <w:szCs w:val="24"/>
        </w:rPr>
        <w:t>Oudewater</w:t>
      </w:r>
      <w:proofErr w:type="spellEnd"/>
      <w:r w:rsidRPr="00F64D8A">
        <w:rPr>
          <w:sz w:val="24"/>
          <w:szCs w:val="24"/>
        </w:rPr>
        <w:t>.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  <w:t>Holland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sz w:val="24"/>
          <w:szCs w:val="24"/>
        </w:rPr>
        <w:tab/>
      </w:r>
      <w:r w:rsidRPr="00F64D8A">
        <w:rPr>
          <w:b/>
          <w:sz w:val="24"/>
          <w:szCs w:val="24"/>
        </w:rPr>
        <w:t>Repræsentant</w:t>
      </w:r>
    </w:p>
    <w:p w:rsidR="005014D4" w:rsidRPr="009F63EF" w:rsidRDefault="002644F5" w:rsidP="005014D4">
      <w:pPr>
        <w:tabs>
          <w:tab w:val="left" w:pos="851"/>
          <w:tab w:val="left" w:pos="8222"/>
        </w:tabs>
        <w:rPr>
          <w:rFonts w:eastAsia="Cambria"/>
          <w:sz w:val="24"/>
          <w:szCs w:val="24"/>
          <w:lang w:val="en-US" w:eastAsia="da-DK" w:bidi="da-DK"/>
        </w:rPr>
      </w:pPr>
      <w:r w:rsidRPr="00F64D8A">
        <w:rPr>
          <w:sz w:val="24"/>
          <w:szCs w:val="24"/>
        </w:rPr>
        <w:tab/>
      </w:r>
      <w:proofErr w:type="spellStart"/>
      <w:r w:rsidR="005014D4" w:rsidRPr="009F63EF">
        <w:rPr>
          <w:rFonts w:eastAsia="Cambria"/>
          <w:sz w:val="24"/>
          <w:szCs w:val="24"/>
          <w:lang w:val="en-US" w:eastAsia="da-DK" w:bidi="da-DK"/>
        </w:rPr>
        <w:t>Dechra</w:t>
      </w:r>
      <w:proofErr w:type="spellEnd"/>
      <w:r w:rsidR="005014D4" w:rsidRPr="009F63EF">
        <w:rPr>
          <w:rFonts w:eastAsia="Cambria"/>
          <w:sz w:val="24"/>
          <w:szCs w:val="24"/>
          <w:lang w:val="en-US" w:eastAsia="da-DK" w:bidi="da-DK"/>
        </w:rPr>
        <w:t xml:space="preserve"> Veterinary Products A/S</w:t>
      </w:r>
    </w:p>
    <w:p w:rsidR="005014D4" w:rsidRPr="005014D4" w:rsidRDefault="005014D4" w:rsidP="005014D4">
      <w:pPr>
        <w:tabs>
          <w:tab w:val="left" w:pos="851"/>
          <w:tab w:val="left" w:pos="8222"/>
        </w:tabs>
        <w:rPr>
          <w:rFonts w:eastAsia="Cambria"/>
          <w:sz w:val="24"/>
          <w:szCs w:val="24"/>
          <w:lang w:val="en-US" w:eastAsia="da-DK" w:bidi="da-DK"/>
        </w:rPr>
      </w:pPr>
      <w:r w:rsidRPr="005014D4">
        <w:rPr>
          <w:rFonts w:eastAsia="Cambria"/>
          <w:sz w:val="24"/>
          <w:szCs w:val="24"/>
          <w:lang w:val="en-US" w:eastAsia="da-DK" w:bidi="da-DK"/>
        </w:rPr>
        <w:tab/>
      </w:r>
      <w:proofErr w:type="spellStart"/>
      <w:r w:rsidRPr="005014D4">
        <w:rPr>
          <w:rFonts w:eastAsia="Cambria"/>
          <w:sz w:val="24"/>
          <w:szCs w:val="24"/>
          <w:lang w:val="en-US" w:eastAsia="da-DK" w:bidi="da-DK"/>
        </w:rPr>
        <w:t>Mekuvej</w:t>
      </w:r>
      <w:proofErr w:type="spellEnd"/>
      <w:r w:rsidRPr="005014D4">
        <w:rPr>
          <w:rFonts w:eastAsia="Cambria"/>
          <w:sz w:val="24"/>
          <w:szCs w:val="24"/>
          <w:lang w:val="en-US" w:eastAsia="da-DK" w:bidi="da-DK"/>
        </w:rPr>
        <w:t xml:space="preserve"> 9</w:t>
      </w:r>
    </w:p>
    <w:p w:rsidR="002644F5" w:rsidRPr="005014D4" w:rsidRDefault="005014D4" w:rsidP="005014D4">
      <w:pPr>
        <w:tabs>
          <w:tab w:val="left" w:pos="851"/>
          <w:tab w:val="left" w:pos="8222"/>
        </w:tabs>
        <w:rPr>
          <w:rFonts w:eastAsia="Cambria"/>
          <w:sz w:val="24"/>
          <w:szCs w:val="24"/>
          <w:lang w:eastAsia="da-DK" w:bidi="da-DK"/>
        </w:rPr>
      </w:pPr>
      <w:r w:rsidRPr="005014D4">
        <w:rPr>
          <w:rFonts w:eastAsia="Cambria"/>
          <w:sz w:val="24"/>
          <w:szCs w:val="24"/>
          <w:lang w:val="en-US" w:eastAsia="da-DK" w:bidi="da-DK"/>
        </w:rPr>
        <w:tab/>
      </w:r>
      <w:r w:rsidRPr="009F63EF">
        <w:rPr>
          <w:rFonts w:eastAsia="Cambria"/>
          <w:sz w:val="24"/>
          <w:szCs w:val="24"/>
          <w:lang w:eastAsia="da-DK" w:bidi="da-DK"/>
        </w:rPr>
        <w:t>7171 Uldum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8.</w:t>
      </w:r>
      <w:r w:rsidRPr="00F64D8A">
        <w:rPr>
          <w:b/>
          <w:sz w:val="24"/>
          <w:szCs w:val="24"/>
        </w:rPr>
        <w:tab/>
        <w:t>MARKEDSFØRINGSTILLADELSESNUMMER (NUMRE)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  <w:t>54170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9.</w:t>
      </w:r>
      <w:r w:rsidRPr="00F64D8A">
        <w:rPr>
          <w:b/>
          <w:sz w:val="24"/>
          <w:szCs w:val="24"/>
        </w:rPr>
        <w:tab/>
        <w:t>DATO FOR FØRSTE MARKEDSFØRINGSTILLADELSE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  <w:t>6. maj 2015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10.</w:t>
      </w:r>
      <w:r w:rsidRPr="00F64D8A">
        <w:rPr>
          <w:b/>
          <w:sz w:val="24"/>
          <w:szCs w:val="24"/>
        </w:rPr>
        <w:tab/>
        <w:t>DATO FOR ÆNDRING AF TEKSTEN</w:t>
      </w:r>
    </w:p>
    <w:p w:rsidR="00FD1616" w:rsidRPr="00F64D8A" w:rsidRDefault="002644F5" w:rsidP="002644F5">
      <w:pPr>
        <w:ind w:left="851" w:hanging="851"/>
        <w:rPr>
          <w:sz w:val="24"/>
          <w:szCs w:val="24"/>
        </w:rPr>
      </w:pPr>
      <w:r w:rsidRPr="00F64D8A">
        <w:rPr>
          <w:sz w:val="24"/>
          <w:szCs w:val="24"/>
        </w:rPr>
        <w:tab/>
      </w:r>
      <w:r w:rsidR="005014D4">
        <w:rPr>
          <w:sz w:val="24"/>
          <w:szCs w:val="24"/>
        </w:rPr>
        <w:t>4</w:t>
      </w:r>
      <w:r w:rsidR="00FD1616">
        <w:rPr>
          <w:sz w:val="24"/>
          <w:szCs w:val="24"/>
        </w:rPr>
        <w:t>. april 202</w:t>
      </w:r>
      <w:r w:rsidR="005014D4">
        <w:rPr>
          <w:sz w:val="24"/>
          <w:szCs w:val="24"/>
        </w:rPr>
        <w:t>2</w:t>
      </w:r>
    </w:p>
    <w:p w:rsidR="002644F5" w:rsidRPr="00F64D8A" w:rsidRDefault="002644F5" w:rsidP="002644F5">
      <w:pPr>
        <w:ind w:left="851" w:hanging="851"/>
        <w:rPr>
          <w:sz w:val="24"/>
          <w:szCs w:val="24"/>
        </w:rPr>
      </w:pPr>
    </w:p>
    <w:p w:rsidR="002644F5" w:rsidRPr="00F64D8A" w:rsidRDefault="002644F5" w:rsidP="002644F5">
      <w:pPr>
        <w:ind w:left="851" w:hanging="851"/>
        <w:rPr>
          <w:b/>
          <w:sz w:val="24"/>
          <w:szCs w:val="24"/>
        </w:rPr>
      </w:pPr>
      <w:r w:rsidRPr="00F64D8A">
        <w:rPr>
          <w:b/>
          <w:sz w:val="24"/>
          <w:szCs w:val="24"/>
        </w:rPr>
        <w:t>11.</w:t>
      </w:r>
      <w:r w:rsidRPr="00F64D8A">
        <w:rPr>
          <w:b/>
          <w:sz w:val="24"/>
          <w:szCs w:val="24"/>
        </w:rPr>
        <w:tab/>
        <w:t>UDLEVERINGSBESTEMMELSE</w:t>
      </w:r>
    </w:p>
    <w:p w:rsidR="002644F5" w:rsidRPr="00F64D8A" w:rsidRDefault="002644F5" w:rsidP="002644F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F64D8A">
        <w:rPr>
          <w:szCs w:val="24"/>
        </w:rPr>
        <w:tab/>
        <w:t>B</w:t>
      </w:r>
    </w:p>
    <w:p w:rsidR="002644F5" w:rsidRPr="00AF6D6A" w:rsidRDefault="002644F5" w:rsidP="002644F5"/>
    <w:p w:rsidR="0003527F" w:rsidRPr="002644F5" w:rsidRDefault="0003527F" w:rsidP="002644F5"/>
    <w:sectPr w:rsidR="0003527F" w:rsidRPr="002644F5" w:rsidSect="00C479BF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F5" w:rsidRDefault="002644F5">
      <w:r>
        <w:separator/>
      </w:r>
    </w:p>
  </w:endnote>
  <w:endnote w:type="continuationSeparator" w:id="0">
    <w:p w:rsidR="002644F5" w:rsidRDefault="0026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0655B">
      <w:rPr>
        <w:i/>
        <w:noProof/>
        <w:snapToGrid w:val="0"/>
        <w:sz w:val="18"/>
      </w:rPr>
      <w:t>Canergy Vet., tabletter 100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0655B">
      <w:rPr>
        <w:i/>
        <w:noProof/>
        <w:snapToGrid w:val="0"/>
        <w:sz w:val="18"/>
      </w:rPr>
      <w:t>Canergy Vet., tabletter 100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F5" w:rsidRDefault="002644F5">
      <w:r>
        <w:separator/>
      </w:r>
    </w:p>
  </w:footnote>
  <w:footnote w:type="continuationSeparator" w:id="0">
    <w:p w:rsidR="002644F5" w:rsidRDefault="0026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F5"/>
    <w:rsid w:val="0003527F"/>
    <w:rsid w:val="00065C7D"/>
    <w:rsid w:val="000C6CD4"/>
    <w:rsid w:val="00106C94"/>
    <w:rsid w:val="001577E4"/>
    <w:rsid w:val="001858CA"/>
    <w:rsid w:val="001C4AEF"/>
    <w:rsid w:val="001D3CC5"/>
    <w:rsid w:val="002644F5"/>
    <w:rsid w:val="00302AB5"/>
    <w:rsid w:val="00322BDE"/>
    <w:rsid w:val="00406EE7"/>
    <w:rsid w:val="00407013"/>
    <w:rsid w:val="004444EF"/>
    <w:rsid w:val="004A62CC"/>
    <w:rsid w:val="005014D4"/>
    <w:rsid w:val="00565A74"/>
    <w:rsid w:val="005B0036"/>
    <w:rsid w:val="005F5831"/>
    <w:rsid w:val="00662012"/>
    <w:rsid w:val="00666B01"/>
    <w:rsid w:val="006B1539"/>
    <w:rsid w:val="006D4B41"/>
    <w:rsid w:val="006F5621"/>
    <w:rsid w:val="0070655B"/>
    <w:rsid w:val="007E2A00"/>
    <w:rsid w:val="008010F2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692D"/>
    <w:rsid w:val="00C479BF"/>
    <w:rsid w:val="00D567AA"/>
    <w:rsid w:val="00DD6D71"/>
    <w:rsid w:val="00DF32BE"/>
    <w:rsid w:val="00E14F0A"/>
    <w:rsid w:val="00E87BAE"/>
    <w:rsid w:val="00EB5778"/>
    <w:rsid w:val="00EE5253"/>
    <w:rsid w:val="00FA66E4"/>
    <w:rsid w:val="00FD1616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B7219A"/>
  <w15:chartTrackingRefBased/>
  <w15:docId w15:val="{C2C05709-ABF7-4492-89BA-5F5EA3F9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</TotalTime>
  <Pages>5</Pages>
  <Words>914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2022030983_x000d_
Skift af repræsentant fra Virbac Danmark A/S</dc:description>
  <cp:lastModifiedBy>Marianne Ott Jensen</cp:lastModifiedBy>
  <cp:revision>3</cp:revision>
  <dcterms:created xsi:type="dcterms:W3CDTF">2022-03-31T10:32:00Z</dcterms:created>
  <dcterms:modified xsi:type="dcterms:W3CDTF">2022-03-31T10:33:00Z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