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16F41" w:rsidRPr="008548D2" w:rsidRDefault="00016F41" w:rsidP="00016F41">
      <w:pPr>
        <w:tabs>
          <w:tab w:val="left" w:pos="6804"/>
        </w:tabs>
        <w:rPr>
          <w:sz w:val="24"/>
          <w:szCs w:val="24"/>
        </w:rPr>
      </w:pPr>
      <w:r w:rsidRPr="008548D2">
        <w:rPr>
          <w:sz w:val="24"/>
          <w:szCs w:val="24"/>
        </w:rPr>
        <w:fldChar w:fldCharType="begin"/>
      </w:r>
      <w:r w:rsidRPr="008548D2">
        <w:rPr>
          <w:sz w:val="24"/>
          <w:szCs w:val="24"/>
        </w:rPr>
        <w:instrText xml:space="preserve"> INCLUDEPICTURE  "cid:image004.jpg@01D117E9.E5553340" \* MERGEFORMATINET </w:instrText>
      </w:r>
      <w:r w:rsidRPr="008548D2">
        <w:rPr>
          <w:sz w:val="24"/>
          <w:szCs w:val="24"/>
        </w:rPr>
        <w:fldChar w:fldCharType="separate"/>
      </w:r>
      <w:r w:rsidRPr="008548D2">
        <w:rPr>
          <w:sz w:val="24"/>
          <w:szCs w:val="24"/>
        </w:rPr>
        <w:fldChar w:fldCharType="begin"/>
      </w:r>
      <w:r w:rsidRPr="008548D2">
        <w:rPr>
          <w:sz w:val="24"/>
          <w:szCs w:val="24"/>
        </w:rPr>
        <w:instrText xml:space="preserve"> INCLUDEPICTURE  "cid:image004.jpg@01D117E9.E5553340" \* MERGEFORMATINET </w:instrText>
      </w:r>
      <w:r w:rsidRPr="008548D2">
        <w:rPr>
          <w:sz w:val="24"/>
          <w:szCs w:val="24"/>
        </w:rPr>
        <w:fldChar w:fldCharType="separate"/>
      </w:r>
      <w:r w:rsidRPr="008548D2">
        <w:rPr>
          <w:sz w:val="24"/>
          <w:szCs w:val="24"/>
        </w:rPr>
        <w:fldChar w:fldCharType="begin"/>
      </w:r>
      <w:r w:rsidRPr="008548D2">
        <w:rPr>
          <w:sz w:val="24"/>
          <w:szCs w:val="24"/>
        </w:rPr>
        <w:instrText xml:space="preserve"> INCLUDEPICTURE  "cid:image004.jpg@01D117E9.E5553340" \* MERGEFORMATINET </w:instrText>
      </w:r>
      <w:r w:rsidRPr="008548D2">
        <w:rPr>
          <w:sz w:val="24"/>
          <w:szCs w:val="24"/>
        </w:rPr>
        <w:fldChar w:fldCharType="separate"/>
      </w:r>
      <w:r w:rsidR="005F6252" w:rsidRPr="008548D2">
        <w:rPr>
          <w:sz w:val="24"/>
          <w:szCs w:val="24"/>
        </w:rPr>
        <w:fldChar w:fldCharType="begin"/>
      </w:r>
      <w:r w:rsidR="005F6252" w:rsidRPr="008548D2">
        <w:rPr>
          <w:sz w:val="24"/>
          <w:szCs w:val="24"/>
        </w:rPr>
        <w:instrText xml:space="preserve"> INCLUDEPICTURE  "cid:image004.jpg@01D117E9.E5553340" \* MERGEFORMATINET </w:instrText>
      </w:r>
      <w:r w:rsidR="005F6252" w:rsidRPr="008548D2">
        <w:rPr>
          <w:sz w:val="24"/>
          <w:szCs w:val="24"/>
        </w:rPr>
        <w:fldChar w:fldCharType="separate"/>
      </w:r>
      <w:r w:rsidR="00C3761B" w:rsidRPr="008548D2">
        <w:rPr>
          <w:sz w:val="24"/>
          <w:szCs w:val="24"/>
        </w:rPr>
        <w:fldChar w:fldCharType="begin"/>
      </w:r>
      <w:r w:rsidR="00C3761B" w:rsidRPr="008548D2">
        <w:rPr>
          <w:sz w:val="24"/>
          <w:szCs w:val="24"/>
        </w:rPr>
        <w:instrText xml:space="preserve"> INCLUDEPICTURE  "cid:image004.jpg@01D117E9.E5553340" \* MERGEFORMATINET </w:instrText>
      </w:r>
      <w:r w:rsidR="00C3761B" w:rsidRPr="008548D2">
        <w:rPr>
          <w:sz w:val="24"/>
          <w:szCs w:val="24"/>
        </w:rPr>
        <w:fldChar w:fldCharType="separate"/>
      </w:r>
      <w:r w:rsidR="00D105AF" w:rsidRPr="008548D2">
        <w:rPr>
          <w:sz w:val="24"/>
          <w:szCs w:val="24"/>
        </w:rPr>
        <w:fldChar w:fldCharType="begin"/>
      </w:r>
      <w:r w:rsidR="00D105AF" w:rsidRPr="008548D2">
        <w:rPr>
          <w:sz w:val="24"/>
          <w:szCs w:val="24"/>
        </w:rPr>
        <w:instrText xml:space="preserve"> INCLUDEPICTURE  "cid:image004.jpg@01D117E9.E5553340" \* MERGEFORMATINET </w:instrText>
      </w:r>
      <w:r w:rsidR="00D105AF" w:rsidRPr="008548D2">
        <w:rPr>
          <w:sz w:val="24"/>
          <w:szCs w:val="24"/>
        </w:rPr>
        <w:fldChar w:fldCharType="separate"/>
      </w:r>
      <w:r w:rsidR="008548D2" w:rsidRPr="008548D2">
        <w:rPr>
          <w:sz w:val="24"/>
          <w:szCs w:val="24"/>
        </w:rPr>
        <w:fldChar w:fldCharType="begin"/>
      </w:r>
      <w:r w:rsidR="008548D2" w:rsidRPr="008548D2">
        <w:rPr>
          <w:sz w:val="24"/>
          <w:szCs w:val="24"/>
        </w:rPr>
        <w:instrText xml:space="preserve"> INCLUDEPICTURE  "cid:image004.jpg@01D117E9.E5553340" \* MERGEFORMATINET </w:instrText>
      </w:r>
      <w:r w:rsidR="008548D2" w:rsidRPr="008548D2">
        <w:rPr>
          <w:sz w:val="24"/>
          <w:szCs w:val="24"/>
        </w:rPr>
        <w:fldChar w:fldCharType="separate"/>
      </w:r>
      <w:r w:rsidR="00C9043B">
        <w:rPr>
          <w:sz w:val="24"/>
          <w:szCs w:val="24"/>
        </w:rPr>
        <w:fldChar w:fldCharType="begin"/>
      </w:r>
      <w:r w:rsidR="00C9043B">
        <w:rPr>
          <w:sz w:val="24"/>
          <w:szCs w:val="24"/>
        </w:rPr>
        <w:instrText xml:space="preserve"> </w:instrText>
      </w:r>
      <w:r w:rsidR="00C9043B">
        <w:rPr>
          <w:sz w:val="24"/>
          <w:szCs w:val="24"/>
        </w:rPr>
        <w:instrText>INCLUDEPICTURE  "cid:image004.jpg@01D117E9.E5553340" \* MERGEFORMATINET</w:instrText>
      </w:r>
      <w:r w:rsidR="00C9043B">
        <w:rPr>
          <w:sz w:val="24"/>
          <w:szCs w:val="24"/>
        </w:rPr>
        <w:instrText xml:space="preserve"> </w:instrText>
      </w:r>
      <w:r w:rsidR="00C9043B">
        <w:rPr>
          <w:sz w:val="24"/>
          <w:szCs w:val="24"/>
        </w:rPr>
        <w:fldChar w:fldCharType="separate"/>
      </w:r>
      <w:r w:rsidR="00C9043B">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C9043B">
        <w:rPr>
          <w:sz w:val="24"/>
          <w:szCs w:val="24"/>
        </w:rPr>
        <w:fldChar w:fldCharType="end"/>
      </w:r>
      <w:r w:rsidR="008548D2" w:rsidRPr="008548D2">
        <w:rPr>
          <w:sz w:val="24"/>
          <w:szCs w:val="24"/>
        </w:rPr>
        <w:fldChar w:fldCharType="end"/>
      </w:r>
      <w:r w:rsidR="00D105AF" w:rsidRPr="008548D2">
        <w:rPr>
          <w:sz w:val="24"/>
          <w:szCs w:val="24"/>
        </w:rPr>
        <w:fldChar w:fldCharType="end"/>
      </w:r>
      <w:r w:rsidR="00C3761B" w:rsidRPr="008548D2">
        <w:rPr>
          <w:sz w:val="24"/>
          <w:szCs w:val="24"/>
        </w:rPr>
        <w:fldChar w:fldCharType="end"/>
      </w:r>
      <w:r w:rsidR="005F6252" w:rsidRPr="008548D2">
        <w:rPr>
          <w:sz w:val="24"/>
          <w:szCs w:val="24"/>
        </w:rPr>
        <w:fldChar w:fldCharType="end"/>
      </w:r>
      <w:r w:rsidRPr="008548D2">
        <w:rPr>
          <w:sz w:val="24"/>
          <w:szCs w:val="24"/>
        </w:rPr>
        <w:fldChar w:fldCharType="end"/>
      </w:r>
      <w:r w:rsidRPr="008548D2">
        <w:rPr>
          <w:sz w:val="24"/>
          <w:szCs w:val="24"/>
        </w:rPr>
        <w:fldChar w:fldCharType="end"/>
      </w:r>
      <w:r w:rsidRPr="008548D2">
        <w:rPr>
          <w:sz w:val="24"/>
          <w:szCs w:val="24"/>
        </w:rPr>
        <w:fldChar w:fldCharType="end"/>
      </w:r>
    </w:p>
    <w:p w:rsidR="00D105AF" w:rsidRPr="008548D2" w:rsidRDefault="00D105AF" w:rsidP="00016F41">
      <w:pPr>
        <w:tabs>
          <w:tab w:val="left" w:pos="6804"/>
        </w:tabs>
        <w:rPr>
          <w:b/>
          <w:sz w:val="24"/>
          <w:szCs w:val="24"/>
        </w:rPr>
      </w:pPr>
    </w:p>
    <w:p w:rsidR="00016F41" w:rsidRPr="008548D2" w:rsidRDefault="008548D2" w:rsidP="00016F41">
      <w:pPr>
        <w:tabs>
          <w:tab w:val="left" w:pos="6804"/>
        </w:tabs>
        <w:jc w:val="right"/>
        <w:rPr>
          <w:b/>
          <w:sz w:val="24"/>
          <w:szCs w:val="24"/>
        </w:rPr>
      </w:pPr>
      <w:r w:rsidRPr="008548D2">
        <w:rPr>
          <w:b/>
          <w:sz w:val="24"/>
          <w:szCs w:val="24"/>
        </w:rPr>
        <w:t>6. marts 2025</w:t>
      </w:r>
    </w:p>
    <w:p w:rsidR="00016F41" w:rsidRPr="008548D2" w:rsidRDefault="00016F41" w:rsidP="00016F41">
      <w:pPr>
        <w:tabs>
          <w:tab w:val="left" w:pos="8222"/>
        </w:tabs>
        <w:rPr>
          <w:sz w:val="24"/>
          <w:szCs w:val="24"/>
        </w:rPr>
      </w:pPr>
    </w:p>
    <w:p w:rsidR="00016F41" w:rsidRPr="008548D2" w:rsidRDefault="00016F41" w:rsidP="00016F41">
      <w:pPr>
        <w:tabs>
          <w:tab w:val="left" w:pos="8222"/>
        </w:tabs>
        <w:rPr>
          <w:sz w:val="24"/>
          <w:szCs w:val="24"/>
        </w:rPr>
      </w:pPr>
    </w:p>
    <w:p w:rsidR="00016F41" w:rsidRPr="008548D2" w:rsidRDefault="00016F41" w:rsidP="00016F41">
      <w:pPr>
        <w:tabs>
          <w:tab w:val="left" w:pos="8222"/>
        </w:tabs>
        <w:jc w:val="center"/>
        <w:rPr>
          <w:b/>
          <w:sz w:val="24"/>
          <w:szCs w:val="24"/>
        </w:rPr>
      </w:pPr>
      <w:r w:rsidRPr="008548D2">
        <w:rPr>
          <w:b/>
          <w:sz w:val="24"/>
          <w:szCs w:val="24"/>
        </w:rPr>
        <w:t>PRODUKTRESUMÉ</w:t>
      </w:r>
    </w:p>
    <w:p w:rsidR="00016F41" w:rsidRPr="008548D2" w:rsidRDefault="00016F41" w:rsidP="00016F41">
      <w:pPr>
        <w:tabs>
          <w:tab w:val="left" w:pos="8222"/>
        </w:tabs>
        <w:jc w:val="center"/>
        <w:rPr>
          <w:b/>
          <w:sz w:val="24"/>
          <w:szCs w:val="24"/>
        </w:rPr>
      </w:pPr>
    </w:p>
    <w:p w:rsidR="00016F41" w:rsidRPr="008548D2" w:rsidRDefault="00016F41" w:rsidP="00016F41">
      <w:pPr>
        <w:tabs>
          <w:tab w:val="left" w:pos="8222"/>
        </w:tabs>
        <w:jc w:val="center"/>
        <w:rPr>
          <w:b/>
          <w:sz w:val="24"/>
          <w:szCs w:val="24"/>
        </w:rPr>
      </w:pPr>
      <w:r w:rsidRPr="008548D2">
        <w:rPr>
          <w:b/>
          <w:sz w:val="24"/>
          <w:szCs w:val="24"/>
        </w:rPr>
        <w:t>for</w:t>
      </w:r>
    </w:p>
    <w:p w:rsidR="00016F41" w:rsidRPr="008548D2" w:rsidRDefault="00016F41" w:rsidP="00016F41">
      <w:pPr>
        <w:tabs>
          <w:tab w:val="left" w:pos="8222"/>
        </w:tabs>
        <w:jc w:val="center"/>
        <w:rPr>
          <w:b/>
          <w:sz w:val="24"/>
          <w:szCs w:val="24"/>
        </w:rPr>
      </w:pPr>
    </w:p>
    <w:p w:rsidR="00016F41" w:rsidRPr="008548D2" w:rsidRDefault="00016F41" w:rsidP="00016F41">
      <w:pPr>
        <w:tabs>
          <w:tab w:val="left" w:pos="8222"/>
        </w:tabs>
        <w:jc w:val="center"/>
        <w:rPr>
          <w:b/>
          <w:sz w:val="24"/>
          <w:szCs w:val="24"/>
        </w:rPr>
      </w:pPr>
      <w:proofErr w:type="spellStart"/>
      <w:r w:rsidRPr="008548D2">
        <w:rPr>
          <w:b/>
          <w:sz w:val="24"/>
          <w:szCs w:val="24"/>
        </w:rPr>
        <w:t>Canizol</w:t>
      </w:r>
      <w:proofErr w:type="spellEnd"/>
      <w:r w:rsidRPr="008548D2">
        <w:rPr>
          <w:b/>
          <w:sz w:val="24"/>
          <w:szCs w:val="24"/>
        </w:rPr>
        <w:t xml:space="preserve"> </w:t>
      </w:r>
      <w:proofErr w:type="spellStart"/>
      <w:r w:rsidRPr="008548D2">
        <w:rPr>
          <w:b/>
          <w:sz w:val="24"/>
          <w:szCs w:val="24"/>
        </w:rPr>
        <w:t>Vet</w:t>
      </w:r>
      <w:proofErr w:type="spellEnd"/>
      <w:r w:rsidRPr="008548D2">
        <w:rPr>
          <w:b/>
          <w:sz w:val="24"/>
          <w:szCs w:val="24"/>
        </w:rPr>
        <w:t>, tabletter</w:t>
      </w:r>
    </w:p>
    <w:p w:rsidR="00016F41" w:rsidRPr="008548D2" w:rsidRDefault="00016F41" w:rsidP="00016F41">
      <w:pPr>
        <w:tabs>
          <w:tab w:val="left" w:pos="8222"/>
        </w:tabs>
        <w:jc w:val="both"/>
        <w:rPr>
          <w:sz w:val="24"/>
          <w:szCs w:val="24"/>
        </w:rPr>
      </w:pPr>
    </w:p>
    <w:p w:rsidR="00016F41" w:rsidRPr="008548D2" w:rsidRDefault="00016F41" w:rsidP="00016F41">
      <w:pPr>
        <w:ind w:left="851" w:hanging="851"/>
        <w:jc w:val="both"/>
        <w:rPr>
          <w:sz w:val="24"/>
          <w:szCs w:val="24"/>
        </w:rPr>
      </w:pPr>
    </w:p>
    <w:p w:rsidR="00016F41" w:rsidRPr="008548D2" w:rsidRDefault="00016F41" w:rsidP="008548D2">
      <w:pPr>
        <w:tabs>
          <w:tab w:val="left" w:pos="567"/>
        </w:tabs>
        <w:ind w:left="851" w:hanging="851"/>
        <w:rPr>
          <w:b/>
          <w:sz w:val="24"/>
          <w:szCs w:val="24"/>
        </w:rPr>
      </w:pPr>
      <w:r w:rsidRPr="008548D2">
        <w:rPr>
          <w:b/>
          <w:sz w:val="24"/>
          <w:szCs w:val="24"/>
        </w:rPr>
        <w:t>0.</w:t>
      </w:r>
      <w:r w:rsidRPr="008548D2">
        <w:rPr>
          <w:b/>
          <w:sz w:val="24"/>
          <w:szCs w:val="24"/>
        </w:rPr>
        <w:tab/>
        <w:t>D.SP.NR.</w:t>
      </w:r>
    </w:p>
    <w:p w:rsidR="00016F41" w:rsidRPr="008548D2" w:rsidRDefault="008548D2" w:rsidP="008548D2">
      <w:pPr>
        <w:tabs>
          <w:tab w:val="left" w:pos="567"/>
        </w:tabs>
        <w:rPr>
          <w:sz w:val="24"/>
          <w:szCs w:val="24"/>
        </w:rPr>
      </w:pPr>
      <w:r>
        <w:rPr>
          <w:sz w:val="24"/>
          <w:szCs w:val="24"/>
        </w:rPr>
        <w:tab/>
      </w:r>
      <w:r w:rsidR="00016F41" w:rsidRPr="008548D2">
        <w:rPr>
          <w:sz w:val="24"/>
          <w:szCs w:val="24"/>
        </w:rPr>
        <w:t>28970</w:t>
      </w:r>
    </w:p>
    <w:p w:rsidR="00016F41" w:rsidRPr="008548D2" w:rsidRDefault="00016F41" w:rsidP="00016F41">
      <w:pPr>
        <w:ind w:left="851" w:hanging="851"/>
        <w:rPr>
          <w:sz w:val="24"/>
          <w:szCs w:val="24"/>
        </w:rPr>
      </w:pPr>
    </w:p>
    <w:p w:rsidR="008548D2" w:rsidRPr="008548D2" w:rsidRDefault="008548D2" w:rsidP="008548D2">
      <w:pPr>
        <w:pStyle w:val="Style1"/>
        <w:rPr>
          <w:sz w:val="24"/>
          <w:szCs w:val="24"/>
        </w:rPr>
      </w:pPr>
      <w:r w:rsidRPr="008548D2">
        <w:rPr>
          <w:sz w:val="24"/>
          <w:szCs w:val="24"/>
        </w:rPr>
        <w:t>1.</w:t>
      </w:r>
      <w:r w:rsidRPr="008548D2">
        <w:rPr>
          <w:sz w:val="24"/>
          <w:szCs w:val="24"/>
        </w:rPr>
        <w:tab/>
        <w:t>VETERINÆRLÆGEMIDLETS NAVN</w:t>
      </w:r>
    </w:p>
    <w:p w:rsidR="008548D2" w:rsidRPr="008548D2" w:rsidRDefault="008548D2" w:rsidP="008548D2">
      <w:pPr>
        <w:rPr>
          <w:sz w:val="24"/>
          <w:szCs w:val="24"/>
        </w:rPr>
      </w:pPr>
    </w:p>
    <w:p w:rsidR="008548D2" w:rsidRPr="008548D2" w:rsidRDefault="008548D2" w:rsidP="008548D2">
      <w:pPr>
        <w:ind w:left="567"/>
        <w:rPr>
          <w:sz w:val="24"/>
          <w:szCs w:val="24"/>
        </w:rPr>
      </w:pPr>
      <w:proofErr w:type="spellStart"/>
      <w:r w:rsidRPr="008548D2">
        <w:rPr>
          <w:sz w:val="24"/>
          <w:szCs w:val="24"/>
        </w:rPr>
        <w:t>Canizol</w:t>
      </w:r>
      <w:proofErr w:type="spellEnd"/>
      <w:r w:rsidRPr="008548D2">
        <w:rPr>
          <w:sz w:val="24"/>
          <w:szCs w:val="24"/>
        </w:rPr>
        <w:t xml:space="preserve"> </w:t>
      </w:r>
      <w:proofErr w:type="spellStart"/>
      <w:r w:rsidRPr="008548D2">
        <w:rPr>
          <w:sz w:val="24"/>
          <w:szCs w:val="24"/>
        </w:rPr>
        <w:t>Vet</w:t>
      </w:r>
      <w:proofErr w:type="spellEnd"/>
      <w:r w:rsidRPr="008548D2">
        <w:rPr>
          <w:sz w:val="24"/>
          <w:szCs w:val="24"/>
        </w:rPr>
        <w:t>.</w:t>
      </w:r>
    </w:p>
    <w:p w:rsidR="008548D2" w:rsidRPr="008548D2" w:rsidRDefault="008548D2" w:rsidP="008548D2">
      <w:pPr>
        <w:ind w:left="567"/>
        <w:rPr>
          <w:sz w:val="24"/>
          <w:szCs w:val="24"/>
        </w:rPr>
      </w:pPr>
      <w:r w:rsidRPr="008548D2">
        <w:rPr>
          <w:sz w:val="24"/>
          <w:szCs w:val="24"/>
        </w:rPr>
        <w:t>Lægemiddelform: tabletter</w:t>
      </w:r>
    </w:p>
    <w:p w:rsidR="008548D2" w:rsidRPr="008548D2" w:rsidRDefault="008548D2" w:rsidP="008548D2">
      <w:pPr>
        <w:ind w:left="567"/>
        <w:rPr>
          <w:sz w:val="24"/>
          <w:szCs w:val="24"/>
        </w:rPr>
      </w:pPr>
      <w:r w:rsidRPr="008548D2">
        <w:rPr>
          <w:sz w:val="24"/>
          <w:szCs w:val="24"/>
        </w:rPr>
        <w:t>Styrker: 200 mg, 400 mg</w:t>
      </w:r>
    </w:p>
    <w:p w:rsidR="008548D2" w:rsidRPr="008548D2" w:rsidRDefault="008548D2" w:rsidP="008548D2">
      <w:pPr>
        <w:rPr>
          <w:sz w:val="24"/>
          <w:szCs w:val="24"/>
        </w:rPr>
      </w:pPr>
    </w:p>
    <w:p w:rsidR="008548D2" w:rsidRPr="008548D2" w:rsidRDefault="008548D2" w:rsidP="008548D2">
      <w:pPr>
        <w:pStyle w:val="Style1"/>
        <w:rPr>
          <w:sz w:val="24"/>
          <w:szCs w:val="24"/>
        </w:rPr>
      </w:pPr>
      <w:r w:rsidRPr="008548D2">
        <w:rPr>
          <w:sz w:val="24"/>
          <w:szCs w:val="24"/>
        </w:rPr>
        <w:t>2.</w:t>
      </w:r>
      <w:r w:rsidRPr="008548D2">
        <w:rPr>
          <w:sz w:val="24"/>
          <w:szCs w:val="24"/>
        </w:rPr>
        <w:tab/>
        <w:t>KVALITATIV OG KVANTITATIV SAMMENSÆTNING</w:t>
      </w:r>
    </w:p>
    <w:p w:rsidR="008548D2" w:rsidRPr="008548D2" w:rsidRDefault="008548D2" w:rsidP="008548D2">
      <w:pPr>
        <w:rPr>
          <w:sz w:val="24"/>
          <w:szCs w:val="24"/>
        </w:rPr>
      </w:pPr>
    </w:p>
    <w:p w:rsidR="008548D2" w:rsidRPr="008548D2" w:rsidRDefault="008548D2" w:rsidP="008548D2">
      <w:pPr>
        <w:ind w:left="567"/>
        <w:rPr>
          <w:b/>
          <w:bCs/>
          <w:sz w:val="24"/>
          <w:szCs w:val="24"/>
        </w:rPr>
      </w:pPr>
      <w:r w:rsidRPr="008548D2">
        <w:rPr>
          <w:b/>
          <w:bCs/>
          <w:sz w:val="24"/>
          <w:szCs w:val="24"/>
        </w:rPr>
        <w:t>200 mg tabletter:</w:t>
      </w:r>
    </w:p>
    <w:p w:rsidR="008548D2" w:rsidRPr="008548D2" w:rsidRDefault="008548D2" w:rsidP="008548D2">
      <w:pPr>
        <w:ind w:left="567"/>
        <w:rPr>
          <w:sz w:val="24"/>
          <w:szCs w:val="24"/>
        </w:rPr>
      </w:pPr>
      <w:r w:rsidRPr="008548D2">
        <w:rPr>
          <w:sz w:val="24"/>
          <w:szCs w:val="24"/>
        </w:rPr>
        <w:t xml:space="preserve">Hver tablet indeholder: </w:t>
      </w:r>
    </w:p>
    <w:p w:rsidR="008548D2" w:rsidRPr="008548D2" w:rsidRDefault="008548D2" w:rsidP="008548D2">
      <w:pPr>
        <w:ind w:left="567"/>
        <w:rPr>
          <w:b/>
          <w:sz w:val="24"/>
          <w:szCs w:val="24"/>
        </w:rPr>
      </w:pPr>
      <w:r w:rsidRPr="008548D2">
        <w:rPr>
          <w:b/>
          <w:sz w:val="24"/>
          <w:szCs w:val="24"/>
        </w:rPr>
        <w:t>Aktivt stof:</w:t>
      </w:r>
    </w:p>
    <w:p w:rsidR="008548D2" w:rsidRPr="008548D2" w:rsidRDefault="008548D2" w:rsidP="008548D2">
      <w:pPr>
        <w:ind w:left="567"/>
        <w:rPr>
          <w:sz w:val="24"/>
          <w:szCs w:val="24"/>
        </w:rPr>
      </w:pPr>
      <w:proofErr w:type="spellStart"/>
      <w:r w:rsidRPr="008548D2">
        <w:rPr>
          <w:sz w:val="24"/>
          <w:szCs w:val="24"/>
        </w:rPr>
        <w:t>Ketoconazol</w:t>
      </w:r>
      <w:proofErr w:type="spellEnd"/>
      <w:r w:rsidRPr="008548D2">
        <w:rPr>
          <w:sz w:val="24"/>
          <w:szCs w:val="24"/>
        </w:rPr>
        <w:tab/>
        <w:t>200 mg</w:t>
      </w:r>
    </w:p>
    <w:p w:rsidR="008548D2" w:rsidRPr="008548D2" w:rsidRDefault="008548D2" w:rsidP="008548D2">
      <w:pPr>
        <w:ind w:left="567"/>
        <w:rPr>
          <w:sz w:val="24"/>
          <w:szCs w:val="24"/>
        </w:rPr>
      </w:pPr>
    </w:p>
    <w:p w:rsidR="008548D2" w:rsidRPr="008548D2" w:rsidRDefault="008548D2" w:rsidP="008548D2">
      <w:pPr>
        <w:ind w:left="567"/>
        <w:rPr>
          <w:b/>
          <w:bCs/>
          <w:sz w:val="24"/>
          <w:szCs w:val="24"/>
        </w:rPr>
      </w:pPr>
      <w:r w:rsidRPr="008548D2">
        <w:rPr>
          <w:b/>
          <w:bCs/>
          <w:sz w:val="24"/>
          <w:szCs w:val="24"/>
        </w:rPr>
        <w:t>400 mg tabletter:</w:t>
      </w:r>
    </w:p>
    <w:p w:rsidR="008548D2" w:rsidRPr="008548D2" w:rsidRDefault="008548D2" w:rsidP="008548D2">
      <w:pPr>
        <w:ind w:left="567"/>
        <w:rPr>
          <w:sz w:val="24"/>
          <w:szCs w:val="24"/>
        </w:rPr>
      </w:pPr>
      <w:r w:rsidRPr="008548D2">
        <w:rPr>
          <w:sz w:val="24"/>
          <w:szCs w:val="24"/>
        </w:rPr>
        <w:t xml:space="preserve">Hver tablet indeholder: </w:t>
      </w:r>
    </w:p>
    <w:p w:rsidR="008548D2" w:rsidRPr="008548D2" w:rsidRDefault="008548D2" w:rsidP="008548D2">
      <w:pPr>
        <w:ind w:left="567"/>
        <w:rPr>
          <w:b/>
          <w:sz w:val="24"/>
          <w:szCs w:val="24"/>
        </w:rPr>
      </w:pPr>
      <w:r w:rsidRPr="008548D2">
        <w:rPr>
          <w:b/>
          <w:sz w:val="24"/>
          <w:szCs w:val="24"/>
        </w:rPr>
        <w:t>Aktivt stof:</w:t>
      </w:r>
    </w:p>
    <w:p w:rsidR="008548D2" w:rsidRPr="008548D2" w:rsidRDefault="008548D2" w:rsidP="008548D2">
      <w:pPr>
        <w:ind w:left="567"/>
        <w:rPr>
          <w:sz w:val="24"/>
          <w:szCs w:val="24"/>
        </w:rPr>
      </w:pPr>
      <w:proofErr w:type="spellStart"/>
      <w:r w:rsidRPr="008548D2">
        <w:rPr>
          <w:sz w:val="24"/>
          <w:szCs w:val="24"/>
        </w:rPr>
        <w:t>Ketoconazol</w:t>
      </w:r>
      <w:proofErr w:type="spellEnd"/>
      <w:r w:rsidRPr="008548D2">
        <w:rPr>
          <w:sz w:val="24"/>
          <w:szCs w:val="24"/>
        </w:rPr>
        <w:tab/>
        <w:t>400 mg</w:t>
      </w:r>
    </w:p>
    <w:p w:rsidR="008548D2" w:rsidRPr="008548D2" w:rsidRDefault="008548D2" w:rsidP="008548D2">
      <w:pPr>
        <w:ind w:left="567"/>
        <w:rPr>
          <w:sz w:val="24"/>
          <w:szCs w:val="24"/>
        </w:rPr>
      </w:pPr>
    </w:p>
    <w:p w:rsidR="008548D2" w:rsidRPr="008548D2" w:rsidRDefault="008548D2" w:rsidP="008548D2">
      <w:pPr>
        <w:ind w:left="567"/>
        <w:rPr>
          <w:b/>
          <w:sz w:val="24"/>
          <w:szCs w:val="24"/>
        </w:rPr>
      </w:pPr>
    </w:p>
    <w:p w:rsidR="008548D2" w:rsidRPr="008548D2" w:rsidRDefault="008548D2" w:rsidP="008548D2">
      <w:pPr>
        <w:ind w:left="567"/>
        <w:rPr>
          <w:sz w:val="24"/>
          <w:szCs w:val="24"/>
        </w:rPr>
      </w:pPr>
      <w:r w:rsidRPr="008548D2">
        <w:rPr>
          <w:b/>
          <w:sz w:val="24"/>
          <w:szCs w:val="24"/>
        </w:rPr>
        <w:t>Hjælpestoffer:</w:t>
      </w:r>
      <w:r w:rsidRPr="008548D2">
        <w:rPr>
          <w:sz w:val="24"/>
          <w:szCs w:val="24"/>
        </w:rPr>
        <w:t xml:space="preserve"> </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tblGrid>
      <w:tr w:rsidR="008548D2" w:rsidRPr="008548D2" w:rsidTr="008548D2">
        <w:tc>
          <w:tcPr>
            <w:tcW w:w="4518" w:type="dxa"/>
            <w:shd w:val="clear" w:color="auto" w:fill="auto"/>
            <w:vAlign w:val="center"/>
          </w:tcPr>
          <w:p w:rsidR="008548D2" w:rsidRPr="008548D2" w:rsidRDefault="008548D2" w:rsidP="00B37426">
            <w:pPr>
              <w:spacing w:before="60" w:after="60"/>
              <w:rPr>
                <w:b/>
                <w:bCs/>
                <w:iCs/>
                <w:sz w:val="24"/>
                <w:szCs w:val="24"/>
              </w:rPr>
            </w:pPr>
            <w:r w:rsidRPr="008548D2">
              <w:rPr>
                <w:b/>
                <w:bCs/>
                <w:iCs/>
                <w:sz w:val="24"/>
                <w:szCs w:val="24"/>
              </w:rPr>
              <w:t>Kvalitativ sammensætning af hjælpestoffer og andre bestanddele</w:t>
            </w:r>
          </w:p>
        </w:tc>
      </w:tr>
      <w:tr w:rsidR="008548D2" w:rsidRPr="008548D2" w:rsidTr="008548D2">
        <w:tc>
          <w:tcPr>
            <w:tcW w:w="4518" w:type="dxa"/>
            <w:shd w:val="clear" w:color="auto" w:fill="auto"/>
          </w:tcPr>
          <w:p w:rsidR="008548D2" w:rsidRPr="008548D2" w:rsidRDefault="008548D2" w:rsidP="00B37426">
            <w:pPr>
              <w:spacing w:before="60" w:after="60"/>
              <w:ind w:left="567" w:hanging="567"/>
              <w:rPr>
                <w:iCs/>
                <w:sz w:val="24"/>
                <w:szCs w:val="24"/>
              </w:rPr>
            </w:pPr>
            <w:r w:rsidRPr="008548D2">
              <w:rPr>
                <w:sz w:val="24"/>
                <w:szCs w:val="24"/>
              </w:rPr>
              <w:t>Mikrokrystallinsk cellulose</w:t>
            </w:r>
          </w:p>
        </w:tc>
      </w:tr>
      <w:tr w:rsidR="008548D2" w:rsidRPr="008548D2" w:rsidTr="008548D2">
        <w:tc>
          <w:tcPr>
            <w:tcW w:w="4518" w:type="dxa"/>
            <w:shd w:val="clear" w:color="auto" w:fill="auto"/>
          </w:tcPr>
          <w:p w:rsidR="008548D2" w:rsidRPr="008548D2" w:rsidRDefault="008548D2" w:rsidP="00B37426">
            <w:pPr>
              <w:spacing w:before="60" w:after="60"/>
              <w:rPr>
                <w:iCs/>
                <w:sz w:val="24"/>
                <w:szCs w:val="24"/>
              </w:rPr>
            </w:pPr>
            <w:proofErr w:type="spellStart"/>
            <w:r w:rsidRPr="008548D2">
              <w:rPr>
                <w:sz w:val="24"/>
                <w:szCs w:val="24"/>
              </w:rPr>
              <w:t>Natriumstivelsesglycollat</w:t>
            </w:r>
            <w:proofErr w:type="spellEnd"/>
            <w:r w:rsidRPr="008548D2">
              <w:rPr>
                <w:sz w:val="24"/>
                <w:szCs w:val="24"/>
              </w:rPr>
              <w:t>, type A</w:t>
            </w:r>
          </w:p>
        </w:tc>
      </w:tr>
      <w:tr w:rsidR="008548D2" w:rsidRPr="008548D2" w:rsidTr="008548D2">
        <w:tc>
          <w:tcPr>
            <w:tcW w:w="4518" w:type="dxa"/>
            <w:shd w:val="clear" w:color="auto" w:fill="auto"/>
          </w:tcPr>
          <w:p w:rsidR="008548D2" w:rsidRPr="008548D2" w:rsidRDefault="008548D2" w:rsidP="00B37426">
            <w:pPr>
              <w:spacing w:before="60" w:after="60"/>
              <w:rPr>
                <w:iCs/>
                <w:sz w:val="24"/>
                <w:szCs w:val="24"/>
              </w:rPr>
            </w:pPr>
            <w:proofErr w:type="spellStart"/>
            <w:r w:rsidRPr="008548D2">
              <w:rPr>
                <w:sz w:val="24"/>
                <w:szCs w:val="24"/>
              </w:rPr>
              <w:t>Natriumlaurilsulfat</w:t>
            </w:r>
            <w:proofErr w:type="spellEnd"/>
          </w:p>
        </w:tc>
      </w:tr>
      <w:tr w:rsidR="008548D2" w:rsidRPr="008548D2" w:rsidTr="008548D2">
        <w:tc>
          <w:tcPr>
            <w:tcW w:w="4518" w:type="dxa"/>
            <w:shd w:val="clear" w:color="auto" w:fill="auto"/>
          </w:tcPr>
          <w:p w:rsidR="008548D2" w:rsidRPr="008548D2" w:rsidRDefault="008548D2" w:rsidP="00B37426">
            <w:pPr>
              <w:spacing w:before="60" w:after="60"/>
              <w:rPr>
                <w:iCs/>
                <w:sz w:val="24"/>
                <w:szCs w:val="24"/>
              </w:rPr>
            </w:pPr>
            <w:r w:rsidRPr="008548D2">
              <w:rPr>
                <w:sz w:val="24"/>
                <w:szCs w:val="24"/>
              </w:rPr>
              <w:t>Tørgær</w:t>
            </w:r>
          </w:p>
        </w:tc>
      </w:tr>
      <w:tr w:rsidR="008548D2" w:rsidRPr="008548D2" w:rsidTr="008548D2">
        <w:tc>
          <w:tcPr>
            <w:tcW w:w="4518" w:type="dxa"/>
            <w:shd w:val="clear" w:color="auto" w:fill="auto"/>
          </w:tcPr>
          <w:p w:rsidR="008548D2" w:rsidRPr="008548D2" w:rsidRDefault="008548D2" w:rsidP="00B37426">
            <w:pPr>
              <w:spacing w:before="60" w:after="60"/>
              <w:rPr>
                <w:iCs/>
                <w:sz w:val="24"/>
                <w:szCs w:val="24"/>
              </w:rPr>
            </w:pPr>
            <w:r w:rsidRPr="008548D2">
              <w:rPr>
                <w:sz w:val="24"/>
                <w:szCs w:val="24"/>
              </w:rPr>
              <w:t>Kyllingearoma</w:t>
            </w:r>
          </w:p>
        </w:tc>
      </w:tr>
      <w:tr w:rsidR="008548D2" w:rsidRPr="008548D2" w:rsidTr="008548D2">
        <w:tc>
          <w:tcPr>
            <w:tcW w:w="4518" w:type="dxa"/>
            <w:shd w:val="clear" w:color="auto" w:fill="auto"/>
          </w:tcPr>
          <w:p w:rsidR="008548D2" w:rsidRPr="008548D2" w:rsidRDefault="008548D2" w:rsidP="00B37426">
            <w:pPr>
              <w:spacing w:before="60" w:after="60"/>
              <w:ind w:left="567" w:hanging="567"/>
              <w:rPr>
                <w:b/>
                <w:bCs/>
                <w:iCs/>
                <w:sz w:val="24"/>
                <w:szCs w:val="24"/>
              </w:rPr>
            </w:pPr>
            <w:proofErr w:type="spellStart"/>
            <w:r w:rsidRPr="008548D2">
              <w:rPr>
                <w:sz w:val="24"/>
                <w:szCs w:val="24"/>
              </w:rPr>
              <w:t>Silica</w:t>
            </w:r>
            <w:proofErr w:type="spellEnd"/>
            <w:r w:rsidRPr="008548D2">
              <w:rPr>
                <w:sz w:val="24"/>
                <w:szCs w:val="24"/>
              </w:rPr>
              <w:t>, kolloid, vandfri</w:t>
            </w:r>
          </w:p>
        </w:tc>
      </w:tr>
      <w:tr w:rsidR="008548D2" w:rsidRPr="008548D2" w:rsidTr="008548D2">
        <w:tc>
          <w:tcPr>
            <w:tcW w:w="4518" w:type="dxa"/>
            <w:shd w:val="clear" w:color="auto" w:fill="auto"/>
          </w:tcPr>
          <w:p w:rsidR="008548D2" w:rsidRPr="008548D2" w:rsidRDefault="008548D2" w:rsidP="00B37426">
            <w:pPr>
              <w:spacing w:before="60" w:after="60"/>
              <w:rPr>
                <w:iCs/>
                <w:sz w:val="24"/>
                <w:szCs w:val="24"/>
              </w:rPr>
            </w:pPr>
            <w:proofErr w:type="spellStart"/>
            <w:r w:rsidRPr="008548D2">
              <w:rPr>
                <w:sz w:val="24"/>
                <w:szCs w:val="24"/>
              </w:rPr>
              <w:t>Magnesiumstearat</w:t>
            </w:r>
            <w:proofErr w:type="spellEnd"/>
          </w:p>
        </w:tc>
      </w:tr>
    </w:tbl>
    <w:p w:rsidR="008548D2" w:rsidRPr="008548D2" w:rsidRDefault="008548D2" w:rsidP="008548D2">
      <w:pPr>
        <w:rPr>
          <w:sz w:val="24"/>
          <w:szCs w:val="24"/>
        </w:rPr>
      </w:pPr>
    </w:p>
    <w:p w:rsidR="008548D2" w:rsidRPr="008548D2" w:rsidRDefault="008548D2" w:rsidP="008548D2">
      <w:pPr>
        <w:ind w:left="567"/>
        <w:rPr>
          <w:sz w:val="24"/>
          <w:szCs w:val="24"/>
        </w:rPr>
      </w:pPr>
      <w:r w:rsidRPr="008548D2">
        <w:rPr>
          <w:sz w:val="24"/>
          <w:szCs w:val="24"/>
        </w:rPr>
        <w:t>Brune noprede, runde tabletter med smag og krydskærv.</w:t>
      </w:r>
    </w:p>
    <w:p w:rsidR="008548D2" w:rsidRPr="008548D2" w:rsidRDefault="008548D2" w:rsidP="008548D2">
      <w:pPr>
        <w:ind w:left="567"/>
        <w:rPr>
          <w:sz w:val="24"/>
          <w:szCs w:val="24"/>
        </w:rPr>
      </w:pPr>
      <w:r w:rsidRPr="008548D2">
        <w:rPr>
          <w:sz w:val="24"/>
          <w:szCs w:val="24"/>
        </w:rPr>
        <w:t>Tabletterne kan deles i halvdele og fjerdedele.</w:t>
      </w:r>
    </w:p>
    <w:p w:rsidR="008548D2" w:rsidRPr="008548D2" w:rsidRDefault="008548D2" w:rsidP="008548D2">
      <w:pPr>
        <w:rPr>
          <w:sz w:val="24"/>
          <w:szCs w:val="24"/>
        </w:rPr>
      </w:pPr>
    </w:p>
    <w:p w:rsidR="008548D2" w:rsidRPr="008548D2" w:rsidRDefault="008548D2" w:rsidP="008548D2">
      <w:pPr>
        <w:rPr>
          <w:sz w:val="24"/>
          <w:szCs w:val="24"/>
        </w:rPr>
      </w:pPr>
    </w:p>
    <w:p w:rsidR="008548D2" w:rsidRPr="008548D2" w:rsidRDefault="008548D2" w:rsidP="008548D2">
      <w:pPr>
        <w:pStyle w:val="Style1"/>
        <w:rPr>
          <w:sz w:val="24"/>
          <w:szCs w:val="24"/>
        </w:rPr>
      </w:pPr>
      <w:r w:rsidRPr="008548D2">
        <w:rPr>
          <w:sz w:val="24"/>
          <w:szCs w:val="24"/>
        </w:rPr>
        <w:t>3.</w:t>
      </w:r>
      <w:r w:rsidRPr="008548D2">
        <w:rPr>
          <w:sz w:val="24"/>
          <w:szCs w:val="24"/>
        </w:rPr>
        <w:tab/>
        <w:t>KLINISKE OPLYSNINGER</w:t>
      </w:r>
    </w:p>
    <w:p w:rsidR="008548D2" w:rsidRPr="008548D2" w:rsidRDefault="008548D2" w:rsidP="008548D2">
      <w:pPr>
        <w:rPr>
          <w:sz w:val="24"/>
          <w:szCs w:val="24"/>
        </w:rPr>
      </w:pPr>
    </w:p>
    <w:p w:rsidR="008548D2" w:rsidRPr="008548D2" w:rsidRDefault="008548D2" w:rsidP="008548D2">
      <w:pPr>
        <w:pStyle w:val="Style1"/>
        <w:rPr>
          <w:sz w:val="24"/>
          <w:szCs w:val="24"/>
        </w:rPr>
      </w:pPr>
      <w:r w:rsidRPr="008548D2">
        <w:rPr>
          <w:sz w:val="24"/>
          <w:szCs w:val="24"/>
        </w:rPr>
        <w:t>3.1</w:t>
      </w:r>
      <w:r w:rsidRPr="008548D2">
        <w:rPr>
          <w:sz w:val="24"/>
          <w:szCs w:val="24"/>
        </w:rPr>
        <w:tab/>
        <w:t>Dyrearter, som lægemidlet er beregnet til</w:t>
      </w:r>
    </w:p>
    <w:p w:rsidR="008548D2" w:rsidRPr="008548D2" w:rsidRDefault="008548D2" w:rsidP="008548D2">
      <w:pPr>
        <w:rPr>
          <w:sz w:val="24"/>
          <w:szCs w:val="24"/>
        </w:rPr>
      </w:pPr>
    </w:p>
    <w:p w:rsidR="008548D2" w:rsidRPr="008548D2" w:rsidRDefault="008548D2" w:rsidP="008548D2">
      <w:pPr>
        <w:ind w:firstLine="567"/>
        <w:rPr>
          <w:sz w:val="24"/>
          <w:szCs w:val="24"/>
          <w:lang w:eastAsia="da-DK"/>
        </w:rPr>
      </w:pPr>
      <w:r w:rsidRPr="008548D2">
        <w:rPr>
          <w:sz w:val="24"/>
          <w:szCs w:val="24"/>
        </w:rPr>
        <w:t>Hund.</w:t>
      </w:r>
    </w:p>
    <w:p w:rsidR="008548D2" w:rsidRPr="008548D2" w:rsidRDefault="008548D2" w:rsidP="008548D2">
      <w:pPr>
        <w:rPr>
          <w:sz w:val="24"/>
          <w:szCs w:val="24"/>
        </w:rPr>
      </w:pPr>
    </w:p>
    <w:p w:rsidR="008548D2" w:rsidRPr="008548D2" w:rsidRDefault="008548D2" w:rsidP="008548D2">
      <w:pPr>
        <w:pStyle w:val="Style1"/>
        <w:rPr>
          <w:sz w:val="24"/>
          <w:szCs w:val="24"/>
        </w:rPr>
      </w:pPr>
      <w:r w:rsidRPr="008548D2">
        <w:rPr>
          <w:sz w:val="24"/>
          <w:szCs w:val="24"/>
        </w:rPr>
        <w:t>3.2</w:t>
      </w:r>
      <w:r w:rsidRPr="008548D2">
        <w:rPr>
          <w:sz w:val="24"/>
          <w:szCs w:val="24"/>
        </w:rPr>
        <w:tab/>
        <w:t>Terapeutiske indikationer for hver dyreart, som lægemidlet er beregnet til</w:t>
      </w:r>
    </w:p>
    <w:p w:rsidR="008548D2" w:rsidRPr="008548D2" w:rsidRDefault="008548D2" w:rsidP="008548D2">
      <w:pPr>
        <w:rPr>
          <w:sz w:val="24"/>
          <w:szCs w:val="24"/>
        </w:rPr>
      </w:pPr>
    </w:p>
    <w:p w:rsidR="008548D2" w:rsidRPr="008548D2" w:rsidRDefault="008548D2" w:rsidP="008548D2">
      <w:pPr>
        <w:ind w:left="567"/>
        <w:rPr>
          <w:i/>
          <w:sz w:val="24"/>
          <w:szCs w:val="24"/>
          <w:lang w:eastAsia="da-DK"/>
        </w:rPr>
      </w:pPr>
      <w:r w:rsidRPr="008548D2">
        <w:rPr>
          <w:sz w:val="24"/>
          <w:szCs w:val="24"/>
        </w:rPr>
        <w:t xml:space="preserve">Behandling af </w:t>
      </w:r>
      <w:proofErr w:type="spellStart"/>
      <w:r w:rsidRPr="008548D2">
        <w:rPr>
          <w:sz w:val="24"/>
          <w:szCs w:val="24"/>
        </w:rPr>
        <w:t>dermatomykoser</w:t>
      </w:r>
      <w:proofErr w:type="spellEnd"/>
      <w:r w:rsidRPr="008548D2">
        <w:rPr>
          <w:sz w:val="24"/>
          <w:szCs w:val="24"/>
        </w:rPr>
        <w:t xml:space="preserve"> forårsaget af følgende </w:t>
      </w:r>
      <w:proofErr w:type="spellStart"/>
      <w:r w:rsidRPr="008548D2">
        <w:rPr>
          <w:sz w:val="24"/>
          <w:szCs w:val="24"/>
        </w:rPr>
        <w:t>dermatofytter</w:t>
      </w:r>
      <w:proofErr w:type="spellEnd"/>
      <w:r w:rsidRPr="008548D2">
        <w:rPr>
          <w:sz w:val="24"/>
          <w:szCs w:val="24"/>
        </w:rPr>
        <w:t>:</w:t>
      </w:r>
    </w:p>
    <w:p w:rsidR="008548D2" w:rsidRPr="008548D2" w:rsidRDefault="008548D2" w:rsidP="008548D2">
      <w:pPr>
        <w:numPr>
          <w:ilvl w:val="0"/>
          <w:numId w:val="4"/>
        </w:numPr>
        <w:ind w:left="567" w:firstLine="0"/>
        <w:rPr>
          <w:i/>
          <w:sz w:val="24"/>
          <w:szCs w:val="24"/>
        </w:rPr>
      </w:pPr>
      <w:proofErr w:type="spellStart"/>
      <w:r w:rsidRPr="008548D2">
        <w:rPr>
          <w:i/>
          <w:sz w:val="24"/>
          <w:szCs w:val="24"/>
        </w:rPr>
        <w:t>Microsporum</w:t>
      </w:r>
      <w:proofErr w:type="spellEnd"/>
      <w:r w:rsidRPr="008548D2">
        <w:rPr>
          <w:i/>
          <w:sz w:val="24"/>
          <w:szCs w:val="24"/>
        </w:rPr>
        <w:t xml:space="preserve"> </w:t>
      </w:r>
      <w:proofErr w:type="spellStart"/>
      <w:r w:rsidRPr="008548D2">
        <w:rPr>
          <w:i/>
          <w:sz w:val="24"/>
          <w:szCs w:val="24"/>
        </w:rPr>
        <w:t>canis</w:t>
      </w:r>
      <w:proofErr w:type="spellEnd"/>
      <w:r w:rsidRPr="008548D2">
        <w:rPr>
          <w:i/>
          <w:sz w:val="24"/>
          <w:szCs w:val="24"/>
        </w:rPr>
        <w:t>,</w:t>
      </w:r>
    </w:p>
    <w:p w:rsidR="008548D2" w:rsidRPr="008548D2" w:rsidRDefault="008548D2" w:rsidP="008548D2">
      <w:pPr>
        <w:numPr>
          <w:ilvl w:val="0"/>
          <w:numId w:val="4"/>
        </w:numPr>
        <w:ind w:left="567" w:firstLine="0"/>
        <w:rPr>
          <w:i/>
          <w:sz w:val="24"/>
          <w:szCs w:val="24"/>
        </w:rPr>
      </w:pPr>
      <w:proofErr w:type="spellStart"/>
      <w:r w:rsidRPr="008548D2">
        <w:rPr>
          <w:i/>
          <w:sz w:val="24"/>
          <w:szCs w:val="24"/>
        </w:rPr>
        <w:t>Microsporum</w:t>
      </w:r>
      <w:proofErr w:type="spellEnd"/>
      <w:r w:rsidRPr="008548D2">
        <w:rPr>
          <w:i/>
          <w:sz w:val="24"/>
          <w:szCs w:val="24"/>
        </w:rPr>
        <w:t xml:space="preserve"> </w:t>
      </w:r>
      <w:proofErr w:type="spellStart"/>
      <w:r w:rsidRPr="008548D2">
        <w:rPr>
          <w:i/>
          <w:sz w:val="24"/>
          <w:szCs w:val="24"/>
        </w:rPr>
        <w:t>gypseum</w:t>
      </w:r>
      <w:proofErr w:type="spellEnd"/>
      <w:r w:rsidRPr="008548D2">
        <w:rPr>
          <w:i/>
          <w:sz w:val="24"/>
          <w:szCs w:val="24"/>
        </w:rPr>
        <w:t>,</w:t>
      </w:r>
    </w:p>
    <w:p w:rsidR="008548D2" w:rsidRPr="008548D2" w:rsidRDefault="008548D2" w:rsidP="008548D2">
      <w:pPr>
        <w:numPr>
          <w:ilvl w:val="0"/>
          <w:numId w:val="4"/>
        </w:numPr>
        <w:ind w:left="567" w:firstLine="0"/>
        <w:rPr>
          <w:i/>
          <w:sz w:val="24"/>
          <w:szCs w:val="24"/>
        </w:rPr>
      </w:pPr>
      <w:proofErr w:type="spellStart"/>
      <w:r w:rsidRPr="008548D2">
        <w:rPr>
          <w:i/>
          <w:sz w:val="24"/>
          <w:szCs w:val="24"/>
        </w:rPr>
        <w:t>Trichophyton</w:t>
      </w:r>
      <w:proofErr w:type="spellEnd"/>
      <w:r w:rsidRPr="008548D2">
        <w:rPr>
          <w:i/>
          <w:sz w:val="24"/>
          <w:szCs w:val="24"/>
        </w:rPr>
        <w:t xml:space="preserve"> </w:t>
      </w:r>
      <w:proofErr w:type="spellStart"/>
      <w:r w:rsidRPr="008548D2">
        <w:rPr>
          <w:i/>
          <w:sz w:val="24"/>
          <w:szCs w:val="24"/>
        </w:rPr>
        <w:t>mentagrophytes</w:t>
      </w:r>
      <w:proofErr w:type="spellEnd"/>
      <w:r w:rsidRPr="008548D2">
        <w:rPr>
          <w:i/>
          <w:sz w:val="24"/>
          <w:szCs w:val="24"/>
        </w:rPr>
        <w:t>.</w:t>
      </w:r>
    </w:p>
    <w:p w:rsidR="008548D2" w:rsidRPr="008548D2" w:rsidRDefault="008548D2" w:rsidP="008548D2">
      <w:pPr>
        <w:rPr>
          <w:sz w:val="24"/>
          <w:szCs w:val="24"/>
        </w:rPr>
      </w:pPr>
    </w:p>
    <w:p w:rsidR="008548D2" w:rsidRPr="008548D2" w:rsidRDefault="008548D2" w:rsidP="008548D2">
      <w:pPr>
        <w:pStyle w:val="Style1"/>
        <w:rPr>
          <w:sz w:val="24"/>
          <w:szCs w:val="24"/>
        </w:rPr>
      </w:pPr>
      <w:r w:rsidRPr="008548D2">
        <w:rPr>
          <w:sz w:val="24"/>
          <w:szCs w:val="24"/>
        </w:rPr>
        <w:t>3.3</w:t>
      </w:r>
      <w:r w:rsidRPr="008548D2">
        <w:rPr>
          <w:sz w:val="24"/>
          <w:szCs w:val="24"/>
        </w:rPr>
        <w:tab/>
        <w:t>Kontraindikationer</w:t>
      </w:r>
    </w:p>
    <w:p w:rsidR="008548D2" w:rsidRPr="008548D2" w:rsidRDefault="008548D2" w:rsidP="008548D2">
      <w:pPr>
        <w:rPr>
          <w:sz w:val="24"/>
          <w:szCs w:val="24"/>
        </w:rPr>
      </w:pPr>
    </w:p>
    <w:p w:rsidR="008548D2" w:rsidRPr="008548D2" w:rsidRDefault="008548D2" w:rsidP="008548D2">
      <w:pPr>
        <w:ind w:left="567"/>
        <w:rPr>
          <w:sz w:val="24"/>
          <w:szCs w:val="24"/>
          <w:lang w:eastAsia="da-DK"/>
        </w:rPr>
      </w:pPr>
      <w:r w:rsidRPr="008548D2">
        <w:rPr>
          <w:sz w:val="24"/>
          <w:szCs w:val="24"/>
        </w:rPr>
        <w:t>Må ikke anvendes til dyr med leversvigt.</w:t>
      </w:r>
    </w:p>
    <w:p w:rsidR="008548D2" w:rsidRPr="008548D2" w:rsidRDefault="008548D2" w:rsidP="008548D2">
      <w:pPr>
        <w:ind w:left="567"/>
        <w:rPr>
          <w:sz w:val="24"/>
          <w:szCs w:val="24"/>
        </w:rPr>
      </w:pPr>
      <w:r w:rsidRPr="008548D2">
        <w:rPr>
          <w:sz w:val="24"/>
          <w:szCs w:val="24"/>
        </w:rPr>
        <w:t>Må ikke anvendes i tilfælde af overfølsomhed over for det aktive stof eller over for et eller flere af hjælpestofferne.</w:t>
      </w:r>
    </w:p>
    <w:p w:rsidR="008548D2" w:rsidRPr="008548D2" w:rsidRDefault="008548D2" w:rsidP="008548D2">
      <w:pPr>
        <w:rPr>
          <w:sz w:val="24"/>
          <w:szCs w:val="24"/>
        </w:rPr>
      </w:pPr>
    </w:p>
    <w:p w:rsidR="008548D2" w:rsidRPr="008548D2" w:rsidRDefault="008548D2" w:rsidP="008548D2">
      <w:pPr>
        <w:pStyle w:val="Style1"/>
        <w:rPr>
          <w:sz w:val="24"/>
          <w:szCs w:val="24"/>
        </w:rPr>
      </w:pPr>
      <w:r w:rsidRPr="008548D2">
        <w:rPr>
          <w:sz w:val="24"/>
          <w:szCs w:val="24"/>
        </w:rPr>
        <w:t>3.4</w:t>
      </w:r>
      <w:r w:rsidRPr="008548D2">
        <w:rPr>
          <w:sz w:val="24"/>
          <w:szCs w:val="24"/>
        </w:rPr>
        <w:tab/>
        <w:t>Særlige advarsler</w:t>
      </w:r>
    </w:p>
    <w:p w:rsidR="008548D2" w:rsidRPr="008548D2" w:rsidRDefault="008548D2" w:rsidP="008548D2">
      <w:pPr>
        <w:rPr>
          <w:sz w:val="24"/>
          <w:szCs w:val="24"/>
        </w:rPr>
      </w:pPr>
    </w:p>
    <w:p w:rsidR="008548D2" w:rsidRPr="008548D2" w:rsidRDefault="008548D2" w:rsidP="008548D2">
      <w:pPr>
        <w:ind w:left="567"/>
        <w:rPr>
          <w:sz w:val="24"/>
          <w:szCs w:val="24"/>
        </w:rPr>
      </w:pPr>
      <w:r w:rsidRPr="008548D2">
        <w:rPr>
          <w:sz w:val="24"/>
          <w:szCs w:val="24"/>
        </w:rPr>
        <w:t xml:space="preserve">Gentagen anvendelse af </w:t>
      </w:r>
      <w:proofErr w:type="spellStart"/>
      <w:r w:rsidRPr="008548D2">
        <w:rPr>
          <w:sz w:val="24"/>
          <w:szCs w:val="24"/>
        </w:rPr>
        <w:t>ketoconazol</w:t>
      </w:r>
      <w:proofErr w:type="spellEnd"/>
      <w:r w:rsidRPr="008548D2">
        <w:rPr>
          <w:sz w:val="24"/>
          <w:szCs w:val="24"/>
        </w:rPr>
        <w:t xml:space="preserve"> kan i sjældne tilfælde inducere krydsresistens over for andre </w:t>
      </w:r>
      <w:proofErr w:type="spellStart"/>
      <w:r w:rsidRPr="008548D2">
        <w:rPr>
          <w:sz w:val="24"/>
          <w:szCs w:val="24"/>
        </w:rPr>
        <w:t>azoler</w:t>
      </w:r>
      <w:proofErr w:type="spellEnd"/>
      <w:r w:rsidRPr="008548D2">
        <w:rPr>
          <w:sz w:val="24"/>
          <w:szCs w:val="24"/>
        </w:rPr>
        <w:t>.</w:t>
      </w:r>
    </w:p>
    <w:p w:rsidR="008548D2" w:rsidRPr="008548D2" w:rsidRDefault="008548D2" w:rsidP="008548D2">
      <w:pPr>
        <w:rPr>
          <w:sz w:val="24"/>
          <w:szCs w:val="24"/>
        </w:rPr>
      </w:pPr>
    </w:p>
    <w:p w:rsidR="008548D2" w:rsidRPr="008548D2" w:rsidRDefault="008548D2" w:rsidP="008548D2">
      <w:pPr>
        <w:pStyle w:val="Style1"/>
        <w:rPr>
          <w:sz w:val="24"/>
          <w:szCs w:val="24"/>
        </w:rPr>
      </w:pPr>
      <w:r w:rsidRPr="008548D2">
        <w:rPr>
          <w:sz w:val="24"/>
          <w:szCs w:val="24"/>
        </w:rPr>
        <w:t>3.5</w:t>
      </w:r>
      <w:r w:rsidRPr="008548D2">
        <w:rPr>
          <w:sz w:val="24"/>
          <w:szCs w:val="24"/>
        </w:rPr>
        <w:tab/>
        <w:t>Særlige forholdsregler vedrørende brugen</w:t>
      </w:r>
    </w:p>
    <w:p w:rsidR="008548D2" w:rsidRPr="008548D2" w:rsidRDefault="008548D2" w:rsidP="008548D2">
      <w:pPr>
        <w:rPr>
          <w:sz w:val="24"/>
          <w:szCs w:val="24"/>
        </w:rPr>
      </w:pPr>
    </w:p>
    <w:p w:rsidR="008548D2" w:rsidRPr="008548D2" w:rsidRDefault="008548D2" w:rsidP="008548D2">
      <w:pPr>
        <w:ind w:left="567"/>
        <w:rPr>
          <w:sz w:val="24"/>
          <w:szCs w:val="24"/>
          <w:u w:val="single"/>
        </w:rPr>
      </w:pPr>
      <w:r w:rsidRPr="008548D2">
        <w:rPr>
          <w:sz w:val="24"/>
          <w:szCs w:val="24"/>
          <w:u w:val="single"/>
        </w:rPr>
        <w:t>Særlige forholdsregler vedrørende sikker brug hos de dyrearter, som lægemidlet er beregnet til:</w:t>
      </w:r>
    </w:p>
    <w:p w:rsidR="008548D2" w:rsidRPr="008548D2" w:rsidRDefault="008548D2" w:rsidP="008548D2">
      <w:pPr>
        <w:ind w:left="567"/>
        <w:rPr>
          <w:sz w:val="24"/>
          <w:szCs w:val="24"/>
          <w:lang w:bidi="da-DK"/>
        </w:rPr>
      </w:pPr>
    </w:p>
    <w:p w:rsidR="008548D2" w:rsidRPr="008548D2" w:rsidRDefault="008548D2" w:rsidP="008548D2">
      <w:pPr>
        <w:ind w:left="567"/>
        <w:rPr>
          <w:sz w:val="24"/>
          <w:szCs w:val="24"/>
          <w:lang w:bidi="da-DK"/>
        </w:rPr>
      </w:pPr>
      <w:r w:rsidRPr="008548D2">
        <w:rPr>
          <w:sz w:val="24"/>
          <w:szCs w:val="24"/>
          <w:lang w:bidi="da-DK"/>
        </w:rPr>
        <w:t xml:space="preserve">Anvendelse af præparatet skal baseres på identifikation og følsomhedstest af </w:t>
      </w:r>
      <w:proofErr w:type="spellStart"/>
      <w:r w:rsidRPr="008548D2">
        <w:rPr>
          <w:sz w:val="24"/>
          <w:szCs w:val="24"/>
          <w:lang w:bidi="da-DK"/>
        </w:rPr>
        <w:t>målpatogenet</w:t>
      </w:r>
      <w:proofErr w:type="spellEnd"/>
      <w:r w:rsidRPr="008548D2">
        <w:rPr>
          <w:sz w:val="24"/>
          <w:szCs w:val="24"/>
          <w:lang w:bidi="da-DK"/>
        </w:rPr>
        <w:t>/</w:t>
      </w:r>
      <w:proofErr w:type="spellStart"/>
      <w:r w:rsidRPr="008548D2">
        <w:rPr>
          <w:sz w:val="24"/>
          <w:szCs w:val="24"/>
          <w:lang w:bidi="da-DK"/>
        </w:rPr>
        <w:t>målpatogenerne</w:t>
      </w:r>
      <w:proofErr w:type="spellEnd"/>
      <w:r w:rsidRPr="008548D2">
        <w:rPr>
          <w:sz w:val="24"/>
          <w:szCs w:val="24"/>
          <w:lang w:bidi="da-DK"/>
        </w:rPr>
        <w:t xml:space="preserve">. Hvis dette ikke er muligt, skal behandlingen baseres på epidemiologiske oplysninger om og kendskab til følsomheden af </w:t>
      </w:r>
      <w:proofErr w:type="spellStart"/>
      <w:r w:rsidRPr="008548D2">
        <w:rPr>
          <w:sz w:val="24"/>
          <w:szCs w:val="24"/>
          <w:lang w:bidi="da-DK"/>
        </w:rPr>
        <w:t>målpatogenerne</w:t>
      </w:r>
      <w:proofErr w:type="spellEnd"/>
      <w:r w:rsidRPr="008548D2">
        <w:rPr>
          <w:sz w:val="24"/>
          <w:szCs w:val="24"/>
          <w:lang w:bidi="da-DK"/>
        </w:rPr>
        <w:t xml:space="preserve"> på bedriftsniveau, eller på lokalt/regionalt niveau.</w:t>
      </w:r>
    </w:p>
    <w:p w:rsidR="008548D2" w:rsidRPr="008548D2" w:rsidRDefault="008548D2" w:rsidP="008548D2">
      <w:pPr>
        <w:ind w:left="567"/>
        <w:rPr>
          <w:sz w:val="24"/>
          <w:szCs w:val="24"/>
          <w:lang w:bidi="da-DK"/>
        </w:rPr>
      </w:pPr>
    </w:p>
    <w:p w:rsidR="008548D2" w:rsidRPr="008548D2" w:rsidRDefault="008548D2" w:rsidP="008548D2">
      <w:pPr>
        <w:ind w:left="567"/>
        <w:rPr>
          <w:sz w:val="24"/>
          <w:szCs w:val="24"/>
          <w:lang w:bidi="da-DK"/>
        </w:rPr>
      </w:pPr>
      <w:r w:rsidRPr="008548D2">
        <w:rPr>
          <w:sz w:val="24"/>
          <w:szCs w:val="24"/>
          <w:lang w:bidi="da-DK"/>
        </w:rPr>
        <w:t>Anvendelse af præparatet skal ske i overensstemmelse med officielle nationale og regionale antimikrobielle politikker.</w:t>
      </w:r>
    </w:p>
    <w:p w:rsidR="008548D2" w:rsidRPr="008548D2" w:rsidRDefault="008548D2" w:rsidP="008548D2">
      <w:pPr>
        <w:ind w:left="567"/>
        <w:rPr>
          <w:sz w:val="24"/>
          <w:szCs w:val="24"/>
          <w:lang w:bidi="da-DK"/>
        </w:rPr>
      </w:pPr>
    </w:p>
    <w:p w:rsidR="008548D2" w:rsidRPr="008548D2" w:rsidRDefault="008548D2" w:rsidP="008548D2">
      <w:pPr>
        <w:ind w:left="567"/>
        <w:rPr>
          <w:sz w:val="24"/>
          <w:szCs w:val="24"/>
          <w:lang w:bidi="da-DK"/>
        </w:rPr>
      </w:pPr>
      <w:r w:rsidRPr="008548D2">
        <w:rPr>
          <w:sz w:val="24"/>
          <w:szCs w:val="24"/>
          <w:lang w:bidi="da-DK"/>
        </w:rPr>
        <w:t xml:space="preserve">Behandling med </w:t>
      </w:r>
      <w:proofErr w:type="spellStart"/>
      <w:r w:rsidRPr="008548D2">
        <w:rPr>
          <w:sz w:val="24"/>
          <w:szCs w:val="24"/>
          <w:lang w:bidi="da-DK"/>
        </w:rPr>
        <w:t>ketoconazol</w:t>
      </w:r>
      <w:proofErr w:type="spellEnd"/>
      <w:r w:rsidRPr="008548D2">
        <w:rPr>
          <w:sz w:val="24"/>
          <w:szCs w:val="24"/>
          <w:lang w:bidi="da-DK"/>
        </w:rPr>
        <w:t xml:space="preserve"> undertrykker testosteronkoncentrationer, øger progesteronkoncentrationer og kan påvirke formeringsevnen hos hanhunde under og i nogle uger efter behandlingen.</w:t>
      </w:r>
    </w:p>
    <w:p w:rsidR="008548D2" w:rsidRPr="008548D2" w:rsidRDefault="008548D2" w:rsidP="008548D2">
      <w:pPr>
        <w:ind w:left="567"/>
        <w:rPr>
          <w:sz w:val="24"/>
          <w:szCs w:val="24"/>
          <w:lang w:eastAsia="da-DK"/>
        </w:rPr>
      </w:pPr>
      <w:r w:rsidRPr="008548D2">
        <w:rPr>
          <w:sz w:val="24"/>
          <w:szCs w:val="24"/>
        </w:rPr>
        <w:t xml:space="preserve">Behandling af </w:t>
      </w:r>
      <w:proofErr w:type="spellStart"/>
      <w:r w:rsidRPr="008548D2">
        <w:rPr>
          <w:sz w:val="24"/>
          <w:szCs w:val="24"/>
        </w:rPr>
        <w:t>dermatofytose</w:t>
      </w:r>
      <w:proofErr w:type="spellEnd"/>
      <w:r w:rsidRPr="008548D2">
        <w:rPr>
          <w:sz w:val="24"/>
          <w:szCs w:val="24"/>
        </w:rPr>
        <w:t xml:space="preserve"> bør ikke begrænses til behandling af de(t) inficerede dyr, men bør også omfatte desinficering af omgivelserne, eftersom sporer kan overleve længe der. Andre forsigtighedsregler, såsom hyppig støvsugning, desinficering af udstyr til pelspleje og fjernelse af alt potentielt kontamineret materiale, der ikke kan desinficeres, vil reducere risikoen for </w:t>
      </w:r>
      <w:proofErr w:type="spellStart"/>
      <w:r w:rsidRPr="008548D2">
        <w:rPr>
          <w:sz w:val="24"/>
          <w:szCs w:val="24"/>
        </w:rPr>
        <w:t>reinfektion</w:t>
      </w:r>
      <w:proofErr w:type="spellEnd"/>
      <w:r w:rsidRPr="008548D2">
        <w:rPr>
          <w:sz w:val="24"/>
          <w:szCs w:val="24"/>
        </w:rPr>
        <w:t xml:space="preserve"> eller spredning af infektionen.</w:t>
      </w:r>
    </w:p>
    <w:p w:rsidR="008548D2" w:rsidRPr="008548D2" w:rsidRDefault="008548D2" w:rsidP="008548D2">
      <w:pPr>
        <w:ind w:left="567"/>
        <w:rPr>
          <w:sz w:val="24"/>
          <w:szCs w:val="24"/>
        </w:rPr>
      </w:pPr>
      <w:r w:rsidRPr="008548D2">
        <w:rPr>
          <w:sz w:val="24"/>
          <w:szCs w:val="24"/>
        </w:rPr>
        <w:t>Det anbefales at kombinere systemisk og topisk behandling.</w:t>
      </w:r>
    </w:p>
    <w:p w:rsidR="008548D2" w:rsidRPr="008548D2" w:rsidRDefault="008548D2" w:rsidP="008548D2">
      <w:pPr>
        <w:ind w:left="567"/>
        <w:rPr>
          <w:sz w:val="24"/>
          <w:szCs w:val="24"/>
        </w:rPr>
      </w:pPr>
      <w:r w:rsidRPr="008548D2">
        <w:rPr>
          <w:sz w:val="24"/>
          <w:szCs w:val="24"/>
        </w:rPr>
        <w:lastRenderedPageBreak/>
        <w:t>Ved langvarig behandling bør leverfunktionen monitoreres nøje. Hvis der udvikler sig kliniske tegn, der tyder på nedsat leverfunktion, bør behandlingen straks seponeres. Da tabletterne er tilsat smag, skal de opbevares på et sikkert sted, utilgængelige for dyrene.</w:t>
      </w:r>
    </w:p>
    <w:p w:rsidR="008548D2" w:rsidRPr="008548D2" w:rsidRDefault="008548D2" w:rsidP="008548D2">
      <w:pPr>
        <w:ind w:left="567"/>
        <w:rPr>
          <w:sz w:val="24"/>
          <w:szCs w:val="24"/>
        </w:rPr>
      </w:pPr>
    </w:p>
    <w:p w:rsidR="008548D2" w:rsidRPr="008548D2" w:rsidRDefault="008548D2" w:rsidP="008548D2">
      <w:pPr>
        <w:ind w:left="567"/>
        <w:rPr>
          <w:sz w:val="24"/>
          <w:szCs w:val="24"/>
          <w:u w:val="single"/>
        </w:rPr>
      </w:pPr>
      <w:r w:rsidRPr="008548D2">
        <w:rPr>
          <w:sz w:val="24"/>
          <w:szCs w:val="24"/>
          <w:u w:val="single"/>
        </w:rPr>
        <w:t>Særlige forholdsregler for personer, der administrerer veterinærlægemidlet til dyr:</w:t>
      </w:r>
    </w:p>
    <w:p w:rsidR="008548D2" w:rsidRPr="008548D2" w:rsidRDefault="008548D2" w:rsidP="008548D2">
      <w:pPr>
        <w:ind w:left="567"/>
        <w:rPr>
          <w:sz w:val="24"/>
          <w:szCs w:val="24"/>
          <w:lang w:bidi="da-DK"/>
        </w:rPr>
      </w:pPr>
    </w:p>
    <w:p w:rsidR="008548D2" w:rsidRPr="008548D2" w:rsidRDefault="008548D2" w:rsidP="008548D2">
      <w:pPr>
        <w:ind w:left="567"/>
        <w:rPr>
          <w:bCs/>
          <w:iCs/>
          <w:sz w:val="24"/>
          <w:szCs w:val="24"/>
          <w:lang w:bidi="da-DK"/>
        </w:rPr>
      </w:pPr>
      <w:r w:rsidRPr="008548D2">
        <w:rPr>
          <w:sz w:val="24"/>
          <w:szCs w:val="24"/>
          <w:lang w:bidi="da-DK"/>
        </w:rPr>
        <w:t>Indgift ved hændeligt uheld bør undgås. Opbevar blisterkortet i den ydre karton for at forhindre, at børn får adgang til den. Delte (halve/kvarte) tabletter bør opbevares i det originale blisterkort, og bruges til den næste administration. I tilfælde af utilsigtet indtagelse ved hændeligt uheld skal der straks søges lægehjælp, og indlægssedlen eller etiketten bør vises til lægen.</w:t>
      </w:r>
    </w:p>
    <w:p w:rsidR="008548D2" w:rsidRPr="008548D2" w:rsidRDefault="008548D2" w:rsidP="008548D2">
      <w:pPr>
        <w:ind w:left="567"/>
        <w:rPr>
          <w:bCs/>
          <w:iCs/>
          <w:sz w:val="24"/>
          <w:szCs w:val="24"/>
          <w:lang w:bidi="da-DK"/>
        </w:rPr>
      </w:pPr>
    </w:p>
    <w:p w:rsidR="008548D2" w:rsidRPr="008548D2" w:rsidRDefault="008548D2" w:rsidP="008548D2">
      <w:pPr>
        <w:ind w:left="567"/>
        <w:rPr>
          <w:sz w:val="24"/>
          <w:szCs w:val="24"/>
          <w:lang w:bidi="da-DK"/>
        </w:rPr>
      </w:pPr>
      <w:r w:rsidRPr="008548D2">
        <w:rPr>
          <w:sz w:val="24"/>
          <w:szCs w:val="24"/>
          <w:lang w:bidi="da-DK"/>
        </w:rPr>
        <w:t xml:space="preserve">Ved overfølsomhed over for </w:t>
      </w:r>
      <w:proofErr w:type="spellStart"/>
      <w:r w:rsidRPr="008548D2">
        <w:rPr>
          <w:sz w:val="24"/>
          <w:szCs w:val="24"/>
          <w:lang w:bidi="da-DK"/>
        </w:rPr>
        <w:t>ketoconazol</w:t>
      </w:r>
      <w:proofErr w:type="spellEnd"/>
      <w:r w:rsidRPr="008548D2">
        <w:rPr>
          <w:sz w:val="24"/>
          <w:szCs w:val="24"/>
          <w:lang w:bidi="da-DK"/>
        </w:rPr>
        <w:t xml:space="preserve"> bør kontakt med veterinærlægemidlet undgås. Vask hænderne efter brug. </w:t>
      </w:r>
    </w:p>
    <w:p w:rsidR="008548D2" w:rsidRPr="008548D2" w:rsidRDefault="008548D2" w:rsidP="008548D2">
      <w:pPr>
        <w:ind w:left="567"/>
        <w:rPr>
          <w:sz w:val="24"/>
          <w:szCs w:val="24"/>
        </w:rPr>
      </w:pPr>
    </w:p>
    <w:p w:rsidR="008548D2" w:rsidRPr="008548D2" w:rsidRDefault="008548D2" w:rsidP="008548D2">
      <w:pPr>
        <w:ind w:left="567"/>
        <w:rPr>
          <w:sz w:val="24"/>
          <w:szCs w:val="24"/>
          <w:u w:val="single"/>
        </w:rPr>
      </w:pPr>
      <w:r w:rsidRPr="008548D2">
        <w:rPr>
          <w:sz w:val="24"/>
          <w:szCs w:val="24"/>
          <w:u w:val="single"/>
        </w:rPr>
        <w:t>Særlige forholdsregler vedrørende beskyttelse af miljøet:</w:t>
      </w:r>
    </w:p>
    <w:p w:rsidR="008548D2" w:rsidRPr="008548D2" w:rsidRDefault="008548D2" w:rsidP="008548D2">
      <w:pPr>
        <w:ind w:left="567"/>
        <w:rPr>
          <w:sz w:val="24"/>
          <w:szCs w:val="24"/>
        </w:rPr>
      </w:pPr>
    </w:p>
    <w:p w:rsidR="008548D2" w:rsidRPr="008548D2" w:rsidRDefault="008548D2" w:rsidP="008548D2">
      <w:pPr>
        <w:ind w:left="567"/>
        <w:rPr>
          <w:sz w:val="24"/>
          <w:szCs w:val="24"/>
        </w:rPr>
      </w:pPr>
      <w:r w:rsidRPr="008548D2">
        <w:rPr>
          <w:sz w:val="24"/>
          <w:szCs w:val="24"/>
        </w:rPr>
        <w:t>Ikke relevant.</w:t>
      </w:r>
    </w:p>
    <w:p w:rsidR="008548D2" w:rsidRPr="008548D2" w:rsidRDefault="008548D2" w:rsidP="008548D2">
      <w:pPr>
        <w:ind w:left="567"/>
        <w:rPr>
          <w:sz w:val="24"/>
          <w:szCs w:val="24"/>
        </w:rPr>
      </w:pPr>
    </w:p>
    <w:p w:rsidR="008548D2" w:rsidRPr="008548D2" w:rsidRDefault="008548D2" w:rsidP="008548D2">
      <w:pPr>
        <w:ind w:left="567"/>
        <w:rPr>
          <w:sz w:val="24"/>
          <w:szCs w:val="24"/>
        </w:rPr>
      </w:pPr>
      <w:r w:rsidRPr="008548D2">
        <w:rPr>
          <w:sz w:val="24"/>
          <w:szCs w:val="24"/>
          <w:u w:val="single"/>
        </w:rPr>
        <w:t>Andre forholdsregler</w:t>
      </w:r>
      <w:r w:rsidRPr="008548D2">
        <w:rPr>
          <w:sz w:val="24"/>
          <w:szCs w:val="24"/>
        </w:rPr>
        <w:t>:</w:t>
      </w:r>
    </w:p>
    <w:p w:rsidR="008548D2" w:rsidRPr="008548D2" w:rsidRDefault="008548D2" w:rsidP="008548D2">
      <w:pPr>
        <w:ind w:left="567"/>
        <w:rPr>
          <w:sz w:val="24"/>
          <w:szCs w:val="24"/>
          <w:lang w:bidi="da-DK"/>
        </w:rPr>
      </w:pPr>
    </w:p>
    <w:p w:rsidR="008548D2" w:rsidRPr="008548D2" w:rsidRDefault="008548D2" w:rsidP="008548D2">
      <w:pPr>
        <w:ind w:left="567"/>
        <w:rPr>
          <w:sz w:val="24"/>
          <w:szCs w:val="24"/>
          <w:lang w:bidi="da-DK"/>
        </w:rPr>
      </w:pPr>
      <w:proofErr w:type="spellStart"/>
      <w:r w:rsidRPr="008548D2">
        <w:rPr>
          <w:sz w:val="24"/>
          <w:szCs w:val="24"/>
          <w:lang w:bidi="da-DK"/>
        </w:rPr>
        <w:t>Dermatofytterne</w:t>
      </w:r>
      <w:proofErr w:type="spellEnd"/>
      <w:r w:rsidRPr="008548D2">
        <w:rPr>
          <w:sz w:val="24"/>
          <w:szCs w:val="24"/>
          <w:lang w:bidi="da-DK"/>
        </w:rPr>
        <w:t xml:space="preserve"> nævnt i indikationen har </w:t>
      </w:r>
      <w:proofErr w:type="spellStart"/>
      <w:r w:rsidRPr="008548D2">
        <w:rPr>
          <w:sz w:val="24"/>
          <w:szCs w:val="24"/>
          <w:lang w:bidi="da-DK"/>
        </w:rPr>
        <w:t>zoonotisk</w:t>
      </w:r>
      <w:proofErr w:type="spellEnd"/>
      <w:r w:rsidRPr="008548D2">
        <w:rPr>
          <w:sz w:val="24"/>
          <w:szCs w:val="24"/>
          <w:lang w:bidi="da-DK"/>
        </w:rPr>
        <w:t xml:space="preserve"> potentiale med risiko for overførsel til mennesker. Sørg for at opretholde en god personlig hygiejne (vask hænder efter håndtering af dyret, og undgå direkte kontakt med dyr). Hvis der opstår tegn på hudlæsioner, skal en læge kontaktes.</w:t>
      </w:r>
    </w:p>
    <w:p w:rsidR="008548D2" w:rsidRPr="008548D2" w:rsidRDefault="008548D2" w:rsidP="008548D2">
      <w:pPr>
        <w:rPr>
          <w:sz w:val="24"/>
          <w:szCs w:val="24"/>
        </w:rPr>
      </w:pPr>
    </w:p>
    <w:p w:rsidR="008548D2" w:rsidRPr="008548D2" w:rsidRDefault="008548D2" w:rsidP="008548D2">
      <w:pPr>
        <w:pStyle w:val="Style1"/>
        <w:rPr>
          <w:sz w:val="24"/>
          <w:szCs w:val="24"/>
        </w:rPr>
      </w:pPr>
      <w:r w:rsidRPr="008548D2">
        <w:rPr>
          <w:sz w:val="24"/>
          <w:szCs w:val="24"/>
        </w:rPr>
        <w:t>3.6</w:t>
      </w:r>
      <w:r w:rsidRPr="008548D2">
        <w:rPr>
          <w:sz w:val="24"/>
          <w:szCs w:val="24"/>
        </w:rPr>
        <w:tab/>
        <w:t>Bivirkninger</w:t>
      </w:r>
    </w:p>
    <w:p w:rsidR="008548D2" w:rsidRPr="008548D2" w:rsidRDefault="008548D2" w:rsidP="008548D2">
      <w:pPr>
        <w:rPr>
          <w:sz w:val="24"/>
          <w:szCs w:val="24"/>
        </w:rPr>
      </w:pPr>
    </w:p>
    <w:p w:rsidR="008548D2" w:rsidRPr="008548D2" w:rsidRDefault="008548D2" w:rsidP="008548D2">
      <w:pPr>
        <w:ind w:firstLine="567"/>
        <w:rPr>
          <w:sz w:val="24"/>
          <w:szCs w:val="24"/>
          <w:lang w:val="en-GB"/>
        </w:rPr>
      </w:pPr>
      <w:proofErr w:type="spellStart"/>
      <w:r w:rsidRPr="008548D2">
        <w:rPr>
          <w:sz w:val="24"/>
          <w:szCs w:val="24"/>
          <w:lang w:val="en-GB"/>
        </w:rPr>
        <w:t>Hunde</w:t>
      </w:r>
      <w:proofErr w:type="spellEnd"/>
      <w:r w:rsidRPr="008548D2">
        <w:rPr>
          <w:sz w:val="24"/>
          <w:szCs w:val="24"/>
          <w:lang w:val="en-GB"/>
        </w:rPr>
        <w:t>:</w:t>
      </w:r>
    </w:p>
    <w:p w:rsidR="008548D2" w:rsidRPr="008548D2" w:rsidRDefault="008548D2" w:rsidP="008548D2">
      <w:pPr>
        <w:rPr>
          <w:sz w:val="24"/>
          <w:szCs w:val="24"/>
          <w:lang w:val="en-GB"/>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860"/>
      </w:tblGrid>
      <w:tr w:rsidR="008548D2" w:rsidRPr="008548D2" w:rsidTr="008548D2">
        <w:tc>
          <w:tcPr>
            <w:tcW w:w="1957" w:type="pct"/>
          </w:tcPr>
          <w:p w:rsidR="008548D2" w:rsidRPr="008548D2" w:rsidRDefault="008548D2" w:rsidP="00B37426">
            <w:pPr>
              <w:spacing w:before="60" w:after="60"/>
              <w:rPr>
                <w:sz w:val="24"/>
                <w:szCs w:val="24"/>
              </w:rPr>
            </w:pPr>
            <w:bookmarkStart w:id="1" w:name="_Hlk178082691"/>
            <w:r w:rsidRPr="008548D2">
              <w:rPr>
                <w:sz w:val="24"/>
                <w:szCs w:val="24"/>
              </w:rPr>
              <w:t>Sjælden</w:t>
            </w:r>
          </w:p>
          <w:p w:rsidR="008548D2" w:rsidRPr="008548D2" w:rsidRDefault="008548D2" w:rsidP="00B37426">
            <w:pPr>
              <w:rPr>
                <w:sz w:val="24"/>
                <w:szCs w:val="24"/>
              </w:rPr>
            </w:pPr>
            <w:r w:rsidRPr="008548D2">
              <w:rPr>
                <w:sz w:val="24"/>
                <w:szCs w:val="24"/>
              </w:rPr>
              <w:t>(1 til 10 dyr ud af 10.000 behandlede dyr):</w:t>
            </w:r>
          </w:p>
        </w:tc>
        <w:tc>
          <w:tcPr>
            <w:tcW w:w="3043" w:type="pct"/>
          </w:tcPr>
          <w:p w:rsidR="008548D2" w:rsidRPr="008548D2" w:rsidRDefault="008548D2" w:rsidP="00B37426">
            <w:pPr>
              <w:rPr>
                <w:iCs/>
                <w:sz w:val="24"/>
                <w:szCs w:val="24"/>
                <w:lang w:val="nb-NO"/>
              </w:rPr>
            </w:pPr>
            <w:r w:rsidRPr="008548D2">
              <w:rPr>
                <w:iCs/>
                <w:sz w:val="24"/>
                <w:szCs w:val="24"/>
                <w:lang w:val="nb-NO"/>
              </w:rPr>
              <w:t>Neurologiske tegn</w:t>
            </w:r>
            <w:r w:rsidRPr="008548D2">
              <w:rPr>
                <w:iCs/>
                <w:sz w:val="24"/>
                <w:szCs w:val="24"/>
                <w:vertAlign w:val="superscript"/>
                <w:lang w:val="nb-NO"/>
              </w:rPr>
              <w:t>a</w:t>
            </w:r>
            <w:r w:rsidRPr="008548D2">
              <w:rPr>
                <w:iCs/>
                <w:sz w:val="24"/>
                <w:szCs w:val="24"/>
                <w:lang w:val="nb-NO"/>
              </w:rPr>
              <w:t xml:space="preserve"> (f.eks. Ataksi, Tremor)</w:t>
            </w:r>
          </w:p>
          <w:p w:rsidR="008548D2" w:rsidRPr="008548D2" w:rsidRDefault="008548D2" w:rsidP="00B37426">
            <w:pPr>
              <w:rPr>
                <w:iCs/>
                <w:sz w:val="24"/>
                <w:szCs w:val="24"/>
                <w:lang w:val="nb-NO"/>
              </w:rPr>
            </w:pPr>
            <w:r w:rsidRPr="008548D2">
              <w:rPr>
                <w:iCs/>
                <w:sz w:val="24"/>
                <w:szCs w:val="24"/>
                <w:lang w:val="nb-NO"/>
              </w:rPr>
              <w:t>Apati</w:t>
            </w:r>
            <w:r w:rsidRPr="008548D2">
              <w:rPr>
                <w:iCs/>
                <w:sz w:val="24"/>
                <w:szCs w:val="24"/>
                <w:vertAlign w:val="superscript"/>
                <w:lang w:val="nb-NO"/>
              </w:rPr>
              <w:t>a</w:t>
            </w:r>
            <w:r w:rsidRPr="008548D2">
              <w:rPr>
                <w:iCs/>
                <w:sz w:val="24"/>
                <w:szCs w:val="24"/>
                <w:lang w:val="nb-NO"/>
              </w:rPr>
              <w:t>, Anoreksi</w:t>
            </w:r>
            <w:r w:rsidRPr="008548D2">
              <w:rPr>
                <w:iCs/>
                <w:sz w:val="24"/>
                <w:szCs w:val="24"/>
                <w:vertAlign w:val="superscript"/>
                <w:lang w:val="nb-NO"/>
              </w:rPr>
              <w:t>a</w:t>
            </w:r>
            <w:r w:rsidRPr="008548D2">
              <w:rPr>
                <w:iCs/>
                <w:sz w:val="24"/>
                <w:szCs w:val="24"/>
                <w:lang w:val="nb-NO"/>
              </w:rPr>
              <w:t xml:space="preserve"> </w:t>
            </w:r>
          </w:p>
          <w:p w:rsidR="008548D2" w:rsidRPr="008548D2" w:rsidRDefault="008548D2" w:rsidP="00B37426">
            <w:pPr>
              <w:rPr>
                <w:iCs/>
                <w:sz w:val="24"/>
                <w:szCs w:val="24"/>
                <w:lang w:val="nb-NO"/>
              </w:rPr>
            </w:pPr>
            <w:r w:rsidRPr="008548D2">
              <w:rPr>
                <w:iCs/>
                <w:sz w:val="24"/>
                <w:szCs w:val="24"/>
                <w:lang w:val="nb-NO"/>
              </w:rPr>
              <w:t>Hepatisk toksikose</w:t>
            </w:r>
            <w:r w:rsidRPr="008548D2">
              <w:rPr>
                <w:iCs/>
                <w:sz w:val="24"/>
                <w:szCs w:val="24"/>
                <w:vertAlign w:val="superscript"/>
                <w:lang w:val="nb-NO"/>
              </w:rPr>
              <w:t>a</w:t>
            </w:r>
          </w:p>
          <w:p w:rsidR="008548D2" w:rsidRPr="008548D2" w:rsidRDefault="008548D2" w:rsidP="00B37426">
            <w:pPr>
              <w:rPr>
                <w:iCs/>
                <w:sz w:val="24"/>
                <w:szCs w:val="24"/>
                <w:lang w:val="nb-NO"/>
              </w:rPr>
            </w:pPr>
            <w:r w:rsidRPr="008548D2">
              <w:rPr>
                <w:iCs/>
                <w:sz w:val="24"/>
                <w:szCs w:val="24"/>
                <w:lang w:val="nb-NO"/>
              </w:rPr>
              <w:t>Opkastning</w:t>
            </w:r>
            <w:r w:rsidRPr="008548D2">
              <w:rPr>
                <w:iCs/>
                <w:sz w:val="24"/>
                <w:szCs w:val="24"/>
                <w:vertAlign w:val="superscript"/>
                <w:lang w:val="nb-NO"/>
              </w:rPr>
              <w:t>a</w:t>
            </w:r>
            <w:r w:rsidRPr="008548D2">
              <w:rPr>
                <w:iCs/>
                <w:sz w:val="24"/>
                <w:szCs w:val="24"/>
                <w:lang w:val="nb-NO"/>
              </w:rPr>
              <w:t>, Diarré</w:t>
            </w:r>
            <w:r w:rsidRPr="008548D2">
              <w:rPr>
                <w:iCs/>
                <w:sz w:val="24"/>
                <w:szCs w:val="24"/>
                <w:vertAlign w:val="superscript"/>
                <w:lang w:val="nb-NO"/>
              </w:rPr>
              <w:t>a</w:t>
            </w:r>
          </w:p>
        </w:tc>
      </w:tr>
      <w:tr w:rsidR="008548D2" w:rsidRPr="008548D2" w:rsidTr="008548D2">
        <w:tc>
          <w:tcPr>
            <w:tcW w:w="1957" w:type="pct"/>
          </w:tcPr>
          <w:p w:rsidR="008548D2" w:rsidRPr="008548D2" w:rsidRDefault="008548D2" w:rsidP="00B37426">
            <w:pPr>
              <w:spacing w:before="60" w:after="60"/>
              <w:rPr>
                <w:sz w:val="24"/>
                <w:szCs w:val="24"/>
              </w:rPr>
            </w:pPr>
            <w:r w:rsidRPr="008548D2">
              <w:rPr>
                <w:sz w:val="24"/>
                <w:szCs w:val="24"/>
              </w:rPr>
              <w:t>Meget sjælden</w:t>
            </w:r>
          </w:p>
          <w:p w:rsidR="008548D2" w:rsidRPr="008548D2" w:rsidRDefault="008548D2" w:rsidP="00B37426">
            <w:pPr>
              <w:rPr>
                <w:sz w:val="24"/>
                <w:szCs w:val="24"/>
              </w:rPr>
            </w:pPr>
            <w:r w:rsidRPr="008548D2">
              <w:rPr>
                <w:sz w:val="24"/>
                <w:szCs w:val="24"/>
              </w:rPr>
              <w:t>(&lt; 1 dyr ud af 10.000 behandlede dyr, herunder enkeltstående indberetninger):</w:t>
            </w:r>
          </w:p>
        </w:tc>
        <w:tc>
          <w:tcPr>
            <w:tcW w:w="3043" w:type="pct"/>
            <w:hideMark/>
          </w:tcPr>
          <w:p w:rsidR="008548D2" w:rsidRPr="008548D2" w:rsidRDefault="008548D2" w:rsidP="00B37426">
            <w:pPr>
              <w:rPr>
                <w:iCs/>
                <w:sz w:val="24"/>
                <w:szCs w:val="24"/>
                <w:vertAlign w:val="superscript"/>
              </w:rPr>
            </w:pPr>
            <w:r w:rsidRPr="008548D2">
              <w:rPr>
                <w:iCs/>
                <w:sz w:val="24"/>
                <w:szCs w:val="24"/>
              </w:rPr>
              <w:t>Forstyrrelse i det endokrine system (</w:t>
            </w:r>
            <w:proofErr w:type="spellStart"/>
            <w:r w:rsidRPr="008548D2">
              <w:rPr>
                <w:iCs/>
                <w:sz w:val="24"/>
                <w:szCs w:val="24"/>
              </w:rPr>
              <w:t>anti-androgene</w:t>
            </w:r>
            <w:proofErr w:type="spellEnd"/>
            <w:r w:rsidRPr="008548D2">
              <w:rPr>
                <w:iCs/>
                <w:sz w:val="24"/>
                <w:szCs w:val="24"/>
              </w:rPr>
              <w:t xml:space="preserve"> </w:t>
            </w:r>
            <w:proofErr w:type="spellStart"/>
            <w:proofErr w:type="gramStart"/>
            <w:r w:rsidRPr="008548D2">
              <w:rPr>
                <w:iCs/>
                <w:sz w:val="24"/>
                <w:szCs w:val="24"/>
              </w:rPr>
              <w:t>virkninger</w:t>
            </w:r>
            <w:r w:rsidRPr="008548D2">
              <w:rPr>
                <w:iCs/>
                <w:sz w:val="24"/>
                <w:szCs w:val="24"/>
                <w:vertAlign w:val="superscript"/>
              </w:rPr>
              <w:t>b,c</w:t>
            </w:r>
            <w:proofErr w:type="spellEnd"/>
            <w:proofErr w:type="gramEnd"/>
            <w:r w:rsidRPr="008548D2">
              <w:rPr>
                <w:iCs/>
                <w:sz w:val="24"/>
                <w:szCs w:val="24"/>
              </w:rPr>
              <w:t xml:space="preserve">, </w:t>
            </w:r>
            <w:proofErr w:type="spellStart"/>
            <w:r w:rsidRPr="008548D2">
              <w:rPr>
                <w:iCs/>
                <w:sz w:val="24"/>
                <w:szCs w:val="24"/>
              </w:rPr>
              <w:t>anti-</w:t>
            </w:r>
            <w:r w:rsidRPr="008548D2">
              <w:rPr>
                <w:sz w:val="24"/>
                <w:szCs w:val="24"/>
              </w:rPr>
              <w:t>glucokorticoide</w:t>
            </w:r>
            <w:proofErr w:type="spellEnd"/>
            <w:r w:rsidRPr="008548D2">
              <w:rPr>
                <w:iCs/>
                <w:sz w:val="24"/>
                <w:szCs w:val="24"/>
              </w:rPr>
              <w:t xml:space="preserve"> </w:t>
            </w:r>
            <w:proofErr w:type="spellStart"/>
            <w:r w:rsidRPr="008548D2">
              <w:rPr>
                <w:iCs/>
                <w:sz w:val="24"/>
                <w:szCs w:val="24"/>
              </w:rPr>
              <w:t>virkninger</w:t>
            </w:r>
            <w:r w:rsidRPr="008548D2">
              <w:rPr>
                <w:iCs/>
                <w:sz w:val="24"/>
                <w:szCs w:val="24"/>
                <w:vertAlign w:val="superscript"/>
              </w:rPr>
              <w:t>b</w:t>
            </w:r>
            <w:proofErr w:type="spellEnd"/>
            <w:r w:rsidRPr="008548D2">
              <w:rPr>
                <w:iCs/>
                <w:sz w:val="24"/>
                <w:szCs w:val="24"/>
              </w:rPr>
              <w:t>)</w:t>
            </w:r>
          </w:p>
        </w:tc>
      </w:tr>
    </w:tbl>
    <w:bookmarkEnd w:id="1"/>
    <w:p w:rsidR="008548D2" w:rsidRPr="008548D2" w:rsidRDefault="008548D2" w:rsidP="008548D2">
      <w:pPr>
        <w:ind w:left="567"/>
        <w:rPr>
          <w:sz w:val="24"/>
          <w:szCs w:val="24"/>
        </w:rPr>
      </w:pPr>
      <w:r w:rsidRPr="008548D2">
        <w:rPr>
          <w:sz w:val="24"/>
          <w:szCs w:val="24"/>
          <w:vertAlign w:val="superscript"/>
        </w:rPr>
        <w:t>a</w:t>
      </w:r>
      <w:r w:rsidRPr="008548D2">
        <w:rPr>
          <w:sz w:val="24"/>
          <w:szCs w:val="24"/>
        </w:rPr>
        <w:t xml:space="preserve"> Kan observeres ved standarddoser.</w:t>
      </w:r>
    </w:p>
    <w:p w:rsidR="008548D2" w:rsidRPr="008548D2" w:rsidRDefault="008548D2" w:rsidP="008548D2">
      <w:pPr>
        <w:ind w:left="567"/>
        <w:rPr>
          <w:iCs/>
          <w:sz w:val="24"/>
          <w:szCs w:val="24"/>
        </w:rPr>
      </w:pPr>
      <w:proofErr w:type="spellStart"/>
      <w:r w:rsidRPr="008548D2">
        <w:rPr>
          <w:sz w:val="24"/>
          <w:szCs w:val="24"/>
          <w:vertAlign w:val="superscript"/>
        </w:rPr>
        <w:t>b</w:t>
      </w:r>
      <w:r w:rsidRPr="008548D2">
        <w:rPr>
          <w:sz w:val="24"/>
          <w:szCs w:val="24"/>
        </w:rPr>
        <w:t>Forbigående</w:t>
      </w:r>
      <w:proofErr w:type="spellEnd"/>
      <w:r w:rsidRPr="008548D2">
        <w:rPr>
          <w:iCs/>
          <w:sz w:val="24"/>
          <w:szCs w:val="24"/>
        </w:rPr>
        <w:t xml:space="preserve">. </w:t>
      </w:r>
      <w:proofErr w:type="spellStart"/>
      <w:r w:rsidRPr="008548D2">
        <w:rPr>
          <w:iCs/>
          <w:sz w:val="24"/>
          <w:szCs w:val="24"/>
        </w:rPr>
        <w:t>Ketoconazol</w:t>
      </w:r>
      <w:proofErr w:type="spellEnd"/>
      <w:r w:rsidRPr="008548D2">
        <w:rPr>
          <w:iCs/>
          <w:sz w:val="24"/>
          <w:szCs w:val="24"/>
        </w:rPr>
        <w:t xml:space="preserve"> </w:t>
      </w:r>
      <w:r w:rsidRPr="008548D2">
        <w:rPr>
          <w:sz w:val="24"/>
          <w:szCs w:val="24"/>
        </w:rPr>
        <w:t xml:space="preserve">hæmmer omdannelsen af kolesterol til steroidhormoner, såsom testosteron og </w:t>
      </w:r>
      <w:proofErr w:type="spellStart"/>
      <w:r w:rsidRPr="008548D2">
        <w:rPr>
          <w:sz w:val="24"/>
          <w:szCs w:val="24"/>
        </w:rPr>
        <w:t>cortisol</w:t>
      </w:r>
      <w:proofErr w:type="spellEnd"/>
      <w:r w:rsidRPr="008548D2">
        <w:rPr>
          <w:sz w:val="24"/>
          <w:szCs w:val="24"/>
        </w:rPr>
        <w:t>, på en måde, der afhænger af dosis og tid.</w:t>
      </w:r>
      <w:r w:rsidRPr="008548D2">
        <w:rPr>
          <w:iCs/>
          <w:sz w:val="24"/>
          <w:szCs w:val="24"/>
        </w:rPr>
        <w:t xml:space="preserve"> </w:t>
      </w:r>
    </w:p>
    <w:p w:rsidR="008548D2" w:rsidRPr="008548D2" w:rsidRDefault="008548D2" w:rsidP="008548D2">
      <w:pPr>
        <w:ind w:left="567"/>
        <w:rPr>
          <w:sz w:val="24"/>
          <w:szCs w:val="24"/>
        </w:rPr>
      </w:pPr>
      <w:r w:rsidRPr="008548D2">
        <w:rPr>
          <w:iCs/>
          <w:sz w:val="24"/>
          <w:szCs w:val="24"/>
          <w:vertAlign w:val="superscript"/>
        </w:rPr>
        <w:t>c</w:t>
      </w:r>
      <w:bookmarkStart w:id="2" w:name="_Hlk164176793"/>
      <w:r w:rsidRPr="008548D2">
        <w:rPr>
          <w:iCs/>
          <w:sz w:val="24"/>
          <w:szCs w:val="24"/>
        </w:rPr>
        <w:t xml:space="preserve"> Se også pkt. </w:t>
      </w:r>
      <w:r w:rsidRPr="008548D2">
        <w:rPr>
          <w:i/>
          <w:iCs/>
          <w:sz w:val="24"/>
          <w:szCs w:val="24"/>
          <w:u w:val="single"/>
        </w:rPr>
        <w:t>Særlige forholdsregler vedrørende sikker brug hos de dyrearter, som lægemidlet er beregnet til</w:t>
      </w:r>
      <w:r w:rsidRPr="008548D2">
        <w:rPr>
          <w:sz w:val="24"/>
          <w:szCs w:val="24"/>
          <w:u w:val="single"/>
        </w:rPr>
        <w:t xml:space="preserve"> </w:t>
      </w:r>
      <w:r w:rsidRPr="008548D2">
        <w:rPr>
          <w:iCs/>
          <w:sz w:val="24"/>
          <w:szCs w:val="24"/>
        </w:rPr>
        <w:t>vedrørende virkninger hos avlshanhunde.</w:t>
      </w:r>
      <w:bookmarkStart w:id="3" w:name="_Hlk66891708"/>
      <w:bookmarkEnd w:id="2"/>
    </w:p>
    <w:p w:rsidR="008548D2" w:rsidRPr="008548D2" w:rsidRDefault="008548D2" w:rsidP="008548D2">
      <w:pPr>
        <w:ind w:left="567"/>
        <w:rPr>
          <w:sz w:val="24"/>
          <w:szCs w:val="24"/>
        </w:rPr>
      </w:pPr>
      <w:r w:rsidRPr="008548D2">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3"/>
    <w:p w:rsidR="008548D2" w:rsidRPr="008548D2" w:rsidRDefault="008548D2" w:rsidP="008548D2">
      <w:pPr>
        <w:rPr>
          <w:sz w:val="24"/>
          <w:szCs w:val="24"/>
        </w:rPr>
      </w:pPr>
    </w:p>
    <w:p w:rsidR="008548D2" w:rsidRPr="008548D2" w:rsidRDefault="008548D2" w:rsidP="008548D2">
      <w:pPr>
        <w:pStyle w:val="Style1"/>
        <w:rPr>
          <w:sz w:val="24"/>
          <w:szCs w:val="24"/>
        </w:rPr>
      </w:pPr>
      <w:r w:rsidRPr="008548D2">
        <w:rPr>
          <w:sz w:val="24"/>
          <w:szCs w:val="24"/>
        </w:rPr>
        <w:t>3.7</w:t>
      </w:r>
      <w:r w:rsidRPr="008548D2">
        <w:rPr>
          <w:sz w:val="24"/>
          <w:szCs w:val="24"/>
        </w:rPr>
        <w:tab/>
        <w:t>Anvendelse under drægtighed, laktation eller æglægning</w:t>
      </w:r>
    </w:p>
    <w:p w:rsidR="008548D2" w:rsidRPr="008548D2" w:rsidRDefault="008548D2" w:rsidP="008548D2">
      <w:pPr>
        <w:rPr>
          <w:sz w:val="24"/>
          <w:szCs w:val="24"/>
        </w:rPr>
      </w:pPr>
    </w:p>
    <w:p w:rsidR="008548D2" w:rsidRPr="008548D2" w:rsidRDefault="008548D2" w:rsidP="008548D2">
      <w:pPr>
        <w:ind w:left="567"/>
        <w:rPr>
          <w:sz w:val="24"/>
          <w:szCs w:val="24"/>
        </w:rPr>
      </w:pPr>
      <w:r w:rsidRPr="008548D2">
        <w:rPr>
          <w:sz w:val="24"/>
          <w:szCs w:val="24"/>
        </w:rPr>
        <w:t>Veterinærlægemidlets sikkerhed under drægtighed og laktation er ikke fastlagt.</w:t>
      </w:r>
    </w:p>
    <w:p w:rsidR="008548D2" w:rsidRPr="008548D2" w:rsidRDefault="008548D2" w:rsidP="008548D2">
      <w:pPr>
        <w:ind w:left="567"/>
        <w:rPr>
          <w:sz w:val="24"/>
          <w:szCs w:val="24"/>
          <w:u w:val="single"/>
        </w:rPr>
      </w:pPr>
    </w:p>
    <w:p w:rsidR="008548D2" w:rsidRPr="008548D2" w:rsidRDefault="008548D2" w:rsidP="008548D2">
      <w:pPr>
        <w:ind w:left="567"/>
        <w:rPr>
          <w:sz w:val="24"/>
          <w:szCs w:val="24"/>
          <w:u w:val="single"/>
        </w:rPr>
      </w:pPr>
      <w:r w:rsidRPr="008548D2">
        <w:rPr>
          <w:sz w:val="24"/>
          <w:szCs w:val="24"/>
          <w:u w:val="single"/>
        </w:rPr>
        <w:t>Drægtighed:</w:t>
      </w:r>
    </w:p>
    <w:p w:rsidR="008548D2" w:rsidRPr="008548D2" w:rsidRDefault="008548D2" w:rsidP="008548D2">
      <w:pPr>
        <w:ind w:left="567"/>
        <w:rPr>
          <w:sz w:val="24"/>
          <w:szCs w:val="24"/>
        </w:rPr>
      </w:pPr>
      <w:r w:rsidRPr="008548D2">
        <w:rPr>
          <w:sz w:val="24"/>
          <w:szCs w:val="24"/>
        </w:rPr>
        <w:t>Anvendelse frarådes under drægtighed.</w:t>
      </w:r>
    </w:p>
    <w:p w:rsidR="008548D2" w:rsidRPr="008548D2" w:rsidRDefault="008548D2" w:rsidP="008548D2">
      <w:pPr>
        <w:ind w:left="567"/>
        <w:rPr>
          <w:sz w:val="24"/>
          <w:szCs w:val="24"/>
          <w:lang w:eastAsia="da-DK"/>
        </w:rPr>
      </w:pPr>
      <w:r w:rsidRPr="008548D2">
        <w:rPr>
          <w:sz w:val="24"/>
          <w:szCs w:val="24"/>
        </w:rPr>
        <w:t xml:space="preserve">Undersøgelser af laboratoriedyr har afsløret </w:t>
      </w:r>
      <w:proofErr w:type="spellStart"/>
      <w:r w:rsidRPr="008548D2">
        <w:rPr>
          <w:sz w:val="24"/>
          <w:szCs w:val="24"/>
        </w:rPr>
        <w:t>teratogene</w:t>
      </w:r>
      <w:proofErr w:type="spellEnd"/>
      <w:r w:rsidRPr="008548D2">
        <w:rPr>
          <w:sz w:val="24"/>
          <w:szCs w:val="24"/>
        </w:rPr>
        <w:t xml:space="preserve"> og embryotoksiske virkninger.</w:t>
      </w:r>
    </w:p>
    <w:p w:rsidR="008548D2" w:rsidRPr="008548D2" w:rsidRDefault="008548D2" w:rsidP="008548D2">
      <w:pPr>
        <w:rPr>
          <w:sz w:val="24"/>
          <w:szCs w:val="24"/>
        </w:rPr>
      </w:pPr>
    </w:p>
    <w:p w:rsidR="008548D2" w:rsidRPr="008548D2" w:rsidRDefault="008548D2" w:rsidP="008548D2">
      <w:pPr>
        <w:pStyle w:val="Style1"/>
        <w:rPr>
          <w:sz w:val="24"/>
          <w:szCs w:val="24"/>
        </w:rPr>
      </w:pPr>
      <w:r w:rsidRPr="008548D2">
        <w:rPr>
          <w:sz w:val="24"/>
          <w:szCs w:val="24"/>
        </w:rPr>
        <w:t>3.8</w:t>
      </w:r>
      <w:r w:rsidRPr="008548D2">
        <w:rPr>
          <w:sz w:val="24"/>
          <w:szCs w:val="24"/>
        </w:rPr>
        <w:tab/>
        <w:t>Interaktion med andre lægemidler og andre former for interaktion</w:t>
      </w:r>
    </w:p>
    <w:p w:rsidR="008548D2" w:rsidRPr="008548D2" w:rsidRDefault="008548D2" w:rsidP="008548D2">
      <w:pPr>
        <w:rPr>
          <w:sz w:val="24"/>
          <w:szCs w:val="24"/>
        </w:rPr>
      </w:pPr>
    </w:p>
    <w:p w:rsidR="008548D2" w:rsidRPr="008548D2" w:rsidRDefault="008548D2" w:rsidP="008548D2">
      <w:pPr>
        <w:ind w:left="567"/>
        <w:rPr>
          <w:sz w:val="24"/>
          <w:szCs w:val="24"/>
          <w:lang w:eastAsia="da-DK"/>
        </w:rPr>
      </w:pPr>
      <w:r w:rsidRPr="008548D2">
        <w:rPr>
          <w:sz w:val="24"/>
          <w:szCs w:val="24"/>
        </w:rPr>
        <w:t xml:space="preserve">Må ikke administreres sammen med </w:t>
      </w:r>
      <w:proofErr w:type="spellStart"/>
      <w:r w:rsidRPr="008548D2">
        <w:rPr>
          <w:sz w:val="24"/>
          <w:szCs w:val="24"/>
        </w:rPr>
        <w:t>antacider</w:t>
      </w:r>
      <w:proofErr w:type="spellEnd"/>
      <w:r w:rsidRPr="008548D2">
        <w:rPr>
          <w:sz w:val="24"/>
          <w:szCs w:val="24"/>
        </w:rPr>
        <w:t xml:space="preserve"> og/eller H2-receptor-antagonister (</w:t>
      </w:r>
      <w:proofErr w:type="spellStart"/>
      <w:r w:rsidRPr="008548D2">
        <w:rPr>
          <w:sz w:val="24"/>
          <w:szCs w:val="24"/>
        </w:rPr>
        <w:t>cimetidin</w:t>
      </w:r>
      <w:proofErr w:type="spellEnd"/>
      <w:r w:rsidRPr="008548D2">
        <w:rPr>
          <w:sz w:val="24"/>
          <w:szCs w:val="24"/>
        </w:rPr>
        <w:t>/</w:t>
      </w:r>
      <w:proofErr w:type="spellStart"/>
      <w:r w:rsidRPr="008548D2">
        <w:rPr>
          <w:sz w:val="24"/>
          <w:szCs w:val="24"/>
        </w:rPr>
        <w:t>rantidin</w:t>
      </w:r>
      <w:proofErr w:type="spellEnd"/>
      <w:r w:rsidRPr="008548D2">
        <w:rPr>
          <w:sz w:val="24"/>
          <w:szCs w:val="24"/>
        </w:rPr>
        <w:t xml:space="preserve">) eller </w:t>
      </w:r>
      <w:proofErr w:type="spellStart"/>
      <w:r w:rsidRPr="008548D2">
        <w:rPr>
          <w:sz w:val="24"/>
          <w:szCs w:val="24"/>
        </w:rPr>
        <w:t>protonpumpehæmmere</w:t>
      </w:r>
      <w:proofErr w:type="spellEnd"/>
      <w:r w:rsidRPr="008548D2">
        <w:rPr>
          <w:sz w:val="24"/>
          <w:szCs w:val="24"/>
        </w:rPr>
        <w:t xml:space="preserve"> (f.eks. </w:t>
      </w:r>
      <w:proofErr w:type="spellStart"/>
      <w:r w:rsidRPr="008548D2">
        <w:rPr>
          <w:sz w:val="24"/>
          <w:szCs w:val="24"/>
        </w:rPr>
        <w:t>omeprazol</w:t>
      </w:r>
      <w:proofErr w:type="spellEnd"/>
      <w:r w:rsidRPr="008548D2">
        <w:rPr>
          <w:sz w:val="24"/>
          <w:szCs w:val="24"/>
        </w:rPr>
        <w:t xml:space="preserve">), eftersom det kan ændre absorptionen af </w:t>
      </w:r>
      <w:proofErr w:type="spellStart"/>
      <w:r w:rsidRPr="008548D2">
        <w:rPr>
          <w:sz w:val="24"/>
          <w:szCs w:val="24"/>
        </w:rPr>
        <w:t>ketoconazol</w:t>
      </w:r>
      <w:proofErr w:type="spellEnd"/>
      <w:r w:rsidRPr="008548D2">
        <w:rPr>
          <w:sz w:val="24"/>
          <w:szCs w:val="24"/>
        </w:rPr>
        <w:t xml:space="preserve"> (der kræver et surt miljø).</w:t>
      </w:r>
    </w:p>
    <w:p w:rsidR="008548D2" w:rsidRPr="008548D2" w:rsidRDefault="008548D2" w:rsidP="008548D2">
      <w:pPr>
        <w:ind w:left="567"/>
        <w:rPr>
          <w:sz w:val="24"/>
          <w:szCs w:val="24"/>
        </w:rPr>
      </w:pPr>
    </w:p>
    <w:p w:rsidR="008548D2" w:rsidRPr="008548D2" w:rsidRDefault="008548D2" w:rsidP="008548D2">
      <w:pPr>
        <w:ind w:left="567"/>
        <w:rPr>
          <w:sz w:val="24"/>
          <w:szCs w:val="24"/>
          <w:lang w:bidi="da-DK"/>
        </w:rPr>
      </w:pPr>
      <w:proofErr w:type="spellStart"/>
      <w:r w:rsidRPr="008548D2">
        <w:rPr>
          <w:sz w:val="24"/>
          <w:szCs w:val="24"/>
          <w:lang w:bidi="da-DK"/>
        </w:rPr>
        <w:t>Ketoconazol</w:t>
      </w:r>
      <w:proofErr w:type="spellEnd"/>
      <w:r w:rsidRPr="008548D2">
        <w:rPr>
          <w:sz w:val="24"/>
          <w:szCs w:val="24"/>
          <w:lang w:bidi="da-DK"/>
        </w:rPr>
        <w:t xml:space="preserve"> er et substrat og en potent hæmmer af </w:t>
      </w:r>
      <w:proofErr w:type="spellStart"/>
      <w:r w:rsidRPr="008548D2">
        <w:rPr>
          <w:sz w:val="24"/>
          <w:szCs w:val="24"/>
          <w:lang w:bidi="da-DK"/>
        </w:rPr>
        <w:t>cytokrom</w:t>
      </w:r>
      <w:proofErr w:type="spellEnd"/>
      <w:r w:rsidRPr="008548D2">
        <w:rPr>
          <w:sz w:val="24"/>
          <w:szCs w:val="24"/>
          <w:lang w:bidi="da-DK"/>
        </w:rPr>
        <w:t xml:space="preserve"> P450 3A4 (CYP3A4). Det kan reducere eliminationen af lægemidler, der </w:t>
      </w:r>
      <w:proofErr w:type="spellStart"/>
      <w:r w:rsidRPr="008548D2">
        <w:rPr>
          <w:sz w:val="24"/>
          <w:szCs w:val="24"/>
          <w:lang w:bidi="da-DK"/>
        </w:rPr>
        <w:t>metaboliseres</w:t>
      </w:r>
      <w:proofErr w:type="spellEnd"/>
      <w:r w:rsidRPr="008548D2">
        <w:rPr>
          <w:sz w:val="24"/>
          <w:szCs w:val="24"/>
          <w:lang w:bidi="da-DK"/>
        </w:rPr>
        <w:t xml:space="preserve"> af CYP3A4, og således ændre deres plasmakoncentrationer. Dette kan føre til forhøjede plasmakoncentrationer af f.eks. </w:t>
      </w:r>
      <w:proofErr w:type="spellStart"/>
      <w:r w:rsidRPr="008548D2">
        <w:rPr>
          <w:sz w:val="24"/>
          <w:szCs w:val="24"/>
          <w:lang w:bidi="da-DK"/>
        </w:rPr>
        <w:t>ciclosporin</w:t>
      </w:r>
      <w:proofErr w:type="spellEnd"/>
      <w:r w:rsidRPr="008548D2">
        <w:rPr>
          <w:sz w:val="24"/>
          <w:szCs w:val="24"/>
          <w:lang w:bidi="da-DK"/>
        </w:rPr>
        <w:t xml:space="preserve">, </w:t>
      </w:r>
      <w:proofErr w:type="spellStart"/>
      <w:r w:rsidRPr="008548D2">
        <w:rPr>
          <w:sz w:val="24"/>
          <w:szCs w:val="24"/>
          <w:lang w:bidi="da-DK"/>
        </w:rPr>
        <w:t>makrocycliske</w:t>
      </w:r>
      <w:proofErr w:type="spellEnd"/>
      <w:r w:rsidRPr="008548D2">
        <w:rPr>
          <w:sz w:val="24"/>
          <w:szCs w:val="24"/>
          <w:lang w:bidi="da-DK"/>
        </w:rPr>
        <w:t xml:space="preserve"> lactoner (</w:t>
      </w:r>
      <w:proofErr w:type="spellStart"/>
      <w:r w:rsidRPr="008548D2">
        <w:rPr>
          <w:sz w:val="24"/>
          <w:szCs w:val="24"/>
          <w:lang w:bidi="da-DK"/>
        </w:rPr>
        <w:t>ivermectin</w:t>
      </w:r>
      <w:proofErr w:type="spellEnd"/>
      <w:r w:rsidRPr="008548D2">
        <w:rPr>
          <w:sz w:val="24"/>
          <w:szCs w:val="24"/>
          <w:lang w:bidi="da-DK"/>
        </w:rPr>
        <w:t xml:space="preserve">, </w:t>
      </w:r>
      <w:proofErr w:type="spellStart"/>
      <w:r w:rsidRPr="008548D2">
        <w:rPr>
          <w:sz w:val="24"/>
          <w:szCs w:val="24"/>
          <w:lang w:bidi="da-DK"/>
        </w:rPr>
        <w:t>selamectin</w:t>
      </w:r>
      <w:proofErr w:type="spellEnd"/>
      <w:r w:rsidRPr="008548D2">
        <w:rPr>
          <w:sz w:val="24"/>
          <w:szCs w:val="24"/>
          <w:lang w:bidi="da-DK"/>
        </w:rPr>
        <w:t xml:space="preserve">, </w:t>
      </w:r>
      <w:proofErr w:type="spellStart"/>
      <w:r w:rsidRPr="008548D2">
        <w:rPr>
          <w:sz w:val="24"/>
          <w:szCs w:val="24"/>
          <w:lang w:bidi="da-DK"/>
        </w:rPr>
        <w:t>milbemycin</w:t>
      </w:r>
      <w:proofErr w:type="spellEnd"/>
      <w:r w:rsidRPr="008548D2">
        <w:rPr>
          <w:sz w:val="24"/>
          <w:szCs w:val="24"/>
          <w:lang w:bidi="da-DK"/>
        </w:rPr>
        <w:t xml:space="preserve">), </w:t>
      </w:r>
      <w:proofErr w:type="spellStart"/>
      <w:r w:rsidRPr="008548D2">
        <w:rPr>
          <w:sz w:val="24"/>
          <w:szCs w:val="24"/>
          <w:lang w:bidi="da-DK"/>
        </w:rPr>
        <w:t>midazolam</w:t>
      </w:r>
      <w:proofErr w:type="spellEnd"/>
      <w:r w:rsidRPr="008548D2">
        <w:rPr>
          <w:sz w:val="24"/>
          <w:szCs w:val="24"/>
          <w:lang w:bidi="da-DK"/>
        </w:rPr>
        <w:t xml:space="preserve">, </w:t>
      </w:r>
      <w:proofErr w:type="spellStart"/>
      <w:r w:rsidRPr="008548D2">
        <w:rPr>
          <w:sz w:val="24"/>
          <w:szCs w:val="24"/>
          <w:lang w:bidi="da-DK"/>
        </w:rPr>
        <w:t>cisaprid</w:t>
      </w:r>
      <w:proofErr w:type="spellEnd"/>
      <w:r w:rsidRPr="008548D2">
        <w:rPr>
          <w:sz w:val="24"/>
          <w:szCs w:val="24"/>
          <w:lang w:bidi="da-DK"/>
        </w:rPr>
        <w:t xml:space="preserve">, calciumkanalblokerende stoffer, fentanyl, </w:t>
      </w:r>
      <w:proofErr w:type="spellStart"/>
      <w:r w:rsidRPr="008548D2">
        <w:rPr>
          <w:sz w:val="24"/>
          <w:szCs w:val="24"/>
          <w:lang w:bidi="da-DK"/>
        </w:rPr>
        <w:t>digoxin</w:t>
      </w:r>
      <w:proofErr w:type="spellEnd"/>
      <w:r w:rsidRPr="008548D2">
        <w:rPr>
          <w:sz w:val="24"/>
          <w:szCs w:val="24"/>
          <w:lang w:bidi="da-DK"/>
        </w:rPr>
        <w:t xml:space="preserve">, makrolider, </w:t>
      </w:r>
      <w:proofErr w:type="spellStart"/>
      <w:r w:rsidRPr="008548D2">
        <w:rPr>
          <w:sz w:val="24"/>
          <w:szCs w:val="24"/>
          <w:lang w:bidi="da-DK"/>
        </w:rPr>
        <w:t>methylprednisolon</w:t>
      </w:r>
      <w:proofErr w:type="spellEnd"/>
      <w:r w:rsidRPr="008548D2">
        <w:rPr>
          <w:sz w:val="24"/>
          <w:szCs w:val="24"/>
          <w:lang w:bidi="da-DK"/>
        </w:rPr>
        <w:t xml:space="preserve"> eller </w:t>
      </w:r>
      <w:proofErr w:type="spellStart"/>
      <w:r w:rsidRPr="008548D2">
        <w:rPr>
          <w:sz w:val="24"/>
          <w:szCs w:val="24"/>
          <w:lang w:bidi="da-DK"/>
        </w:rPr>
        <w:t>coumarin-antikoagulantia</w:t>
      </w:r>
      <w:proofErr w:type="spellEnd"/>
      <w:r w:rsidRPr="008548D2">
        <w:rPr>
          <w:sz w:val="24"/>
          <w:szCs w:val="24"/>
          <w:lang w:bidi="da-DK"/>
        </w:rPr>
        <w:t xml:space="preserve">. De forhøjede plasmaniveauer af de ovenfor nævnte lægemidler kan forlænge varigheden af virkningen, samt bivirkningerne. </w:t>
      </w:r>
    </w:p>
    <w:p w:rsidR="008548D2" w:rsidRPr="008548D2" w:rsidRDefault="008548D2" w:rsidP="008548D2">
      <w:pPr>
        <w:ind w:left="567"/>
        <w:rPr>
          <w:sz w:val="24"/>
          <w:szCs w:val="24"/>
          <w:lang w:bidi="da-DK"/>
        </w:rPr>
      </w:pPr>
      <w:r w:rsidRPr="008548D2">
        <w:rPr>
          <w:sz w:val="24"/>
          <w:szCs w:val="24"/>
          <w:lang w:bidi="da-DK"/>
        </w:rPr>
        <w:t xml:space="preserve">På den anden side kan induktorer af </w:t>
      </w:r>
      <w:proofErr w:type="spellStart"/>
      <w:r w:rsidRPr="008548D2">
        <w:rPr>
          <w:sz w:val="24"/>
          <w:szCs w:val="24"/>
          <w:lang w:bidi="da-DK"/>
        </w:rPr>
        <w:t>cytokrom</w:t>
      </w:r>
      <w:proofErr w:type="spellEnd"/>
      <w:r w:rsidRPr="008548D2">
        <w:rPr>
          <w:sz w:val="24"/>
          <w:szCs w:val="24"/>
          <w:lang w:bidi="da-DK"/>
        </w:rPr>
        <w:t xml:space="preserve"> P450 forøge metabolismen af </w:t>
      </w:r>
      <w:proofErr w:type="spellStart"/>
      <w:r w:rsidRPr="008548D2">
        <w:rPr>
          <w:sz w:val="24"/>
          <w:szCs w:val="24"/>
          <w:lang w:bidi="da-DK"/>
        </w:rPr>
        <w:t>ketoconazol</w:t>
      </w:r>
      <w:proofErr w:type="spellEnd"/>
      <w:r w:rsidRPr="008548D2">
        <w:rPr>
          <w:sz w:val="24"/>
          <w:szCs w:val="24"/>
          <w:lang w:bidi="da-DK"/>
        </w:rPr>
        <w:t xml:space="preserve">, f.eks. kan barbiturater eller </w:t>
      </w:r>
      <w:proofErr w:type="spellStart"/>
      <w:r w:rsidRPr="008548D2">
        <w:rPr>
          <w:sz w:val="24"/>
          <w:szCs w:val="24"/>
          <w:lang w:bidi="da-DK"/>
        </w:rPr>
        <w:t>phenytoin</w:t>
      </w:r>
      <w:proofErr w:type="spellEnd"/>
      <w:r w:rsidRPr="008548D2">
        <w:rPr>
          <w:sz w:val="24"/>
          <w:szCs w:val="24"/>
          <w:lang w:bidi="da-DK"/>
        </w:rPr>
        <w:t xml:space="preserve"> forøge </w:t>
      </w:r>
      <w:proofErr w:type="spellStart"/>
      <w:r w:rsidRPr="008548D2">
        <w:rPr>
          <w:sz w:val="24"/>
          <w:szCs w:val="24"/>
          <w:lang w:bidi="da-DK"/>
        </w:rPr>
        <w:t>metaboliseringshastigheden</w:t>
      </w:r>
      <w:proofErr w:type="spellEnd"/>
      <w:r w:rsidRPr="008548D2">
        <w:rPr>
          <w:sz w:val="24"/>
          <w:szCs w:val="24"/>
          <w:lang w:bidi="da-DK"/>
        </w:rPr>
        <w:t xml:space="preserve"> af </w:t>
      </w:r>
      <w:proofErr w:type="spellStart"/>
      <w:r w:rsidRPr="008548D2">
        <w:rPr>
          <w:sz w:val="24"/>
          <w:szCs w:val="24"/>
          <w:lang w:bidi="da-DK"/>
        </w:rPr>
        <w:t>ketoconazol</w:t>
      </w:r>
      <w:proofErr w:type="spellEnd"/>
      <w:r w:rsidRPr="008548D2">
        <w:rPr>
          <w:sz w:val="24"/>
          <w:szCs w:val="24"/>
          <w:lang w:bidi="da-DK"/>
        </w:rPr>
        <w:t xml:space="preserve">, hvilket fører til en nedsat biotilgængelighed, og dermed en nedsat effektivitet. </w:t>
      </w:r>
    </w:p>
    <w:p w:rsidR="008548D2" w:rsidRPr="008548D2" w:rsidRDefault="008548D2" w:rsidP="008548D2">
      <w:pPr>
        <w:ind w:left="567"/>
        <w:rPr>
          <w:sz w:val="24"/>
          <w:szCs w:val="24"/>
          <w:lang w:bidi="da-DK"/>
        </w:rPr>
      </w:pPr>
      <w:proofErr w:type="spellStart"/>
      <w:r w:rsidRPr="008548D2">
        <w:rPr>
          <w:sz w:val="24"/>
          <w:szCs w:val="24"/>
          <w:lang w:bidi="da-DK"/>
        </w:rPr>
        <w:t>Ketoconazol</w:t>
      </w:r>
      <w:proofErr w:type="spellEnd"/>
      <w:r w:rsidRPr="008548D2">
        <w:rPr>
          <w:sz w:val="24"/>
          <w:szCs w:val="24"/>
          <w:lang w:bidi="da-DK"/>
        </w:rPr>
        <w:t xml:space="preserve"> kan nedsætte serumkoncentrationerne af </w:t>
      </w:r>
      <w:proofErr w:type="spellStart"/>
      <w:r w:rsidRPr="008548D2">
        <w:rPr>
          <w:sz w:val="24"/>
          <w:szCs w:val="24"/>
          <w:lang w:bidi="da-DK"/>
        </w:rPr>
        <w:t>theophyllin</w:t>
      </w:r>
      <w:proofErr w:type="spellEnd"/>
      <w:r w:rsidRPr="008548D2">
        <w:rPr>
          <w:sz w:val="24"/>
          <w:szCs w:val="24"/>
          <w:lang w:bidi="da-DK"/>
        </w:rPr>
        <w:t>.</w:t>
      </w:r>
    </w:p>
    <w:p w:rsidR="008548D2" w:rsidRPr="008548D2" w:rsidRDefault="008548D2" w:rsidP="008548D2">
      <w:pPr>
        <w:ind w:left="567"/>
        <w:rPr>
          <w:sz w:val="24"/>
          <w:szCs w:val="24"/>
          <w:lang w:bidi="da-DK"/>
        </w:rPr>
      </w:pPr>
      <w:proofErr w:type="spellStart"/>
      <w:r w:rsidRPr="008548D2">
        <w:rPr>
          <w:sz w:val="24"/>
          <w:szCs w:val="24"/>
          <w:lang w:bidi="da-DK"/>
        </w:rPr>
        <w:t>Ketoconazol</w:t>
      </w:r>
      <w:proofErr w:type="spellEnd"/>
      <w:r w:rsidRPr="008548D2">
        <w:rPr>
          <w:sz w:val="24"/>
          <w:szCs w:val="24"/>
          <w:lang w:bidi="da-DK"/>
        </w:rPr>
        <w:t xml:space="preserve"> hæmmer omdannelsen af kolesterol til </w:t>
      </w:r>
      <w:proofErr w:type="spellStart"/>
      <w:r w:rsidRPr="008548D2">
        <w:rPr>
          <w:sz w:val="24"/>
          <w:szCs w:val="24"/>
          <w:lang w:bidi="da-DK"/>
        </w:rPr>
        <w:t>cortisol</w:t>
      </w:r>
      <w:proofErr w:type="spellEnd"/>
      <w:r w:rsidRPr="008548D2">
        <w:rPr>
          <w:sz w:val="24"/>
          <w:szCs w:val="24"/>
          <w:lang w:bidi="da-DK"/>
        </w:rPr>
        <w:t xml:space="preserve"> og kan således påvirke doseringen af </w:t>
      </w:r>
      <w:proofErr w:type="spellStart"/>
      <w:r w:rsidRPr="008548D2">
        <w:rPr>
          <w:sz w:val="24"/>
          <w:szCs w:val="24"/>
          <w:lang w:bidi="da-DK"/>
        </w:rPr>
        <w:t>trilostan</w:t>
      </w:r>
      <w:proofErr w:type="spellEnd"/>
      <w:r w:rsidRPr="008548D2">
        <w:rPr>
          <w:sz w:val="24"/>
          <w:szCs w:val="24"/>
          <w:lang w:bidi="da-DK"/>
        </w:rPr>
        <w:t>/</w:t>
      </w:r>
      <w:proofErr w:type="spellStart"/>
      <w:r w:rsidRPr="008548D2">
        <w:rPr>
          <w:sz w:val="24"/>
          <w:szCs w:val="24"/>
          <w:lang w:bidi="da-DK"/>
        </w:rPr>
        <w:t>mitotan</w:t>
      </w:r>
      <w:proofErr w:type="spellEnd"/>
      <w:r w:rsidRPr="008548D2">
        <w:rPr>
          <w:sz w:val="24"/>
          <w:szCs w:val="24"/>
          <w:lang w:bidi="da-DK"/>
        </w:rPr>
        <w:t xml:space="preserve"> til hunde, som samtidigt behandles for </w:t>
      </w:r>
      <w:proofErr w:type="spellStart"/>
      <w:r w:rsidRPr="008548D2">
        <w:rPr>
          <w:sz w:val="24"/>
          <w:szCs w:val="24"/>
          <w:lang w:bidi="da-DK"/>
        </w:rPr>
        <w:t>hyperadrenocorticisme</w:t>
      </w:r>
      <w:proofErr w:type="spellEnd"/>
      <w:r w:rsidRPr="008548D2">
        <w:rPr>
          <w:sz w:val="24"/>
          <w:szCs w:val="24"/>
          <w:lang w:bidi="da-DK"/>
        </w:rPr>
        <w:t>.</w:t>
      </w:r>
    </w:p>
    <w:p w:rsidR="008548D2" w:rsidRPr="008548D2" w:rsidRDefault="008548D2" w:rsidP="008548D2">
      <w:pPr>
        <w:ind w:left="567"/>
        <w:rPr>
          <w:sz w:val="24"/>
          <w:szCs w:val="24"/>
          <w:lang w:bidi="da-DK"/>
        </w:rPr>
      </w:pPr>
    </w:p>
    <w:p w:rsidR="008548D2" w:rsidRPr="008548D2" w:rsidRDefault="008548D2" w:rsidP="008548D2">
      <w:pPr>
        <w:ind w:left="567"/>
        <w:rPr>
          <w:sz w:val="24"/>
          <w:szCs w:val="24"/>
          <w:lang w:bidi="da-DK"/>
        </w:rPr>
      </w:pPr>
      <w:r w:rsidRPr="008548D2">
        <w:rPr>
          <w:sz w:val="24"/>
          <w:szCs w:val="24"/>
          <w:lang w:bidi="da-DK"/>
        </w:rPr>
        <w:t>Det er ukendt i hvilken grad disse interaktioner er relevante for hunde og katte, men da der ikke foreligger data, bør en samtidig administration af veterinærlægemidlet og disse lægemidler undgås.</w:t>
      </w:r>
    </w:p>
    <w:p w:rsidR="008548D2" w:rsidRPr="008548D2" w:rsidRDefault="008548D2" w:rsidP="008548D2">
      <w:pPr>
        <w:rPr>
          <w:sz w:val="24"/>
          <w:szCs w:val="24"/>
        </w:rPr>
      </w:pPr>
    </w:p>
    <w:p w:rsidR="008548D2" w:rsidRPr="008548D2" w:rsidRDefault="008548D2" w:rsidP="008548D2">
      <w:pPr>
        <w:pStyle w:val="Style1"/>
        <w:rPr>
          <w:sz w:val="24"/>
          <w:szCs w:val="24"/>
        </w:rPr>
      </w:pPr>
      <w:r w:rsidRPr="008548D2">
        <w:rPr>
          <w:sz w:val="24"/>
          <w:szCs w:val="24"/>
        </w:rPr>
        <w:t>3.9</w:t>
      </w:r>
      <w:r w:rsidRPr="008548D2">
        <w:rPr>
          <w:sz w:val="24"/>
          <w:szCs w:val="24"/>
        </w:rPr>
        <w:tab/>
        <w:t>Administrationsveje og dosering</w:t>
      </w:r>
    </w:p>
    <w:p w:rsidR="008548D2" w:rsidRPr="008548D2" w:rsidRDefault="008548D2" w:rsidP="008548D2">
      <w:pPr>
        <w:rPr>
          <w:sz w:val="24"/>
          <w:szCs w:val="24"/>
        </w:rPr>
      </w:pPr>
    </w:p>
    <w:p w:rsidR="008548D2" w:rsidRPr="008548D2" w:rsidRDefault="008548D2" w:rsidP="008548D2">
      <w:pPr>
        <w:ind w:left="567"/>
        <w:rPr>
          <w:sz w:val="24"/>
          <w:szCs w:val="24"/>
        </w:rPr>
      </w:pPr>
      <w:r w:rsidRPr="008548D2">
        <w:rPr>
          <w:sz w:val="24"/>
          <w:szCs w:val="24"/>
        </w:rPr>
        <w:t>Oral anvendelse.</w:t>
      </w:r>
    </w:p>
    <w:p w:rsidR="008548D2" w:rsidRPr="008548D2" w:rsidRDefault="008548D2" w:rsidP="008548D2">
      <w:pPr>
        <w:ind w:left="567"/>
        <w:rPr>
          <w:b/>
          <w:bCs/>
          <w:sz w:val="24"/>
          <w:szCs w:val="24"/>
        </w:rPr>
      </w:pPr>
      <w:bookmarkStart w:id="4" w:name="_Hlk185509426"/>
      <w:r w:rsidRPr="008548D2">
        <w:rPr>
          <w:b/>
          <w:bCs/>
          <w:sz w:val="24"/>
          <w:szCs w:val="24"/>
        </w:rPr>
        <w:t>200 mg tabletter:</w:t>
      </w:r>
    </w:p>
    <w:p w:rsidR="008548D2" w:rsidRPr="008548D2" w:rsidRDefault="008548D2" w:rsidP="008548D2">
      <w:pPr>
        <w:ind w:left="567"/>
        <w:rPr>
          <w:sz w:val="24"/>
          <w:szCs w:val="24"/>
        </w:rPr>
      </w:pPr>
      <w:r w:rsidRPr="008548D2">
        <w:rPr>
          <w:sz w:val="24"/>
          <w:szCs w:val="24"/>
        </w:rPr>
        <w:t xml:space="preserve">10 mg </w:t>
      </w:r>
      <w:proofErr w:type="spellStart"/>
      <w:r w:rsidRPr="008548D2">
        <w:rPr>
          <w:sz w:val="24"/>
          <w:szCs w:val="24"/>
        </w:rPr>
        <w:t>ketoconazol</w:t>
      </w:r>
      <w:proofErr w:type="spellEnd"/>
      <w:r w:rsidRPr="008548D2">
        <w:rPr>
          <w:sz w:val="24"/>
          <w:szCs w:val="24"/>
        </w:rPr>
        <w:t xml:space="preserve"> pr. kg legemsvægt dagligt, ved oral administration. Dette svarer til 1 tablet pr. 20 kg legemsvægt dagligt. </w:t>
      </w:r>
    </w:p>
    <w:bookmarkEnd w:id="4"/>
    <w:p w:rsidR="008548D2" w:rsidRPr="008548D2" w:rsidRDefault="008548D2" w:rsidP="008548D2">
      <w:pPr>
        <w:ind w:left="567"/>
        <w:rPr>
          <w:sz w:val="24"/>
          <w:szCs w:val="24"/>
        </w:rPr>
      </w:pPr>
    </w:p>
    <w:p w:rsidR="008548D2" w:rsidRPr="008548D2" w:rsidRDefault="008548D2" w:rsidP="008548D2">
      <w:pPr>
        <w:ind w:left="567"/>
        <w:rPr>
          <w:b/>
          <w:bCs/>
          <w:sz w:val="24"/>
          <w:szCs w:val="24"/>
        </w:rPr>
      </w:pPr>
      <w:r w:rsidRPr="008548D2">
        <w:rPr>
          <w:b/>
          <w:bCs/>
          <w:sz w:val="24"/>
          <w:szCs w:val="24"/>
        </w:rPr>
        <w:t>400 mg tabletter:</w:t>
      </w:r>
    </w:p>
    <w:p w:rsidR="008548D2" w:rsidRPr="008548D2" w:rsidRDefault="008548D2" w:rsidP="008548D2">
      <w:pPr>
        <w:ind w:left="567"/>
        <w:rPr>
          <w:sz w:val="24"/>
          <w:szCs w:val="24"/>
        </w:rPr>
      </w:pPr>
      <w:r w:rsidRPr="008548D2">
        <w:rPr>
          <w:sz w:val="24"/>
          <w:szCs w:val="24"/>
        </w:rPr>
        <w:t xml:space="preserve">10 mg </w:t>
      </w:r>
      <w:proofErr w:type="spellStart"/>
      <w:r w:rsidRPr="008548D2">
        <w:rPr>
          <w:sz w:val="24"/>
          <w:szCs w:val="24"/>
        </w:rPr>
        <w:t>ketoconazol</w:t>
      </w:r>
      <w:proofErr w:type="spellEnd"/>
      <w:r w:rsidRPr="008548D2">
        <w:rPr>
          <w:sz w:val="24"/>
          <w:szCs w:val="24"/>
        </w:rPr>
        <w:t xml:space="preserve"> pr. kg legemsvægt dagligt, ved oral administration. Dette svarer til 1 tablet pr. 40 kg legemsvægt dagligt. </w:t>
      </w:r>
    </w:p>
    <w:p w:rsidR="008548D2" w:rsidRPr="008548D2" w:rsidRDefault="008548D2" w:rsidP="008548D2">
      <w:pPr>
        <w:ind w:left="567"/>
        <w:rPr>
          <w:sz w:val="24"/>
          <w:szCs w:val="24"/>
        </w:rPr>
      </w:pPr>
    </w:p>
    <w:p w:rsidR="008548D2" w:rsidRPr="008548D2" w:rsidRDefault="008548D2" w:rsidP="008548D2">
      <w:pPr>
        <w:ind w:left="567"/>
        <w:rPr>
          <w:sz w:val="24"/>
          <w:szCs w:val="24"/>
        </w:rPr>
      </w:pPr>
      <w:r w:rsidRPr="008548D2">
        <w:rPr>
          <w:sz w:val="24"/>
          <w:szCs w:val="24"/>
        </w:rPr>
        <w:t>Det anbefales at tage en prøve fra hunden en gang om måneden under behandlingen og stoppe administrationen af anti-svampemidlet efter to negative kulturer. Når mykologisk opfølgning ikke er mulig, bør behandlingen fortsættes i en adækvat periode for at sikre mykologisk helbredelse.</w:t>
      </w:r>
      <w:r w:rsidRPr="008548D2">
        <w:rPr>
          <w:spacing w:val="5"/>
          <w:sz w:val="24"/>
          <w:szCs w:val="24"/>
        </w:rPr>
        <w:t xml:space="preserve"> </w:t>
      </w:r>
      <w:r w:rsidRPr="008548D2">
        <w:rPr>
          <w:sz w:val="24"/>
          <w:szCs w:val="24"/>
        </w:rPr>
        <w:t xml:space="preserve">Hvis læsionerne ikke er forsvundet efter 8 ugers behandling, bør den ansvarlige dyrlæge revurdere medicineringen. </w:t>
      </w:r>
    </w:p>
    <w:p w:rsidR="008548D2" w:rsidRPr="008548D2" w:rsidRDefault="008548D2" w:rsidP="008548D2">
      <w:pPr>
        <w:ind w:left="567"/>
        <w:rPr>
          <w:sz w:val="24"/>
          <w:szCs w:val="24"/>
        </w:rPr>
      </w:pPr>
      <w:r w:rsidRPr="008548D2">
        <w:rPr>
          <w:sz w:val="24"/>
          <w:szCs w:val="24"/>
        </w:rPr>
        <w:t>Bør administreres sammen med mad for at maksimere absorptionen.</w:t>
      </w:r>
    </w:p>
    <w:p w:rsidR="008548D2" w:rsidRPr="008548D2" w:rsidRDefault="008548D2" w:rsidP="008548D2">
      <w:pPr>
        <w:autoSpaceDE w:val="0"/>
        <w:autoSpaceDN w:val="0"/>
        <w:ind w:left="567"/>
        <w:rPr>
          <w:sz w:val="24"/>
          <w:szCs w:val="24"/>
        </w:rPr>
      </w:pPr>
      <w:r w:rsidRPr="008548D2">
        <w:rPr>
          <w:sz w:val="24"/>
          <w:szCs w:val="24"/>
        </w:rPr>
        <w:t>Tabletterne kan deles i halvdele og fjerdedele for at sikre en præcis dosering. Læg tabletten på en flad overflade med delekærven opad og den konvekse (afrundede) side nedad mod den flade overflade.</w:t>
      </w:r>
    </w:p>
    <w:p w:rsidR="008548D2" w:rsidRPr="008548D2" w:rsidRDefault="008548D2" w:rsidP="008548D2">
      <w:pPr>
        <w:pStyle w:val="Listeafsnit"/>
        <w:spacing w:line="240" w:lineRule="auto"/>
        <w:ind w:left="567"/>
        <w:rPr>
          <w:rFonts w:ascii="Times New Roman" w:hAnsi="Times New Roman"/>
          <w:sz w:val="24"/>
        </w:rPr>
      </w:pPr>
      <w:r w:rsidRPr="008548D2">
        <w:rPr>
          <w:rFonts w:ascii="Times New Roman" w:hAnsi="Times New Roman"/>
          <w:sz w:val="24"/>
        </w:rPr>
        <w:lastRenderedPageBreak/>
        <w:t xml:space="preserve">Halvdele: Tryk let lige ned med spidsen af tommelfingrene på hver side af tabletten for at dele den i to halvdele. </w:t>
      </w:r>
    </w:p>
    <w:p w:rsidR="008548D2" w:rsidRPr="008548D2" w:rsidRDefault="008548D2" w:rsidP="008548D2">
      <w:pPr>
        <w:pStyle w:val="Listeafsnit"/>
        <w:spacing w:line="240" w:lineRule="auto"/>
        <w:ind w:left="567"/>
        <w:rPr>
          <w:rFonts w:ascii="Times New Roman" w:hAnsi="Times New Roman"/>
          <w:sz w:val="24"/>
        </w:rPr>
      </w:pPr>
      <w:r w:rsidRPr="008548D2">
        <w:rPr>
          <w:rFonts w:ascii="Times New Roman" w:hAnsi="Times New Roman"/>
          <w:sz w:val="24"/>
        </w:rPr>
        <w:t>Fjerdedele: Tryk let lige ned med spidsen af en tommelfinger midt på tabletten for at dele den i fire fjerdedele.</w:t>
      </w:r>
    </w:p>
    <w:p w:rsidR="008548D2" w:rsidRPr="008548D2" w:rsidRDefault="008548D2" w:rsidP="008548D2">
      <w:pPr>
        <w:pStyle w:val="Listeafsnit"/>
        <w:spacing w:line="240" w:lineRule="auto"/>
        <w:ind w:left="0"/>
        <w:jc w:val="center"/>
        <w:rPr>
          <w:rFonts w:ascii="Times New Roman" w:hAnsi="Times New Roman"/>
          <w:sz w:val="24"/>
        </w:rPr>
      </w:pPr>
      <w:r w:rsidRPr="008548D2">
        <w:rPr>
          <w:rFonts w:ascii="Times New Roman" w:hAnsi="Times New Roman"/>
          <w:noProof/>
          <w:sz w:val="24"/>
          <w:lang w:bidi="ar-SA"/>
        </w:rPr>
        <w:drawing>
          <wp:inline distT="0" distB="0" distL="0" distR="0" wp14:anchorId="637A167A" wp14:editId="5DBD3271">
            <wp:extent cx="3209925" cy="2286000"/>
            <wp:effectExtent l="0" t="0" r="952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9925" cy="2286000"/>
                    </a:xfrm>
                    <a:prstGeom prst="rect">
                      <a:avLst/>
                    </a:prstGeom>
                    <a:noFill/>
                    <a:ln>
                      <a:noFill/>
                    </a:ln>
                  </pic:spPr>
                </pic:pic>
              </a:graphicData>
            </a:graphic>
          </wp:inline>
        </w:drawing>
      </w:r>
    </w:p>
    <w:p w:rsidR="008548D2" w:rsidRPr="008548D2" w:rsidRDefault="008548D2" w:rsidP="008548D2">
      <w:pPr>
        <w:rPr>
          <w:bCs/>
          <w:sz w:val="24"/>
          <w:szCs w:val="24"/>
        </w:rPr>
      </w:pPr>
    </w:p>
    <w:p w:rsidR="008548D2" w:rsidRPr="008548D2" w:rsidRDefault="008548D2" w:rsidP="008548D2">
      <w:pPr>
        <w:ind w:firstLine="567"/>
        <w:rPr>
          <w:bCs/>
          <w:sz w:val="24"/>
          <w:szCs w:val="24"/>
        </w:rPr>
      </w:pPr>
      <w:r w:rsidRPr="008548D2">
        <w:rPr>
          <w:bCs/>
          <w:sz w:val="24"/>
          <w:szCs w:val="24"/>
        </w:rPr>
        <w:t>For at sikre korrekt dosering bør legemsvægten beregnes så nøjagtigt som muligt.</w:t>
      </w:r>
    </w:p>
    <w:p w:rsidR="008548D2" w:rsidRPr="008548D2" w:rsidRDefault="008548D2" w:rsidP="008548D2">
      <w:pPr>
        <w:rPr>
          <w:b/>
          <w:sz w:val="24"/>
          <w:szCs w:val="24"/>
        </w:rPr>
      </w:pPr>
    </w:p>
    <w:p w:rsidR="008548D2" w:rsidRPr="008548D2" w:rsidRDefault="008548D2" w:rsidP="008548D2">
      <w:pPr>
        <w:pStyle w:val="Style1"/>
        <w:rPr>
          <w:sz w:val="24"/>
          <w:szCs w:val="24"/>
        </w:rPr>
      </w:pPr>
      <w:r w:rsidRPr="008548D2">
        <w:rPr>
          <w:sz w:val="24"/>
          <w:szCs w:val="24"/>
        </w:rPr>
        <w:t>3.10</w:t>
      </w:r>
      <w:r w:rsidRPr="008548D2">
        <w:rPr>
          <w:sz w:val="24"/>
          <w:szCs w:val="24"/>
        </w:rPr>
        <w:tab/>
        <w:t>Symptomer på overdosering (og, hvis relevant, nødforanstaltninger og modgift)</w:t>
      </w:r>
    </w:p>
    <w:p w:rsidR="008548D2" w:rsidRPr="008548D2" w:rsidRDefault="008548D2" w:rsidP="008548D2">
      <w:pPr>
        <w:rPr>
          <w:sz w:val="24"/>
          <w:szCs w:val="24"/>
        </w:rPr>
      </w:pPr>
    </w:p>
    <w:p w:rsidR="008548D2" w:rsidRPr="008548D2" w:rsidRDefault="008548D2" w:rsidP="008548D2">
      <w:pPr>
        <w:ind w:left="567"/>
        <w:rPr>
          <w:sz w:val="24"/>
          <w:szCs w:val="24"/>
          <w:lang w:eastAsia="da-DK"/>
        </w:rPr>
      </w:pPr>
      <w:r w:rsidRPr="008548D2">
        <w:rPr>
          <w:sz w:val="24"/>
          <w:szCs w:val="24"/>
        </w:rPr>
        <w:t xml:space="preserve">Ved overdosering kan der ses følgende virkninger: Anoreksi, opkastning, </w:t>
      </w:r>
      <w:proofErr w:type="spellStart"/>
      <w:r w:rsidRPr="008548D2">
        <w:rPr>
          <w:sz w:val="24"/>
          <w:szCs w:val="24"/>
        </w:rPr>
        <w:t>pruritus</w:t>
      </w:r>
      <w:proofErr w:type="spellEnd"/>
      <w:r w:rsidRPr="008548D2">
        <w:rPr>
          <w:sz w:val="24"/>
          <w:szCs w:val="24"/>
        </w:rPr>
        <w:t xml:space="preserve">, </w:t>
      </w:r>
      <w:proofErr w:type="spellStart"/>
      <w:r w:rsidRPr="008548D2">
        <w:rPr>
          <w:sz w:val="24"/>
          <w:szCs w:val="24"/>
        </w:rPr>
        <w:t>alopecia</w:t>
      </w:r>
      <w:proofErr w:type="spellEnd"/>
      <w:r w:rsidRPr="008548D2">
        <w:rPr>
          <w:sz w:val="24"/>
          <w:szCs w:val="24"/>
        </w:rPr>
        <w:t xml:space="preserve"> samt en stigning i </w:t>
      </w:r>
      <w:proofErr w:type="spellStart"/>
      <w:r w:rsidRPr="008548D2">
        <w:rPr>
          <w:sz w:val="24"/>
          <w:szCs w:val="24"/>
        </w:rPr>
        <w:t>hepatisk</w:t>
      </w:r>
      <w:proofErr w:type="spellEnd"/>
      <w:r w:rsidRPr="008548D2">
        <w:rPr>
          <w:sz w:val="24"/>
          <w:szCs w:val="24"/>
        </w:rPr>
        <w:t xml:space="preserve"> </w:t>
      </w:r>
      <w:proofErr w:type="spellStart"/>
      <w:r w:rsidRPr="008548D2">
        <w:rPr>
          <w:sz w:val="24"/>
          <w:szCs w:val="24"/>
        </w:rPr>
        <w:t>alaninaminotransferase</w:t>
      </w:r>
      <w:proofErr w:type="spellEnd"/>
      <w:r w:rsidRPr="008548D2">
        <w:rPr>
          <w:sz w:val="24"/>
          <w:szCs w:val="24"/>
        </w:rPr>
        <w:t xml:space="preserve"> (ALAT) og basisk fosfatase (BASF).</w:t>
      </w:r>
    </w:p>
    <w:p w:rsidR="008548D2" w:rsidRPr="008548D2" w:rsidRDefault="008548D2" w:rsidP="008548D2">
      <w:pPr>
        <w:rPr>
          <w:sz w:val="24"/>
          <w:szCs w:val="24"/>
        </w:rPr>
      </w:pPr>
    </w:p>
    <w:p w:rsidR="008548D2" w:rsidRPr="008548D2" w:rsidRDefault="008548D2" w:rsidP="008548D2">
      <w:pPr>
        <w:pStyle w:val="Style1"/>
        <w:rPr>
          <w:sz w:val="24"/>
          <w:szCs w:val="24"/>
        </w:rPr>
      </w:pPr>
      <w:r w:rsidRPr="008548D2">
        <w:rPr>
          <w:sz w:val="24"/>
          <w:szCs w:val="24"/>
        </w:rPr>
        <w:t>3.11</w:t>
      </w:r>
      <w:r w:rsidRPr="008548D2">
        <w:rPr>
          <w:sz w:val="24"/>
          <w:szCs w:val="24"/>
        </w:rPr>
        <w:tab/>
        <w:t>Særlige begrænsninger og betingelser for anvendelse, herunder begrænsninger for anvendelsen af antimikrobielle og antiparasitære veterinærlægemidler for at begrænse risikoen for udvikling af resistens</w:t>
      </w:r>
    </w:p>
    <w:p w:rsidR="008548D2" w:rsidRPr="008548D2" w:rsidRDefault="008548D2" w:rsidP="008548D2">
      <w:pPr>
        <w:rPr>
          <w:sz w:val="24"/>
          <w:szCs w:val="24"/>
        </w:rPr>
      </w:pPr>
    </w:p>
    <w:p w:rsidR="008548D2" w:rsidRPr="008548D2" w:rsidRDefault="008548D2" w:rsidP="008548D2">
      <w:pPr>
        <w:ind w:firstLine="567"/>
        <w:rPr>
          <w:sz w:val="24"/>
          <w:szCs w:val="24"/>
        </w:rPr>
      </w:pPr>
      <w:r w:rsidRPr="008548D2">
        <w:rPr>
          <w:sz w:val="24"/>
          <w:szCs w:val="24"/>
        </w:rPr>
        <w:t>Ikke relevant.</w:t>
      </w:r>
    </w:p>
    <w:p w:rsidR="008548D2" w:rsidRPr="008548D2" w:rsidRDefault="008548D2" w:rsidP="008548D2">
      <w:pPr>
        <w:rPr>
          <w:sz w:val="24"/>
          <w:szCs w:val="24"/>
        </w:rPr>
      </w:pPr>
    </w:p>
    <w:p w:rsidR="008548D2" w:rsidRPr="008548D2" w:rsidRDefault="008548D2" w:rsidP="008548D2">
      <w:pPr>
        <w:pStyle w:val="Style1"/>
        <w:rPr>
          <w:sz w:val="24"/>
          <w:szCs w:val="24"/>
        </w:rPr>
      </w:pPr>
      <w:r w:rsidRPr="008548D2">
        <w:rPr>
          <w:sz w:val="24"/>
          <w:szCs w:val="24"/>
        </w:rPr>
        <w:t>3.12</w:t>
      </w:r>
      <w:r w:rsidRPr="008548D2">
        <w:rPr>
          <w:sz w:val="24"/>
          <w:szCs w:val="24"/>
        </w:rPr>
        <w:tab/>
        <w:t>Tilbageholdelsestid(er)</w:t>
      </w:r>
    </w:p>
    <w:p w:rsidR="008548D2" w:rsidRPr="008548D2" w:rsidRDefault="008548D2" w:rsidP="008548D2">
      <w:pPr>
        <w:rPr>
          <w:sz w:val="24"/>
          <w:szCs w:val="24"/>
        </w:rPr>
      </w:pPr>
    </w:p>
    <w:p w:rsidR="008548D2" w:rsidRPr="008548D2" w:rsidRDefault="008548D2" w:rsidP="008548D2">
      <w:pPr>
        <w:ind w:firstLine="567"/>
        <w:rPr>
          <w:sz w:val="24"/>
          <w:szCs w:val="24"/>
          <w:lang w:eastAsia="da-DK"/>
        </w:rPr>
      </w:pPr>
      <w:r w:rsidRPr="008548D2">
        <w:rPr>
          <w:sz w:val="24"/>
          <w:szCs w:val="24"/>
        </w:rPr>
        <w:t>Ikke relevant.</w:t>
      </w:r>
    </w:p>
    <w:p w:rsidR="008548D2" w:rsidRPr="008548D2" w:rsidRDefault="008548D2" w:rsidP="008548D2">
      <w:pPr>
        <w:rPr>
          <w:sz w:val="24"/>
          <w:szCs w:val="24"/>
        </w:rPr>
      </w:pPr>
    </w:p>
    <w:p w:rsidR="008548D2" w:rsidRPr="008548D2" w:rsidRDefault="008548D2" w:rsidP="008548D2">
      <w:pPr>
        <w:rPr>
          <w:sz w:val="24"/>
          <w:szCs w:val="24"/>
        </w:rPr>
      </w:pPr>
    </w:p>
    <w:p w:rsidR="008548D2" w:rsidRPr="008548D2" w:rsidRDefault="008548D2" w:rsidP="008548D2">
      <w:pPr>
        <w:pStyle w:val="Style1"/>
        <w:rPr>
          <w:sz w:val="24"/>
          <w:szCs w:val="24"/>
        </w:rPr>
      </w:pPr>
      <w:r w:rsidRPr="008548D2">
        <w:rPr>
          <w:sz w:val="24"/>
          <w:szCs w:val="24"/>
        </w:rPr>
        <w:t>4.</w:t>
      </w:r>
      <w:r w:rsidRPr="008548D2">
        <w:rPr>
          <w:sz w:val="24"/>
          <w:szCs w:val="24"/>
        </w:rPr>
        <w:tab/>
        <w:t>FARMAKOLOGISKE OPLYSNINGER</w:t>
      </w:r>
    </w:p>
    <w:p w:rsidR="008548D2" w:rsidRPr="008548D2" w:rsidRDefault="008548D2" w:rsidP="008548D2">
      <w:pPr>
        <w:rPr>
          <w:sz w:val="24"/>
          <w:szCs w:val="24"/>
        </w:rPr>
      </w:pPr>
    </w:p>
    <w:p w:rsidR="008548D2" w:rsidRPr="008548D2" w:rsidRDefault="008548D2" w:rsidP="008548D2">
      <w:pPr>
        <w:pStyle w:val="Style1"/>
        <w:rPr>
          <w:sz w:val="24"/>
          <w:szCs w:val="24"/>
        </w:rPr>
      </w:pPr>
      <w:r w:rsidRPr="008548D2">
        <w:rPr>
          <w:sz w:val="24"/>
          <w:szCs w:val="24"/>
        </w:rPr>
        <w:t>4.1</w:t>
      </w:r>
      <w:r w:rsidRPr="008548D2">
        <w:rPr>
          <w:sz w:val="24"/>
          <w:szCs w:val="24"/>
        </w:rPr>
        <w:tab/>
      </w:r>
      <w:proofErr w:type="spellStart"/>
      <w:r w:rsidRPr="008548D2">
        <w:rPr>
          <w:sz w:val="24"/>
          <w:szCs w:val="24"/>
        </w:rPr>
        <w:t>ATCvet</w:t>
      </w:r>
      <w:proofErr w:type="spellEnd"/>
      <w:r w:rsidRPr="008548D2">
        <w:rPr>
          <w:sz w:val="24"/>
          <w:szCs w:val="24"/>
        </w:rPr>
        <w:t xml:space="preserve">-kode: </w:t>
      </w:r>
    </w:p>
    <w:p w:rsidR="008548D2" w:rsidRPr="008548D2" w:rsidRDefault="008548D2" w:rsidP="008548D2">
      <w:pPr>
        <w:pStyle w:val="Style1"/>
        <w:rPr>
          <w:sz w:val="24"/>
          <w:szCs w:val="24"/>
        </w:rPr>
      </w:pPr>
      <w:r>
        <w:rPr>
          <w:b w:val="0"/>
          <w:bCs/>
          <w:sz w:val="24"/>
          <w:szCs w:val="24"/>
        </w:rPr>
        <w:tab/>
      </w:r>
      <w:r w:rsidRPr="008548D2">
        <w:rPr>
          <w:b w:val="0"/>
          <w:bCs/>
          <w:sz w:val="24"/>
          <w:szCs w:val="24"/>
        </w:rPr>
        <w:t>QJ02AB02</w:t>
      </w:r>
    </w:p>
    <w:p w:rsidR="008548D2" w:rsidRPr="008548D2" w:rsidRDefault="008548D2" w:rsidP="008548D2">
      <w:pPr>
        <w:rPr>
          <w:sz w:val="24"/>
          <w:szCs w:val="24"/>
        </w:rPr>
      </w:pPr>
    </w:p>
    <w:p w:rsidR="008548D2" w:rsidRPr="008548D2" w:rsidRDefault="008548D2" w:rsidP="008548D2">
      <w:pPr>
        <w:pStyle w:val="Style1"/>
        <w:rPr>
          <w:sz w:val="24"/>
          <w:szCs w:val="24"/>
        </w:rPr>
      </w:pPr>
      <w:r w:rsidRPr="008548D2">
        <w:rPr>
          <w:sz w:val="24"/>
          <w:szCs w:val="24"/>
        </w:rPr>
        <w:t>4.2</w:t>
      </w:r>
      <w:r w:rsidRPr="008548D2">
        <w:rPr>
          <w:sz w:val="24"/>
          <w:szCs w:val="24"/>
        </w:rPr>
        <w:tab/>
      </w:r>
      <w:proofErr w:type="spellStart"/>
      <w:r w:rsidRPr="008548D2">
        <w:rPr>
          <w:sz w:val="24"/>
          <w:szCs w:val="24"/>
        </w:rPr>
        <w:t>Farmakodynamiske</w:t>
      </w:r>
      <w:proofErr w:type="spellEnd"/>
      <w:r w:rsidRPr="008548D2">
        <w:rPr>
          <w:sz w:val="24"/>
          <w:szCs w:val="24"/>
        </w:rPr>
        <w:t xml:space="preserve"> oplysninger</w:t>
      </w:r>
    </w:p>
    <w:p w:rsidR="008548D2" w:rsidRPr="008548D2" w:rsidRDefault="008548D2" w:rsidP="008548D2">
      <w:pPr>
        <w:rPr>
          <w:sz w:val="24"/>
          <w:szCs w:val="24"/>
        </w:rPr>
      </w:pPr>
    </w:p>
    <w:p w:rsidR="008548D2" w:rsidRPr="008548D2" w:rsidRDefault="008548D2" w:rsidP="008548D2">
      <w:pPr>
        <w:ind w:left="567"/>
        <w:rPr>
          <w:sz w:val="24"/>
          <w:szCs w:val="24"/>
          <w:lang w:eastAsia="da-DK"/>
        </w:rPr>
      </w:pPr>
      <w:proofErr w:type="spellStart"/>
      <w:r w:rsidRPr="008548D2">
        <w:rPr>
          <w:sz w:val="24"/>
          <w:szCs w:val="24"/>
        </w:rPr>
        <w:t>Ketoconazol</w:t>
      </w:r>
      <w:proofErr w:type="spellEnd"/>
      <w:r w:rsidRPr="008548D2">
        <w:rPr>
          <w:sz w:val="24"/>
          <w:szCs w:val="24"/>
        </w:rPr>
        <w:t xml:space="preserve"> er et bredspektret anti-svampemiddel, der er afledt af </w:t>
      </w:r>
      <w:proofErr w:type="spellStart"/>
      <w:r w:rsidRPr="008548D2">
        <w:rPr>
          <w:sz w:val="24"/>
          <w:szCs w:val="24"/>
        </w:rPr>
        <w:t>imidazol-dioxolan</w:t>
      </w:r>
      <w:proofErr w:type="spellEnd"/>
      <w:r w:rsidRPr="008548D2">
        <w:rPr>
          <w:sz w:val="24"/>
          <w:szCs w:val="24"/>
        </w:rPr>
        <w:t xml:space="preserve">, som udøver en </w:t>
      </w:r>
      <w:proofErr w:type="spellStart"/>
      <w:r w:rsidRPr="008548D2">
        <w:rPr>
          <w:sz w:val="24"/>
          <w:szCs w:val="24"/>
        </w:rPr>
        <w:t>fungistatisk</w:t>
      </w:r>
      <w:proofErr w:type="spellEnd"/>
      <w:r w:rsidRPr="008548D2">
        <w:rPr>
          <w:sz w:val="24"/>
          <w:szCs w:val="24"/>
        </w:rPr>
        <w:t xml:space="preserve"> og sporedræbende virkning på </w:t>
      </w:r>
      <w:proofErr w:type="spellStart"/>
      <w:r w:rsidRPr="008548D2">
        <w:rPr>
          <w:sz w:val="24"/>
          <w:szCs w:val="24"/>
        </w:rPr>
        <w:t>dermatofytter</w:t>
      </w:r>
      <w:proofErr w:type="spellEnd"/>
      <w:r w:rsidRPr="008548D2">
        <w:rPr>
          <w:sz w:val="24"/>
          <w:szCs w:val="24"/>
        </w:rPr>
        <w:t xml:space="preserve"> hos hunde.</w:t>
      </w:r>
    </w:p>
    <w:p w:rsidR="008548D2" w:rsidRPr="008548D2" w:rsidRDefault="008548D2" w:rsidP="008548D2">
      <w:pPr>
        <w:ind w:left="567"/>
        <w:rPr>
          <w:sz w:val="24"/>
          <w:szCs w:val="24"/>
        </w:rPr>
      </w:pPr>
      <w:proofErr w:type="spellStart"/>
      <w:r w:rsidRPr="008548D2">
        <w:rPr>
          <w:sz w:val="24"/>
          <w:szCs w:val="24"/>
        </w:rPr>
        <w:t>Ketoconazol</w:t>
      </w:r>
      <w:proofErr w:type="spellEnd"/>
      <w:r w:rsidRPr="008548D2">
        <w:rPr>
          <w:sz w:val="24"/>
          <w:szCs w:val="24"/>
        </w:rPr>
        <w:t xml:space="preserve"> hæmmer generelt </w:t>
      </w:r>
      <w:proofErr w:type="spellStart"/>
      <w:r w:rsidRPr="008548D2">
        <w:rPr>
          <w:sz w:val="24"/>
          <w:szCs w:val="24"/>
        </w:rPr>
        <w:t>cytokrom</w:t>
      </w:r>
      <w:proofErr w:type="spellEnd"/>
      <w:r w:rsidRPr="008548D2">
        <w:rPr>
          <w:sz w:val="24"/>
          <w:szCs w:val="24"/>
        </w:rPr>
        <w:t xml:space="preserve"> P450-systemet. </w:t>
      </w:r>
      <w:proofErr w:type="spellStart"/>
      <w:r w:rsidRPr="008548D2">
        <w:rPr>
          <w:sz w:val="24"/>
          <w:szCs w:val="24"/>
        </w:rPr>
        <w:t>Ketoconazol</w:t>
      </w:r>
      <w:proofErr w:type="spellEnd"/>
      <w:r w:rsidRPr="008548D2">
        <w:rPr>
          <w:sz w:val="24"/>
          <w:szCs w:val="24"/>
        </w:rPr>
        <w:t xml:space="preserve"> ændrer svampemembraners gennemtrængelighed og hæmmer specifikt syntesen af </w:t>
      </w:r>
      <w:proofErr w:type="spellStart"/>
      <w:r w:rsidRPr="008548D2">
        <w:rPr>
          <w:sz w:val="24"/>
          <w:szCs w:val="24"/>
        </w:rPr>
        <w:t>ergosterol</w:t>
      </w:r>
      <w:proofErr w:type="spellEnd"/>
      <w:r w:rsidRPr="008548D2">
        <w:rPr>
          <w:sz w:val="24"/>
          <w:szCs w:val="24"/>
        </w:rPr>
        <w:t xml:space="preserve">, der er en essentiel komponent i svampes cellemembran, primært ved at hæmme enzymet </w:t>
      </w:r>
      <w:proofErr w:type="spellStart"/>
      <w:r w:rsidRPr="008548D2">
        <w:rPr>
          <w:sz w:val="24"/>
          <w:szCs w:val="24"/>
        </w:rPr>
        <w:t>cytokrom</w:t>
      </w:r>
      <w:proofErr w:type="spellEnd"/>
      <w:r w:rsidRPr="008548D2">
        <w:rPr>
          <w:sz w:val="24"/>
          <w:szCs w:val="24"/>
        </w:rPr>
        <w:t xml:space="preserve"> P450 14-alpha-demethylase (P45014DM).</w:t>
      </w:r>
    </w:p>
    <w:p w:rsidR="008548D2" w:rsidRPr="008548D2" w:rsidRDefault="008548D2" w:rsidP="008548D2">
      <w:pPr>
        <w:ind w:left="567"/>
        <w:rPr>
          <w:sz w:val="24"/>
          <w:szCs w:val="24"/>
        </w:rPr>
      </w:pPr>
      <w:proofErr w:type="spellStart"/>
      <w:r w:rsidRPr="008548D2">
        <w:rPr>
          <w:sz w:val="24"/>
          <w:szCs w:val="24"/>
        </w:rPr>
        <w:lastRenderedPageBreak/>
        <w:t>Ketoconazol</w:t>
      </w:r>
      <w:proofErr w:type="spellEnd"/>
      <w:r w:rsidRPr="008548D2">
        <w:rPr>
          <w:sz w:val="24"/>
          <w:szCs w:val="24"/>
        </w:rPr>
        <w:t xml:space="preserve"> har </w:t>
      </w:r>
      <w:proofErr w:type="spellStart"/>
      <w:r w:rsidRPr="008548D2">
        <w:rPr>
          <w:sz w:val="24"/>
          <w:szCs w:val="24"/>
        </w:rPr>
        <w:t>anti-androgene</w:t>
      </w:r>
      <w:proofErr w:type="spellEnd"/>
      <w:r w:rsidRPr="008548D2">
        <w:rPr>
          <w:sz w:val="24"/>
          <w:szCs w:val="24"/>
        </w:rPr>
        <w:t xml:space="preserve"> og </w:t>
      </w:r>
      <w:proofErr w:type="spellStart"/>
      <w:r w:rsidRPr="008548D2">
        <w:rPr>
          <w:sz w:val="24"/>
          <w:szCs w:val="24"/>
        </w:rPr>
        <w:t>anti-glucokorticoide</w:t>
      </w:r>
      <w:proofErr w:type="spellEnd"/>
      <w:r w:rsidRPr="008548D2">
        <w:rPr>
          <w:sz w:val="24"/>
          <w:szCs w:val="24"/>
        </w:rPr>
        <w:t xml:space="preserve"> virkninger. Det hæmmer omdannelsen af kolesterol til steroidhormoner, såsom testosteron og </w:t>
      </w:r>
      <w:proofErr w:type="spellStart"/>
      <w:r w:rsidRPr="008548D2">
        <w:rPr>
          <w:sz w:val="24"/>
          <w:szCs w:val="24"/>
        </w:rPr>
        <w:t>cortisol</w:t>
      </w:r>
      <w:proofErr w:type="spellEnd"/>
      <w:r w:rsidRPr="008548D2">
        <w:rPr>
          <w:sz w:val="24"/>
          <w:szCs w:val="24"/>
        </w:rPr>
        <w:t xml:space="preserve">. Det producerer denne virkning ved at hæmme </w:t>
      </w:r>
      <w:proofErr w:type="spellStart"/>
      <w:r w:rsidRPr="008548D2">
        <w:rPr>
          <w:sz w:val="24"/>
          <w:szCs w:val="24"/>
        </w:rPr>
        <w:t>cytokrom</w:t>
      </w:r>
      <w:proofErr w:type="spellEnd"/>
      <w:r w:rsidRPr="008548D2">
        <w:rPr>
          <w:sz w:val="24"/>
          <w:szCs w:val="24"/>
        </w:rPr>
        <w:t xml:space="preserve"> P450-enzymer, der indgår i syntesen.</w:t>
      </w:r>
    </w:p>
    <w:p w:rsidR="008548D2" w:rsidRPr="008548D2" w:rsidRDefault="008548D2" w:rsidP="008548D2">
      <w:pPr>
        <w:ind w:left="567"/>
        <w:rPr>
          <w:sz w:val="24"/>
          <w:szCs w:val="24"/>
        </w:rPr>
      </w:pPr>
      <w:r w:rsidRPr="008548D2">
        <w:rPr>
          <w:sz w:val="24"/>
          <w:szCs w:val="24"/>
        </w:rPr>
        <w:t xml:space="preserve">Ved at hæmme CYP3A4 nedsættes metabolismen af mange lægemidler, og deres in </w:t>
      </w:r>
      <w:proofErr w:type="spellStart"/>
      <w:r w:rsidRPr="008548D2">
        <w:rPr>
          <w:sz w:val="24"/>
          <w:szCs w:val="24"/>
        </w:rPr>
        <w:t>vivo</w:t>
      </w:r>
      <w:proofErr w:type="spellEnd"/>
      <w:r w:rsidRPr="008548D2">
        <w:rPr>
          <w:sz w:val="24"/>
          <w:szCs w:val="24"/>
        </w:rPr>
        <w:t xml:space="preserve"> biotilgængelighed øges.</w:t>
      </w:r>
    </w:p>
    <w:p w:rsidR="008548D2" w:rsidRPr="008548D2" w:rsidRDefault="008548D2" w:rsidP="008548D2">
      <w:pPr>
        <w:ind w:left="567"/>
        <w:rPr>
          <w:sz w:val="24"/>
          <w:szCs w:val="24"/>
        </w:rPr>
      </w:pPr>
    </w:p>
    <w:p w:rsidR="008548D2" w:rsidRPr="008548D2" w:rsidRDefault="008548D2" w:rsidP="008548D2">
      <w:pPr>
        <w:ind w:left="567"/>
        <w:rPr>
          <w:sz w:val="24"/>
          <w:szCs w:val="24"/>
        </w:rPr>
      </w:pPr>
      <w:proofErr w:type="spellStart"/>
      <w:r w:rsidRPr="008548D2">
        <w:rPr>
          <w:sz w:val="24"/>
          <w:szCs w:val="24"/>
        </w:rPr>
        <w:t>Ketoconazol</w:t>
      </w:r>
      <w:proofErr w:type="spellEnd"/>
      <w:r w:rsidRPr="008548D2">
        <w:rPr>
          <w:sz w:val="24"/>
          <w:szCs w:val="24"/>
        </w:rPr>
        <w:t xml:space="preserve"> hæmmer </w:t>
      </w:r>
      <w:proofErr w:type="spellStart"/>
      <w:r w:rsidRPr="008548D2">
        <w:rPr>
          <w:sz w:val="24"/>
          <w:szCs w:val="24"/>
        </w:rPr>
        <w:t>efflukspumper</w:t>
      </w:r>
      <w:proofErr w:type="spellEnd"/>
      <w:r w:rsidRPr="008548D2">
        <w:rPr>
          <w:sz w:val="24"/>
          <w:szCs w:val="24"/>
        </w:rPr>
        <w:t xml:space="preserve"> for p-</w:t>
      </w:r>
      <w:proofErr w:type="spellStart"/>
      <w:r w:rsidRPr="008548D2">
        <w:rPr>
          <w:sz w:val="24"/>
          <w:szCs w:val="24"/>
        </w:rPr>
        <w:t>glycoprotein</w:t>
      </w:r>
      <w:proofErr w:type="spellEnd"/>
      <w:r w:rsidRPr="008548D2">
        <w:rPr>
          <w:sz w:val="24"/>
          <w:szCs w:val="24"/>
        </w:rPr>
        <w:t xml:space="preserve"> og kan øge den orale absorption og vævsfordelingen af andre lægemidler, såsom </w:t>
      </w:r>
      <w:proofErr w:type="spellStart"/>
      <w:r w:rsidRPr="008548D2">
        <w:rPr>
          <w:sz w:val="24"/>
          <w:szCs w:val="24"/>
        </w:rPr>
        <w:t>prednisolon</w:t>
      </w:r>
      <w:proofErr w:type="spellEnd"/>
      <w:r w:rsidRPr="008548D2">
        <w:rPr>
          <w:sz w:val="24"/>
          <w:szCs w:val="24"/>
        </w:rPr>
        <w:t>.</w:t>
      </w:r>
    </w:p>
    <w:p w:rsidR="008548D2" w:rsidRPr="008548D2" w:rsidRDefault="008548D2" w:rsidP="008548D2">
      <w:pPr>
        <w:rPr>
          <w:sz w:val="24"/>
          <w:szCs w:val="24"/>
        </w:rPr>
      </w:pPr>
    </w:p>
    <w:p w:rsidR="008548D2" w:rsidRPr="008548D2" w:rsidRDefault="008548D2" w:rsidP="008548D2">
      <w:pPr>
        <w:pStyle w:val="Style1"/>
        <w:rPr>
          <w:sz w:val="24"/>
          <w:szCs w:val="24"/>
        </w:rPr>
      </w:pPr>
      <w:r w:rsidRPr="008548D2">
        <w:rPr>
          <w:sz w:val="24"/>
          <w:szCs w:val="24"/>
        </w:rPr>
        <w:t>4.3</w:t>
      </w:r>
      <w:r w:rsidRPr="008548D2">
        <w:rPr>
          <w:sz w:val="24"/>
          <w:szCs w:val="24"/>
        </w:rPr>
        <w:tab/>
      </w:r>
      <w:proofErr w:type="spellStart"/>
      <w:r w:rsidRPr="008548D2">
        <w:rPr>
          <w:sz w:val="24"/>
          <w:szCs w:val="24"/>
        </w:rPr>
        <w:t>Farmakokinetiske</w:t>
      </w:r>
      <w:proofErr w:type="spellEnd"/>
      <w:r w:rsidRPr="008548D2">
        <w:rPr>
          <w:sz w:val="24"/>
          <w:szCs w:val="24"/>
        </w:rPr>
        <w:t xml:space="preserve"> oplysninger</w:t>
      </w:r>
    </w:p>
    <w:p w:rsidR="008548D2" w:rsidRPr="008548D2" w:rsidRDefault="008548D2" w:rsidP="008548D2">
      <w:pPr>
        <w:rPr>
          <w:sz w:val="24"/>
          <w:szCs w:val="24"/>
        </w:rPr>
      </w:pPr>
    </w:p>
    <w:p w:rsidR="008548D2" w:rsidRPr="008548D2" w:rsidRDefault="008548D2" w:rsidP="008548D2">
      <w:pPr>
        <w:ind w:left="567"/>
        <w:rPr>
          <w:sz w:val="24"/>
          <w:szCs w:val="24"/>
        </w:rPr>
      </w:pPr>
      <w:r w:rsidRPr="008548D2">
        <w:rPr>
          <w:sz w:val="24"/>
          <w:szCs w:val="24"/>
        </w:rPr>
        <w:t xml:space="preserve">Efter oral administration opnås maksimale plasmaniveauer på 22-49 µg/ml (gennemsnitligt 35 µg/ml) i løbet af 1,5 til 4,0 timer (gennemsnitligt 2,9 timer). </w:t>
      </w:r>
    </w:p>
    <w:p w:rsidR="008548D2" w:rsidRPr="008548D2" w:rsidRDefault="008548D2" w:rsidP="008548D2">
      <w:pPr>
        <w:ind w:left="567"/>
        <w:rPr>
          <w:sz w:val="24"/>
          <w:szCs w:val="24"/>
        </w:rPr>
      </w:pPr>
    </w:p>
    <w:p w:rsidR="008548D2" w:rsidRPr="008548D2" w:rsidRDefault="008548D2" w:rsidP="008548D2">
      <w:pPr>
        <w:ind w:left="567"/>
        <w:rPr>
          <w:sz w:val="24"/>
          <w:szCs w:val="24"/>
        </w:rPr>
      </w:pPr>
      <w:proofErr w:type="spellStart"/>
      <w:r w:rsidRPr="008548D2">
        <w:rPr>
          <w:sz w:val="24"/>
          <w:szCs w:val="24"/>
        </w:rPr>
        <w:t>Ketoconazolabsorptionen</w:t>
      </w:r>
      <w:proofErr w:type="spellEnd"/>
      <w:r w:rsidRPr="008548D2">
        <w:rPr>
          <w:sz w:val="24"/>
          <w:szCs w:val="24"/>
        </w:rPr>
        <w:t xml:space="preserve"> er forhøjet i et surt miljø, og lægemidler, der forhøjer gastrisk pH kan reducere absorptionen. Høje niveauer af lægemidlet findes i leveren, binyrerne og hypofysen, mens mere moderate niveauer findes i nyrerne, lungerne, blæren, knoglemarven og </w:t>
      </w:r>
      <w:proofErr w:type="spellStart"/>
      <w:r w:rsidRPr="008548D2">
        <w:rPr>
          <w:sz w:val="24"/>
          <w:szCs w:val="24"/>
        </w:rPr>
        <w:t>myokardiet</w:t>
      </w:r>
      <w:proofErr w:type="spellEnd"/>
      <w:r w:rsidRPr="008548D2">
        <w:rPr>
          <w:sz w:val="24"/>
          <w:szCs w:val="24"/>
        </w:rPr>
        <w:t>. Ved de sædvanlige doser (10 mg/kg), er de opnåede lægemiddelniveauer sandsynligvis utilstrækkelige i hjernen, testis og øjnene til at behandle de fleste infektioner. En højere dosering er nødvendig. Det krydser placenta (hos rotter) og udskilles i mælken.</w:t>
      </w:r>
    </w:p>
    <w:p w:rsidR="008548D2" w:rsidRPr="008548D2" w:rsidRDefault="008548D2" w:rsidP="008548D2">
      <w:pPr>
        <w:ind w:left="567"/>
        <w:rPr>
          <w:sz w:val="24"/>
          <w:szCs w:val="24"/>
        </w:rPr>
      </w:pPr>
    </w:p>
    <w:p w:rsidR="008548D2" w:rsidRPr="008548D2" w:rsidRDefault="008548D2" w:rsidP="008548D2">
      <w:pPr>
        <w:ind w:left="567"/>
        <w:rPr>
          <w:sz w:val="24"/>
          <w:szCs w:val="24"/>
        </w:rPr>
      </w:pPr>
      <w:proofErr w:type="spellStart"/>
      <w:r w:rsidRPr="008548D2">
        <w:rPr>
          <w:sz w:val="24"/>
          <w:szCs w:val="24"/>
        </w:rPr>
        <w:t>Ketoconazol</w:t>
      </w:r>
      <w:proofErr w:type="spellEnd"/>
      <w:r w:rsidRPr="008548D2">
        <w:rPr>
          <w:sz w:val="24"/>
          <w:szCs w:val="24"/>
        </w:rPr>
        <w:t xml:space="preserve"> er 84 % - 99 % bundet til plasmaproteiners albuminfraktion. </w:t>
      </w:r>
      <w:proofErr w:type="spellStart"/>
      <w:r w:rsidRPr="008548D2">
        <w:rPr>
          <w:sz w:val="24"/>
          <w:szCs w:val="24"/>
        </w:rPr>
        <w:t>Ketoconazol</w:t>
      </w:r>
      <w:proofErr w:type="spellEnd"/>
      <w:r w:rsidRPr="008548D2">
        <w:rPr>
          <w:sz w:val="24"/>
          <w:szCs w:val="24"/>
        </w:rPr>
        <w:t xml:space="preserve"> </w:t>
      </w:r>
      <w:proofErr w:type="spellStart"/>
      <w:r w:rsidRPr="008548D2">
        <w:rPr>
          <w:sz w:val="24"/>
          <w:szCs w:val="24"/>
        </w:rPr>
        <w:t>metaboliseres</w:t>
      </w:r>
      <w:proofErr w:type="spellEnd"/>
      <w:r w:rsidRPr="008548D2">
        <w:rPr>
          <w:sz w:val="24"/>
          <w:szCs w:val="24"/>
        </w:rPr>
        <w:t xml:space="preserve"> af leveren i flere inaktive metabolitter. Det udskilles overvejende i galde og i mindre omfang i urin. Den terminale halveringstid til elimination ligger på mellem 3 og 9 timer (gennemsnitligt 4,6 timer).</w:t>
      </w:r>
    </w:p>
    <w:p w:rsidR="008548D2" w:rsidRPr="008548D2" w:rsidRDefault="008548D2" w:rsidP="008548D2">
      <w:pPr>
        <w:rPr>
          <w:sz w:val="24"/>
          <w:szCs w:val="24"/>
        </w:rPr>
      </w:pPr>
    </w:p>
    <w:p w:rsidR="008548D2" w:rsidRPr="008548D2" w:rsidRDefault="008548D2" w:rsidP="008548D2">
      <w:pPr>
        <w:rPr>
          <w:sz w:val="24"/>
          <w:szCs w:val="24"/>
        </w:rPr>
      </w:pPr>
    </w:p>
    <w:p w:rsidR="008548D2" w:rsidRPr="008548D2" w:rsidRDefault="008548D2" w:rsidP="008548D2">
      <w:pPr>
        <w:pStyle w:val="Style1"/>
        <w:rPr>
          <w:sz w:val="24"/>
          <w:szCs w:val="24"/>
        </w:rPr>
      </w:pPr>
      <w:r w:rsidRPr="008548D2">
        <w:rPr>
          <w:sz w:val="24"/>
          <w:szCs w:val="24"/>
        </w:rPr>
        <w:t>5.</w:t>
      </w:r>
      <w:r w:rsidRPr="008548D2">
        <w:rPr>
          <w:sz w:val="24"/>
          <w:szCs w:val="24"/>
        </w:rPr>
        <w:tab/>
        <w:t>FARMACEUTISKE OPLYSNINGER</w:t>
      </w:r>
    </w:p>
    <w:p w:rsidR="008548D2" w:rsidRPr="008548D2" w:rsidRDefault="008548D2" w:rsidP="008548D2">
      <w:pPr>
        <w:rPr>
          <w:sz w:val="24"/>
          <w:szCs w:val="24"/>
        </w:rPr>
      </w:pPr>
    </w:p>
    <w:p w:rsidR="008548D2" w:rsidRPr="008548D2" w:rsidRDefault="008548D2" w:rsidP="008548D2">
      <w:pPr>
        <w:pStyle w:val="Style1"/>
        <w:rPr>
          <w:sz w:val="24"/>
          <w:szCs w:val="24"/>
        </w:rPr>
      </w:pPr>
      <w:r w:rsidRPr="008548D2">
        <w:rPr>
          <w:sz w:val="24"/>
          <w:szCs w:val="24"/>
        </w:rPr>
        <w:t>5.1</w:t>
      </w:r>
      <w:r w:rsidRPr="008548D2">
        <w:rPr>
          <w:sz w:val="24"/>
          <w:szCs w:val="24"/>
        </w:rPr>
        <w:tab/>
        <w:t>Væsentlige uforligeligheder</w:t>
      </w:r>
    </w:p>
    <w:p w:rsidR="008548D2" w:rsidRPr="008548D2" w:rsidRDefault="008548D2" w:rsidP="008548D2">
      <w:pPr>
        <w:rPr>
          <w:sz w:val="24"/>
          <w:szCs w:val="24"/>
        </w:rPr>
      </w:pPr>
    </w:p>
    <w:p w:rsidR="008548D2" w:rsidRPr="008548D2" w:rsidRDefault="008548D2" w:rsidP="008548D2">
      <w:pPr>
        <w:ind w:firstLine="567"/>
        <w:rPr>
          <w:sz w:val="24"/>
          <w:szCs w:val="24"/>
        </w:rPr>
      </w:pPr>
      <w:r w:rsidRPr="008548D2">
        <w:rPr>
          <w:sz w:val="24"/>
          <w:szCs w:val="24"/>
        </w:rPr>
        <w:t>Ikke relevant.</w:t>
      </w:r>
    </w:p>
    <w:p w:rsidR="008548D2" w:rsidRPr="008548D2" w:rsidRDefault="008548D2" w:rsidP="008548D2">
      <w:pPr>
        <w:rPr>
          <w:sz w:val="24"/>
          <w:szCs w:val="24"/>
        </w:rPr>
      </w:pPr>
    </w:p>
    <w:p w:rsidR="008548D2" w:rsidRPr="008548D2" w:rsidRDefault="008548D2" w:rsidP="008548D2">
      <w:pPr>
        <w:pStyle w:val="Style1"/>
        <w:rPr>
          <w:sz w:val="24"/>
          <w:szCs w:val="24"/>
        </w:rPr>
      </w:pPr>
      <w:r w:rsidRPr="008548D2">
        <w:rPr>
          <w:sz w:val="24"/>
          <w:szCs w:val="24"/>
        </w:rPr>
        <w:t>5.2</w:t>
      </w:r>
      <w:r w:rsidRPr="008548D2">
        <w:rPr>
          <w:sz w:val="24"/>
          <w:szCs w:val="24"/>
        </w:rPr>
        <w:tab/>
        <w:t>Opbevaringstid</w:t>
      </w:r>
    </w:p>
    <w:p w:rsidR="008548D2" w:rsidRPr="008548D2" w:rsidRDefault="008548D2" w:rsidP="008548D2">
      <w:pPr>
        <w:rPr>
          <w:sz w:val="24"/>
          <w:szCs w:val="24"/>
        </w:rPr>
      </w:pPr>
    </w:p>
    <w:p w:rsidR="008548D2" w:rsidRPr="008548D2" w:rsidRDefault="008548D2" w:rsidP="008548D2">
      <w:pPr>
        <w:ind w:left="567"/>
        <w:rPr>
          <w:sz w:val="24"/>
          <w:szCs w:val="24"/>
          <w:lang w:eastAsia="da-DK"/>
        </w:rPr>
      </w:pPr>
      <w:r w:rsidRPr="008548D2">
        <w:rPr>
          <w:sz w:val="24"/>
          <w:szCs w:val="24"/>
        </w:rPr>
        <w:t>Opbevaringstid for veterinærlægemidlet i salgspakning: 2 år.</w:t>
      </w:r>
    </w:p>
    <w:p w:rsidR="008548D2" w:rsidRPr="008548D2" w:rsidRDefault="008548D2" w:rsidP="008548D2">
      <w:pPr>
        <w:ind w:left="567"/>
        <w:rPr>
          <w:sz w:val="24"/>
          <w:szCs w:val="24"/>
        </w:rPr>
      </w:pPr>
      <w:r w:rsidRPr="008548D2">
        <w:rPr>
          <w:sz w:val="24"/>
          <w:szCs w:val="24"/>
        </w:rPr>
        <w:t>Opbevaringstid for delte tabletter: 3 dage.</w:t>
      </w:r>
    </w:p>
    <w:p w:rsidR="008548D2" w:rsidRPr="008548D2" w:rsidRDefault="008548D2" w:rsidP="008548D2">
      <w:pPr>
        <w:rPr>
          <w:sz w:val="24"/>
          <w:szCs w:val="24"/>
        </w:rPr>
      </w:pPr>
    </w:p>
    <w:p w:rsidR="008548D2" w:rsidRPr="008548D2" w:rsidRDefault="008548D2" w:rsidP="008548D2">
      <w:pPr>
        <w:pStyle w:val="Style1"/>
        <w:rPr>
          <w:sz w:val="24"/>
          <w:szCs w:val="24"/>
        </w:rPr>
      </w:pPr>
      <w:r w:rsidRPr="008548D2">
        <w:rPr>
          <w:sz w:val="24"/>
          <w:szCs w:val="24"/>
        </w:rPr>
        <w:t>5.3</w:t>
      </w:r>
      <w:r w:rsidRPr="008548D2">
        <w:rPr>
          <w:sz w:val="24"/>
          <w:szCs w:val="24"/>
        </w:rPr>
        <w:tab/>
        <w:t>Særlige forholdsregler vedrørende opbevaring</w:t>
      </w:r>
    </w:p>
    <w:p w:rsidR="008548D2" w:rsidRPr="008548D2" w:rsidRDefault="008548D2" w:rsidP="008548D2">
      <w:pPr>
        <w:rPr>
          <w:sz w:val="24"/>
          <w:szCs w:val="24"/>
        </w:rPr>
      </w:pPr>
    </w:p>
    <w:p w:rsidR="008548D2" w:rsidRPr="008548D2" w:rsidRDefault="008548D2" w:rsidP="008548D2">
      <w:pPr>
        <w:ind w:firstLine="567"/>
        <w:rPr>
          <w:sz w:val="24"/>
          <w:szCs w:val="24"/>
          <w:lang w:eastAsia="da-DK"/>
        </w:rPr>
      </w:pPr>
      <w:r w:rsidRPr="008548D2">
        <w:rPr>
          <w:sz w:val="24"/>
          <w:szCs w:val="24"/>
        </w:rPr>
        <w:t>Der er ingen særlige krav vedrørende opbevaringsforhold for dette veterinærlægemiddel.</w:t>
      </w:r>
    </w:p>
    <w:p w:rsidR="008548D2" w:rsidRPr="008548D2" w:rsidRDefault="008548D2" w:rsidP="008548D2">
      <w:pPr>
        <w:rPr>
          <w:sz w:val="24"/>
          <w:szCs w:val="24"/>
        </w:rPr>
      </w:pPr>
    </w:p>
    <w:p w:rsidR="008548D2" w:rsidRPr="008548D2" w:rsidRDefault="008548D2" w:rsidP="008548D2">
      <w:pPr>
        <w:pStyle w:val="Style1"/>
        <w:rPr>
          <w:sz w:val="24"/>
          <w:szCs w:val="24"/>
        </w:rPr>
      </w:pPr>
      <w:r w:rsidRPr="008548D2">
        <w:rPr>
          <w:sz w:val="24"/>
          <w:szCs w:val="24"/>
        </w:rPr>
        <w:t>5.4</w:t>
      </w:r>
      <w:r w:rsidRPr="008548D2">
        <w:rPr>
          <w:sz w:val="24"/>
          <w:szCs w:val="24"/>
        </w:rPr>
        <w:tab/>
        <w:t>Den indre emballages art og indhold</w:t>
      </w:r>
    </w:p>
    <w:p w:rsidR="008548D2" w:rsidRPr="008548D2" w:rsidRDefault="008548D2" w:rsidP="008548D2">
      <w:pPr>
        <w:rPr>
          <w:sz w:val="24"/>
          <w:szCs w:val="24"/>
        </w:rPr>
      </w:pPr>
    </w:p>
    <w:p w:rsidR="008548D2" w:rsidRPr="008548D2" w:rsidRDefault="008548D2" w:rsidP="008548D2">
      <w:pPr>
        <w:ind w:left="567"/>
        <w:rPr>
          <w:sz w:val="24"/>
          <w:szCs w:val="24"/>
        </w:rPr>
      </w:pPr>
      <w:r w:rsidRPr="008548D2">
        <w:rPr>
          <w:sz w:val="24"/>
          <w:szCs w:val="24"/>
        </w:rPr>
        <w:t>Aluminium - PVC-/PE-/PVDC-blister.</w:t>
      </w:r>
    </w:p>
    <w:p w:rsidR="008548D2" w:rsidRPr="008548D2" w:rsidRDefault="008548D2" w:rsidP="008548D2">
      <w:pPr>
        <w:ind w:left="567"/>
        <w:rPr>
          <w:sz w:val="24"/>
          <w:szCs w:val="24"/>
          <w:lang w:eastAsia="da-DK"/>
        </w:rPr>
      </w:pPr>
      <w:r w:rsidRPr="008548D2">
        <w:rPr>
          <w:sz w:val="24"/>
          <w:szCs w:val="24"/>
        </w:rPr>
        <w:t>Kartonæske med 1, 2, 3, 4, 5, 6, 7, 8, 9 eller 10 blisterkort med hver 10 tabletter.</w:t>
      </w:r>
    </w:p>
    <w:p w:rsidR="008548D2" w:rsidRPr="008548D2" w:rsidRDefault="008548D2" w:rsidP="008548D2">
      <w:pPr>
        <w:ind w:left="567"/>
        <w:rPr>
          <w:sz w:val="24"/>
          <w:szCs w:val="24"/>
        </w:rPr>
      </w:pPr>
      <w:r w:rsidRPr="008548D2">
        <w:rPr>
          <w:sz w:val="24"/>
          <w:szCs w:val="24"/>
        </w:rPr>
        <w:t>Ikke alle pakningsstørrelser er nødvendigvis markedsført.</w:t>
      </w:r>
    </w:p>
    <w:p w:rsidR="008548D2" w:rsidRPr="008548D2" w:rsidRDefault="008548D2" w:rsidP="008548D2">
      <w:pPr>
        <w:rPr>
          <w:sz w:val="24"/>
          <w:szCs w:val="24"/>
        </w:rPr>
      </w:pPr>
    </w:p>
    <w:p w:rsidR="008548D2" w:rsidRPr="008548D2" w:rsidRDefault="008548D2" w:rsidP="008548D2">
      <w:pPr>
        <w:pStyle w:val="Style1"/>
        <w:rPr>
          <w:sz w:val="24"/>
          <w:szCs w:val="24"/>
        </w:rPr>
      </w:pPr>
      <w:r w:rsidRPr="008548D2">
        <w:rPr>
          <w:sz w:val="24"/>
          <w:szCs w:val="24"/>
        </w:rPr>
        <w:t>5.5</w:t>
      </w:r>
      <w:r w:rsidRPr="008548D2">
        <w:rPr>
          <w:sz w:val="24"/>
          <w:szCs w:val="24"/>
        </w:rPr>
        <w:tab/>
        <w:t>Særlige forholdsregler vedrørende bortskaffelse af ubrugte veterinærlægemidler eller affaldsmaterialer fra brugen heraf</w:t>
      </w:r>
    </w:p>
    <w:p w:rsidR="008548D2" w:rsidRPr="008548D2" w:rsidRDefault="008548D2" w:rsidP="008548D2">
      <w:pPr>
        <w:rPr>
          <w:sz w:val="24"/>
          <w:szCs w:val="24"/>
        </w:rPr>
      </w:pPr>
    </w:p>
    <w:p w:rsidR="008548D2" w:rsidRPr="008548D2" w:rsidRDefault="008548D2" w:rsidP="008548D2">
      <w:pPr>
        <w:ind w:left="567"/>
        <w:rPr>
          <w:sz w:val="24"/>
          <w:szCs w:val="24"/>
        </w:rPr>
      </w:pPr>
      <w:r w:rsidRPr="008548D2">
        <w:rPr>
          <w:sz w:val="24"/>
          <w:szCs w:val="24"/>
        </w:rPr>
        <w:lastRenderedPageBreak/>
        <w:t>Lægemidler må ikke bortskaffes sammen med spildevand eller husholdningsaffald.</w:t>
      </w:r>
    </w:p>
    <w:p w:rsidR="008548D2" w:rsidRPr="008548D2" w:rsidRDefault="008548D2" w:rsidP="008548D2">
      <w:pPr>
        <w:ind w:left="567"/>
        <w:rPr>
          <w:sz w:val="24"/>
          <w:szCs w:val="24"/>
        </w:rPr>
      </w:pPr>
    </w:p>
    <w:p w:rsidR="008548D2" w:rsidRPr="008548D2" w:rsidRDefault="008548D2" w:rsidP="008548D2">
      <w:pPr>
        <w:ind w:left="567"/>
        <w:rPr>
          <w:sz w:val="24"/>
          <w:szCs w:val="24"/>
        </w:rPr>
      </w:pPr>
      <w:r w:rsidRPr="008548D2">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8548D2" w:rsidRPr="008548D2" w:rsidRDefault="008548D2" w:rsidP="008548D2">
      <w:pPr>
        <w:rPr>
          <w:sz w:val="24"/>
          <w:szCs w:val="24"/>
        </w:rPr>
      </w:pPr>
    </w:p>
    <w:p w:rsidR="008548D2" w:rsidRPr="008548D2" w:rsidRDefault="008548D2" w:rsidP="008548D2">
      <w:pPr>
        <w:rPr>
          <w:sz w:val="24"/>
          <w:szCs w:val="24"/>
        </w:rPr>
      </w:pPr>
    </w:p>
    <w:p w:rsidR="008548D2" w:rsidRPr="008548D2" w:rsidRDefault="008548D2" w:rsidP="008548D2">
      <w:pPr>
        <w:pStyle w:val="Style1"/>
        <w:rPr>
          <w:sz w:val="24"/>
          <w:szCs w:val="24"/>
        </w:rPr>
      </w:pPr>
      <w:r w:rsidRPr="008548D2">
        <w:rPr>
          <w:sz w:val="24"/>
          <w:szCs w:val="24"/>
        </w:rPr>
        <w:t>6.</w:t>
      </w:r>
      <w:r w:rsidRPr="008548D2">
        <w:rPr>
          <w:sz w:val="24"/>
          <w:szCs w:val="24"/>
        </w:rPr>
        <w:tab/>
        <w:t>NAVN PÅ INDEHAVEREN AF MARKEDSFØRINGSTILLADELSEN</w:t>
      </w:r>
    </w:p>
    <w:p w:rsidR="008548D2" w:rsidRPr="008548D2" w:rsidRDefault="008548D2" w:rsidP="008548D2">
      <w:pPr>
        <w:rPr>
          <w:sz w:val="24"/>
          <w:szCs w:val="24"/>
        </w:rPr>
      </w:pPr>
    </w:p>
    <w:p w:rsidR="008548D2" w:rsidRPr="008548D2" w:rsidRDefault="008548D2" w:rsidP="008548D2">
      <w:pPr>
        <w:ind w:left="567"/>
        <w:rPr>
          <w:sz w:val="24"/>
          <w:szCs w:val="24"/>
        </w:rPr>
      </w:pPr>
      <w:proofErr w:type="spellStart"/>
      <w:r w:rsidRPr="008548D2">
        <w:rPr>
          <w:sz w:val="24"/>
          <w:szCs w:val="24"/>
        </w:rPr>
        <w:t>Dechra</w:t>
      </w:r>
      <w:proofErr w:type="spellEnd"/>
      <w:r w:rsidRPr="008548D2">
        <w:rPr>
          <w:sz w:val="24"/>
          <w:szCs w:val="24"/>
        </w:rPr>
        <w:t xml:space="preserve"> Regulatory B.V.</w:t>
      </w:r>
    </w:p>
    <w:p w:rsidR="008548D2" w:rsidRPr="008548D2" w:rsidRDefault="008548D2" w:rsidP="008548D2">
      <w:pPr>
        <w:ind w:left="567"/>
        <w:rPr>
          <w:sz w:val="24"/>
          <w:szCs w:val="24"/>
        </w:rPr>
      </w:pPr>
      <w:proofErr w:type="spellStart"/>
      <w:r w:rsidRPr="008548D2">
        <w:rPr>
          <w:sz w:val="24"/>
          <w:szCs w:val="24"/>
        </w:rPr>
        <w:t>Handelsweg</w:t>
      </w:r>
      <w:proofErr w:type="spellEnd"/>
      <w:r w:rsidRPr="008548D2">
        <w:rPr>
          <w:sz w:val="24"/>
          <w:szCs w:val="24"/>
        </w:rPr>
        <w:t xml:space="preserve"> 25</w:t>
      </w:r>
    </w:p>
    <w:p w:rsidR="008548D2" w:rsidRPr="008548D2" w:rsidRDefault="008548D2" w:rsidP="008548D2">
      <w:pPr>
        <w:ind w:left="567"/>
        <w:rPr>
          <w:sz w:val="24"/>
          <w:szCs w:val="24"/>
          <w:lang w:eastAsia="da-DK"/>
        </w:rPr>
      </w:pPr>
      <w:r w:rsidRPr="008548D2">
        <w:rPr>
          <w:sz w:val="24"/>
          <w:szCs w:val="24"/>
        </w:rPr>
        <w:t xml:space="preserve">5531 AE </w:t>
      </w:r>
      <w:proofErr w:type="spellStart"/>
      <w:r w:rsidRPr="008548D2">
        <w:rPr>
          <w:sz w:val="24"/>
          <w:szCs w:val="24"/>
        </w:rPr>
        <w:t>Bladel</w:t>
      </w:r>
      <w:proofErr w:type="spellEnd"/>
    </w:p>
    <w:p w:rsidR="008548D2" w:rsidRPr="008548D2" w:rsidRDefault="008548D2" w:rsidP="008548D2">
      <w:pPr>
        <w:ind w:left="567"/>
        <w:rPr>
          <w:sz w:val="24"/>
          <w:szCs w:val="24"/>
        </w:rPr>
      </w:pPr>
      <w:r w:rsidRPr="008548D2">
        <w:rPr>
          <w:sz w:val="24"/>
          <w:szCs w:val="24"/>
        </w:rPr>
        <w:t>Holland</w:t>
      </w:r>
    </w:p>
    <w:p w:rsidR="008548D2" w:rsidRPr="008548D2" w:rsidRDefault="008548D2" w:rsidP="008548D2">
      <w:pPr>
        <w:ind w:left="567"/>
        <w:rPr>
          <w:sz w:val="24"/>
          <w:szCs w:val="24"/>
        </w:rPr>
      </w:pPr>
    </w:p>
    <w:p w:rsidR="008548D2" w:rsidRPr="008548D2" w:rsidRDefault="008548D2" w:rsidP="008548D2">
      <w:pPr>
        <w:ind w:left="567"/>
        <w:rPr>
          <w:b/>
          <w:sz w:val="24"/>
          <w:szCs w:val="24"/>
        </w:rPr>
      </w:pPr>
      <w:r w:rsidRPr="008548D2">
        <w:rPr>
          <w:b/>
          <w:sz w:val="24"/>
          <w:szCs w:val="24"/>
        </w:rPr>
        <w:t>Repræsentant</w:t>
      </w:r>
    </w:p>
    <w:p w:rsidR="008548D2" w:rsidRPr="008548D2" w:rsidRDefault="008548D2" w:rsidP="008548D2">
      <w:pPr>
        <w:ind w:left="567"/>
        <w:rPr>
          <w:sz w:val="24"/>
          <w:szCs w:val="24"/>
        </w:rPr>
      </w:pPr>
      <w:proofErr w:type="spellStart"/>
      <w:r w:rsidRPr="008548D2">
        <w:rPr>
          <w:sz w:val="24"/>
          <w:szCs w:val="24"/>
        </w:rPr>
        <w:t>Dechra</w:t>
      </w:r>
      <w:proofErr w:type="spellEnd"/>
      <w:r w:rsidRPr="008548D2">
        <w:rPr>
          <w:sz w:val="24"/>
          <w:szCs w:val="24"/>
        </w:rPr>
        <w:t xml:space="preserve"> Veterinary Products A/S</w:t>
      </w:r>
    </w:p>
    <w:p w:rsidR="008548D2" w:rsidRPr="008548D2" w:rsidRDefault="008548D2" w:rsidP="008548D2">
      <w:pPr>
        <w:ind w:left="567"/>
        <w:rPr>
          <w:sz w:val="24"/>
          <w:szCs w:val="24"/>
        </w:rPr>
      </w:pPr>
      <w:proofErr w:type="spellStart"/>
      <w:r w:rsidRPr="008548D2">
        <w:rPr>
          <w:sz w:val="24"/>
          <w:szCs w:val="24"/>
        </w:rPr>
        <w:t>Mekuvej</w:t>
      </w:r>
      <w:proofErr w:type="spellEnd"/>
      <w:r w:rsidRPr="008548D2">
        <w:rPr>
          <w:sz w:val="24"/>
          <w:szCs w:val="24"/>
        </w:rPr>
        <w:t xml:space="preserve"> 9</w:t>
      </w:r>
    </w:p>
    <w:p w:rsidR="008548D2" w:rsidRPr="008548D2" w:rsidRDefault="008548D2" w:rsidP="008548D2">
      <w:pPr>
        <w:ind w:left="567"/>
        <w:rPr>
          <w:sz w:val="24"/>
          <w:szCs w:val="24"/>
        </w:rPr>
      </w:pPr>
      <w:r w:rsidRPr="008548D2">
        <w:rPr>
          <w:sz w:val="24"/>
          <w:szCs w:val="24"/>
        </w:rPr>
        <w:t>7171 Uldum</w:t>
      </w:r>
    </w:p>
    <w:p w:rsidR="008548D2" w:rsidRPr="008548D2" w:rsidRDefault="008548D2" w:rsidP="008548D2">
      <w:pPr>
        <w:rPr>
          <w:sz w:val="24"/>
          <w:szCs w:val="24"/>
        </w:rPr>
      </w:pPr>
    </w:p>
    <w:p w:rsidR="008548D2" w:rsidRPr="008548D2" w:rsidRDefault="008548D2" w:rsidP="008548D2">
      <w:pPr>
        <w:rPr>
          <w:sz w:val="24"/>
          <w:szCs w:val="24"/>
        </w:rPr>
      </w:pPr>
    </w:p>
    <w:p w:rsidR="008548D2" w:rsidRPr="008548D2" w:rsidRDefault="008548D2" w:rsidP="008548D2">
      <w:pPr>
        <w:pStyle w:val="Style1"/>
        <w:rPr>
          <w:sz w:val="24"/>
          <w:szCs w:val="24"/>
        </w:rPr>
      </w:pPr>
      <w:r w:rsidRPr="008548D2">
        <w:rPr>
          <w:sz w:val="24"/>
          <w:szCs w:val="24"/>
        </w:rPr>
        <w:t>7.</w:t>
      </w:r>
      <w:r w:rsidRPr="008548D2">
        <w:rPr>
          <w:sz w:val="24"/>
          <w:szCs w:val="24"/>
        </w:rPr>
        <w:tab/>
        <w:t>MARKEDSFØRINGSTILLADELSESNUMMER (-NUMRE)</w:t>
      </w:r>
    </w:p>
    <w:p w:rsidR="008548D2" w:rsidRPr="008548D2" w:rsidRDefault="008548D2" w:rsidP="008548D2">
      <w:pPr>
        <w:rPr>
          <w:sz w:val="24"/>
          <w:szCs w:val="24"/>
        </w:rPr>
      </w:pPr>
    </w:p>
    <w:p w:rsidR="008548D2" w:rsidRPr="008548D2" w:rsidRDefault="008548D2" w:rsidP="008548D2">
      <w:pPr>
        <w:ind w:left="567"/>
        <w:rPr>
          <w:sz w:val="24"/>
          <w:szCs w:val="24"/>
        </w:rPr>
      </w:pPr>
      <w:r w:rsidRPr="008548D2">
        <w:rPr>
          <w:sz w:val="24"/>
          <w:szCs w:val="24"/>
        </w:rPr>
        <w:t>200 mg: 53096</w:t>
      </w:r>
    </w:p>
    <w:p w:rsidR="008548D2" w:rsidRPr="008548D2" w:rsidRDefault="008548D2" w:rsidP="008548D2">
      <w:pPr>
        <w:ind w:left="567"/>
        <w:rPr>
          <w:sz w:val="24"/>
          <w:szCs w:val="24"/>
        </w:rPr>
      </w:pPr>
      <w:r w:rsidRPr="008548D2">
        <w:rPr>
          <w:sz w:val="24"/>
          <w:szCs w:val="24"/>
        </w:rPr>
        <w:t>400 mg: 53097</w:t>
      </w:r>
    </w:p>
    <w:p w:rsidR="008548D2" w:rsidRPr="008548D2" w:rsidRDefault="008548D2" w:rsidP="008548D2">
      <w:pPr>
        <w:rPr>
          <w:sz w:val="24"/>
          <w:szCs w:val="24"/>
        </w:rPr>
      </w:pPr>
    </w:p>
    <w:p w:rsidR="008548D2" w:rsidRPr="008548D2" w:rsidRDefault="008548D2" w:rsidP="008548D2">
      <w:pPr>
        <w:pStyle w:val="Style1"/>
        <w:rPr>
          <w:sz w:val="24"/>
          <w:szCs w:val="24"/>
        </w:rPr>
      </w:pPr>
      <w:r w:rsidRPr="008548D2">
        <w:rPr>
          <w:sz w:val="24"/>
          <w:szCs w:val="24"/>
        </w:rPr>
        <w:t>8.</w:t>
      </w:r>
      <w:r w:rsidRPr="008548D2">
        <w:rPr>
          <w:sz w:val="24"/>
          <w:szCs w:val="24"/>
        </w:rPr>
        <w:tab/>
        <w:t>DATO FOR FØRSTE TILLADELSE</w:t>
      </w:r>
    </w:p>
    <w:p w:rsidR="008548D2" w:rsidRPr="008548D2" w:rsidRDefault="008548D2" w:rsidP="008548D2">
      <w:pPr>
        <w:rPr>
          <w:sz w:val="24"/>
          <w:szCs w:val="24"/>
        </w:rPr>
      </w:pPr>
    </w:p>
    <w:p w:rsidR="008548D2" w:rsidRPr="008548D2" w:rsidRDefault="008548D2" w:rsidP="008548D2">
      <w:pPr>
        <w:ind w:firstLine="567"/>
        <w:rPr>
          <w:sz w:val="24"/>
          <w:szCs w:val="24"/>
        </w:rPr>
      </w:pPr>
      <w:r w:rsidRPr="008548D2">
        <w:rPr>
          <w:sz w:val="24"/>
          <w:szCs w:val="24"/>
        </w:rPr>
        <w:t>Dato for første markedsføringstilladelse: 4. september 2014</w:t>
      </w:r>
    </w:p>
    <w:p w:rsidR="008548D2" w:rsidRPr="008548D2" w:rsidRDefault="008548D2" w:rsidP="008548D2">
      <w:pPr>
        <w:rPr>
          <w:sz w:val="24"/>
          <w:szCs w:val="24"/>
        </w:rPr>
      </w:pPr>
    </w:p>
    <w:p w:rsidR="008548D2" w:rsidRPr="008548D2" w:rsidRDefault="008548D2" w:rsidP="008548D2">
      <w:pPr>
        <w:rPr>
          <w:sz w:val="24"/>
          <w:szCs w:val="24"/>
        </w:rPr>
      </w:pPr>
    </w:p>
    <w:p w:rsidR="008548D2" w:rsidRPr="008548D2" w:rsidRDefault="008548D2" w:rsidP="008548D2">
      <w:pPr>
        <w:pStyle w:val="Style1"/>
        <w:rPr>
          <w:sz w:val="24"/>
          <w:szCs w:val="24"/>
        </w:rPr>
      </w:pPr>
      <w:r w:rsidRPr="008548D2">
        <w:rPr>
          <w:sz w:val="24"/>
          <w:szCs w:val="24"/>
        </w:rPr>
        <w:t>9.</w:t>
      </w:r>
      <w:r w:rsidRPr="008548D2">
        <w:rPr>
          <w:sz w:val="24"/>
          <w:szCs w:val="24"/>
        </w:rPr>
        <w:tab/>
        <w:t>DATO FOR SENESTE ÆNDRING AF PRODUKTRESUMÉET</w:t>
      </w:r>
    </w:p>
    <w:p w:rsidR="008548D2" w:rsidRDefault="008548D2" w:rsidP="008548D2">
      <w:pPr>
        <w:rPr>
          <w:sz w:val="24"/>
          <w:szCs w:val="24"/>
        </w:rPr>
      </w:pPr>
    </w:p>
    <w:p w:rsidR="008548D2" w:rsidRPr="008548D2" w:rsidRDefault="008548D2" w:rsidP="008548D2">
      <w:pPr>
        <w:tabs>
          <w:tab w:val="left" w:pos="567"/>
        </w:tabs>
        <w:rPr>
          <w:sz w:val="24"/>
          <w:szCs w:val="24"/>
        </w:rPr>
      </w:pPr>
      <w:r>
        <w:rPr>
          <w:sz w:val="24"/>
          <w:szCs w:val="24"/>
        </w:rPr>
        <w:tab/>
        <w:t>6. marts 2025</w:t>
      </w:r>
    </w:p>
    <w:p w:rsidR="008548D2" w:rsidRPr="008548D2" w:rsidRDefault="008548D2" w:rsidP="008548D2">
      <w:pPr>
        <w:rPr>
          <w:sz w:val="24"/>
          <w:szCs w:val="24"/>
        </w:rPr>
      </w:pPr>
    </w:p>
    <w:p w:rsidR="008548D2" w:rsidRPr="008548D2" w:rsidRDefault="008548D2" w:rsidP="008548D2">
      <w:pPr>
        <w:pStyle w:val="Style1"/>
        <w:rPr>
          <w:sz w:val="24"/>
          <w:szCs w:val="24"/>
        </w:rPr>
      </w:pPr>
      <w:r w:rsidRPr="008548D2">
        <w:rPr>
          <w:sz w:val="24"/>
          <w:szCs w:val="24"/>
        </w:rPr>
        <w:t>10.</w:t>
      </w:r>
      <w:r w:rsidRPr="008548D2">
        <w:rPr>
          <w:sz w:val="24"/>
          <w:szCs w:val="24"/>
        </w:rPr>
        <w:tab/>
        <w:t>KLASSIFICERING AF VETERINÆRLÆGEMIDLER</w:t>
      </w:r>
    </w:p>
    <w:p w:rsidR="008548D2" w:rsidRPr="008548D2" w:rsidRDefault="008548D2" w:rsidP="008548D2">
      <w:pPr>
        <w:rPr>
          <w:sz w:val="24"/>
          <w:szCs w:val="24"/>
        </w:rPr>
      </w:pPr>
    </w:p>
    <w:p w:rsidR="008548D2" w:rsidRPr="008548D2" w:rsidRDefault="008548D2" w:rsidP="008548D2">
      <w:pPr>
        <w:ind w:left="567"/>
        <w:rPr>
          <w:sz w:val="24"/>
          <w:szCs w:val="24"/>
        </w:rPr>
      </w:pPr>
      <w:r w:rsidRPr="008548D2">
        <w:rPr>
          <w:sz w:val="24"/>
          <w:szCs w:val="24"/>
        </w:rPr>
        <w:t>B</w:t>
      </w:r>
    </w:p>
    <w:p w:rsidR="008548D2" w:rsidRPr="008548D2" w:rsidRDefault="008548D2" w:rsidP="008548D2">
      <w:pPr>
        <w:ind w:left="567"/>
        <w:rPr>
          <w:sz w:val="24"/>
          <w:szCs w:val="24"/>
        </w:rPr>
      </w:pPr>
    </w:p>
    <w:p w:rsidR="008548D2" w:rsidRPr="008548D2" w:rsidRDefault="008548D2" w:rsidP="008548D2">
      <w:pPr>
        <w:ind w:left="567"/>
        <w:rPr>
          <w:sz w:val="24"/>
          <w:szCs w:val="24"/>
        </w:rPr>
      </w:pPr>
      <w:bookmarkStart w:id="5" w:name="_Hlk73467306"/>
      <w:r w:rsidRPr="008548D2">
        <w:rPr>
          <w:sz w:val="24"/>
          <w:szCs w:val="24"/>
        </w:rPr>
        <w:t>Der findes detaljerede oplysninger om dette veterinærlægemiddel i EU-lægemiddeldatabasen.</w:t>
      </w:r>
    </w:p>
    <w:bookmarkEnd w:id="5"/>
    <w:p w:rsidR="008548D2" w:rsidRPr="008548D2" w:rsidRDefault="008548D2" w:rsidP="008548D2">
      <w:pPr>
        <w:rPr>
          <w:sz w:val="24"/>
          <w:szCs w:val="24"/>
        </w:rPr>
      </w:pPr>
    </w:p>
    <w:p w:rsidR="0003527F" w:rsidRPr="008548D2" w:rsidRDefault="0003527F" w:rsidP="008548D2">
      <w:pPr>
        <w:ind w:left="851" w:hanging="851"/>
        <w:rPr>
          <w:sz w:val="24"/>
          <w:szCs w:val="24"/>
        </w:rPr>
      </w:pPr>
    </w:p>
    <w:sectPr w:rsidR="0003527F" w:rsidRPr="008548D2" w:rsidSect="00C479BF">
      <w:headerReference w:type="default"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F41" w:rsidRDefault="00016F41">
      <w:r>
        <w:separator/>
      </w:r>
    </w:p>
  </w:endnote>
  <w:endnote w:type="continuationSeparator" w:id="0">
    <w:p w:rsidR="00016F41" w:rsidRDefault="0001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3761B">
      <w:rPr>
        <w:i/>
        <w:noProof/>
        <w:snapToGrid w:val="0"/>
        <w:sz w:val="18"/>
      </w:rPr>
      <w:t>Canizol Vet., tabletter 200 mg og 400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16F41">
      <w:rPr>
        <w:i/>
        <w:noProof/>
        <w:snapToGrid w:val="0"/>
        <w:sz w:val="18"/>
      </w:rPr>
      <w:t>Dokument131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F41" w:rsidRDefault="00016F41">
      <w:r>
        <w:separator/>
      </w:r>
    </w:p>
  </w:footnote>
  <w:footnote w:type="continuationSeparator" w:id="0">
    <w:p w:rsidR="00016F41" w:rsidRDefault="00016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34140"/>
    <w:multiLevelType w:val="hybridMultilevel"/>
    <w:tmpl w:val="CC1010D6"/>
    <w:lvl w:ilvl="0" w:tplc="38DCBD26">
      <w:start w:val="4"/>
      <w:numFmt w:val="bullet"/>
      <w:lvlText w:val="-"/>
      <w:lvlJc w:val="left"/>
      <w:pPr>
        <w:ind w:left="927" w:hanging="360"/>
      </w:pPr>
      <w:rPr>
        <w:rFonts w:ascii="Times New Roman" w:eastAsia="Times New Roman" w:hAnsi="Times New Roman" w:cs="Times New Roman"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start w:val="1"/>
      <w:numFmt w:val="bullet"/>
      <w:lvlText w:val=""/>
      <w:lvlJc w:val="left"/>
      <w:pPr>
        <w:ind w:left="3087" w:hanging="360"/>
      </w:pPr>
      <w:rPr>
        <w:rFonts w:ascii="Symbol" w:hAnsi="Symbol" w:hint="default"/>
      </w:rPr>
    </w:lvl>
    <w:lvl w:ilvl="4" w:tplc="04130003">
      <w:start w:val="1"/>
      <w:numFmt w:val="bullet"/>
      <w:lvlText w:val="o"/>
      <w:lvlJc w:val="left"/>
      <w:pPr>
        <w:ind w:left="3807" w:hanging="360"/>
      </w:pPr>
      <w:rPr>
        <w:rFonts w:ascii="Courier New" w:hAnsi="Courier New" w:cs="Courier New" w:hint="default"/>
      </w:rPr>
    </w:lvl>
    <w:lvl w:ilvl="5" w:tplc="04130005">
      <w:start w:val="1"/>
      <w:numFmt w:val="bullet"/>
      <w:lvlText w:val=""/>
      <w:lvlJc w:val="left"/>
      <w:pPr>
        <w:ind w:left="4527" w:hanging="360"/>
      </w:pPr>
      <w:rPr>
        <w:rFonts w:ascii="Wingdings" w:hAnsi="Wingdings" w:hint="default"/>
      </w:rPr>
    </w:lvl>
    <w:lvl w:ilvl="6" w:tplc="04130001">
      <w:start w:val="1"/>
      <w:numFmt w:val="bullet"/>
      <w:lvlText w:val=""/>
      <w:lvlJc w:val="left"/>
      <w:pPr>
        <w:ind w:left="5247" w:hanging="360"/>
      </w:pPr>
      <w:rPr>
        <w:rFonts w:ascii="Symbol" w:hAnsi="Symbol" w:hint="default"/>
      </w:rPr>
    </w:lvl>
    <w:lvl w:ilvl="7" w:tplc="04130003">
      <w:start w:val="1"/>
      <w:numFmt w:val="bullet"/>
      <w:lvlText w:val="o"/>
      <w:lvlJc w:val="left"/>
      <w:pPr>
        <w:ind w:left="5967" w:hanging="360"/>
      </w:pPr>
      <w:rPr>
        <w:rFonts w:ascii="Courier New" w:hAnsi="Courier New" w:cs="Courier New" w:hint="default"/>
      </w:rPr>
    </w:lvl>
    <w:lvl w:ilvl="8" w:tplc="04130005">
      <w:start w:val="1"/>
      <w:numFmt w:val="bullet"/>
      <w:lvlText w:val=""/>
      <w:lvlJc w:val="left"/>
      <w:pPr>
        <w:ind w:left="6687"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41"/>
    <w:rsid w:val="00016F41"/>
    <w:rsid w:val="0003527F"/>
    <w:rsid w:val="00065C7D"/>
    <w:rsid w:val="000C6CD4"/>
    <w:rsid w:val="001577E4"/>
    <w:rsid w:val="001858CA"/>
    <w:rsid w:val="001C4AEF"/>
    <w:rsid w:val="001D3CC5"/>
    <w:rsid w:val="001F5D4D"/>
    <w:rsid w:val="00322BDE"/>
    <w:rsid w:val="00406EE7"/>
    <w:rsid w:val="00407013"/>
    <w:rsid w:val="004A62CC"/>
    <w:rsid w:val="00551DD0"/>
    <w:rsid w:val="00565A74"/>
    <w:rsid w:val="005A3150"/>
    <w:rsid w:val="005B0036"/>
    <w:rsid w:val="005F5831"/>
    <w:rsid w:val="005F6252"/>
    <w:rsid w:val="00662012"/>
    <w:rsid w:val="00666B01"/>
    <w:rsid w:val="006B1539"/>
    <w:rsid w:val="006D4B41"/>
    <w:rsid w:val="006F5621"/>
    <w:rsid w:val="007E2A00"/>
    <w:rsid w:val="008010F2"/>
    <w:rsid w:val="008548D2"/>
    <w:rsid w:val="008C05B3"/>
    <w:rsid w:val="009202AE"/>
    <w:rsid w:val="00932676"/>
    <w:rsid w:val="009D66C6"/>
    <w:rsid w:val="00A96525"/>
    <w:rsid w:val="00AE29E5"/>
    <w:rsid w:val="00AE5757"/>
    <w:rsid w:val="00B25EB8"/>
    <w:rsid w:val="00BC634B"/>
    <w:rsid w:val="00BF2AE0"/>
    <w:rsid w:val="00C3761B"/>
    <w:rsid w:val="00C479BF"/>
    <w:rsid w:val="00C9043B"/>
    <w:rsid w:val="00D105AF"/>
    <w:rsid w:val="00D567AA"/>
    <w:rsid w:val="00DD6D71"/>
    <w:rsid w:val="00DF32BE"/>
    <w:rsid w:val="00E14F0A"/>
    <w:rsid w:val="00EB5778"/>
    <w:rsid w:val="00EE5253"/>
    <w:rsid w:val="00F45E6F"/>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F1B5ED8-6F61-4CA4-8C6D-615FE227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016F41"/>
    <w:pPr>
      <w:spacing w:line="360" w:lineRule="auto"/>
      <w:ind w:left="720"/>
      <w:contextualSpacing/>
      <w:jc w:val="both"/>
    </w:pPr>
    <w:rPr>
      <w:rFonts w:ascii="Arial" w:hAnsi="Arial"/>
      <w:sz w:val="20"/>
      <w:szCs w:val="24"/>
      <w:lang w:eastAsia="da-DK" w:bidi="da-DK"/>
    </w:rPr>
  </w:style>
  <w:style w:type="paragraph" w:customStyle="1" w:styleId="Style1">
    <w:name w:val="Style1"/>
    <w:basedOn w:val="Normal"/>
    <w:qFormat/>
    <w:rsid w:val="008548D2"/>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1570</Words>
  <Characters>11247</Characters>
  <Application>Microsoft Office Word</Application>
  <DocSecurity>4</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2024044296 QRD9</dc:description>
  <cp:lastModifiedBy>Alexandra Wæver</cp:lastModifiedBy>
  <cp:revision>2</cp:revision>
  <dcterms:created xsi:type="dcterms:W3CDTF">2025-03-06T09:08:00Z</dcterms:created>
  <dcterms:modified xsi:type="dcterms:W3CDTF">2025-03-06T09:08:00Z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ies>
</file>