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39" w:rsidRDefault="00495939" w:rsidP="00DF32BE">
      <w:pPr>
        <w:tabs>
          <w:tab w:val="left" w:pos="6804"/>
        </w:tabs>
      </w:pPr>
      <w:bookmarkStart w:id="0" w:name="_GoBack"/>
      <w:bookmarkEnd w:id="0"/>
    </w:p>
    <w:p w:rsidR="00DF32BE" w:rsidRDefault="00495939" w:rsidP="00DF32BE">
      <w:pPr>
        <w:tabs>
          <w:tab w:val="left" w:pos="6804"/>
        </w:tabs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2A3B8E">
        <w:fldChar w:fldCharType="begin"/>
      </w:r>
      <w:r w:rsidR="002A3B8E">
        <w:instrText xml:space="preserve"> </w:instrText>
      </w:r>
      <w:r w:rsidR="002A3B8E">
        <w:instrText>INCLUDEPICTURE  "cid:image004.jpg@01D117E9.E5553340" \* MERGEFORMATINET</w:instrText>
      </w:r>
      <w:r w:rsidR="002A3B8E">
        <w:instrText xml:space="preserve"> </w:instrText>
      </w:r>
      <w:r w:rsidR="002A3B8E">
        <w:fldChar w:fldCharType="separate"/>
      </w:r>
      <w:r w:rsidR="002A3B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2A3B8E">
        <w:fldChar w:fldCharType="end"/>
      </w:r>
      <w:r>
        <w:fldChar w:fldCharType="end"/>
      </w:r>
    </w:p>
    <w:p w:rsidR="00495939" w:rsidRDefault="00495939" w:rsidP="00DF32BE">
      <w:pPr>
        <w:tabs>
          <w:tab w:val="left" w:pos="6804"/>
        </w:tabs>
        <w:rPr>
          <w:b/>
        </w:rPr>
      </w:pPr>
    </w:p>
    <w:p w:rsidR="00DF32BE" w:rsidRPr="002A3B8E" w:rsidRDefault="002A3B8E" w:rsidP="00DF32BE">
      <w:pPr>
        <w:tabs>
          <w:tab w:val="left" w:pos="6804"/>
        </w:tabs>
        <w:jc w:val="right"/>
        <w:rPr>
          <w:b/>
          <w:sz w:val="24"/>
          <w:szCs w:val="24"/>
        </w:rPr>
      </w:pPr>
      <w:r w:rsidRPr="002A3B8E">
        <w:rPr>
          <w:b/>
          <w:sz w:val="24"/>
          <w:szCs w:val="24"/>
        </w:rPr>
        <w:t>2</w:t>
      </w:r>
      <w:r w:rsidR="00495939" w:rsidRPr="002A3B8E">
        <w:rPr>
          <w:b/>
          <w:sz w:val="24"/>
          <w:szCs w:val="24"/>
        </w:rPr>
        <w:t xml:space="preserve">4. </w:t>
      </w:r>
      <w:r w:rsidRPr="002A3B8E">
        <w:rPr>
          <w:b/>
          <w:sz w:val="24"/>
          <w:szCs w:val="24"/>
        </w:rPr>
        <w:t>september</w:t>
      </w:r>
      <w:r w:rsidR="00495939" w:rsidRPr="002A3B8E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6D125F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Cardisure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Flavoured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tabletter</w:t>
      </w:r>
    </w:p>
    <w:p w:rsidR="00DF32BE" w:rsidRPr="00DF32BE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D.SP.NR</w:t>
      </w:r>
    </w:p>
    <w:p w:rsidR="00DF32BE" w:rsidRPr="008802A5" w:rsidRDefault="008802A5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D125F" w:rsidRPr="008802A5">
        <w:rPr>
          <w:sz w:val="24"/>
          <w:szCs w:val="24"/>
        </w:rPr>
        <w:t>27291</w:t>
      </w:r>
    </w:p>
    <w:p w:rsidR="00DF32BE" w:rsidRPr="008802A5" w:rsidRDefault="00DF32BE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VETERINÆRLÆGEMIDLETS NAVN</w:t>
      </w:r>
    </w:p>
    <w:p w:rsidR="00DF32BE" w:rsidRPr="008802A5" w:rsidRDefault="008802A5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D125F" w:rsidRPr="008802A5">
        <w:rPr>
          <w:sz w:val="24"/>
          <w:szCs w:val="24"/>
        </w:rPr>
        <w:t>Cardisure</w:t>
      </w:r>
      <w:proofErr w:type="spellEnd"/>
      <w:r w:rsidR="006D125F" w:rsidRPr="008802A5">
        <w:rPr>
          <w:sz w:val="24"/>
          <w:szCs w:val="24"/>
        </w:rPr>
        <w:t xml:space="preserve"> </w:t>
      </w:r>
      <w:proofErr w:type="spellStart"/>
      <w:r w:rsidR="006D125F" w:rsidRPr="008802A5">
        <w:rPr>
          <w:sz w:val="24"/>
          <w:szCs w:val="24"/>
        </w:rPr>
        <w:t>Flavoured</w:t>
      </w:r>
      <w:proofErr w:type="spellEnd"/>
      <w:r w:rsidR="006D125F" w:rsidRPr="008802A5">
        <w:rPr>
          <w:sz w:val="24"/>
          <w:szCs w:val="24"/>
        </w:rPr>
        <w:t xml:space="preserve"> </w:t>
      </w:r>
      <w:proofErr w:type="spellStart"/>
      <w:r w:rsidR="006D125F" w:rsidRPr="008802A5">
        <w:rPr>
          <w:sz w:val="24"/>
          <w:szCs w:val="24"/>
        </w:rPr>
        <w:t>Vet</w:t>
      </w:r>
      <w:proofErr w:type="spellEnd"/>
      <w:r w:rsidR="006D125F" w:rsidRPr="008802A5">
        <w:rPr>
          <w:sz w:val="24"/>
          <w:szCs w:val="24"/>
        </w:rPr>
        <w:t>.</w:t>
      </w:r>
    </w:p>
    <w:p w:rsidR="00DF32BE" w:rsidRPr="008802A5" w:rsidRDefault="00DF32BE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KVALITATIV OG KVANTITATIV SAMMENSÆTNING</w:t>
      </w:r>
    </w:p>
    <w:p w:rsidR="008802A5" w:rsidRDefault="008802A5" w:rsidP="008802A5">
      <w:pPr>
        <w:ind w:left="851" w:hanging="851"/>
        <w:rPr>
          <w:b/>
          <w:sz w:val="24"/>
          <w:szCs w:val="24"/>
        </w:rPr>
      </w:pPr>
    </w:p>
    <w:p w:rsidR="00495939" w:rsidRDefault="00495939" w:rsidP="00495939">
      <w:pPr>
        <w:ind w:left="1702" w:hanging="851"/>
        <w:rPr>
          <w:sz w:val="24"/>
          <w:szCs w:val="24"/>
          <w:lang w:val="nl-NL"/>
        </w:rPr>
      </w:pPr>
      <w:r>
        <w:rPr>
          <w:sz w:val="24"/>
          <w:szCs w:val="24"/>
        </w:rPr>
        <w:t>1 tablet indeholder</w:t>
      </w:r>
      <w:r>
        <w:rPr>
          <w:sz w:val="24"/>
          <w:szCs w:val="24"/>
          <w:lang w:val="nl-NL"/>
        </w:rPr>
        <w:t>:</w:t>
      </w:r>
    </w:p>
    <w:p w:rsidR="00495939" w:rsidRDefault="00495939" w:rsidP="00495939">
      <w:pPr>
        <w:ind w:left="1702" w:hanging="851"/>
        <w:rPr>
          <w:b/>
          <w:sz w:val="24"/>
          <w:szCs w:val="24"/>
          <w:lang w:val="nl-NL"/>
        </w:rPr>
      </w:pPr>
    </w:p>
    <w:p w:rsidR="00495939" w:rsidRDefault="00495939" w:rsidP="00495939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Aktivt stof: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Pimobendan</w:t>
      </w:r>
      <w:proofErr w:type="spellEnd"/>
    </w:p>
    <w:p w:rsidR="00495939" w:rsidRDefault="00495939" w:rsidP="0049593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1,25 mg: </w:t>
      </w:r>
      <w:r>
        <w:rPr>
          <w:sz w:val="24"/>
          <w:szCs w:val="24"/>
        </w:rPr>
        <w:tab/>
        <w:t xml:space="preserve">1 tablet indeholder 1,25 mg </w:t>
      </w:r>
      <w:proofErr w:type="spellStart"/>
      <w:r>
        <w:rPr>
          <w:sz w:val="24"/>
          <w:szCs w:val="24"/>
        </w:rPr>
        <w:t>pimobendan</w:t>
      </w:r>
      <w:proofErr w:type="spellEnd"/>
      <w:r>
        <w:rPr>
          <w:sz w:val="24"/>
          <w:szCs w:val="24"/>
        </w:rPr>
        <w:t>.</w:t>
      </w:r>
    </w:p>
    <w:p w:rsidR="00495939" w:rsidRDefault="00495939" w:rsidP="00495939">
      <w:pPr>
        <w:ind w:left="851"/>
        <w:rPr>
          <w:sz w:val="24"/>
          <w:szCs w:val="24"/>
        </w:rPr>
      </w:pPr>
      <w:r>
        <w:rPr>
          <w:sz w:val="24"/>
          <w:szCs w:val="24"/>
        </w:rPr>
        <w:t>2,5 mg:</w:t>
      </w:r>
      <w:r>
        <w:rPr>
          <w:sz w:val="24"/>
          <w:szCs w:val="24"/>
        </w:rPr>
        <w:tab/>
        <w:t xml:space="preserve">1 tablet indeholder 2,5 mg </w:t>
      </w:r>
      <w:proofErr w:type="spellStart"/>
      <w:r>
        <w:rPr>
          <w:sz w:val="24"/>
          <w:szCs w:val="24"/>
        </w:rPr>
        <w:t>pimobendan</w:t>
      </w:r>
      <w:proofErr w:type="spellEnd"/>
      <w:r>
        <w:rPr>
          <w:sz w:val="24"/>
          <w:szCs w:val="24"/>
        </w:rPr>
        <w:t>.</w:t>
      </w:r>
    </w:p>
    <w:p w:rsidR="00495939" w:rsidRDefault="00495939" w:rsidP="00495939">
      <w:pPr>
        <w:ind w:left="851"/>
        <w:rPr>
          <w:sz w:val="24"/>
          <w:szCs w:val="24"/>
        </w:rPr>
      </w:pPr>
      <w:r>
        <w:rPr>
          <w:sz w:val="24"/>
          <w:szCs w:val="24"/>
        </w:rPr>
        <w:t>5 mg:</w:t>
      </w:r>
      <w:r>
        <w:rPr>
          <w:sz w:val="24"/>
          <w:szCs w:val="24"/>
        </w:rPr>
        <w:tab/>
        <w:t xml:space="preserve">1 tablet indeholder 5 mg </w:t>
      </w:r>
      <w:proofErr w:type="spellStart"/>
      <w:r>
        <w:rPr>
          <w:sz w:val="24"/>
          <w:szCs w:val="24"/>
        </w:rPr>
        <w:t>pimobendan</w:t>
      </w:r>
      <w:proofErr w:type="spellEnd"/>
      <w:r>
        <w:rPr>
          <w:sz w:val="24"/>
          <w:szCs w:val="24"/>
        </w:rPr>
        <w:t>.</w:t>
      </w:r>
    </w:p>
    <w:p w:rsidR="00495939" w:rsidRDefault="00495939" w:rsidP="00495939">
      <w:pPr>
        <w:ind w:left="851"/>
        <w:rPr>
          <w:sz w:val="24"/>
          <w:szCs w:val="24"/>
        </w:rPr>
      </w:pPr>
      <w:r>
        <w:rPr>
          <w:sz w:val="24"/>
          <w:szCs w:val="24"/>
        </w:rPr>
        <w:t>10 mg:</w:t>
      </w:r>
      <w:r>
        <w:rPr>
          <w:sz w:val="24"/>
          <w:szCs w:val="24"/>
        </w:rPr>
        <w:tab/>
        <w:t xml:space="preserve">1 tablet indeholder 10 mg </w:t>
      </w:r>
      <w:proofErr w:type="spellStart"/>
      <w:r>
        <w:rPr>
          <w:sz w:val="24"/>
          <w:szCs w:val="24"/>
        </w:rPr>
        <w:t>pimobendan</w:t>
      </w:r>
      <w:proofErr w:type="spellEnd"/>
      <w:r>
        <w:rPr>
          <w:sz w:val="24"/>
          <w:szCs w:val="24"/>
        </w:rPr>
        <w:t>.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</w:p>
    <w:p w:rsidR="001F60F0" w:rsidRPr="008802A5" w:rsidRDefault="001F60F0" w:rsidP="008802A5">
      <w:pPr>
        <w:ind w:left="851" w:hanging="851"/>
        <w:rPr>
          <w:b/>
          <w:sz w:val="24"/>
          <w:szCs w:val="24"/>
        </w:rPr>
      </w:pPr>
    </w:p>
    <w:p w:rsidR="001F60F0" w:rsidRPr="008802A5" w:rsidRDefault="001F60F0" w:rsidP="008802A5">
      <w:pPr>
        <w:ind w:left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Hjælpestoffer:</w:t>
      </w:r>
    </w:p>
    <w:p w:rsidR="001F60F0" w:rsidRPr="008802A5" w:rsidRDefault="008802A5" w:rsidP="008802A5">
      <w:pPr>
        <w:ind w:left="851"/>
        <w:rPr>
          <w:sz w:val="24"/>
          <w:szCs w:val="24"/>
        </w:rPr>
      </w:pPr>
      <w:r>
        <w:rPr>
          <w:sz w:val="24"/>
          <w:szCs w:val="24"/>
        </w:rPr>
        <w:t>Alle</w:t>
      </w:r>
      <w:r w:rsidR="001F60F0" w:rsidRPr="008802A5">
        <w:rPr>
          <w:sz w:val="24"/>
          <w:szCs w:val="24"/>
        </w:rPr>
        <w:t xml:space="preserve"> hjælpestoffer</w:t>
      </w:r>
      <w:r>
        <w:rPr>
          <w:sz w:val="24"/>
          <w:szCs w:val="24"/>
        </w:rPr>
        <w:t xml:space="preserve"> er anført under pkt. 6.1.</w:t>
      </w:r>
    </w:p>
    <w:p w:rsidR="00DF32BE" w:rsidRPr="008802A5" w:rsidRDefault="00DF32BE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LÆGEMIDDELFORM</w:t>
      </w:r>
    </w:p>
    <w:p w:rsidR="001F60F0" w:rsidRPr="008802A5" w:rsidRDefault="008802A5" w:rsidP="008802A5">
      <w:pPr>
        <w:tabs>
          <w:tab w:val="left" w:pos="-1440"/>
          <w:tab w:val="left" w:pos="-72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F60F0" w:rsidRPr="008802A5">
        <w:rPr>
          <w:sz w:val="24"/>
          <w:szCs w:val="24"/>
        </w:rPr>
        <w:t>1,25 mg tabletter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Lysebrune, runde tabletter, med delekærv på den ene side.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Tabletterne kan deles i to ens halvdele.</w:t>
      </w:r>
    </w:p>
    <w:p w:rsidR="001F60F0" w:rsidRPr="008802A5" w:rsidRDefault="001F60F0" w:rsidP="008802A5">
      <w:pPr>
        <w:tabs>
          <w:tab w:val="left" w:pos="-1440"/>
          <w:tab w:val="left" w:pos="-720"/>
        </w:tabs>
        <w:ind w:left="851" w:hanging="851"/>
        <w:rPr>
          <w:sz w:val="24"/>
          <w:szCs w:val="24"/>
        </w:rPr>
      </w:pPr>
    </w:p>
    <w:p w:rsidR="001F60F0" w:rsidRPr="008802A5" w:rsidRDefault="008802A5" w:rsidP="008802A5">
      <w:pPr>
        <w:tabs>
          <w:tab w:val="left" w:pos="-1440"/>
          <w:tab w:val="left" w:pos="-72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F60F0" w:rsidRPr="008802A5">
        <w:rPr>
          <w:sz w:val="24"/>
          <w:szCs w:val="24"/>
        </w:rPr>
        <w:t>2,5 mg, 5 mg og 10 mg tabletter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Lysebrune, runde tabletter, med dobbelt, krydset delekærv på den ene side.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Tabletterne kan deles i kvarte.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KLINISKE OPLYSNINGER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8802A5">
        <w:rPr>
          <w:b/>
          <w:sz w:val="24"/>
          <w:szCs w:val="24"/>
        </w:rPr>
        <w:t>4.1</w:t>
      </w:r>
      <w:r w:rsidRPr="008802A5">
        <w:rPr>
          <w:b/>
          <w:sz w:val="24"/>
          <w:szCs w:val="24"/>
        </w:rPr>
        <w:tab/>
        <w:t>Dyrearter</w:t>
      </w:r>
    </w:p>
    <w:p w:rsidR="00DF32BE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Hund</w:t>
      </w:r>
      <w:r w:rsidR="008802A5">
        <w:rPr>
          <w:sz w:val="24"/>
          <w:szCs w:val="24"/>
        </w:rPr>
        <w:t>.</w:t>
      </w:r>
    </w:p>
    <w:p w:rsidR="008802A5" w:rsidRDefault="008802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32BE" w:rsidRPr="008802A5" w:rsidRDefault="00DF32BE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ind w:left="851" w:hanging="851"/>
        <w:rPr>
          <w:b/>
          <w:szCs w:val="24"/>
        </w:rPr>
      </w:pPr>
      <w:r w:rsidRPr="008802A5">
        <w:rPr>
          <w:b/>
          <w:szCs w:val="24"/>
        </w:rPr>
        <w:t>Terapeutiske indikationer</w:t>
      </w:r>
    </w:p>
    <w:p w:rsidR="001F60F0" w:rsidRPr="008802A5" w:rsidRDefault="00495939" w:rsidP="008802A5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Til b</w:t>
      </w:r>
      <w:r w:rsidR="001F60F0" w:rsidRPr="008802A5">
        <w:rPr>
          <w:spacing w:val="-3"/>
          <w:sz w:val="24"/>
          <w:szCs w:val="24"/>
        </w:rPr>
        <w:t xml:space="preserve">ehandling af kongestiv hjerteinsufficiens hos hunde hidrørende fra </w:t>
      </w:r>
      <w:proofErr w:type="spellStart"/>
      <w:r w:rsidR="001F60F0" w:rsidRPr="008802A5">
        <w:rPr>
          <w:spacing w:val="-3"/>
          <w:sz w:val="24"/>
          <w:szCs w:val="24"/>
        </w:rPr>
        <w:t>valvulær</w:t>
      </w:r>
      <w:proofErr w:type="spellEnd"/>
      <w:r w:rsidR="001F60F0" w:rsidRPr="008802A5">
        <w:rPr>
          <w:spacing w:val="-3"/>
          <w:sz w:val="24"/>
          <w:szCs w:val="24"/>
        </w:rPr>
        <w:t xml:space="preserve"> insufficiens (</w:t>
      </w:r>
      <w:proofErr w:type="spellStart"/>
      <w:r w:rsidR="001F60F0" w:rsidRPr="008802A5">
        <w:rPr>
          <w:spacing w:val="-3"/>
          <w:sz w:val="24"/>
          <w:szCs w:val="24"/>
        </w:rPr>
        <w:t>mitral</w:t>
      </w:r>
      <w:proofErr w:type="spellEnd"/>
      <w:r w:rsidR="001F60F0" w:rsidRPr="008802A5">
        <w:rPr>
          <w:spacing w:val="-3"/>
          <w:sz w:val="24"/>
          <w:szCs w:val="24"/>
        </w:rPr>
        <w:t xml:space="preserve"> og/eller </w:t>
      </w:r>
      <w:proofErr w:type="spellStart"/>
      <w:r w:rsidR="001F60F0" w:rsidRPr="008802A5">
        <w:rPr>
          <w:spacing w:val="-3"/>
          <w:sz w:val="24"/>
          <w:szCs w:val="24"/>
        </w:rPr>
        <w:t>tricuspidal</w:t>
      </w:r>
      <w:proofErr w:type="spellEnd"/>
      <w:r w:rsidR="001F60F0" w:rsidRPr="008802A5">
        <w:rPr>
          <w:spacing w:val="-3"/>
          <w:sz w:val="24"/>
          <w:szCs w:val="24"/>
        </w:rPr>
        <w:t xml:space="preserve"> tilbagestrømning) eller </w:t>
      </w:r>
      <w:proofErr w:type="spellStart"/>
      <w:r w:rsidR="001F60F0" w:rsidRPr="008802A5">
        <w:rPr>
          <w:spacing w:val="-3"/>
          <w:sz w:val="24"/>
          <w:szCs w:val="24"/>
        </w:rPr>
        <w:t>dilateret</w:t>
      </w:r>
      <w:proofErr w:type="spellEnd"/>
      <w:r w:rsidR="001F60F0" w:rsidRPr="008802A5">
        <w:rPr>
          <w:spacing w:val="-3"/>
          <w:sz w:val="24"/>
          <w:szCs w:val="24"/>
        </w:rPr>
        <w:t xml:space="preserve"> </w:t>
      </w:r>
      <w:proofErr w:type="spellStart"/>
      <w:r w:rsidR="001F60F0" w:rsidRPr="008802A5">
        <w:rPr>
          <w:spacing w:val="-3"/>
          <w:sz w:val="24"/>
          <w:szCs w:val="24"/>
        </w:rPr>
        <w:t>kardiomyopati</w:t>
      </w:r>
      <w:proofErr w:type="spellEnd"/>
      <w:r w:rsidR="001F60F0" w:rsidRPr="008802A5">
        <w:rPr>
          <w:spacing w:val="-3"/>
          <w:sz w:val="24"/>
          <w:szCs w:val="24"/>
        </w:rPr>
        <w:t xml:space="preserve">. </w:t>
      </w:r>
    </w:p>
    <w:p w:rsidR="00DF32BE" w:rsidRPr="008802A5" w:rsidRDefault="00DF32BE" w:rsidP="008802A5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8802A5" w:rsidRDefault="00DF32BE" w:rsidP="008802A5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b/>
          <w:szCs w:val="24"/>
        </w:rPr>
      </w:pPr>
      <w:r w:rsidRPr="008802A5">
        <w:rPr>
          <w:b/>
          <w:szCs w:val="24"/>
        </w:rPr>
        <w:t>4.3</w:t>
      </w:r>
      <w:r w:rsidRPr="008802A5">
        <w:rPr>
          <w:b/>
          <w:szCs w:val="24"/>
        </w:rPr>
        <w:tab/>
        <w:t>Kontraindikationer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 xml:space="preserve">Bør ikke anvendes i tilfælde af </w:t>
      </w:r>
      <w:proofErr w:type="spellStart"/>
      <w:r w:rsidRPr="008802A5">
        <w:rPr>
          <w:spacing w:val="-3"/>
          <w:sz w:val="24"/>
          <w:szCs w:val="24"/>
        </w:rPr>
        <w:t>hypertrofisk</w:t>
      </w:r>
      <w:proofErr w:type="spellEnd"/>
      <w:r w:rsidRPr="008802A5">
        <w:rPr>
          <w:spacing w:val="-3"/>
          <w:sz w:val="24"/>
          <w:szCs w:val="24"/>
        </w:rPr>
        <w:t xml:space="preserve"> </w:t>
      </w:r>
      <w:proofErr w:type="spellStart"/>
      <w:r w:rsidRPr="008802A5">
        <w:rPr>
          <w:spacing w:val="-3"/>
          <w:sz w:val="24"/>
          <w:szCs w:val="24"/>
        </w:rPr>
        <w:t>kardiomyopati</w:t>
      </w:r>
      <w:proofErr w:type="spellEnd"/>
      <w:r w:rsidRPr="008802A5">
        <w:rPr>
          <w:spacing w:val="-3"/>
          <w:sz w:val="24"/>
          <w:szCs w:val="24"/>
        </w:rPr>
        <w:t xml:space="preserve"> eller kliniske tilstande, hvor en forøgelse i minutvolumen umuliggøres af funktionelle eller anatomiske årsager (f.eks. aorta stenose).</w:t>
      </w:r>
      <w:r w:rsidRPr="008802A5" w:rsidDel="00E50AE0">
        <w:rPr>
          <w:sz w:val="24"/>
          <w:szCs w:val="24"/>
        </w:rPr>
        <w:t xml:space="preserve"> </w:t>
      </w:r>
    </w:p>
    <w:p w:rsidR="001F60F0" w:rsidRPr="008802A5" w:rsidRDefault="001F60F0" w:rsidP="008802A5">
      <w:pPr>
        <w:ind w:left="851" w:hanging="851"/>
        <w:rPr>
          <w:sz w:val="24"/>
          <w:szCs w:val="24"/>
        </w:rPr>
      </w:pP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 xml:space="preserve">Se også </w:t>
      </w:r>
      <w:r w:rsidR="008802A5">
        <w:rPr>
          <w:sz w:val="24"/>
          <w:szCs w:val="24"/>
        </w:rPr>
        <w:t>pkt.</w:t>
      </w:r>
      <w:r w:rsidRPr="008802A5">
        <w:rPr>
          <w:sz w:val="24"/>
          <w:szCs w:val="24"/>
        </w:rPr>
        <w:t xml:space="preserve"> 4.7</w:t>
      </w:r>
    </w:p>
    <w:p w:rsidR="00DF32BE" w:rsidRPr="008802A5" w:rsidRDefault="00DF32BE" w:rsidP="008802A5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4.4</w:t>
      </w:r>
      <w:r w:rsidRPr="008802A5">
        <w:rPr>
          <w:b/>
          <w:sz w:val="24"/>
          <w:szCs w:val="24"/>
        </w:rPr>
        <w:tab/>
        <w:t>Sæ</w:t>
      </w:r>
      <w:r w:rsidR="001577E4" w:rsidRPr="008802A5">
        <w:rPr>
          <w:b/>
          <w:sz w:val="24"/>
          <w:szCs w:val="24"/>
        </w:rPr>
        <w:t>rlige advarsler</w:t>
      </w:r>
    </w:p>
    <w:p w:rsidR="001F60F0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1F60F0" w:rsidRPr="008802A5">
        <w:rPr>
          <w:sz w:val="24"/>
          <w:szCs w:val="24"/>
        </w:rPr>
        <w:t>Pr</w:t>
      </w:r>
      <w:r w:rsidR="008802A5">
        <w:rPr>
          <w:sz w:val="24"/>
          <w:szCs w:val="24"/>
        </w:rPr>
        <w:t>æparatet</w:t>
      </w:r>
      <w:r w:rsidR="001F60F0" w:rsidRPr="008802A5">
        <w:rPr>
          <w:sz w:val="24"/>
          <w:szCs w:val="24"/>
        </w:rPr>
        <w:t xml:space="preserve"> skal indgives på tom mave, mindst en time før et måltid, idet absorptionen nedsættes ved indgivelse sammen med foder.</w:t>
      </w:r>
    </w:p>
    <w:p w:rsidR="00DF32BE" w:rsidRPr="008802A5" w:rsidRDefault="00DF32BE" w:rsidP="008802A5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4.5</w:t>
      </w:r>
      <w:r w:rsidRPr="008802A5">
        <w:rPr>
          <w:b/>
          <w:sz w:val="24"/>
          <w:szCs w:val="24"/>
        </w:rPr>
        <w:tab/>
        <w:t>Særlige forsigtighedsregler vedrørende brugen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ab/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ab/>
        <w:t>Særlige forsigtighedsregler for dyret</w:t>
      </w:r>
    </w:p>
    <w:p w:rsidR="001F60F0" w:rsidRDefault="00DF32BE" w:rsidP="008802A5">
      <w:pPr>
        <w:ind w:left="851" w:hanging="851"/>
        <w:rPr>
          <w:sz w:val="24"/>
          <w:szCs w:val="24"/>
          <w:lang w:eastAsia="en-GB"/>
        </w:rPr>
      </w:pPr>
      <w:r w:rsidRPr="008802A5">
        <w:rPr>
          <w:sz w:val="24"/>
          <w:szCs w:val="24"/>
        </w:rPr>
        <w:tab/>
      </w:r>
      <w:r w:rsidR="001F60F0" w:rsidRPr="008802A5">
        <w:rPr>
          <w:sz w:val="24"/>
          <w:szCs w:val="24"/>
          <w:lang w:eastAsia="en-GB"/>
        </w:rPr>
        <w:t>Pr</w:t>
      </w:r>
      <w:r w:rsidR="008802A5">
        <w:rPr>
          <w:sz w:val="24"/>
          <w:szCs w:val="24"/>
          <w:lang w:eastAsia="en-GB"/>
        </w:rPr>
        <w:t>æparatet</w:t>
      </w:r>
      <w:r w:rsidR="001F60F0" w:rsidRPr="008802A5">
        <w:rPr>
          <w:sz w:val="24"/>
          <w:szCs w:val="24"/>
          <w:lang w:eastAsia="en-GB"/>
        </w:rPr>
        <w:t xml:space="preserve"> er tilsat smagsstoffer. For at forhindre utilsigtet indtagelse, skal tabletterne opbevares utilgængeligt for hunde. Et </w:t>
      </w:r>
      <w:r w:rsidR="001F60F0" w:rsidRPr="008802A5">
        <w:rPr>
          <w:i/>
          <w:sz w:val="24"/>
          <w:szCs w:val="24"/>
          <w:lang w:eastAsia="en-GB"/>
        </w:rPr>
        <w:t>in-</w:t>
      </w:r>
      <w:proofErr w:type="spellStart"/>
      <w:r w:rsidR="001F60F0" w:rsidRPr="008802A5">
        <w:rPr>
          <w:i/>
          <w:sz w:val="24"/>
          <w:szCs w:val="24"/>
          <w:lang w:eastAsia="en-GB"/>
        </w:rPr>
        <w:t>vitro</w:t>
      </w:r>
      <w:proofErr w:type="spellEnd"/>
      <w:r w:rsidR="001F60F0" w:rsidRPr="008802A5">
        <w:rPr>
          <w:sz w:val="24"/>
          <w:szCs w:val="24"/>
          <w:lang w:eastAsia="en-GB"/>
        </w:rPr>
        <w:t xml:space="preserve"> studie på væv fra rotte viste, at </w:t>
      </w:r>
      <w:proofErr w:type="spellStart"/>
      <w:r w:rsidR="001F60F0" w:rsidRPr="008802A5">
        <w:rPr>
          <w:sz w:val="24"/>
          <w:szCs w:val="24"/>
          <w:lang w:eastAsia="en-GB"/>
        </w:rPr>
        <w:t>pimobendan</w:t>
      </w:r>
      <w:proofErr w:type="spellEnd"/>
      <w:r w:rsidR="001F60F0" w:rsidRPr="008802A5">
        <w:rPr>
          <w:sz w:val="24"/>
          <w:szCs w:val="24"/>
          <w:lang w:eastAsia="en-GB"/>
        </w:rPr>
        <w:t xml:space="preserve"> forøgede den </w:t>
      </w:r>
      <w:proofErr w:type="spellStart"/>
      <w:r w:rsidR="001F60F0" w:rsidRPr="008802A5">
        <w:rPr>
          <w:sz w:val="24"/>
          <w:szCs w:val="24"/>
          <w:lang w:eastAsia="en-GB"/>
        </w:rPr>
        <w:t>glucoseinducerede</w:t>
      </w:r>
      <w:proofErr w:type="spellEnd"/>
      <w:r w:rsidR="001F60F0" w:rsidRPr="008802A5">
        <w:rPr>
          <w:sz w:val="24"/>
          <w:szCs w:val="24"/>
          <w:lang w:eastAsia="en-GB"/>
        </w:rPr>
        <w:t xml:space="preserve"> udløsning af insulin fra bugspytkirtel </w:t>
      </w:r>
      <w:r w:rsidR="001F60F0" w:rsidRPr="008802A5">
        <w:rPr>
          <w:sz w:val="24"/>
          <w:szCs w:val="24"/>
          <w:lang w:eastAsia="en-GB"/>
        </w:rPr>
        <w:sym w:font="Symbol" w:char="F062"/>
      </w:r>
      <w:r w:rsidR="001F60F0" w:rsidRPr="008802A5">
        <w:rPr>
          <w:sz w:val="24"/>
          <w:szCs w:val="24"/>
          <w:lang w:eastAsia="en-GB"/>
        </w:rPr>
        <w:t>-celler, afhængigt af dosis. Hvis pr</w:t>
      </w:r>
      <w:r w:rsidR="00CD0B32">
        <w:rPr>
          <w:sz w:val="24"/>
          <w:szCs w:val="24"/>
          <w:lang w:eastAsia="en-GB"/>
        </w:rPr>
        <w:t>æparatet</w:t>
      </w:r>
      <w:r w:rsidR="001F60F0" w:rsidRPr="008802A5">
        <w:rPr>
          <w:sz w:val="24"/>
          <w:szCs w:val="24"/>
          <w:lang w:eastAsia="en-GB"/>
        </w:rPr>
        <w:t xml:space="preserve"> gives til hunde med diabetes, skal </w:t>
      </w:r>
      <w:proofErr w:type="spellStart"/>
      <w:r w:rsidR="001F60F0" w:rsidRPr="008802A5">
        <w:rPr>
          <w:sz w:val="24"/>
          <w:szCs w:val="24"/>
          <w:lang w:eastAsia="en-GB"/>
        </w:rPr>
        <w:t>glucoseniveauet</w:t>
      </w:r>
      <w:proofErr w:type="spellEnd"/>
      <w:r w:rsidR="001F60F0" w:rsidRPr="008802A5">
        <w:rPr>
          <w:sz w:val="24"/>
          <w:szCs w:val="24"/>
          <w:lang w:eastAsia="en-GB"/>
        </w:rPr>
        <w:t xml:space="preserve"> i blodet følges nøje. Da </w:t>
      </w:r>
      <w:proofErr w:type="spellStart"/>
      <w:r w:rsidR="001F60F0" w:rsidRPr="008802A5">
        <w:rPr>
          <w:sz w:val="24"/>
          <w:szCs w:val="24"/>
          <w:lang w:eastAsia="en-GB"/>
        </w:rPr>
        <w:t>pimobendan</w:t>
      </w:r>
      <w:proofErr w:type="spellEnd"/>
      <w:r w:rsidR="001F60F0" w:rsidRPr="008802A5">
        <w:rPr>
          <w:sz w:val="24"/>
          <w:szCs w:val="24"/>
          <w:lang w:eastAsia="en-GB"/>
        </w:rPr>
        <w:t xml:space="preserve"> </w:t>
      </w:r>
      <w:proofErr w:type="spellStart"/>
      <w:r w:rsidR="001F60F0" w:rsidRPr="008802A5">
        <w:rPr>
          <w:sz w:val="24"/>
          <w:szCs w:val="24"/>
          <w:lang w:eastAsia="en-GB"/>
        </w:rPr>
        <w:t>metaboliseres</w:t>
      </w:r>
      <w:proofErr w:type="spellEnd"/>
      <w:r w:rsidR="001F60F0" w:rsidRPr="008802A5">
        <w:rPr>
          <w:sz w:val="24"/>
          <w:szCs w:val="24"/>
          <w:lang w:eastAsia="en-GB"/>
        </w:rPr>
        <w:t xml:space="preserve"> i leveren, skal der udvises særlig agtpågivenhed når pr</w:t>
      </w:r>
      <w:r w:rsidR="008802A5">
        <w:rPr>
          <w:sz w:val="24"/>
          <w:szCs w:val="24"/>
          <w:lang w:eastAsia="en-GB"/>
        </w:rPr>
        <w:t>æparatet</w:t>
      </w:r>
      <w:r w:rsidR="001F60F0" w:rsidRPr="008802A5">
        <w:rPr>
          <w:sz w:val="24"/>
          <w:szCs w:val="24"/>
          <w:lang w:eastAsia="en-GB"/>
        </w:rPr>
        <w:t xml:space="preserve"> gives til hunde med alvorlig leverinsufficiens.</w:t>
      </w:r>
    </w:p>
    <w:p w:rsidR="00495939" w:rsidRPr="008802A5" w:rsidRDefault="00495939" w:rsidP="00495939">
      <w:pPr>
        <w:ind w:left="851"/>
        <w:rPr>
          <w:sz w:val="24"/>
          <w:szCs w:val="24"/>
        </w:rPr>
      </w:pPr>
      <w:r w:rsidRPr="00495939">
        <w:rPr>
          <w:sz w:val="24"/>
          <w:szCs w:val="24"/>
        </w:rPr>
        <w:t xml:space="preserve">Det anbefales at hjertefunktion og morfologi overvåges hos dyr der behandles med </w:t>
      </w:r>
      <w:proofErr w:type="spellStart"/>
      <w:r w:rsidRPr="00495939">
        <w:rPr>
          <w:sz w:val="24"/>
          <w:szCs w:val="24"/>
        </w:rPr>
        <w:t>pimobendan</w:t>
      </w:r>
      <w:proofErr w:type="spellEnd"/>
      <w:r w:rsidRPr="00495939">
        <w:rPr>
          <w:sz w:val="24"/>
          <w:szCs w:val="24"/>
        </w:rPr>
        <w:t>. (Se også pkt. 4.6)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sz w:val="24"/>
          <w:szCs w:val="24"/>
        </w:rPr>
        <w:tab/>
      </w:r>
      <w:r w:rsidRPr="008802A5">
        <w:rPr>
          <w:b/>
          <w:sz w:val="24"/>
          <w:szCs w:val="24"/>
        </w:rPr>
        <w:t>Særlige forsigtighedsregler for personer, der administrerer lægemidlet</w:t>
      </w:r>
    </w:p>
    <w:p w:rsidR="001F60F0" w:rsidRPr="008802A5" w:rsidRDefault="00DF32BE" w:rsidP="008802A5">
      <w:pPr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1F60F0" w:rsidRPr="008802A5">
        <w:rPr>
          <w:sz w:val="24"/>
          <w:szCs w:val="24"/>
        </w:rPr>
        <w:t>I tilfælde af selvindgivelse ved hændeligt uheld skal der straks søges lægehjælp, og indlægssedlen eller etiketten bør vises til lægen.</w:t>
      </w:r>
    </w:p>
    <w:p w:rsidR="001F60F0" w:rsidRPr="008802A5" w:rsidRDefault="001F60F0" w:rsidP="008802A5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Vask hænderne efter brug.</w:t>
      </w:r>
    </w:p>
    <w:p w:rsidR="001F60F0" w:rsidRPr="008802A5" w:rsidRDefault="001F60F0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1F60F0" w:rsidRPr="008802A5" w:rsidRDefault="001F60F0" w:rsidP="008802A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802A5">
        <w:rPr>
          <w:sz w:val="24"/>
          <w:szCs w:val="24"/>
        </w:rPr>
        <w:t>Til lægen:</w:t>
      </w:r>
    </w:p>
    <w:p w:rsidR="001F60F0" w:rsidRPr="008802A5" w:rsidRDefault="001F60F0" w:rsidP="008802A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802A5">
        <w:rPr>
          <w:sz w:val="24"/>
          <w:szCs w:val="24"/>
        </w:rPr>
        <w:t xml:space="preserve">Selvindgivelse ved hændeligt uheld, især hos børn, kan medføre </w:t>
      </w:r>
      <w:proofErr w:type="spellStart"/>
      <w:r w:rsidRPr="008802A5">
        <w:rPr>
          <w:sz w:val="24"/>
          <w:szCs w:val="24"/>
        </w:rPr>
        <w:t>takykardi</w:t>
      </w:r>
      <w:proofErr w:type="spellEnd"/>
      <w:r w:rsidRPr="008802A5">
        <w:rPr>
          <w:sz w:val="24"/>
          <w:szCs w:val="24"/>
        </w:rPr>
        <w:t xml:space="preserve">, </w:t>
      </w:r>
      <w:proofErr w:type="spellStart"/>
      <w:r w:rsidRPr="008802A5">
        <w:rPr>
          <w:sz w:val="24"/>
          <w:szCs w:val="24"/>
        </w:rPr>
        <w:t>ortostatisk</w:t>
      </w:r>
      <w:proofErr w:type="spellEnd"/>
      <w:r w:rsidRPr="008802A5">
        <w:rPr>
          <w:sz w:val="24"/>
          <w:szCs w:val="24"/>
        </w:rPr>
        <w:t xml:space="preserve"> </w:t>
      </w:r>
      <w:proofErr w:type="spellStart"/>
      <w:r w:rsidRPr="008802A5">
        <w:rPr>
          <w:sz w:val="24"/>
          <w:szCs w:val="24"/>
        </w:rPr>
        <w:t>hypotension</w:t>
      </w:r>
      <w:proofErr w:type="spellEnd"/>
      <w:r w:rsidRPr="008802A5">
        <w:rPr>
          <w:sz w:val="24"/>
          <w:szCs w:val="24"/>
        </w:rPr>
        <w:t>, ansigtsrødmen og hovedpine.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sz w:val="24"/>
          <w:szCs w:val="24"/>
        </w:rPr>
        <w:tab/>
      </w:r>
      <w:r w:rsidRPr="008802A5">
        <w:rPr>
          <w:b/>
          <w:sz w:val="24"/>
          <w:szCs w:val="24"/>
        </w:rPr>
        <w:t>Andre forsigtighedsregler</w:t>
      </w:r>
    </w:p>
    <w:p w:rsidR="001F60F0" w:rsidRPr="008802A5" w:rsidRDefault="001F60F0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  <w:t>Ingen.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4.6</w:t>
      </w:r>
      <w:r w:rsidRPr="008802A5">
        <w:rPr>
          <w:b/>
          <w:sz w:val="24"/>
          <w:szCs w:val="24"/>
        </w:rPr>
        <w:tab/>
        <w:t>Bivirkninger</w:t>
      </w:r>
    </w:p>
    <w:p w:rsidR="00B41701" w:rsidRPr="008802A5" w:rsidRDefault="00DF32BE" w:rsidP="008802A5">
      <w:pPr>
        <w:ind w:left="851" w:hanging="851"/>
        <w:jc w:val="both"/>
        <w:rPr>
          <w:spacing w:val="-3"/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pacing w:val="-3"/>
          <w:sz w:val="24"/>
          <w:szCs w:val="24"/>
        </w:rPr>
        <w:t xml:space="preserve">Moderat positiv </w:t>
      </w:r>
      <w:proofErr w:type="spellStart"/>
      <w:r w:rsidR="00B41701" w:rsidRPr="008802A5">
        <w:rPr>
          <w:spacing w:val="-3"/>
          <w:sz w:val="24"/>
          <w:szCs w:val="24"/>
        </w:rPr>
        <w:t>kronotrop</w:t>
      </w:r>
      <w:proofErr w:type="spellEnd"/>
      <w:r w:rsidR="00B41701" w:rsidRPr="008802A5">
        <w:rPr>
          <w:spacing w:val="-3"/>
          <w:sz w:val="24"/>
          <w:szCs w:val="24"/>
        </w:rPr>
        <w:t xml:space="preserve"> effekt og opkastning kan i sjældne tilfælde forekomme. Disse bivirkninger er dosisafhængige og kan undgås ved dosisreduktion.</w:t>
      </w:r>
    </w:p>
    <w:p w:rsidR="00B41701" w:rsidRPr="008802A5" w:rsidRDefault="008802A5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B41701" w:rsidRPr="008802A5">
        <w:rPr>
          <w:spacing w:val="-3"/>
          <w:sz w:val="24"/>
          <w:szCs w:val="24"/>
        </w:rPr>
        <w:t xml:space="preserve">Der er i enkelte tilfælde observeret forbigående diarre, </w:t>
      </w:r>
      <w:proofErr w:type="spellStart"/>
      <w:r w:rsidR="00B41701" w:rsidRPr="008802A5">
        <w:rPr>
          <w:spacing w:val="-3"/>
          <w:sz w:val="24"/>
          <w:szCs w:val="24"/>
        </w:rPr>
        <w:t>anorexi</w:t>
      </w:r>
      <w:proofErr w:type="spellEnd"/>
      <w:r w:rsidR="00B41701" w:rsidRPr="008802A5">
        <w:rPr>
          <w:spacing w:val="-3"/>
          <w:sz w:val="24"/>
          <w:szCs w:val="24"/>
        </w:rPr>
        <w:t xml:space="preserve"> eller letargi. I meget sjældne tilfælde kan der observeres tegn på primær </w:t>
      </w:r>
      <w:proofErr w:type="spellStart"/>
      <w:r w:rsidR="00B41701" w:rsidRPr="008802A5">
        <w:rPr>
          <w:spacing w:val="-3"/>
          <w:sz w:val="24"/>
          <w:szCs w:val="24"/>
        </w:rPr>
        <w:t>hæmostase</w:t>
      </w:r>
      <w:proofErr w:type="spellEnd"/>
      <w:r w:rsidR="00B41701" w:rsidRPr="008802A5">
        <w:rPr>
          <w:spacing w:val="-3"/>
          <w:sz w:val="24"/>
          <w:szCs w:val="24"/>
        </w:rPr>
        <w:t xml:space="preserve"> (</w:t>
      </w:r>
      <w:proofErr w:type="spellStart"/>
      <w:r w:rsidR="00B41701" w:rsidRPr="008802A5">
        <w:rPr>
          <w:spacing w:val="-3"/>
          <w:sz w:val="24"/>
          <w:szCs w:val="24"/>
        </w:rPr>
        <w:t>petechiae</w:t>
      </w:r>
      <w:proofErr w:type="spellEnd"/>
      <w:r w:rsidR="00B41701" w:rsidRPr="008802A5">
        <w:rPr>
          <w:spacing w:val="-3"/>
          <w:sz w:val="24"/>
          <w:szCs w:val="24"/>
        </w:rPr>
        <w:t xml:space="preserve"> på </w:t>
      </w:r>
      <w:proofErr w:type="spellStart"/>
      <w:r w:rsidR="00B41701" w:rsidRPr="008802A5">
        <w:rPr>
          <w:spacing w:val="-3"/>
          <w:sz w:val="24"/>
          <w:szCs w:val="24"/>
        </w:rPr>
        <w:t>mucosa</w:t>
      </w:r>
      <w:proofErr w:type="spellEnd"/>
      <w:r w:rsidR="00B41701" w:rsidRPr="008802A5">
        <w:rPr>
          <w:spacing w:val="-3"/>
          <w:sz w:val="24"/>
          <w:szCs w:val="24"/>
        </w:rPr>
        <w:t xml:space="preserve">, subkutane blødninger) under behandlingen, skønt der ikke kunne fastslås en direkte sammenhæng med </w:t>
      </w:r>
      <w:proofErr w:type="spellStart"/>
      <w:r w:rsidR="00B41701" w:rsidRPr="008802A5">
        <w:rPr>
          <w:spacing w:val="-3"/>
          <w:sz w:val="24"/>
          <w:szCs w:val="24"/>
        </w:rPr>
        <w:t>pimobendan</w:t>
      </w:r>
      <w:proofErr w:type="spellEnd"/>
      <w:r w:rsidR="00B41701" w:rsidRPr="008802A5">
        <w:rPr>
          <w:spacing w:val="-3"/>
          <w:sz w:val="24"/>
          <w:szCs w:val="24"/>
        </w:rPr>
        <w:t xml:space="preserve">. Symptomerne forsvinder ved ophør af behandlingen. I sjældne tilfælde er der </w:t>
      </w:r>
      <w:proofErr w:type="spellStart"/>
      <w:r w:rsidR="00B41701" w:rsidRPr="008802A5">
        <w:rPr>
          <w:spacing w:val="-3"/>
          <w:sz w:val="24"/>
          <w:szCs w:val="24"/>
        </w:rPr>
        <w:t>observetret</w:t>
      </w:r>
      <w:proofErr w:type="spellEnd"/>
      <w:r w:rsidR="00B41701" w:rsidRPr="008802A5">
        <w:rPr>
          <w:spacing w:val="-3"/>
          <w:sz w:val="24"/>
          <w:szCs w:val="24"/>
        </w:rPr>
        <w:t xml:space="preserve"> en øget </w:t>
      </w:r>
      <w:proofErr w:type="spellStart"/>
      <w:r w:rsidR="00B41701" w:rsidRPr="008802A5">
        <w:rPr>
          <w:spacing w:val="-3"/>
          <w:sz w:val="24"/>
          <w:szCs w:val="24"/>
        </w:rPr>
        <w:t>mitral</w:t>
      </w:r>
      <w:proofErr w:type="spellEnd"/>
      <w:r w:rsidR="00B41701" w:rsidRPr="008802A5">
        <w:rPr>
          <w:spacing w:val="-3"/>
          <w:sz w:val="24"/>
          <w:szCs w:val="24"/>
        </w:rPr>
        <w:t xml:space="preserve"> tilbagestrømning i forbindelse med kronisk </w:t>
      </w:r>
      <w:proofErr w:type="spellStart"/>
      <w:r w:rsidR="00B41701" w:rsidRPr="008802A5">
        <w:rPr>
          <w:spacing w:val="-3"/>
          <w:sz w:val="24"/>
          <w:szCs w:val="24"/>
        </w:rPr>
        <w:t>pimobendanbehandling</w:t>
      </w:r>
      <w:proofErr w:type="spellEnd"/>
      <w:r w:rsidR="00B41701" w:rsidRPr="008802A5">
        <w:rPr>
          <w:spacing w:val="-3"/>
          <w:sz w:val="24"/>
          <w:szCs w:val="24"/>
        </w:rPr>
        <w:t xml:space="preserve"> hos hunde med </w:t>
      </w:r>
      <w:proofErr w:type="spellStart"/>
      <w:r w:rsidR="00B41701" w:rsidRPr="008802A5">
        <w:rPr>
          <w:spacing w:val="-3"/>
          <w:sz w:val="24"/>
          <w:szCs w:val="24"/>
        </w:rPr>
        <w:t>Mitral</w:t>
      </w:r>
      <w:proofErr w:type="spellEnd"/>
      <w:r w:rsidR="00B41701" w:rsidRPr="008802A5">
        <w:rPr>
          <w:spacing w:val="-3"/>
          <w:sz w:val="24"/>
          <w:szCs w:val="24"/>
        </w:rPr>
        <w:t xml:space="preserve"> </w:t>
      </w:r>
      <w:proofErr w:type="spellStart"/>
      <w:r w:rsidR="00B41701" w:rsidRPr="008802A5">
        <w:rPr>
          <w:spacing w:val="-3"/>
          <w:sz w:val="24"/>
          <w:szCs w:val="24"/>
        </w:rPr>
        <w:t>Valve</w:t>
      </w:r>
      <w:proofErr w:type="spellEnd"/>
      <w:r w:rsidR="00B41701" w:rsidRPr="008802A5">
        <w:rPr>
          <w:spacing w:val="-3"/>
          <w:sz w:val="24"/>
          <w:szCs w:val="24"/>
        </w:rPr>
        <w:t xml:space="preserve"> </w:t>
      </w:r>
      <w:proofErr w:type="spellStart"/>
      <w:r w:rsidR="00B41701" w:rsidRPr="008802A5">
        <w:rPr>
          <w:spacing w:val="-3"/>
          <w:sz w:val="24"/>
          <w:szCs w:val="24"/>
        </w:rPr>
        <w:t>Disease</w:t>
      </w:r>
      <w:proofErr w:type="spellEnd"/>
      <w:r w:rsidR="00B41701" w:rsidRPr="008802A5">
        <w:rPr>
          <w:spacing w:val="-3"/>
          <w:sz w:val="24"/>
          <w:szCs w:val="24"/>
        </w:rPr>
        <w:t xml:space="preserve">. </w:t>
      </w:r>
    </w:p>
    <w:p w:rsidR="008802A5" w:rsidRDefault="008802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6909" w:rsidRPr="00526909" w:rsidRDefault="00526909" w:rsidP="00526909">
      <w:pPr>
        <w:ind w:left="851"/>
        <w:rPr>
          <w:sz w:val="24"/>
          <w:szCs w:val="24"/>
        </w:rPr>
      </w:pPr>
      <w:r w:rsidRPr="00526909">
        <w:rPr>
          <w:sz w:val="24"/>
          <w:szCs w:val="24"/>
        </w:rPr>
        <w:lastRenderedPageBreak/>
        <w:t>Hyppigheden af bivirkninger er defineret som:</w:t>
      </w:r>
    </w:p>
    <w:p w:rsidR="00526909" w:rsidRPr="00526909" w:rsidRDefault="00526909" w:rsidP="00526909">
      <w:pPr>
        <w:pStyle w:val="Listeafsnit"/>
        <w:numPr>
          <w:ilvl w:val="0"/>
          <w:numId w:val="4"/>
        </w:numPr>
        <w:ind w:left="1304" w:hanging="170"/>
        <w:rPr>
          <w:sz w:val="24"/>
          <w:szCs w:val="24"/>
        </w:rPr>
      </w:pPr>
      <w:r w:rsidRPr="00526909">
        <w:rPr>
          <w:sz w:val="24"/>
          <w:szCs w:val="24"/>
        </w:rPr>
        <w:t>Meget almindelig (mere end 1 ud af 10 dyr, der viser bivirkninger i løbet af en behandling)</w:t>
      </w:r>
    </w:p>
    <w:p w:rsidR="00526909" w:rsidRPr="00526909" w:rsidRDefault="00526909" w:rsidP="00526909">
      <w:pPr>
        <w:pStyle w:val="Listeafsnit"/>
        <w:numPr>
          <w:ilvl w:val="0"/>
          <w:numId w:val="4"/>
        </w:numPr>
        <w:ind w:left="1134" w:firstLine="0"/>
        <w:rPr>
          <w:sz w:val="24"/>
          <w:szCs w:val="24"/>
        </w:rPr>
      </w:pPr>
      <w:r w:rsidRPr="00526909">
        <w:rPr>
          <w:sz w:val="24"/>
          <w:szCs w:val="24"/>
        </w:rPr>
        <w:t>Almindelige (mere end 1, men mindre end 10 dyr i 100 dyr)</w:t>
      </w:r>
    </w:p>
    <w:p w:rsidR="00526909" w:rsidRPr="00526909" w:rsidRDefault="00526909" w:rsidP="00526909">
      <w:pPr>
        <w:pStyle w:val="Listeafsnit"/>
        <w:numPr>
          <w:ilvl w:val="0"/>
          <w:numId w:val="4"/>
        </w:numPr>
        <w:ind w:left="1134" w:firstLine="0"/>
        <w:rPr>
          <w:sz w:val="24"/>
          <w:szCs w:val="24"/>
        </w:rPr>
      </w:pPr>
      <w:r w:rsidRPr="00526909">
        <w:rPr>
          <w:sz w:val="24"/>
          <w:szCs w:val="24"/>
        </w:rPr>
        <w:t>Ikke almindelige (mere end 1, men mindre end 10 dyr i 1.000 dyr)</w:t>
      </w:r>
    </w:p>
    <w:p w:rsidR="00526909" w:rsidRPr="00526909" w:rsidRDefault="00526909" w:rsidP="00526909">
      <w:pPr>
        <w:pStyle w:val="Listeafsnit"/>
        <w:numPr>
          <w:ilvl w:val="0"/>
          <w:numId w:val="4"/>
        </w:numPr>
        <w:ind w:left="1134" w:firstLine="0"/>
        <w:rPr>
          <w:sz w:val="24"/>
          <w:szCs w:val="24"/>
        </w:rPr>
      </w:pPr>
      <w:r w:rsidRPr="00526909">
        <w:rPr>
          <w:sz w:val="24"/>
          <w:szCs w:val="24"/>
        </w:rPr>
        <w:t>Sjældne (mere end 1, men mindre end 10 dyr ud af 10.000 dyr)</w:t>
      </w:r>
    </w:p>
    <w:p w:rsidR="00526909" w:rsidRPr="00526909" w:rsidRDefault="00526909" w:rsidP="00526909">
      <w:pPr>
        <w:pStyle w:val="Listeafsnit"/>
        <w:numPr>
          <w:ilvl w:val="0"/>
          <w:numId w:val="4"/>
        </w:numPr>
        <w:tabs>
          <w:tab w:val="left" w:pos="851"/>
        </w:tabs>
        <w:ind w:left="1134" w:firstLine="0"/>
        <w:rPr>
          <w:sz w:val="24"/>
          <w:szCs w:val="24"/>
        </w:rPr>
      </w:pPr>
      <w:r w:rsidRPr="00526909">
        <w:rPr>
          <w:sz w:val="24"/>
          <w:szCs w:val="24"/>
        </w:rPr>
        <w:t>Meget sjælden (mindre end 1 dyr ud af 10.000 dyr, herunder isolerede rapporter)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4.7</w:t>
      </w:r>
      <w:r w:rsidRPr="008802A5">
        <w:rPr>
          <w:b/>
          <w:sz w:val="24"/>
          <w:szCs w:val="24"/>
        </w:rPr>
        <w:tab/>
        <w:t>Drægtighed, diegivning eller æglægning</w:t>
      </w:r>
    </w:p>
    <w:p w:rsidR="00526909" w:rsidRDefault="00DF32BE" w:rsidP="00526909">
      <w:pPr>
        <w:ind w:left="851" w:hanging="851"/>
        <w:rPr>
          <w:spacing w:val="-3"/>
          <w:sz w:val="24"/>
          <w:szCs w:val="24"/>
        </w:rPr>
      </w:pPr>
      <w:r w:rsidRPr="008802A5">
        <w:rPr>
          <w:sz w:val="24"/>
          <w:szCs w:val="24"/>
        </w:rPr>
        <w:tab/>
      </w:r>
      <w:r w:rsidR="00526909">
        <w:rPr>
          <w:sz w:val="24"/>
          <w:szCs w:val="24"/>
        </w:rPr>
        <w:t xml:space="preserve">Laboratorieundersøgelser af rotte og kanin har ikke afsløret </w:t>
      </w:r>
      <w:proofErr w:type="spellStart"/>
      <w:r w:rsidR="00526909">
        <w:rPr>
          <w:sz w:val="24"/>
          <w:szCs w:val="24"/>
        </w:rPr>
        <w:t>teratogene</w:t>
      </w:r>
      <w:proofErr w:type="spellEnd"/>
      <w:r w:rsidR="00526909">
        <w:rPr>
          <w:sz w:val="24"/>
          <w:szCs w:val="24"/>
        </w:rPr>
        <w:t xml:space="preserve"> virkninger eller </w:t>
      </w:r>
      <w:proofErr w:type="spellStart"/>
      <w:r w:rsidR="00526909">
        <w:rPr>
          <w:sz w:val="24"/>
          <w:szCs w:val="24"/>
        </w:rPr>
        <w:t>føtal</w:t>
      </w:r>
      <w:proofErr w:type="spellEnd"/>
      <w:r w:rsidR="00526909">
        <w:rPr>
          <w:sz w:val="24"/>
          <w:szCs w:val="24"/>
        </w:rPr>
        <w:t xml:space="preserve"> toksicitet. Samme studier har dog vist </w:t>
      </w:r>
      <w:proofErr w:type="spellStart"/>
      <w:r w:rsidR="00526909">
        <w:rPr>
          <w:sz w:val="24"/>
          <w:szCs w:val="24"/>
        </w:rPr>
        <w:t>maternel</w:t>
      </w:r>
      <w:proofErr w:type="spellEnd"/>
      <w:r w:rsidR="00526909">
        <w:rPr>
          <w:sz w:val="24"/>
          <w:szCs w:val="24"/>
        </w:rPr>
        <w:t xml:space="preserve"> toksicitet og embryonal toksicitet ved høje doser, ligesom de påviste at </w:t>
      </w:r>
      <w:proofErr w:type="spellStart"/>
      <w:r w:rsidR="00526909">
        <w:rPr>
          <w:sz w:val="24"/>
          <w:szCs w:val="24"/>
        </w:rPr>
        <w:t>pimobendan</w:t>
      </w:r>
      <w:proofErr w:type="spellEnd"/>
      <w:r w:rsidR="00526909">
        <w:rPr>
          <w:sz w:val="24"/>
          <w:szCs w:val="24"/>
        </w:rPr>
        <w:t xml:space="preserve"> udskilles i modermælk. Præparatets sikkerhed er ikke undersøgt hos drægtige eller diegivende tæver. </w:t>
      </w:r>
      <w:r w:rsidR="00526909">
        <w:rPr>
          <w:spacing w:val="-3"/>
          <w:sz w:val="24"/>
          <w:szCs w:val="24"/>
        </w:rPr>
        <w:t xml:space="preserve">Må kun anvendes i overensstemmelse med den ansvarlige dyrlæges vurdering af </w:t>
      </w:r>
      <w:proofErr w:type="spellStart"/>
      <w:r w:rsidR="00526909">
        <w:rPr>
          <w:spacing w:val="-3"/>
          <w:sz w:val="24"/>
          <w:szCs w:val="24"/>
        </w:rPr>
        <w:t>risk</w:t>
      </w:r>
      <w:proofErr w:type="spellEnd"/>
      <w:r w:rsidR="00526909">
        <w:rPr>
          <w:spacing w:val="-3"/>
          <w:sz w:val="24"/>
          <w:szCs w:val="24"/>
        </w:rPr>
        <w:t>-</w:t>
      </w:r>
      <w:proofErr w:type="spellStart"/>
      <w:r w:rsidR="00526909">
        <w:rPr>
          <w:spacing w:val="-3"/>
          <w:sz w:val="24"/>
          <w:szCs w:val="24"/>
        </w:rPr>
        <w:t>benefit</w:t>
      </w:r>
      <w:proofErr w:type="spellEnd"/>
      <w:r w:rsidR="00526909">
        <w:rPr>
          <w:spacing w:val="-3"/>
          <w:sz w:val="24"/>
          <w:szCs w:val="24"/>
        </w:rPr>
        <w:t>-forholdet.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4.8</w:t>
      </w:r>
      <w:r w:rsidRPr="008802A5">
        <w:rPr>
          <w:b/>
          <w:sz w:val="24"/>
          <w:szCs w:val="24"/>
        </w:rPr>
        <w:tab/>
        <w:t>Interaktion med andre lægemidler og andre former for interaktion</w:t>
      </w:r>
    </w:p>
    <w:p w:rsidR="00B41701" w:rsidRPr="008802A5" w:rsidRDefault="00DF32BE" w:rsidP="008802A5">
      <w:pPr>
        <w:ind w:left="851" w:hanging="851"/>
        <w:rPr>
          <w:spacing w:val="-3"/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pacing w:val="-3"/>
          <w:sz w:val="24"/>
          <w:szCs w:val="24"/>
        </w:rPr>
        <w:t>I farmakologiske studier ses ingen interaktion mellem hjerte-</w:t>
      </w:r>
      <w:proofErr w:type="spellStart"/>
      <w:r w:rsidR="00B41701" w:rsidRPr="008802A5">
        <w:rPr>
          <w:spacing w:val="-3"/>
          <w:sz w:val="24"/>
          <w:szCs w:val="24"/>
        </w:rPr>
        <w:t>glycosidet</w:t>
      </w:r>
      <w:proofErr w:type="spellEnd"/>
      <w:r w:rsidR="00B41701" w:rsidRPr="008802A5">
        <w:rPr>
          <w:spacing w:val="-3"/>
          <w:sz w:val="24"/>
          <w:szCs w:val="24"/>
        </w:rPr>
        <w:t xml:space="preserve"> </w:t>
      </w:r>
      <w:proofErr w:type="spellStart"/>
      <w:r w:rsidR="00B41701" w:rsidRPr="008802A5">
        <w:rPr>
          <w:spacing w:val="-3"/>
          <w:sz w:val="24"/>
          <w:szCs w:val="24"/>
        </w:rPr>
        <w:t>ouabain</w:t>
      </w:r>
      <w:proofErr w:type="spellEnd"/>
      <w:r w:rsidR="00B41701" w:rsidRPr="008802A5">
        <w:rPr>
          <w:spacing w:val="-3"/>
          <w:sz w:val="24"/>
          <w:szCs w:val="24"/>
        </w:rPr>
        <w:t xml:space="preserve"> og </w:t>
      </w:r>
      <w:proofErr w:type="spellStart"/>
      <w:r w:rsidR="00B41701" w:rsidRPr="008802A5">
        <w:rPr>
          <w:spacing w:val="-3"/>
          <w:sz w:val="24"/>
          <w:szCs w:val="24"/>
        </w:rPr>
        <w:t>pimobendan</w:t>
      </w:r>
      <w:proofErr w:type="spellEnd"/>
      <w:r w:rsidR="00B41701" w:rsidRPr="008802A5">
        <w:rPr>
          <w:spacing w:val="-3"/>
          <w:sz w:val="24"/>
          <w:szCs w:val="24"/>
        </w:rPr>
        <w:t xml:space="preserve">. Den </w:t>
      </w:r>
      <w:proofErr w:type="spellStart"/>
      <w:r w:rsidR="00B41701" w:rsidRPr="008802A5">
        <w:rPr>
          <w:spacing w:val="-3"/>
          <w:sz w:val="24"/>
          <w:szCs w:val="24"/>
        </w:rPr>
        <w:t>pimobendan</w:t>
      </w:r>
      <w:proofErr w:type="spellEnd"/>
      <w:r w:rsidR="00B41701" w:rsidRPr="008802A5">
        <w:rPr>
          <w:spacing w:val="-3"/>
          <w:sz w:val="24"/>
          <w:szCs w:val="24"/>
        </w:rPr>
        <w:t xml:space="preserve">-inducerede forbedring af hjertets kontraktionsevne svækkes ved brug af calcium antagonisten </w:t>
      </w:r>
      <w:proofErr w:type="spellStart"/>
      <w:r w:rsidR="00B41701" w:rsidRPr="008802A5">
        <w:rPr>
          <w:spacing w:val="-3"/>
          <w:sz w:val="24"/>
          <w:szCs w:val="24"/>
        </w:rPr>
        <w:t>verapamil</w:t>
      </w:r>
      <w:proofErr w:type="spellEnd"/>
      <w:r w:rsidR="00B41701" w:rsidRPr="008802A5">
        <w:rPr>
          <w:spacing w:val="-3"/>
          <w:sz w:val="24"/>
          <w:szCs w:val="24"/>
        </w:rPr>
        <w:t xml:space="preserve"> og af beta-antagonisten </w:t>
      </w:r>
      <w:proofErr w:type="spellStart"/>
      <w:r w:rsidR="00B41701" w:rsidRPr="008802A5">
        <w:rPr>
          <w:spacing w:val="-3"/>
          <w:sz w:val="24"/>
          <w:szCs w:val="24"/>
        </w:rPr>
        <w:t>propranolol</w:t>
      </w:r>
      <w:proofErr w:type="spellEnd"/>
      <w:r w:rsidR="00B41701" w:rsidRPr="008802A5">
        <w:rPr>
          <w:spacing w:val="-3"/>
          <w:sz w:val="24"/>
          <w:szCs w:val="24"/>
        </w:rPr>
        <w:t>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4.9</w:t>
      </w:r>
      <w:r w:rsidRPr="008802A5">
        <w:rPr>
          <w:b/>
          <w:sz w:val="24"/>
          <w:szCs w:val="24"/>
        </w:rPr>
        <w:tab/>
        <w:t>Dosering og indgivelsesmåde</w:t>
      </w:r>
    </w:p>
    <w:p w:rsidR="00B41701" w:rsidRPr="008802A5" w:rsidRDefault="00DF32BE" w:rsidP="008802A5">
      <w:pPr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</w:p>
    <w:p w:rsidR="00B41701" w:rsidRPr="008802A5" w:rsidRDefault="00B41701" w:rsidP="0073171E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Den anbefalede dosis bør ikke overskrides.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73171E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Dyrets kropsvægt skal måles nøjagtigt inden behandlingen påbegyndes, for at sikre en korrekt dosering.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526909" w:rsidRDefault="00B41701" w:rsidP="00526909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 xml:space="preserve">Tabletterne indgives oralt med en dosis på mellem 0,2 og 0,6 mg/kg kropsvægt dagligt. </w:t>
      </w:r>
      <w:r w:rsidR="00526909">
        <w:rPr>
          <w:sz w:val="24"/>
          <w:szCs w:val="24"/>
        </w:rPr>
        <w:t xml:space="preserve">Den anbefalede, daglige dosis er 0,5 mg </w:t>
      </w:r>
      <w:proofErr w:type="spellStart"/>
      <w:r w:rsidR="00526909">
        <w:rPr>
          <w:sz w:val="24"/>
          <w:szCs w:val="24"/>
        </w:rPr>
        <w:t>pimobendan</w:t>
      </w:r>
      <w:proofErr w:type="spellEnd"/>
      <w:r w:rsidR="00526909">
        <w:rPr>
          <w:sz w:val="24"/>
          <w:szCs w:val="24"/>
        </w:rPr>
        <w:t>/kg kropsvægt.</w:t>
      </w:r>
    </w:p>
    <w:p w:rsidR="00B41701" w:rsidRPr="008802A5" w:rsidRDefault="00B41701" w:rsidP="0073171E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Indgivelsen fordeles på to daglige doseringer hver på 0,25 mg/kg kropsvægt – fordelt med en dosering om morgenen og den anden cirka 12 timer senere. Vedligeholdelsesdoseringen fastlægges individuelt af den ansvarlige dyrlæge, afhængig af lidelsens sværhedsgrad.</w:t>
      </w:r>
    </w:p>
    <w:p w:rsidR="00B41701" w:rsidRPr="008802A5" w:rsidRDefault="00B41701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526909" w:rsidRDefault="00526909" w:rsidP="00526909">
      <w:pPr>
        <w:tabs>
          <w:tab w:val="left" w:pos="851"/>
          <w:tab w:val="left" w:pos="8222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1,25 mg tabletter:</w:t>
      </w:r>
    </w:p>
    <w:p w:rsidR="00526909" w:rsidRDefault="00526909" w:rsidP="0052690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Behandlingen kan eventuelt kombineres med en vanddrivende behandling med f.eks. </w:t>
      </w:r>
      <w:proofErr w:type="spellStart"/>
      <w:r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>.</w:t>
      </w: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379730</wp:posOffset>
            </wp:positionV>
            <wp:extent cx="1463675" cy="902970"/>
            <wp:effectExtent l="0" t="0" r="3175" b="0"/>
            <wp:wrapSquare wrapText="bothSides"/>
            <wp:docPr id="3" name="Billede 3" descr="TekTable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TekTable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Tabletten deles ved at placere denne på en jævn overflade med delekærven opad. Hold på den ene halvdel og tryk den anden nedad.</w:t>
      </w: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  <w:r>
        <w:rPr>
          <w:sz w:val="24"/>
          <w:szCs w:val="24"/>
        </w:rPr>
        <w:t>Produktet skal indgives cirka en time før fodring.</w:t>
      </w: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2,5 mg, 5 mg, 10 mg tabletter:</w:t>
      </w: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Behandlingen kan eventuelt kombineres med en vanddrivende behandling med f.eks. </w:t>
      </w:r>
      <w:proofErr w:type="spellStart"/>
      <w:r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>.</w:t>
      </w: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  <w:r>
        <w:rPr>
          <w:sz w:val="24"/>
          <w:szCs w:val="24"/>
        </w:rPr>
        <w:t>En tablet med krydset, dobbelt delekærv deles i kvarte ved at lægge denne på en jævn overflade med delkærvssiden opad. Tryk på tablettens midte med tommelfingeren.</w:t>
      </w:r>
    </w:p>
    <w:p w:rsidR="00526909" w:rsidRDefault="00526909" w:rsidP="00526909">
      <w:pPr>
        <w:ind w:left="851" w:hanging="851"/>
        <w:rPr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95250</wp:posOffset>
            </wp:positionV>
            <wp:extent cx="1096010" cy="1098550"/>
            <wp:effectExtent l="0" t="0" r="8890" b="635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 w:hanging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</w:p>
    <w:p w:rsidR="00526909" w:rsidRDefault="00526909" w:rsidP="00526909">
      <w:pPr>
        <w:ind w:left="851"/>
        <w:rPr>
          <w:sz w:val="24"/>
          <w:szCs w:val="24"/>
        </w:rPr>
      </w:pPr>
      <w:r>
        <w:rPr>
          <w:sz w:val="24"/>
          <w:szCs w:val="24"/>
        </w:rPr>
        <w:t>Produktet skal indgives cirka en time før fodring.</w:t>
      </w:r>
    </w:p>
    <w:p w:rsidR="00526909" w:rsidRDefault="00526909" w:rsidP="0052690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4779A" w:rsidRPr="008802A5" w:rsidRDefault="00D4779A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4.10</w:t>
      </w:r>
      <w:r w:rsidRPr="008802A5">
        <w:rPr>
          <w:b/>
          <w:sz w:val="24"/>
          <w:szCs w:val="24"/>
        </w:rPr>
        <w:tab/>
        <w:t>Overdosering</w:t>
      </w:r>
    </w:p>
    <w:p w:rsidR="00B41701" w:rsidRDefault="00DF32BE" w:rsidP="008802A5">
      <w:pPr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 xml:space="preserve">I tilfælde af overdosering kan der forekomme en positiv </w:t>
      </w:r>
      <w:proofErr w:type="spellStart"/>
      <w:r w:rsidR="00B41701" w:rsidRPr="008802A5">
        <w:rPr>
          <w:sz w:val="24"/>
          <w:szCs w:val="24"/>
        </w:rPr>
        <w:t>kronotropisk</w:t>
      </w:r>
      <w:proofErr w:type="spellEnd"/>
      <w:r w:rsidR="00B41701" w:rsidRPr="008802A5">
        <w:rPr>
          <w:sz w:val="24"/>
          <w:szCs w:val="24"/>
        </w:rPr>
        <w:t xml:space="preserve"> effekt samt opkastning. Hvis dette er tilfældet, skal dosis reduceres og passende symptomatisk behandling påbegyndes.</w:t>
      </w:r>
    </w:p>
    <w:p w:rsidR="00526909" w:rsidRPr="008802A5" w:rsidRDefault="00526909" w:rsidP="0052690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længerevarende eksponering (6 måneder) af sunde beagle hunde på 3 og 5 gange den anbefalede dosis blev </w:t>
      </w:r>
      <w:proofErr w:type="spellStart"/>
      <w:r>
        <w:rPr>
          <w:sz w:val="24"/>
          <w:szCs w:val="24"/>
        </w:rPr>
        <w:t>mitralklap</w:t>
      </w:r>
      <w:proofErr w:type="spellEnd"/>
      <w:r>
        <w:rPr>
          <w:sz w:val="24"/>
          <w:szCs w:val="24"/>
        </w:rPr>
        <w:t xml:space="preserve">-fortykkelse og </w:t>
      </w:r>
      <w:proofErr w:type="spellStart"/>
      <w:r>
        <w:rPr>
          <w:sz w:val="24"/>
          <w:szCs w:val="24"/>
        </w:rPr>
        <w:t>hypertrofi</w:t>
      </w:r>
      <w:proofErr w:type="spellEnd"/>
      <w:r>
        <w:rPr>
          <w:sz w:val="24"/>
          <w:szCs w:val="24"/>
        </w:rPr>
        <w:t xml:space="preserve"> af venstre ventrikel observeret hos nogle hunde.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4.11</w:t>
      </w:r>
      <w:r w:rsidRPr="008802A5">
        <w:rPr>
          <w:b/>
          <w:sz w:val="24"/>
          <w:szCs w:val="24"/>
        </w:rPr>
        <w:tab/>
        <w:t>Tilbageholdelsestid</w:t>
      </w:r>
    </w:p>
    <w:p w:rsidR="00B41701" w:rsidRPr="008802A5" w:rsidRDefault="00DF32BE" w:rsidP="008802A5">
      <w:pPr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>Ikke relevant.</w:t>
      </w:r>
    </w:p>
    <w:p w:rsidR="00DF32BE" w:rsidRPr="008802A5" w:rsidRDefault="00DF32BE" w:rsidP="008802A5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D4779A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D4779A">
        <w:rPr>
          <w:b/>
          <w:sz w:val="24"/>
          <w:szCs w:val="24"/>
        </w:rPr>
        <w:t>FARMAKOLOGI</w:t>
      </w:r>
      <w:r w:rsidR="001577E4" w:rsidRPr="00D4779A">
        <w:rPr>
          <w:b/>
          <w:sz w:val="24"/>
          <w:szCs w:val="24"/>
        </w:rPr>
        <w:t>SKE EGENSKABER</w:t>
      </w:r>
    </w:p>
    <w:p w:rsidR="00B41701" w:rsidRPr="008802A5" w:rsidRDefault="00B41701" w:rsidP="008802A5">
      <w:pPr>
        <w:tabs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8802A5">
        <w:rPr>
          <w:sz w:val="24"/>
          <w:szCs w:val="24"/>
        </w:rPr>
        <w:tab/>
      </w:r>
      <w:proofErr w:type="spellStart"/>
      <w:r w:rsidRPr="008802A5">
        <w:rPr>
          <w:spacing w:val="-3"/>
          <w:sz w:val="24"/>
          <w:szCs w:val="24"/>
        </w:rPr>
        <w:t>Farmakoterapeutisk</w:t>
      </w:r>
      <w:proofErr w:type="spellEnd"/>
      <w:r w:rsidRPr="008802A5">
        <w:rPr>
          <w:spacing w:val="-3"/>
          <w:sz w:val="24"/>
          <w:szCs w:val="24"/>
        </w:rPr>
        <w:t xml:space="preserve"> gruppe: Hjertestimulerende (</w:t>
      </w:r>
      <w:proofErr w:type="spellStart"/>
      <w:r w:rsidR="00D4779A">
        <w:rPr>
          <w:spacing w:val="-3"/>
          <w:sz w:val="24"/>
          <w:szCs w:val="24"/>
        </w:rPr>
        <w:t>ph</w:t>
      </w:r>
      <w:r w:rsidRPr="008802A5">
        <w:rPr>
          <w:spacing w:val="-3"/>
          <w:sz w:val="24"/>
          <w:szCs w:val="24"/>
        </w:rPr>
        <w:t>os</w:t>
      </w:r>
      <w:r w:rsidR="00D4779A">
        <w:rPr>
          <w:spacing w:val="-3"/>
          <w:sz w:val="24"/>
          <w:szCs w:val="24"/>
        </w:rPr>
        <w:t>ph</w:t>
      </w:r>
      <w:r w:rsidRPr="008802A5">
        <w:rPr>
          <w:spacing w:val="-3"/>
          <w:sz w:val="24"/>
          <w:szCs w:val="24"/>
        </w:rPr>
        <w:t>odiesterase</w:t>
      </w:r>
      <w:proofErr w:type="spellEnd"/>
      <w:r w:rsidR="00D4779A">
        <w:rPr>
          <w:spacing w:val="-3"/>
          <w:sz w:val="24"/>
          <w:szCs w:val="24"/>
        </w:rPr>
        <w:t>-inhibitorer</w:t>
      </w:r>
      <w:r w:rsidRPr="008802A5">
        <w:rPr>
          <w:spacing w:val="-3"/>
          <w:sz w:val="24"/>
          <w:szCs w:val="24"/>
        </w:rPr>
        <w:t xml:space="preserve">). </w:t>
      </w:r>
    </w:p>
    <w:p w:rsidR="00B41701" w:rsidRPr="008802A5" w:rsidRDefault="00D4779A" w:rsidP="008802A5">
      <w:pPr>
        <w:tabs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="00B41701" w:rsidRPr="008802A5">
        <w:rPr>
          <w:spacing w:val="-3"/>
          <w:sz w:val="24"/>
          <w:szCs w:val="24"/>
        </w:rPr>
        <w:t>ATCvet</w:t>
      </w:r>
      <w:proofErr w:type="spellEnd"/>
      <w:r w:rsidR="00B41701" w:rsidRPr="008802A5">
        <w:rPr>
          <w:spacing w:val="-3"/>
          <w:sz w:val="24"/>
          <w:szCs w:val="24"/>
        </w:rPr>
        <w:t>-kode: QC 01 CE 90</w:t>
      </w:r>
    </w:p>
    <w:p w:rsidR="00DF32BE" w:rsidRPr="008802A5" w:rsidRDefault="00DF32BE" w:rsidP="008802A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D4779A">
        <w:rPr>
          <w:b/>
          <w:sz w:val="24"/>
          <w:szCs w:val="24"/>
        </w:rPr>
        <w:t>5.1</w:t>
      </w:r>
      <w:r w:rsidRPr="00D4779A">
        <w:rPr>
          <w:b/>
          <w:sz w:val="24"/>
          <w:szCs w:val="24"/>
        </w:rPr>
        <w:tab/>
      </w:r>
      <w:proofErr w:type="spellStart"/>
      <w:r w:rsidRPr="00D4779A">
        <w:rPr>
          <w:b/>
          <w:sz w:val="24"/>
          <w:szCs w:val="24"/>
        </w:rPr>
        <w:t>Farmakodynamiske</w:t>
      </w:r>
      <w:proofErr w:type="spellEnd"/>
      <w:r w:rsidR="001577E4" w:rsidRPr="00D4779A">
        <w:rPr>
          <w:b/>
          <w:sz w:val="24"/>
          <w:szCs w:val="24"/>
        </w:rPr>
        <w:t xml:space="preserve"> </w:t>
      </w:r>
      <w:r w:rsidRPr="00D4779A">
        <w:rPr>
          <w:b/>
          <w:sz w:val="24"/>
          <w:szCs w:val="24"/>
        </w:rPr>
        <w:t>egenskaber</w:t>
      </w:r>
    </w:p>
    <w:p w:rsidR="00B41701" w:rsidRPr="008802A5" w:rsidRDefault="00DF32BE" w:rsidP="00A50844">
      <w:pPr>
        <w:ind w:left="851" w:hanging="851"/>
        <w:rPr>
          <w:spacing w:val="-3"/>
          <w:sz w:val="24"/>
          <w:szCs w:val="24"/>
        </w:rPr>
      </w:pPr>
      <w:r w:rsidRPr="008802A5">
        <w:rPr>
          <w:sz w:val="24"/>
          <w:szCs w:val="24"/>
        </w:rPr>
        <w:tab/>
      </w:r>
      <w:proofErr w:type="spellStart"/>
      <w:r w:rsidR="00B41701" w:rsidRPr="008802A5">
        <w:rPr>
          <w:spacing w:val="-3"/>
          <w:sz w:val="24"/>
          <w:szCs w:val="24"/>
        </w:rPr>
        <w:t>Pimobendan</w:t>
      </w:r>
      <w:proofErr w:type="spellEnd"/>
      <w:r w:rsidR="00B41701" w:rsidRPr="008802A5">
        <w:rPr>
          <w:spacing w:val="-3"/>
          <w:sz w:val="24"/>
          <w:szCs w:val="24"/>
        </w:rPr>
        <w:t xml:space="preserve"> - et </w:t>
      </w:r>
      <w:proofErr w:type="spellStart"/>
      <w:r w:rsidR="00B41701" w:rsidRPr="008802A5">
        <w:rPr>
          <w:spacing w:val="-3"/>
          <w:sz w:val="24"/>
          <w:szCs w:val="24"/>
        </w:rPr>
        <w:t>benzimidazol-pyridazinon</w:t>
      </w:r>
      <w:proofErr w:type="spellEnd"/>
      <w:r w:rsidR="00B41701" w:rsidRPr="008802A5">
        <w:rPr>
          <w:spacing w:val="-3"/>
          <w:sz w:val="24"/>
          <w:szCs w:val="24"/>
        </w:rPr>
        <w:t xml:space="preserve"> derivat - er en </w:t>
      </w:r>
      <w:proofErr w:type="spellStart"/>
      <w:r w:rsidR="00B41701" w:rsidRPr="008802A5">
        <w:rPr>
          <w:spacing w:val="-3"/>
          <w:sz w:val="24"/>
          <w:szCs w:val="24"/>
        </w:rPr>
        <w:t>nonsympatomimetisk</w:t>
      </w:r>
      <w:proofErr w:type="spellEnd"/>
      <w:r w:rsidR="00B41701" w:rsidRPr="008802A5">
        <w:rPr>
          <w:spacing w:val="-3"/>
          <w:sz w:val="24"/>
          <w:szCs w:val="24"/>
        </w:rPr>
        <w:t>, non-</w:t>
      </w:r>
      <w:proofErr w:type="spellStart"/>
      <w:r w:rsidR="00B41701" w:rsidRPr="008802A5">
        <w:rPr>
          <w:spacing w:val="-3"/>
          <w:sz w:val="24"/>
          <w:szCs w:val="24"/>
        </w:rPr>
        <w:t>glycosid</w:t>
      </w:r>
      <w:proofErr w:type="spellEnd"/>
      <w:r w:rsidR="00B41701" w:rsidRPr="008802A5">
        <w:rPr>
          <w:spacing w:val="-3"/>
          <w:sz w:val="24"/>
          <w:szCs w:val="24"/>
        </w:rPr>
        <w:t xml:space="preserve"> inotrop substans med potente </w:t>
      </w:r>
      <w:proofErr w:type="spellStart"/>
      <w:r w:rsidR="00B41701" w:rsidRPr="008802A5">
        <w:rPr>
          <w:spacing w:val="-3"/>
          <w:sz w:val="24"/>
          <w:szCs w:val="24"/>
        </w:rPr>
        <w:t>vasodilaterende</w:t>
      </w:r>
      <w:proofErr w:type="spellEnd"/>
      <w:r w:rsidR="00B41701" w:rsidRPr="008802A5">
        <w:rPr>
          <w:spacing w:val="-3"/>
          <w:sz w:val="24"/>
          <w:szCs w:val="24"/>
        </w:rPr>
        <w:t xml:space="preserve"> egenskaber.</w:t>
      </w:r>
    </w:p>
    <w:p w:rsidR="00B41701" w:rsidRPr="008802A5" w:rsidRDefault="00B41701" w:rsidP="00A50844">
      <w:pPr>
        <w:ind w:left="851" w:hanging="851"/>
        <w:rPr>
          <w:b/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rPr>
          <w:spacing w:val="-3"/>
          <w:sz w:val="24"/>
          <w:szCs w:val="24"/>
        </w:rPr>
      </w:pPr>
      <w:r w:rsidRPr="008802A5">
        <w:rPr>
          <w:spacing w:val="-3"/>
          <w:sz w:val="24"/>
          <w:szCs w:val="24"/>
          <w:lang w:val="nb-NO"/>
        </w:rPr>
        <w:t xml:space="preserve">Pimobendan virker stimulerende på myokardiet. </w:t>
      </w:r>
      <w:r w:rsidRPr="008802A5">
        <w:rPr>
          <w:spacing w:val="-3"/>
          <w:sz w:val="24"/>
          <w:szCs w:val="24"/>
        </w:rPr>
        <w:t xml:space="preserve">Stimulationen foregår dels ved den øgning af </w:t>
      </w:r>
      <w:proofErr w:type="spellStart"/>
      <w:r w:rsidRPr="008802A5">
        <w:rPr>
          <w:spacing w:val="-3"/>
          <w:sz w:val="24"/>
          <w:szCs w:val="24"/>
        </w:rPr>
        <w:t>myokardiets</w:t>
      </w:r>
      <w:proofErr w:type="spellEnd"/>
      <w:r w:rsidRPr="008802A5">
        <w:rPr>
          <w:spacing w:val="-3"/>
          <w:sz w:val="24"/>
          <w:szCs w:val="24"/>
        </w:rPr>
        <w:t xml:space="preserve"> kalciumfølsomhed og dels ved en hæmning af </w:t>
      </w:r>
      <w:proofErr w:type="spellStart"/>
      <w:r w:rsidRPr="008802A5">
        <w:rPr>
          <w:spacing w:val="-3"/>
          <w:sz w:val="24"/>
          <w:szCs w:val="24"/>
        </w:rPr>
        <w:t>phosphodiesteraseaktiviteten</w:t>
      </w:r>
      <w:proofErr w:type="spellEnd"/>
      <w:r w:rsidRPr="008802A5">
        <w:rPr>
          <w:spacing w:val="-3"/>
          <w:sz w:val="24"/>
          <w:szCs w:val="24"/>
        </w:rPr>
        <w:t xml:space="preserve"> (type III), hvilket medfører en </w:t>
      </w:r>
      <w:proofErr w:type="spellStart"/>
      <w:r w:rsidRPr="008802A5">
        <w:rPr>
          <w:spacing w:val="-3"/>
          <w:sz w:val="24"/>
          <w:szCs w:val="24"/>
        </w:rPr>
        <w:t>vasodilaterende</w:t>
      </w:r>
      <w:proofErr w:type="spellEnd"/>
      <w:r w:rsidRPr="008802A5">
        <w:rPr>
          <w:spacing w:val="-3"/>
          <w:sz w:val="24"/>
          <w:szCs w:val="24"/>
        </w:rPr>
        <w:t xml:space="preserve"> effekt.</w:t>
      </w:r>
    </w:p>
    <w:p w:rsidR="00B41701" w:rsidRPr="008802A5" w:rsidRDefault="00B41701" w:rsidP="00A50844">
      <w:pPr>
        <w:ind w:left="851" w:hanging="851"/>
        <w:rPr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rPr>
          <w:spacing w:val="-3"/>
          <w:sz w:val="24"/>
          <w:szCs w:val="24"/>
        </w:rPr>
      </w:pPr>
      <w:r w:rsidRPr="008802A5">
        <w:rPr>
          <w:spacing w:val="-3"/>
          <w:sz w:val="24"/>
          <w:szCs w:val="24"/>
        </w:rPr>
        <w:t xml:space="preserve">Ved anvendelse i forbindelse med </w:t>
      </w:r>
      <w:proofErr w:type="spellStart"/>
      <w:r w:rsidRPr="008802A5">
        <w:rPr>
          <w:spacing w:val="-3"/>
          <w:sz w:val="24"/>
          <w:szCs w:val="24"/>
        </w:rPr>
        <w:t>valvulær</w:t>
      </w:r>
      <w:proofErr w:type="spellEnd"/>
      <w:r w:rsidRPr="008802A5">
        <w:rPr>
          <w:spacing w:val="-3"/>
          <w:sz w:val="24"/>
          <w:szCs w:val="24"/>
        </w:rPr>
        <w:t xml:space="preserve"> insufficiens sammen med </w:t>
      </w:r>
      <w:proofErr w:type="spellStart"/>
      <w:r w:rsidRPr="008802A5">
        <w:rPr>
          <w:spacing w:val="-3"/>
          <w:sz w:val="24"/>
          <w:szCs w:val="24"/>
        </w:rPr>
        <w:t>furosemid</w:t>
      </w:r>
      <w:proofErr w:type="spellEnd"/>
      <w:r w:rsidRPr="008802A5">
        <w:rPr>
          <w:spacing w:val="-3"/>
          <w:sz w:val="24"/>
          <w:szCs w:val="24"/>
        </w:rPr>
        <w:t>, har pr</w:t>
      </w:r>
      <w:r w:rsidR="00A50844">
        <w:rPr>
          <w:spacing w:val="-3"/>
          <w:sz w:val="24"/>
          <w:szCs w:val="24"/>
        </w:rPr>
        <w:t>æparatet</w:t>
      </w:r>
      <w:r w:rsidRPr="008802A5">
        <w:rPr>
          <w:spacing w:val="-3"/>
          <w:sz w:val="24"/>
          <w:szCs w:val="24"/>
        </w:rPr>
        <w:t xml:space="preserve"> vist sig at øge livskvaliteten og forlænge den forventede levealder hos behandlede hunde.</w:t>
      </w:r>
    </w:p>
    <w:p w:rsidR="00B41701" w:rsidRPr="008802A5" w:rsidRDefault="00B41701" w:rsidP="00A50844">
      <w:pPr>
        <w:ind w:left="851" w:hanging="851"/>
        <w:rPr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jc w:val="both"/>
        <w:rPr>
          <w:spacing w:val="-3"/>
          <w:sz w:val="24"/>
          <w:szCs w:val="24"/>
        </w:rPr>
      </w:pPr>
      <w:r w:rsidRPr="008802A5">
        <w:rPr>
          <w:spacing w:val="-3"/>
          <w:sz w:val="24"/>
          <w:szCs w:val="24"/>
        </w:rPr>
        <w:t xml:space="preserve">Ved anvendelse i forbindelse med udvidet </w:t>
      </w:r>
      <w:proofErr w:type="spellStart"/>
      <w:r w:rsidRPr="008802A5">
        <w:rPr>
          <w:rStyle w:val="example"/>
          <w:sz w:val="24"/>
          <w:szCs w:val="24"/>
        </w:rPr>
        <w:t>kardiomyopati</w:t>
      </w:r>
      <w:proofErr w:type="spellEnd"/>
      <w:r w:rsidRPr="008802A5">
        <w:rPr>
          <w:rStyle w:val="example"/>
          <w:sz w:val="24"/>
          <w:szCs w:val="24"/>
        </w:rPr>
        <w:t xml:space="preserve"> sammen med </w:t>
      </w:r>
      <w:proofErr w:type="spellStart"/>
      <w:r w:rsidRPr="008802A5">
        <w:rPr>
          <w:rStyle w:val="example"/>
          <w:sz w:val="24"/>
          <w:szCs w:val="24"/>
        </w:rPr>
        <w:t>furosemid</w:t>
      </w:r>
      <w:proofErr w:type="spellEnd"/>
      <w:r w:rsidRPr="008802A5">
        <w:rPr>
          <w:rStyle w:val="example"/>
          <w:sz w:val="24"/>
          <w:szCs w:val="24"/>
        </w:rPr>
        <w:t xml:space="preserve">, </w:t>
      </w:r>
      <w:proofErr w:type="spellStart"/>
      <w:r w:rsidRPr="008802A5">
        <w:rPr>
          <w:rStyle w:val="example"/>
          <w:sz w:val="24"/>
          <w:szCs w:val="24"/>
        </w:rPr>
        <w:t>enalapril</w:t>
      </w:r>
      <w:proofErr w:type="spellEnd"/>
      <w:r w:rsidRPr="008802A5">
        <w:rPr>
          <w:rStyle w:val="example"/>
          <w:sz w:val="24"/>
          <w:szCs w:val="24"/>
        </w:rPr>
        <w:t xml:space="preserve"> og </w:t>
      </w:r>
      <w:proofErr w:type="spellStart"/>
      <w:r w:rsidRPr="008802A5">
        <w:rPr>
          <w:rStyle w:val="example"/>
          <w:sz w:val="24"/>
          <w:szCs w:val="24"/>
        </w:rPr>
        <w:t>digoxin</w:t>
      </w:r>
      <w:proofErr w:type="spellEnd"/>
      <w:r w:rsidRPr="008802A5">
        <w:rPr>
          <w:rStyle w:val="example"/>
          <w:sz w:val="24"/>
          <w:szCs w:val="24"/>
        </w:rPr>
        <w:t xml:space="preserve"> er der i et begrænset antal tilfælde set en øget livskvalitet og en forlængelse af den</w:t>
      </w:r>
      <w:r w:rsidRPr="008802A5">
        <w:rPr>
          <w:spacing w:val="-3"/>
          <w:sz w:val="24"/>
          <w:szCs w:val="24"/>
        </w:rPr>
        <w:t xml:space="preserve"> forventede levealder hos behandlede hunde.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50844">
        <w:rPr>
          <w:b/>
          <w:sz w:val="24"/>
          <w:szCs w:val="24"/>
        </w:rPr>
        <w:t>5.2</w:t>
      </w:r>
      <w:r w:rsidRPr="00A50844">
        <w:rPr>
          <w:b/>
          <w:sz w:val="24"/>
          <w:szCs w:val="24"/>
        </w:rPr>
        <w:tab/>
      </w:r>
      <w:proofErr w:type="spellStart"/>
      <w:r w:rsidRPr="00A50844">
        <w:rPr>
          <w:b/>
          <w:sz w:val="24"/>
          <w:szCs w:val="24"/>
        </w:rPr>
        <w:t>Farmakokinetiske</w:t>
      </w:r>
      <w:proofErr w:type="spellEnd"/>
      <w:r w:rsidRPr="00A50844">
        <w:rPr>
          <w:b/>
          <w:sz w:val="24"/>
          <w:szCs w:val="24"/>
        </w:rPr>
        <w:t xml:space="preserve"> egenskaber</w:t>
      </w:r>
    </w:p>
    <w:p w:rsidR="00A50844" w:rsidRDefault="00A50844" w:rsidP="008802A5">
      <w:pPr>
        <w:ind w:left="851" w:hanging="851"/>
        <w:jc w:val="both"/>
        <w:rPr>
          <w:i/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jc w:val="both"/>
        <w:rPr>
          <w:i/>
          <w:spacing w:val="-3"/>
          <w:sz w:val="24"/>
          <w:szCs w:val="24"/>
        </w:rPr>
      </w:pPr>
      <w:r w:rsidRPr="008802A5">
        <w:rPr>
          <w:i/>
          <w:spacing w:val="-3"/>
          <w:sz w:val="24"/>
          <w:szCs w:val="24"/>
        </w:rPr>
        <w:t>Absorption:</w:t>
      </w:r>
    </w:p>
    <w:p w:rsidR="00B41701" w:rsidRPr="008802A5" w:rsidRDefault="00B41701" w:rsidP="00A50844">
      <w:pPr>
        <w:ind w:left="851"/>
        <w:jc w:val="both"/>
        <w:rPr>
          <w:spacing w:val="-3"/>
          <w:sz w:val="24"/>
          <w:szCs w:val="24"/>
        </w:rPr>
      </w:pPr>
      <w:r w:rsidRPr="008802A5">
        <w:rPr>
          <w:spacing w:val="-3"/>
          <w:sz w:val="24"/>
          <w:szCs w:val="24"/>
        </w:rPr>
        <w:t xml:space="preserve">Efter oral indgift af veterinærlægemidlet er den absolutte biotilgængelighed af stoffet ca. 60-63%. Biotilgængeligheden reduceres væsentligt, hvis </w:t>
      </w:r>
      <w:proofErr w:type="spellStart"/>
      <w:r w:rsidRPr="008802A5">
        <w:rPr>
          <w:spacing w:val="-3"/>
          <w:sz w:val="24"/>
          <w:szCs w:val="24"/>
        </w:rPr>
        <w:t>pimobendan</w:t>
      </w:r>
      <w:proofErr w:type="spellEnd"/>
      <w:r w:rsidRPr="008802A5">
        <w:rPr>
          <w:spacing w:val="-3"/>
          <w:sz w:val="24"/>
          <w:szCs w:val="24"/>
        </w:rPr>
        <w:t xml:space="preserve"> gives samtidig med eller kort tid efter fødeindtagelse, hvorfor det anbefales, at kapslerne gives ca. 1 time før fodring.</w:t>
      </w:r>
    </w:p>
    <w:p w:rsidR="00B41701" w:rsidRPr="008802A5" w:rsidRDefault="00B41701" w:rsidP="008802A5">
      <w:pPr>
        <w:ind w:left="851" w:hanging="851"/>
        <w:jc w:val="both"/>
        <w:rPr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jc w:val="both"/>
        <w:rPr>
          <w:i/>
          <w:spacing w:val="-3"/>
          <w:sz w:val="24"/>
          <w:szCs w:val="24"/>
        </w:rPr>
      </w:pPr>
      <w:r w:rsidRPr="008802A5">
        <w:rPr>
          <w:i/>
          <w:spacing w:val="-3"/>
          <w:sz w:val="24"/>
          <w:szCs w:val="24"/>
        </w:rPr>
        <w:t>Distribution:</w:t>
      </w:r>
    </w:p>
    <w:p w:rsidR="00B41701" w:rsidRPr="008802A5" w:rsidRDefault="00B41701" w:rsidP="00A50844">
      <w:pPr>
        <w:ind w:left="851"/>
        <w:jc w:val="both"/>
        <w:rPr>
          <w:spacing w:val="-3"/>
          <w:sz w:val="24"/>
          <w:szCs w:val="24"/>
        </w:rPr>
      </w:pPr>
      <w:proofErr w:type="spellStart"/>
      <w:r w:rsidRPr="008802A5">
        <w:rPr>
          <w:spacing w:val="-3"/>
          <w:sz w:val="24"/>
          <w:szCs w:val="24"/>
        </w:rPr>
        <w:t>Fordelingsvolumnet</w:t>
      </w:r>
      <w:proofErr w:type="spellEnd"/>
      <w:r w:rsidRPr="008802A5">
        <w:rPr>
          <w:spacing w:val="-3"/>
          <w:sz w:val="24"/>
          <w:szCs w:val="24"/>
        </w:rPr>
        <w:t xml:space="preserve"> er 2,6 1/kg, hvilket indikerer, at </w:t>
      </w:r>
      <w:proofErr w:type="spellStart"/>
      <w:r w:rsidRPr="008802A5">
        <w:rPr>
          <w:spacing w:val="-3"/>
          <w:sz w:val="24"/>
          <w:szCs w:val="24"/>
        </w:rPr>
        <w:t>pimobendan</w:t>
      </w:r>
      <w:proofErr w:type="spellEnd"/>
      <w:r w:rsidRPr="008802A5">
        <w:rPr>
          <w:spacing w:val="-3"/>
          <w:sz w:val="24"/>
          <w:szCs w:val="24"/>
        </w:rPr>
        <w:t xml:space="preserve"> let fordeles ud i vævet. Den gennemsnitlige plasmaproteinbinding er 93%</w:t>
      </w:r>
      <w:r w:rsidR="00A50844">
        <w:rPr>
          <w:spacing w:val="-3"/>
          <w:sz w:val="24"/>
          <w:szCs w:val="24"/>
        </w:rPr>
        <w:t>.</w:t>
      </w:r>
    </w:p>
    <w:p w:rsidR="00B41701" w:rsidRPr="008802A5" w:rsidRDefault="00B41701" w:rsidP="008802A5">
      <w:pPr>
        <w:ind w:left="851" w:hanging="851"/>
        <w:jc w:val="both"/>
        <w:rPr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jc w:val="both"/>
        <w:rPr>
          <w:i/>
          <w:spacing w:val="-3"/>
          <w:sz w:val="24"/>
          <w:szCs w:val="24"/>
        </w:rPr>
      </w:pPr>
      <w:r w:rsidRPr="008802A5">
        <w:rPr>
          <w:i/>
          <w:spacing w:val="-3"/>
          <w:sz w:val="24"/>
          <w:szCs w:val="24"/>
        </w:rPr>
        <w:t>Metabolisme:</w:t>
      </w:r>
    </w:p>
    <w:p w:rsidR="00B41701" w:rsidRPr="008802A5" w:rsidRDefault="00B41701" w:rsidP="00A50844">
      <w:pPr>
        <w:ind w:left="851"/>
        <w:jc w:val="both"/>
        <w:rPr>
          <w:spacing w:val="-3"/>
          <w:sz w:val="24"/>
          <w:szCs w:val="24"/>
        </w:rPr>
      </w:pPr>
      <w:r w:rsidRPr="008802A5">
        <w:rPr>
          <w:spacing w:val="-3"/>
          <w:sz w:val="24"/>
          <w:szCs w:val="24"/>
        </w:rPr>
        <w:t xml:space="preserve">Ved </w:t>
      </w:r>
      <w:proofErr w:type="spellStart"/>
      <w:r w:rsidRPr="008802A5">
        <w:rPr>
          <w:spacing w:val="-3"/>
          <w:sz w:val="24"/>
          <w:szCs w:val="24"/>
        </w:rPr>
        <w:t>oxidativ</w:t>
      </w:r>
      <w:proofErr w:type="spellEnd"/>
      <w:r w:rsidRPr="008802A5">
        <w:rPr>
          <w:spacing w:val="-3"/>
          <w:sz w:val="24"/>
          <w:szCs w:val="24"/>
        </w:rPr>
        <w:t xml:space="preserve"> </w:t>
      </w:r>
      <w:proofErr w:type="spellStart"/>
      <w:r w:rsidRPr="008802A5">
        <w:rPr>
          <w:spacing w:val="-3"/>
          <w:sz w:val="24"/>
          <w:szCs w:val="24"/>
        </w:rPr>
        <w:t>demethylering</w:t>
      </w:r>
      <w:proofErr w:type="spellEnd"/>
      <w:r w:rsidRPr="008802A5">
        <w:rPr>
          <w:spacing w:val="-3"/>
          <w:sz w:val="24"/>
          <w:szCs w:val="24"/>
        </w:rPr>
        <w:t xml:space="preserve"> dannes den aktive </w:t>
      </w:r>
      <w:proofErr w:type="spellStart"/>
      <w:r w:rsidRPr="008802A5">
        <w:rPr>
          <w:spacing w:val="-3"/>
          <w:sz w:val="24"/>
          <w:szCs w:val="24"/>
        </w:rPr>
        <w:t>hovedmetabolit</w:t>
      </w:r>
      <w:proofErr w:type="spellEnd"/>
      <w:r w:rsidRPr="008802A5">
        <w:rPr>
          <w:spacing w:val="-3"/>
          <w:sz w:val="24"/>
          <w:szCs w:val="24"/>
        </w:rPr>
        <w:t xml:space="preserve"> UD-CG 212. Andre </w:t>
      </w:r>
      <w:proofErr w:type="spellStart"/>
      <w:r w:rsidRPr="008802A5">
        <w:rPr>
          <w:spacing w:val="-3"/>
          <w:sz w:val="24"/>
          <w:szCs w:val="24"/>
        </w:rPr>
        <w:t>metabolitter</w:t>
      </w:r>
      <w:proofErr w:type="spellEnd"/>
      <w:r w:rsidRPr="008802A5">
        <w:rPr>
          <w:spacing w:val="-3"/>
          <w:sz w:val="24"/>
          <w:szCs w:val="24"/>
        </w:rPr>
        <w:t xml:space="preserve"> er fase-II </w:t>
      </w:r>
      <w:proofErr w:type="spellStart"/>
      <w:r w:rsidRPr="008802A5">
        <w:rPr>
          <w:spacing w:val="-3"/>
          <w:sz w:val="24"/>
          <w:szCs w:val="24"/>
        </w:rPr>
        <w:t>konjugater</w:t>
      </w:r>
      <w:proofErr w:type="spellEnd"/>
      <w:r w:rsidRPr="008802A5">
        <w:rPr>
          <w:spacing w:val="-3"/>
          <w:sz w:val="24"/>
          <w:szCs w:val="24"/>
        </w:rPr>
        <w:t xml:space="preserve"> af UD-CG 212, hovedsageligt </w:t>
      </w:r>
      <w:proofErr w:type="spellStart"/>
      <w:r w:rsidRPr="008802A5">
        <w:rPr>
          <w:spacing w:val="-3"/>
          <w:sz w:val="24"/>
          <w:szCs w:val="24"/>
        </w:rPr>
        <w:t>glucuronider</w:t>
      </w:r>
      <w:proofErr w:type="spellEnd"/>
      <w:r w:rsidRPr="008802A5">
        <w:rPr>
          <w:spacing w:val="-3"/>
          <w:sz w:val="24"/>
          <w:szCs w:val="24"/>
        </w:rPr>
        <w:t xml:space="preserve"> og sulfater.</w:t>
      </w:r>
    </w:p>
    <w:p w:rsidR="00B41701" w:rsidRPr="008802A5" w:rsidRDefault="00B41701" w:rsidP="008802A5">
      <w:pPr>
        <w:ind w:left="851" w:hanging="851"/>
        <w:jc w:val="both"/>
        <w:rPr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jc w:val="both"/>
        <w:rPr>
          <w:i/>
          <w:spacing w:val="-3"/>
          <w:sz w:val="24"/>
          <w:szCs w:val="24"/>
        </w:rPr>
      </w:pPr>
      <w:r w:rsidRPr="008802A5">
        <w:rPr>
          <w:i/>
          <w:spacing w:val="-3"/>
          <w:sz w:val="24"/>
          <w:szCs w:val="24"/>
        </w:rPr>
        <w:t>Elimination:</w:t>
      </w:r>
    </w:p>
    <w:p w:rsidR="00B41701" w:rsidRPr="008802A5" w:rsidRDefault="00B41701" w:rsidP="00A50844">
      <w:pPr>
        <w:ind w:left="851"/>
        <w:jc w:val="both"/>
        <w:rPr>
          <w:spacing w:val="-3"/>
          <w:sz w:val="24"/>
          <w:szCs w:val="24"/>
        </w:rPr>
      </w:pPr>
      <w:r w:rsidRPr="008802A5">
        <w:rPr>
          <w:spacing w:val="-3"/>
          <w:sz w:val="24"/>
          <w:szCs w:val="24"/>
        </w:rPr>
        <w:t xml:space="preserve">Plasmaeliminationshalveringstiden for </w:t>
      </w:r>
      <w:proofErr w:type="spellStart"/>
      <w:r w:rsidRPr="008802A5">
        <w:rPr>
          <w:spacing w:val="-3"/>
          <w:sz w:val="24"/>
          <w:szCs w:val="24"/>
        </w:rPr>
        <w:t>pimobendan</w:t>
      </w:r>
      <w:proofErr w:type="spellEnd"/>
      <w:r w:rsidRPr="008802A5">
        <w:rPr>
          <w:spacing w:val="-3"/>
          <w:sz w:val="24"/>
          <w:szCs w:val="24"/>
        </w:rPr>
        <w:t xml:space="preserve"> er 1,1 </w:t>
      </w:r>
      <w:r w:rsidRPr="008802A5">
        <w:rPr>
          <w:spacing w:val="-3"/>
          <w:sz w:val="24"/>
          <w:szCs w:val="24"/>
        </w:rPr>
        <w:sym w:font="Symbol" w:char="F0B1"/>
      </w:r>
      <w:r w:rsidRPr="008802A5">
        <w:rPr>
          <w:spacing w:val="-3"/>
          <w:sz w:val="24"/>
          <w:szCs w:val="24"/>
        </w:rPr>
        <w:t>0,7 time.</w:t>
      </w:r>
    </w:p>
    <w:p w:rsidR="00B41701" w:rsidRPr="008802A5" w:rsidRDefault="00B41701" w:rsidP="008802A5">
      <w:pPr>
        <w:ind w:left="851" w:hanging="851"/>
        <w:jc w:val="both"/>
        <w:rPr>
          <w:spacing w:val="-3"/>
          <w:sz w:val="24"/>
          <w:szCs w:val="24"/>
        </w:rPr>
      </w:pPr>
    </w:p>
    <w:p w:rsidR="00B41701" w:rsidRPr="008802A5" w:rsidRDefault="00B41701" w:rsidP="00A50844">
      <w:pPr>
        <w:ind w:left="851"/>
        <w:jc w:val="both"/>
        <w:rPr>
          <w:spacing w:val="-3"/>
          <w:sz w:val="24"/>
          <w:szCs w:val="24"/>
        </w:rPr>
      </w:pPr>
      <w:proofErr w:type="spellStart"/>
      <w:r w:rsidRPr="008802A5">
        <w:rPr>
          <w:spacing w:val="-3"/>
          <w:sz w:val="24"/>
          <w:szCs w:val="24"/>
        </w:rPr>
        <w:t>Hovedmetabolitten</w:t>
      </w:r>
      <w:proofErr w:type="spellEnd"/>
      <w:r w:rsidRPr="008802A5">
        <w:rPr>
          <w:spacing w:val="-3"/>
          <w:sz w:val="24"/>
          <w:szCs w:val="24"/>
        </w:rPr>
        <w:t xml:space="preserve"> Den aktive </w:t>
      </w:r>
      <w:proofErr w:type="spellStart"/>
      <w:r w:rsidRPr="008802A5">
        <w:rPr>
          <w:spacing w:val="-3"/>
          <w:sz w:val="24"/>
          <w:szCs w:val="24"/>
        </w:rPr>
        <w:t>metabolit</w:t>
      </w:r>
      <w:proofErr w:type="spellEnd"/>
      <w:r w:rsidRPr="008802A5">
        <w:rPr>
          <w:spacing w:val="-3"/>
          <w:sz w:val="24"/>
          <w:szCs w:val="24"/>
        </w:rPr>
        <w:t xml:space="preserve"> elimineres med en plasmahalveringstid på 1,5 </w:t>
      </w:r>
      <w:r w:rsidRPr="008802A5">
        <w:rPr>
          <w:spacing w:val="-3"/>
          <w:sz w:val="24"/>
          <w:szCs w:val="24"/>
        </w:rPr>
        <w:sym w:font="Symbol" w:char="F0B1"/>
      </w:r>
      <w:r w:rsidRPr="008802A5">
        <w:rPr>
          <w:spacing w:val="-3"/>
          <w:sz w:val="24"/>
          <w:szCs w:val="24"/>
        </w:rPr>
        <w:t>0,2 timer. Udskillelsen sker primært via fæces.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5.3</w:t>
      </w:r>
      <w:r w:rsidRPr="008802A5">
        <w:rPr>
          <w:b/>
          <w:sz w:val="24"/>
          <w:szCs w:val="24"/>
        </w:rPr>
        <w:tab/>
        <w:t>Miljømæssige forhold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>-</w:t>
      </w:r>
    </w:p>
    <w:p w:rsidR="00DF32BE" w:rsidRPr="008802A5" w:rsidRDefault="00DF32BE" w:rsidP="008802A5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FARMACEUTISKE OPLYSNINGER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Hjælpestoffer</w:t>
      </w:r>
    </w:p>
    <w:p w:rsidR="00B41701" w:rsidRPr="008802A5" w:rsidRDefault="00DF32BE" w:rsidP="008802A5">
      <w:pPr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 xml:space="preserve">Cellulose, </w:t>
      </w:r>
      <w:proofErr w:type="spellStart"/>
      <w:r w:rsidR="00B41701" w:rsidRPr="008802A5">
        <w:rPr>
          <w:sz w:val="24"/>
          <w:szCs w:val="24"/>
        </w:rPr>
        <w:t>mikrokrystallinsk</w:t>
      </w:r>
      <w:proofErr w:type="spellEnd"/>
    </w:p>
    <w:p w:rsidR="00B41701" w:rsidRPr="008802A5" w:rsidRDefault="00B41701" w:rsidP="00A50844">
      <w:pPr>
        <w:ind w:left="851"/>
        <w:rPr>
          <w:sz w:val="24"/>
          <w:szCs w:val="24"/>
        </w:rPr>
      </w:pPr>
      <w:proofErr w:type="spellStart"/>
      <w:r w:rsidRPr="008802A5">
        <w:rPr>
          <w:sz w:val="24"/>
          <w:szCs w:val="24"/>
        </w:rPr>
        <w:t>Croscarmellosenatrium</w:t>
      </w:r>
      <w:proofErr w:type="spellEnd"/>
    </w:p>
    <w:p w:rsidR="00B41701" w:rsidRPr="008802A5" w:rsidRDefault="00B41701" w:rsidP="00A50844">
      <w:pPr>
        <w:ind w:left="851"/>
        <w:rPr>
          <w:sz w:val="24"/>
          <w:szCs w:val="24"/>
        </w:rPr>
      </w:pPr>
      <w:proofErr w:type="spellStart"/>
      <w:r w:rsidRPr="008802A5">
        <w:rPr>
          <w:sz w:val="24"/>
          <w:szCs w:val="24"/>
        </w:rPr>
        <w:t>Magnesiumstearat</w:t>
      </w:r>
      <w:proofErr w:type="spellEnd"/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Naturlig kødsmag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Uforligeligheder</w:t>
      </w:r>
    </w:p>
    <w:p w:rsidR="00526909" w:rsidRPr="00526909" w:rsidRDefault="00526909" w:rsidP="0052690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526909">
        <w:rPr>
          <w:sz w:val="24"/>
          <w:szCs w:val="24"/>
        </w:rPr>
        <w:t>Ikke relevant.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Opbevaringstid</w:t>
      </w:r>
    </w:p>
    <w:p w:rsidR="00B41701" w:rsidRPr="008802A5" w:rsidRDefault="00DF32BE" w:rsidP="008802A5">
      <w:pPr>
        <w:ind w:left="851" w:right="-318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A50844">
        <w:rPr>
          <w:sz w:val="24"/>
          <w:szCs w:val="24"/>
        </w:rPr>
        <w:t>I</w:t>
      </w:r>
      <w:r w:rsidR="00B41701" w:rsidRPr="008802A5">
        <w:rPr>
          <w:sz w:val="24"/>
          <w:szCs w:val="24"/>
        </w:rPr>
        <w:t xml:space="preserve"> salgspakning: 30 måneder.</w:t>
      </w:r>
    </w:p>
    <w:p w:rsidR="00B41701" w:rsidRPr="008802A5" w:rsidRDefault="00B41701" w:rsidP="00A50844">
      <w:pPr>
        <w:ind w:left="851" w:right="-318"/>
        <w:rPr>
          <w:sz w:val="24"/>
          <w:szCs w:val="24"/>
        </w:rPr>
      </w:pPr>
      <w:r w:rsidRPr="008802A5">
        <w:rPr>
          <w:sz w:val="24"/>
          <w:szCs w:val="24"/>
        </w:rPr>
        <w:t>Opbevaringstid af halverede tabletter efter første åbning af blisterpakningen: 3 dage.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Særlige opbevaringsforhold</w:t>
      </w:r>
    </w:p>
    <w:p w:rsidR="00526909" w:rsidRDefault="00DF32BE" w:rsidP="00526909">
      <w:pPr>
        <w:ind w:left="851" w:hanging="851"/>
        <w:rPr>
          <w:noProof/>
          <w:sz w:val="24"/>
          <w:szCs w:val="24"/>
        </w:rPr>
      </w:pPr>
      <w:r w:rsidRPr="008802A5">
        <w:rPr>
          <w:sz w:val="24"/>
          <w:szCs w:val="24"/>
        </w:rPr>
        <w:tab/>
      </w:r>
      <w:r w:rsidR="00526909">
        <w:rPr>
          <w:noProof/>
          <w:sz w:val="24"/>
          <w:szCs w:val="24"/>
        </w:rPr>
        <w:t>Må ikke opbevares over 30°C.</w:t>
      </w:r>
      <w:r w:rsidR="00526909">
        <w:rPr>
          <w:noProof/>
          <w:sz w:val="24"/>
          <w:szCs w:val="24"/>
        </w:rPr>
        <w:br/>
        <w:t>Delte tabletter opbevares i den åbnede blisterpakning og skal anvendes inden 3 dage.</w:t>
      </w:r>
    </w:p>
    <w:p w:rsidR="00526909" w:rsidRDefault="00526909" w:rsidP="00526909">
      <w:pPr>
        <w:ind w:left="851"/>
        <w:rPr>
          <w:sz w:val="24"/>
          <w:szCs w:val="24"/>
        </w:rPr>
      </w:pPr>
    </w:p>
    <w:p w:rsidR="00DF32BE" w:rsidRPr="008802A5" w:rsidRDefault="00DF32BE" w:rsidP="008802A5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Emballage</w:t>
      </w:r>
    </w:p>
    <w:p w:rsidR="00A50844" w:rsidRDefault="00A50844" w:rsidP="008802A5">
      <w:pPr>
        <w:ind w:left="851" w:hanging="851"/>
        <w:rPr>
          <w:sz w:val="24"/>
          <w:szCs w:val="24"/>
          <w:u w:val="single"/>
        </w:rPr>
      </w:pPr>
    </w:p>
    <w:p w:rsidR="00B41701" w:rsidRPr="008802A5" w:rsidRDefault="00B41701" w:rsidP="00A50844">
      <w:pPr>
        <w:ind w:left="851"/>
        <w:rPr>
          <w:sz w:val="24"/>
          <w:szCs w:val="24"/>
          <w:u w:val="single"/>
        </w:rPr>
      </w:pPr>
      <w:r w:rsidRPr="008802A5">
        <w:rPr>
          <w:sz w:val="24"/>
          <w:szCs w:val="24"/>
          <w:u w:val="single"/>
        </w:rPr>
        <w:t>1,25 mg og 2,5 mg tabletter: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Aluminium – PVC/PE/PVDC blisterpakning:</w:t>
      </w: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10 tabletter pr. blister. 2, 5, 10 eller 25 blisterpakninger pr. karton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Aluminium - Aluminium blisterpakning:</w:t>
      </w: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 xml:space="preserve">10 tabletter pr. blister. 2, 5, 10 eller 25 blisterpakninger pr. </w:t>
      </w:r>
      <w:r w:rsidR="00A50844">
        <w:rPr>
          <w:sz w:val="24"/>
          <w:szCs w:val="24"/>
        </w:rPr>
        <w:t>k</w:t>
      </w:r>
      <w:r w:rsidRPr="008802A5">
        <w:rPr>
          <w:sz w:val="24"/>
          <w:szCs w:val="24"/>
        </w:rPr>
        <w:t>arton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A50844">
      <w:pPr>
        <w:ind w:left="851"/>
        <w:rPr>
          <w:sz w:val="24"/>
          <w:szCs w:val="24"/>
          <w:u w:val="single"/>
        </w:rPr>
      </w:pPr>
      <w:r w:rsidRPr="008802A5">
        <w:rPr>
          <w:sz w:val="24"/>
          <w:szCs w:val="24"/>
          <w:u w:val="single"/>
        </w:rPr>
        <w:t>5 mg og 10 mg tabletter: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Aluminium – PVC/PE/PVDC blisterpakning:</w:t>
      </w: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10 tabletter pr. blister. 2, 5, 10 eller 25 blisterpakninger pr. karton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Aluminium - Aluminium blisterpakning:</w:t>
      </w: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5 tabletter pr. blister. 4, 10, 20 eller 50 blisterpakninger pr. karton</w:t>
      </w:r>
    </w:p>
    <w:p w:rsidR="00B41701" w:rsidRPr="008802A5" w:rsidRDefault="00B41701" w:rsidP="008802A5">
      <w:pPr>
        <w:ind w:left="851" w:hanging="851"/>
        <w:rPr>
          <w:sz w:val="24"/>
          <w:szCs w:val="24"/>
        </w:rPr>
      </w:pP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Ikke alle pakningsstørrelser er nødvendigvis markedsført.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6.6</w:t>
      </w:r>
      <w:r w:rsidRPr="008802A5">
        <w:rPr>
          <w:b/>
          <w:sz w:val="24"/>
          <w:szCs w:val="24"/>
        </w:rPr>
        <w:tab/>
        <w:t>Særlige forholdsregler ved bortskaffelse af rester af lægemidlet eller affald</w:t>
      </w:r>
    </w:p>
    <w:p w:rsidR="00B41701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A50844">
        <w:rPr>
          <w:sz w:val="24"/>
          <w:szCs w:val="24"/>
        </w:rPr>
        <w:t xml:space="preserve">Ikke anvendte </w:t>
      </w:r>
      <w:r w:rsidR="00526909">
        <w:rPr>
          <w:sz w:val="24"/>
          <w:szCs w:val="24"/>
        </w:rPr>
        <w:t>veterinær</w:t>
      </w:r>
      <w:r w:rsidR="00A50844">
        <w:rPr>
          <w:sz w:val="24"/>
          <w:szCs w:val="24"/>
        </w:rPr>
        <w:t xml:space="preserve">lægemidler, samt affald heraf bør destrueres i henhold til lokale </w:t>
      </w:r>
      <w:proofErr w:type="spellStart"/>
      <w:r w:rsidR="00A50844">
        <w:rPr>
          <w:sz w:val="24"/>
          <w:szCs w:val="24"/>
        </w:rPr>
        <w:t>retningslinier</w:t>
      </w:r>
      <w:proofErr w:type="spellEnd"/>
      <w:r w:rsidR="00B41701" w:rsidRPr="008802A5">
        <w:rPr>
          <w:sz w:val="24"/>
          <w:szCs w:val="24"/>
        </w:rPr>
        <w:t>.</w:t>
      </w:r>
      <w:r w:rsidR="00B41701" w:rsidRPr="008802A5" w:rsidDel="006260F9">
        <w:rPr>
          <w:sz w:val="24"/>
          <w:szCs w:val="24"/>
        </w:rPr>
        <w:t xml:space="preserve"> </w:t>
      </w:r>
      <w:r w:rsidR="00B41701" w:rsidRPr="008802A5">
        <w:rPr>
          <w:sz w:val="24"/>
          <w:szCs w:val="24"/>
        </w:rPr>
        <w:t xml:space="preserve"> 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7.</w:t>
      </w:r>
      <w:r w:rsidRPr="008802A5">
        <w:rPr>
          <w:b/>
          <w:sz w:val="24"/>
          <w:szCs w:val="24"/>
        </w:rPr>
        <w:tab/>
        <w:t>INDEHAVER AF MARKEDSFØRINGSTILLADELSEN</w:t>
      </w:r>
    </w:p>
    <w:p w:rsidR="00B41701" w:rsidRPr="008C1496" w:rsidRDefault="00DF32BE" w:rsidP="008802A5">
      <w:pPr>
        <w:ind w:left="851" w:right="-318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proofErr w:type="spellStart"/>
      <w:r w:rsidR="002A3B8E" w:rsidRPr="002A3B8E">
        <w:rPr>
          <w:sz w:val="24"/>
          <w:szCs w:val="24"/>
        </w:rPr>
        <w:t>Dechra</w:t>
      </w:r>
      <w:proofErr w:type="spellEnd"/>
      <w:r w:rsidR="002A3B8E" w:rsidRPr="002A3B8E">
        <w:rPr>
          <w:sz w:val="24"/>
          <w:szCs w:val="24"/>
        </w:rPr>
        <w:t xml:space="preserve"> Regulatory B.V.</w:t>
      </w:r>
    </w:p>
    <w:p w:rsidR="00B41701" w:rsidRPr="008C1496" w:rsidRDefault="00BC362E" w:rsidP="00A50844">
      <w:pPr>
        <w:ind w:left="851" w:right="-318"/>
        <w:rPr>
          <w:sz w:val="24"/>
          <w:szCs w:val="24"/>
        </w:rPr>
      </w:pPr>
      <w:proofErr w:type="spellStart"/>
      <w:r w:rsidRPr="008C1496">
        <w:rPr>
          <w:sz w:val="24"/>
          <w:szCs w:val="24"/>
        </w:rPr>
        <w:t>Handelsweg</w:t>
      </w:r>
      <w:proofErr w:type="spellEnd"/>
      <w:r w:rsidRPr="008C1496">
        <w:rPr>
          <w:sz w:val="24"/>
          <w:szCs w:val="24"/>
        </w:rPr>
        <w:t xml:space="preserve"> 25</w:t>
      </w:r>
    </w:p>
    <w:p w:rsidR="00B41701" w:rsidRPr="008802A5" w:rsidRDefault="00B41701" w:rsidP="00A50844">
      <w:pPr>
        <w:ind w:left="851" w:right="-318"/>
        <w:rPr>
          <w:sz w:val="24"/>
          <w:szCs w:val="24"/>
        </w:rPr>
      </w:pPr>
      <w:r w:rsidRPr="008802A5">
        <w:rPr>
          <w:sz w:val="24"/>
          <w:szCs w:val="24"/>
        </w:rPr>
        <w:t xml:space="preserve">5531 AE </w:t>
      </w:r>
      <w:proofErr w:type="spellStart"/>
      <w:r w:rsidRPr="008802A5">
        <w:rPr>
          <w:sz w:val="24"/>
          <w:szCs w:val="24"/>
        </w:rPr>
        <w:t>Bladel</w:t>
      </w:r>
      <w:proofErr w:type="spellEnd"/>
    </w:p>
    <w:p w:rsidR="00B41701" w:rsidRPr="008802A5" w:rsidRDefault="00B41701" w:rsidP="00A50844">
      <w:pPr>
        <w:ind w:left="851" w:right="-318"/>
        <w:rPr>
          <w:sz w:val="24"/>
          <w:szCs w:val="24"/>
        </w:rPr>
      </w:pPr>
      <w:r w:rsidRPr="008802A5">
        <w:rPr>
          <w:sz w:val="24"/>
          <w:szCs w:val="24"/>
        </w:rPr>
        <w:t>Holland</w:t>
      </w:r>
    </w:p>
    <w:p w:rsidR="00B41701" w:rsidRPr="008802A5" w:rsidRDefault="00B41701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B41701" w:rsidRPr="00A50844" w:rsidRDefault="00A50844" w:rsidP="00A50844">
      <w:pPr>
        <w:ind w:left="851"/>
        <w:rPr>
          <w:b/>
          <w:iCs/>
          <w:sz w:val="24"/>
          <w:szCs w:val="24"/>
        </w:rPr>
      </w:pPr>
      <w:r w:rsidRPr="00A50844">
        <w:rPr>
          <w:b/>
          <w:iCs/>
          <w:sz w:val="24"/>
          <w:szCs w:val="24"/>
        </w:rPr>
        <w:t>R</w:t>
      </w:r>
      <w:r>
        <w:rPr>
          <w:b/>
          <w:iCs/>
          <w:sz w:val="24"/>
          <w:szCs w:val="24"/>
        </w:rPr>
        <w:t>epræsentant</w:t>
      </w:r>
    </w:p>
    <w:p w:rsidR="00B41701" w:rsidRPr="002D1463" w:rsidRDefault="00A50844" w:rsidP="008802A5">
      <w:pPr>
        <w:tabs>
          <w:tab w:val="left" w:pos="-720"/>
        </w:tabs>
        <w:suppressAutoHyphens/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proofErr w:type="spellStart"/>
      <w:r w:rsidR="002D1463" w:rsidRPr="002D1463">
        <w:rPr>
          <w:sz w:val="24"/>
          <w:szCs w:val="24"/>
          <w:lang w:val="en-US"/>
        </w:rPr>
        <w:t>Dechra</w:t>
      </w:r>
      <w:proofErr w:type="spellEnd"/>
      <w:r w:rsidR="002D1463" w:rsidRPr="002D1463">
        <w:rPr>
          <w:sz w:val="24"/>
          <w:szCs w:val="24"/>
          <w:lang w:val="en-US"/>
        </w:rPr>
        <w:t xml:space="preserve"> Veterinary Products A/S</w:t>
      </w:r>
    </w:p>
    <w:p w:rsidR="00B41701" w:rsidRPr="002D1463" w:rsidRDefault="00A50844" w:rsidP="008802A5">
      <w:pPr>
        <w:tabs>
          <w:tab w:val="left" w:pos="-720"/>
        </w:tabs>
        <w:suppressAutoHyphens/>
        <w:ind w:left="851" w:hanging="851"/>
        <w:rPr>
          <w:noProof/>
          <w:sz w:val="24"/>
          <w:szCs w:val="24"/>
          <w:lang w:val="en-US"/>
        </w:rPr>
      </w:pPr>
      <w:r w:rsidRPr="002D1463">
        <w:rPr>
          <w:noProof/>
          <w:sz w:val="24"/>
          <w:szCs w:val="24"/>
          <w:lang w:val="en-US"/>
        </w:rPr>
        <w:tab/>
      </w:r>
      <w:r w:rsidR="002D1463" w:rsidRPr="002D1463">
        <w:rPr>
          <w:noProof/>
          <w:sz w:val="24"/>
          <w:szCs w:val="24"/>
          <w:lang w:val="en-US"/>
        </w:rPr>
        <w:t>Mekuvej 9</w:t>
      </w:r>
    </w:p>
    <w:p w:rsidR="002D1463" w:rsidRPr="008802A5" w:rsidRDefault="00A50844" w:rsidP="002A3B8E">
      <w:pPr>
        <w:tabs>
          <w:tab w:val="left" w:pos="-720"/>
        </w:tabs>
        <w:suppressAutoHyphens/>
        <w:ind w:left="851" w:hanging="851"/>
        <w:rPr>
          <w:noProof/>
          <w:sz w:val="24"/>
          <w:szCs w:val="24"/>
          <w:lang w:val="de-DE"/>
        </w:rPr>
      </w:pPr>
      <w:r>
        <w:rPr>
          <w:noProof/>
          <w:sz w:val="24"/>
          <w:szCs w:val="24"/>
          <w:lang w:val="de-DE"/>
        </w:rPr>
        <w:tab/>
      </w:r>
      <w:r w:rsidR="002D1463">
        <w:rPr>
          <w:noProof/>
          <w:sz w:val="24"/>
          <w:szCs w:val="24"/>
          <w:lang w:val="de-DE"/>
        </w:rPr>
        <w:t>7171 Uldum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MARKEDSFØRINGSTILLADELSESNUMMER</w:t>
      </w:r>
      <w:r w:rsidR="001577E4" w:rsidRPr="008802A5">
        <w:rPr>
          <w:b/>
          <w:sz w:val="24"/>
          <w:szCs w:val="24"/>
        </w:rPr>
        <w:t xml:space="preserve"> (NUMRE)</w:t>
      </w:r>
    </w:p>
    <w:p w:rsidR="00DF32BE" w:rsidRPr="008802A5" w:rsidRDefault="00A50844" w:rsidP="00A50844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>1,25 mg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47108</w:t>
      </w:r>
    </w:p>
    <w:p w:rsidR="00B41701" w:rsidRPr="008802A5" w:rsidRDefault="00A50844" w:rsidP="00A50844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>2,5 mg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47109</w:t>
      </w:r>
    </w:p>
    <w:p w:rsidR="00B41701" w:rsidRPr="008802A5" w:rsidRDefault="00B41701" w:rsidP="00A50844">
      <w:pPr>
        <w:ind w:left="851"/>
        <w:rPr>
          <w:sz w:val="24"/>
          <w:szCs w:val="24"/>
        </w:rPr>
      </w:pPr>
      <w:r w:rsidRPr="008802A5">
        <w:rPr>
          <w:sz w:val="24"/>
          <w:szCs w:val="24"/>
        </w:rPr>
        <w:t>5 mg</w:t>
      </w:r>
      <w:r w:rsidR="00A50844">
        <w:rPr>
          <w:sz w:val="24"/>
          <w:szCs w:val="24"/>
        </w:rPr>
        <w:t>:</w:t>
      </w:r>
      <w:r w:rsidR="00A50844">
        <w:rPr>
          <w:sz w:val="24"/>
          <w:szCs w:val="24"/>
        </w:rPr>
        <w:tab/>
        <w:t>47110</w:t>
      </w:r>
    </w:p>
    <w:p w:rsidR="00B41701" w:rsidRPr="008802A5" w:rsidRDefault="00B41701" w:rsidP="00A50844">
      <w:pPr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  <w:t>10 mg</w:t>
      </w:r>
      <w:r w:rsidR="00A50844">
        <w:rPr>
          <w:sz w:val="24"/>
          <w:szCs w:val="24"/>
        </w:rPr>
        <w:t>:</w:t>
      </w:r>
      <w:r w:rsidR="00A50844">
        <w:rPr>
          <w:sz w:val="24"/>
          <w:szCs w:val="24"/>
        </w:rPr>
        <w:tab/>
        <w:t>47111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9.</w:t>
      </w:r>
      <w:r w:rsidRPr="008802A5">
        <w:rPr>
          <w:b/>
          <w:sz w:val="24"/>
          <w:szCs w:val="24"/>
        </w:rPr>
        <w:tab/>
        <w:t>DATO FOR FØRSTE MARKEDSFØRINGSTILLADELSE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B41701" w:rsidRPr="008802A5">
        <w:rPr>
          <w:sz w:val="24"/>
          <w:szCs w:val="24"/>
        </w:rPr>
        <w:t>27. juli 2011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10.</w:t>
      </w:r>
      <w:r w:rsidRPr="008802A5">
        <w:rPr>
          <w:b/>
          <w:sz w:val="24"/>
          <w:szCs w:val="24"/>
        </w:rPr>
        <w:tab/>
        <w:t>DATO FOR ÆNDRING AF TEKSTEN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8802A5">
        <w:rPr>
          <w:sz w:val="24"/>
          <w:szCs w:val="24"/>
        </w:rPr>
        <w:tab/>
      </w:r>
      <w:r w:rsidR="002A3B8E">
        <w:rPr>
          <w:sz w:val="24"/>
          <w:szCs w:val="24"/>
        </w:rPr>
        <w:t>24. september 2019</w:t>
      </w: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8802A5" w:rsidRDefault="00DF32BE" w:rsidP="008802A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802A5">
        <w:rPr>
          <w:b/>
          <w:sz w:val="24"/>
          <w:szCs w:val="24"/>
        </w:rPr>
        <w:t>11.</w:t>
      </w:r>
      <w:r w:rsidRPr="008802A5">
        <w:rPr>
          <w:b/>
          <w:sz w:val="24"/>
          <w:szCs w:val="24"/>
        </w:rPr>
        <w:tab/>
        <w:t>UDLEVERINGSBESTEMMELSE</w:t>
      </w:r>
    </w:p>
    <w:p w:rsidR="0003527F" w:rsidRPr="008802A5" w:rsidRDefault="00DF32BE" w:rsidP="002D1463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szCs w:val="24"/>
        </w:rPr>
      </w:pPr>
      <w:r w:rsidRPr="008802A5">
        <w:rPr>
          <w:szCs w:val="24"/>
        </w:rPr>
        <w:tab/>
      </w:r>
      <w:r w:rsidR="00B41701" w:rsidRPr="008802A5">
        <w:rPr>
          <w:szCs w:val="24"/>
        </w:rPr>
        <w:t>B</w:t>
      </w:r>
    </w:p>
    <w:sectPr w:rsidR="0003527F" w:rsidRPr="008802A5" w:rsidSect="00FD6AA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CD" w:rsidRDefault="004B7FCD">
      <w:r>
        <w:separator/>
      </w:r>
    </w:p>
  </w:endnote>
  <w:endnote w:type="continuationSeparator" w:id="0">
    <w:p w:rsidR="004B7FCD" w:rsidRDefault="004B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CD" w:rsidRDefault="004B7FCD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B7FCD" w:rsidRDefault="004B7FCD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B7FCD" w:rsidRDefault="00F72D3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B7FCD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86883">
      <w:rPr>
        <w:i/>
        <w:noProof/>
        <w:snapToGrid w:val="0"/>
        <w:sz w:val="18"/>
      </w:rPr>
      <w:t>Cardisure Flavoured Vet., tabletter 1,25 mg, 2,5 mg, 5 mg og 10 mg</w:t>
    </w:r>
    <w:r>
      <w:rPr>
        <w:i/>
        <w:snapToGrid w:val="0"/>
        <w:sz w:val="18"/>
      </w:rPr>
      <w:fldChar w:fldCharType="end"/>
    </w:r>
    <w:r w:rsidR="004B7FCD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B7FCD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A3B8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B7FCD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B7FCD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A3B8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CD" w:rsidRDefault="004B7FCD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B7FCD" w:rsidRDefault="004B7FCD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B7FCD" w:rsidRDefault="00F72D3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B7FCD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86883">
      <w:rPr>
        <w:i/>
        <w:noProof/>
        <w:snapToGrid w:val="0"/>
        <w:sz w:val="18"/>
      </w:rPr>
      <w:t>Cardisure Flavoured Vet., tabletter 1,25 mg, 2,5 mg, 5 mg og 10 mg</w:t>
    </w:r>
    <w:r>
      <w:rPr>
        <w:i/>
        <w:snapToGrid w:val="0"/>
        <w:sz w:val="18"/>
      </w:rPr>
      <w:fldChar w:fldCharType="end"/>
    </w:r>
    <w:r w:rsidR="004B7FCD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B7FCD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A3B8E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B7FCD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B7FCD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A3B8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CD" w:rsidRDefault="004B7FCD">
      <w:r>
        <w:separator/>
      </w:r>
    </w:p>
  </w:footnote>
  <w:footnote w:type="continuationSeparator" w:id="0">
    <w:p w:rsidR="004B7FCD" w:rsidRDefault="004B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CD" w:rsidRDefault="004B7FCD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CD" w:rsidRDefault="004B7FC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23F6"/>
    <w:multiLevelType w:val="hybridMultilevel"/>
    <w:tmpl w:val="9C7E21D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5F"/>
    <w:rsid w:val="000065D3"/>
    <w:rsid w:val="0003527F"/>
    <w:rsid w:val="00075926"/>
    <w:rsid w:val="001577E4"/>
    <w:rsid w:val="00184237"/>
    <w:rsid w:val="001858CA"/>
    <w:rsid w:val="001F60F0"/>
    <w:rsid w:val="002A3B8E"/>
    <w:rsid w:val="002C2980"/>
    <w:rsid w:val="002D1463"/>
    <w:rsid w:val="003E72F4"/>
    <w:rsid w:val="00453A02"/>
    <w:rsid w:val="00495939"/>
    <w:rsid w:val="004B7FCD"/>
    <w:rsid w:val="00526909"/>
    <w:rsid w:val="00686883"/>
    <w:rsid w:val="006D125F"/>
    <w:rsid w:val="00715168"/>
    <w:rsid w:val="0073171E"/>
    <w:rsid w:val="007409AC"/>
    <w:rsid w:val="008802A5"/>
    <w:rsid w:val="008C1496"/>
    <w:rsid w:val="00A50844"/>
    <w:rsid w:val="00A858D8"/>
    <w:rsid w:val="00B41701"/>
    <w:rsid w:val="00B45536"/>
    <w:rsid w:val="00BC362E"/>
    <w:rsid w:val="00C64C26"/>
    <w:rsid w:val="00C85EB6"/>
    <w:rsid w:val="00CD0B32"/>
    <w:rsid w:val="00D4779A"/>
    <w:rsid w:val="00DF32BE"/>
    <w:rsid w:val="00E7467F"/>
    <w:rsid w:val="00F72D35"/>
    <w:rsid w:val="00FD6AA5"/>
    <w:rsid w:val="00FE6E92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6DF24D5-FAA6-4828-9DDA-51C1EF5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A5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D6A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417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FD6AA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1701"/>
    <w:rPr>
      <w:rFonts w:ascii="Cambria" w:hAnsi="Cambria"/>
      <w:b/>
      <w:bCs/>
      <w:i/>
      <w:iCs/>
      <w:sz w:val="28"/>
      <w:szCs w:val="28"/>
    </w:rPr>
  </w:style>
  <w:style w:type="character" w:customStyle="1" w:styleId="example">
    <w:name w:val="example"/>
    <w:basedOn w:val="Standardskrifttypeiafsnit"/>
    <w:rsid w:val="00B41701"/>
  </w:style>
  <w:style w:type="character" w:styleId="Hyperlink">
    <w:name w:val="Hyperlink"/>
    <w:basedOn w:val="Standardskrifttypeiafsnit"/>
    <w:rsid w:val="00B4170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41701"/>
    <w:pPr>
      <w:ind w:left="720"/>
      <w:contextualSpacing/>
    </w:pPr>
  </w:style>
  <w:style w:type="table" w:styleId="Tabel-Gitter">
    <w:name w:val="Table Grid"/>
    <w:basedOn w:val="Tabel-Normal"/>
    <w:uiPriority w:val="59"/>
    <w:rsid w:val="0073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1284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 </dc:creator>
  <cp:keywords/>
  <dc:description>2019080527
skift af MAH fra Eurovet Animal Health B.V.</dc:description>
  <cp:lastModifiedBy>Marianne Ott Jensen</cp:lastModifiedBy>
  <cp:revision>3</cp:revision>
  <cp:lastPrinted>2016-06-14T10:19:00Z</cp:lastPrinted>
  <dcterms:created xsi:type="dcterms:W3CDTF">2019-09-24T06:53:00Z</dcterms:created>
  <dcterms:modified xsi:type="dcterms:W3CDTF">2019-09-24T06:55:00Z</dcterms:modified>
</cp:coreProperties>
</file>