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A7B" w:rsidRPr="006A5B3D" w:rsidRDefault="00C85A7B" w:rsidP="00C85A7B">
      <w:pPr>
        <w:rPr>
          <w:sz w:val="24"/>
          <w:szCs w:val="24"/>
        </w:rPr>
      </w:pPr>
      <w:bookmarkStart w:id="0" w:name="_GoBack"/>
      <w:bookmarkEnd w:id="0"/>
      <w:r w:rsidRPr="006A5B3D">
        <w:rPr>
          <w:noProof/>
          <w:sz w:val="24"/>
          <w:szCs w:val="24"/>
          <w:lang w:eastAsia="da-DK"/>
        </w:rPr>
        <w:drawing>
          <wp:inline distT="0" distB="0" distL="0" distR="0" wp14:anchorId="7E82DE96" wp14:editId="7DA21C7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85A7B" w:rsidRPr="006A5B3D" w:rsidRDefault="00C85A7B" w:rsidP="00C85A7B">
      <w:pPr>
        <w:rPr>
          <w:sz w:val="24"/>
          <w:szCs w:val="24"/>
        </w:rPr>
      </w:pPr>
    </w:p>
    <w:p w:rsidR="00C85A7B" w:rsidRPr="006A5B3D" w:rsidRDefault="006A5B3D" w:rsidP="004A5895">
      <w:pPr>
        <w:tabs>
          <w:tab w:val="right" w:pos="9356"/>
        </w:tabs>
        <w:jc w:val="right"/>
        <w:rPr>
          <w:b/>
          <w:sz w:val="24"/>
          <w:szCs w:val="24"/>
        </w:rPr>
      </w:pPr>
      <w:r w:rsidRPr="006A5B3D">
        <w:rPr>
          <w:b/>
          <w:sz w:val="24"/>
          <w:szCs w:val="24"/>
        </w:rPr>
        <w:t>3. februar</w:t>
      </w:r>
      <w:r w:rsidR="004A5895" w:rsidRPr="006A5B3D">
        <w:rPr>
          <w:b/>
          <w:sz w:val="24"/>
          <w:szCs w:val="24"/>
        </w:rPr>
        <w:t xml:space="preserve"> 20</w:t>
      </w:r>
      <w:r w:rsidRPr="006A5B3D">
        <w:rPr>
          <w:b/>
          <w:sz w:val="24"/>
          <w:szCs w:val="24"/>
        </w:rPr>
        <w:t>25</w:t>
      </w:r>
    </w:p>
    <w:p w:rsidR="00C85A7B" w:rsidRPr="006A5B3D" w:rsidRDefault="00C85A7B" w:rsidP="00C85A7B">
      <w:pPr>
        <w:rPr>
          <w:sz w:val="24"/>
          <w:szCs w:val="24"/>
        </w:rPr>
      </w:pPr>
    </w:p>
    <w:p w:rsidR="00C85A7B" w:rsidRPr="006A5B3D" w:rsidRDefault="00C85A7B" w:rsidP="00C85A7B">
      <w:pPr>
        <w:rPr>
          <w:sz w:val="24"/>
          <w:szCs w:val="24"/>
        </w:rPr>
      </w:pPr>
    </w:p>
    <w:p w:rsidR="00C85A7B" w:rsidRPr="006A5B3D" w:rsidRDefault="00C85A7B" w:rsidP="00C85A7B">
      <w:pPr>
        <w:rPr>
          <w:sz w:val="24"/>
          <w:szCs w:val="24"/>
        </w:rPr>
      </w:pPr>
    </w:p>
    <w:p w:rsidR="00C85A7B" w:rsidRPr="006A5B3D" w:rsidRDefault="00C85A7B" w:rsidP="00C85A7B">
      <w:pPr>
        <w:tabs>
          <w:tab w:val="left" w:pos="8222"/>
        </w:tabs>
        <w:jc w:val="center"/>
        <w:rPr>
          <w:b/>
          <w:sz w:val="24"/>
          <w:szCs w:val="24"/>
        </w:rPr>
      </w:pPr>
      <w:r w:rsidRPr="006A5B3D">
        <w:rPr>
          <w:b/>
          <w:sz w:val="24"/>
          <w:szCs w:val="24"/>
        </w:rPr>
        <w:t>PRODUKTRESUMÉ</w:t>
      </w:r>
    </w:p>
    <w:p w:rsidR="00C85A7B" w:rsidRPr="006A5B3D" w:rsidRDefault="00C85A7B" w:rsidP="00C85A7B">
      <w:pPr>
        <w:tabs>
          <w:tab w:val="left" w:pos="8222"/>
        </w:tabs>
        <w:jc w:val="center"/>
        <w:rPr>
          <w:b/>
          <w:sz w:val="24"/>
          <w:szCs w:val="24"/>
        </w:rPr>
      </w:pPr>
    </w:p>
    <w:p w:rsidR="00C85A7B" w:rsidRPr="006A5B3D" w:rsidRDefault="00C85A7B" w:rsidP="00C85A7B">
      <w:pPr>
        <w:tabs>
          <w:tab w:val="left" w:pos="8222"/>
        </w:tabs>
        <w:jc w:val="center"/>
        <w:rPr>
          <w:b/>
          <w:sz w:val="24"/>
          <w:szCs w:val="24"/>
        </w:rPr>
      </w:pPr>
      <w:r w:rsidRPr="006A5B3D">
        <w:rPr>
          <w:b/>
          <w:sz w:val="24"/>
          <w:szCs w:val="24"/>
        </w:rPr>
        <w:t>for</w:t>
      </w:r>
    </w:p>
    <w:p w:rsidR="00C85A7B" w:rsidRPr="006A5B3D" w:rsidRDefault="00C85A7B" w:rsidP="00C85A7B">
      <w:pPr>
        <w:tabs>
          <w:tab w:val="left" w:pos="8222"/>
        </w:tabs>
        <w:jc w:val="center"/>
        <w:rPr>
          <w:b/>
          <w:sz w:val="24"/>
          <w:szCs w:val="24"/>
        </w:rPr>
      </w:pPr>
    </w:p>
    <w:p w:rsidR="00C85A7B" w:rsidRPr="006A5B3D" w:rsidRDefault="00C85A7B" w:rsidP="00C85A7B">
      <w:pPr>
        <w:tabs>
          <w:tab w:val="left" w:pos="8222"/>
        </w:tabs>
        <w:jc w:val="center"/>
        <w:rPr>
          <w:b/>
          <w:sz w:val="24"/>
          <w:szCs w:val="24"/>
        </w:rPr>
      </w:pPr>
      <w:proofErr w:type="spellStart"/>
      <w:r w:rsidRPr="006A5B3D">
        <w:rPr>
          <w:b/>
          <w:sz w:val="24"/>
          <w:szCs w:val="24"/>
        </w:rPr>
        <w:t>Cefabactin</w:t>
      </w:r>
      <w:proofErr w:type="spellEnd"/>
      <w:r w:rsidRPr="006A5B3D">
        <w:rPr>
          <w:b/>
          <w:sz w:val="24"/>
          <w:szCs w:val="24"/>
        </w:rPr>
        <w:t xml:space="preserve"> </w:t>
      </w:r>
      <w:proofErr w:type="spellStart"/>
      <w:r w:rsidRPr="006A5B3D">
        <w:rPr>
          <w:b/>
          <w:sz w:val="24"/>
          <w:szCs w:val="24"/>
        </w:rPr>
        <w:t>Vet</w:t>
      </w:r>
      <w:proofErr w:type="spellEnd"/>
      <w:r w:rsidRPr="006A5B3D">
        <w:rPr>
          <w:b/>
          <w:sz w:val="24"/>
          <w:szCs w:val="24"/>
        </w:rPr>
        <w:t>., tabletter 500 mg og 1000 mg</w:t>
      </w:r>
    </w:p>
    <w:p w:rsidR="00C85A7B" w:rsidRPr="006A5B3D" w:rsidRDefault="00C85A7B" w:rsidP="00C85A7B">
      <w:pPr>
        <w:tabs>
          <w:tab w:val="left" w:pos="8222"/>
        </w:tabs>
        <w:jc w:val="both"/>
        <w:rPr>
          <w:sz w:val="24"/>
          <w:szCs w:val="24"/>
        </w:rPr>
      </w:pPr>
    </w:p>
    <w:p w:rsidR="00C85A7B" w:rsidRPr="006A5B3D" w:rsidRDefault="00C85A7B" w:rsidP="00C85A7B">
      <w:pPr>
        <w:ind w:left="851" w:hanging="851"/>
        <w:jc w:val="both"/>
        <w:rPr>
          <w:sz w:val="24"/>
          <w:szCs w:val="24"/>
        </w:rPr>
      </w:pPr>
    </w:p>
    <w:p w:rsidR="00C85A7B" w:rsidRPr="006A5B3D" w:rsidRDefault="00C85A7B" w:rsidP="006A5B3D">
      <w:pPr>
        <w:tabs>
          <w:tab w:val="left" w:pos="567"/>
        </w:tabs>
        <w:ind w:left="851" w:hanging="851"/>
        <w:rPr>
          <w:b/>
          <w:sz w:val="24"/>
          <w:szCs w:val="24"/>
        </w:rPr>
      </w:pPr>
      <w:r w:rsidRPr="006A5B3D">
        <w:rPr>
          <w:b/>
          <w:sz w:val="24"/>
          <w:szCs w:val="24"/>
        </w:rPr>
        <w:t>0.</w:t>
      </w:r>
      <w:r w:rsidRPr="006A5B3D">
        <w:rPr>
          <w:b/>
          <w:sz w:val="24"/>
          <w:szCs w:val="24"/>
        </w:rPr>
        <w:tab/>
        <w:t>D.SP.NR.</w:t>
      </w:r>
    </w:p>
    <w:p w:rsidR="00C85A7B" w:rsidRPr="006A5B3D" w:rsidRDefault="00C85A7B" w:rsidP="006A5B3D">
      <w:pPr>
        <w:ind w:left="851" w:hanging="284"/>
        <w:rPr>
          <w:sz w:val="24"/>
          <w:szCs w:val="24"/>
        </w:rPr>
      </w:pPr>
      <w:r w:rsidRPr="006A5B3D">
        <w:rPr>
          <w:sz w:val="24"/>
          <w:szCs w:val="24"/>
        </w:rPr>
        <w:t>29862</w:t>
      </w:r>
    </w:p>
    <w:p w:rsidR="00C85A7B" w:rsidRPr="006A5B3D" w:rsidRDefault="00C85A7B" w:rsidP="00C85A7B">
      <w:pPr>
        <w:ind w:left="851" w:hanging="851"/>
        <w:rPr>
          <w:sz w:val="24"/>
          <w:szCs w:val="24"/>
        </w:rPr>
      </w:pPr>
    </w:p>
    <w:p w:rsidR="006A5B3D" w:rsidRPr="006A5B3D" w:rsidRDefault="00C85A7B" w:rsidP="006A5B3D">
      <w:pPr>
        <w:pStyle w:val="Style1"/>
        <w:rPr>
          <w:sz w:val="24"/>
          <w:szCs w:val="24"/>
        </w:rPr>
      </w:pPr>
      <w:r w:rsidRPr="006A5B3D">
        <w:rPr>
          <w:sz w:val="24"/>
          <w:szCs w:val="24"/>
        </w:rPr>
        <w:t>1.</w:t>
      </w:r>
      <w:r w:rsidRPr="006A5B3D">
        <w:rPr>
          <w:sz w:val="24"/>
          <w:szCs w:val="24"/>
        </w:rPr>
        <w:tab/>
      </w:r>
      <w:r w:rsidR="006A5B3D" w:rsidRPr="006A5B3D">
        <w:rPr>
          <w:sz w:val="24"/>
          <w:szCs w:val="24"/>
        </w:rPr>
        <w:t>VETERINÆRLÆGEMIDLETS NAVN</w:t>
      </w:r>
    </w:p>
    <w:p w:rsidR="006A5B3D" w:rsidRPr="006A5B3D" w:rsidRDefault="006A5B3D" w:rsidP="006A5B3D">
      <w:pPr>
        <w:rPr>
          <w:sz w:val="24"/>
          <w:szCs w:val="24"/>
        </w:rPr>
      </w:pPr>
    </w:p>
    <w:p w:rsidR="006A5B3D" w:rsidRPr="006A5B3D" w:rsidRDefault="006A5B3D" w:rsidP="006A5B3D">
      <w:pPr>
        <w:ind w:left="567"/>
        <w:rPr>
          <w:sz w:val="24"/>
          <w:szCs w:val="24"/>
        </w:rPr>
      </w:pPr>
      <w:proofErr w:type="spellStart"/>
      <w:r w:rsidRPr="006A5B3D">
        <w:rPr>
          <w:sz w:val="24"/>
          <w:szCs w:val="24"/>
        </w:rPr>
        <w:t>Cefabactin</w:t>
      </w:r>
      <w:proofErr w:type="spellEnd"/>
      <w:r w:rsidRPr="006A5B3D">
        <w:rPr>
          <w:sz w:val="24"/>
          <w:szCs w:val="24"/>
        </w:rPr>
        <w:t xml:space="preserve"> </w:t>
      </w:r>
      <w:proofErr w:type="spellStart"/>
      <w:r w:rsidRPr="006A5B3D">
        <w:rPr>
          <w:sz w:val="24"/>
          <w:szCs w:val="24"/>
        </w:rPr>
        <w:t>Vet</w:t>
      </w:r>
      <w:proofErr w:type="spellEnd"/>
      <w:r w:rsidRPr="006A5B3D">
        <w:rPr>
          <w:sz w:val="24"/>
          <w:szCs w:val="24"/>
        </w:rPr>
        <w:t>.</w:t>
      </w:r>
    </w:p>
    <w:p w:rsidR="006A5B3D" w:rsidRPr="006A5B3D" w:rsidRDefault="006A5B3D" w:rsidP="006A5B3D">
      <w:pPr>
        <w:ind w:left="567"/>
        <w:rPr>
          <w:sz w:val="24"/>
          <w:szCs w:val="24"/>
        </w:rPr>
      </w:pPr>
      <w:r w:rsidRPr="006A5B3D">
        <w:rPr>
          <w:sz w:val="24"/>
          <w:szCs w:val="24"/>
        </w:rPr>
        <w:t>Lægemiddelform: tabletter</w:t>
      </w:r>
    </w:p>
    <w:p w:rsidR="006A5B3D" w:rsidRPr="006A5B3D" w:rsidRDefault="006A5B3D" w:rsidP="006A5B3D">
      <w:pPr>
        <w:ind w:left="567"/>
        <w:rPr>
          <w:sz w:val="24"/>
          <w:szCs w:val="24"/>
        </w:rPr>
      </w:pPr>
      <w:r w:rsidRPr="006A5B3D">
        <w:rPr>
          <w:sz w:val="24"/>
          <w:szCs w:val="24"/>
        </w:rPr>
        <w:t>Styrke: 500 mg</w:t>
      </w:r>
    </w:p>
    <w:p w:rsidR="006A5B3D" w:rsidRPr="006A5B3D" w:rsidRDefault="006A5B3D" w:rsidP="006A5B3D">
      <w:pPr>
        <w:ind w:left="567"/>
        <w:rPr>
          <w:sz w:val="24"/>
          <w:szCs w:val="24"/>
        </w:rPr>
      </w:pPr>
    </w:p>
    <w:p w:rsidR="006A5B3D" w:rsidRPr="006A5B3D" w:rsidRDefault="006A5B3D" w:rsidP="006A5B3D">
      <w:pPr>
        <w:ind w:left="567"/>
        <w:rPr>
          <w:sz w:val="24"/>
          <w:szCs w:val="24"/>
        </w:rPr>
      </w:pPr>
      <w:proofErr w:type="spellStart"/>
      <w:r w:rsidRPr="006A5B3D">
        <w:rPr>
          <w:sz w:val="24"/>
          <w:szCs w:val="24"/>
        </w:rPr>
        <w:t>Cefabactin</w:t>
      </w:r>
      <w:proofErr w:type="spellEnd"/>
      <w:r w:rsidRPr="006A5B3D">
        <w:rPr>
          <w:sz w:val="24"/>
          <w:szCs w:val="24"/>
        </w:rPr>
        <w:t xml:space="preserve"> </w:t>
      </w:r>
      <w:proofErr w:type="spellStart"/>
      <w:r w:rsidRPr="006A5B3D">
        <w:rPr>
          <w:sz w:val="24"/>
          <w:szCs w:val="24"/>
        </w:rPr>
        <w:t>Vet</w:t>
      </w:r>
      <w:proofErr w:type="spellEnd"/>
      <w:r w:rsidRPr="006A5B3D">
        <w:rPr>
          <w:sz w:val="24"/>
          <w:szCs w:val="24"/>
        </w:rPr>
        <w:t>.</w:t>
      </w:r>
    </w:p>
    <w:p w:rsidR="006A5B3D" w:rsidRPr="006A5B3D" w:rsidRDefault="006A5B3D" w:rsidP="006A5B3D">
      <w:pPr>
        <w:ind w:left="567"/>
        <w:rPr>
          <w:sz w:val="24"/>
          <w:szCs w:val="24"/>
        </w:rPr>
      </w:pPr>
      <w:r w:rsidRPr="006A5B3D">
        <w:rPr>
          <w:sz w:val="24"/>
          <w:szCs w:val="24"/>
        </w:rPr>
        <w:t>Lægemiddelform: tabletter</w:t>
      </w:r>
    </w:p>
    <w:p w:rsidR="006A5B3D" w:rsidRPr="006A5B3D" w:rsidRDefault="006A5B3D" w:rsidP="006A5B3D">
      <w:pPr>
        <w:ind w:left="567"/>
        <w:rPr>
          <w:sz w:val="24"/>
          <w:szCs w:val="24"/>
        </w:rPr>
      </w:pPr>
      <w:r w:rsidRPr="006A5B3D">
        <w:rPr>
          <w:sz w:val="24"/>
          <w:szCs w:val="24"/>
        </w:rPr>
        <w:t>Styrke: 1000 mg</w:t>
      </w:r>
    </w:p>
    <w:p w:rsidR="006A5B3D" w:rsidRPr="006A5B3D" w:rsidRDefault="006A5B3D" w:rsidP="006A5B3D">
      <w:pPr>
        <w:rPr>
          <w:sz w:val="24"/>
          <w:szCs w:val="24"/>
        </w:rPr>
      </w:pP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2.</w:t>
      </w:r>
      <w:r w:rsidRPr="006A5B3D">
        <w:rPr>
          <w:sz w:val="24"/>
          <w:szCs w:val="24"/>
        </w:rPr>
        <w:tab/>
        <w:t>KVALITATIV OG KVANTITATIV SAMMENSÆTNING</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Hver tablet indeholder:</w:t>
      </w:r>
    </w:p>
    <w:p w:rsidR="006A5B3D" w:rsidRPr="006A5B3D" w:rsidRDefault="006A5B3D" w:rsidP="006A5B3D">
      <w:pPr>
        <w:ind w:left="567"/>
        <w:rPr>
          <w:sz w:val="24"/>
          <w:szCs w:val="24"/>
        </w:rPr>
      </w:pPr>
    </w:p>
    <w:p w:rsidR="006A5B3D" w:rsidRPr="006A5B3D" w:rsidRDefault="006A5B3D" w:rsidP="006A5B3D">
      <w:pPr>
        <w:ind w:left="567"/>
        <w:rPr>
          <w:b/>
          <w:sz w:val="24"/>
          <w:szCs w:val="24"/>
        </w:rPr>
      </w:pPr>
      <w:r w:rsidRPr="006A5B3D">
        <w:rPr>
          <w:b/>
          <w:sz w:val="24"/>
          <w:szCs w:val="24"/>
        </w:rPr>
        <w:t>Aktivt stof:</w:t>
      </w:r>
    </w:p>
    <w:p w:rsidR="006A5B3D" w:rsidRPr="006A5B3D" w:rsidRDefault="006A5B3D" w:rsidP="006A5B3D">
      <w:pPr>
        <w:ind w:left="567"/>
        <w:rPr>
          <w:sz w:val="24"/>
          <w:szCs w:val="24"/>
        </w:rPr>
      </w:pPr>
      <w:r w:rsidRPr="006A5B3D">
        <w:rPr>
          <w:sz w:val="24"/>
          <w:szCs w:val="24"/>
        </w:rPr>
        <w:t xml:space="preserve">500 mg: </w:t>
      </w:r>
      <w:r w:rsidRPr="006A5B3D">
        <w:rPr>
          <w:sz w:val="24"/>
          <w:szCs w:val="24"/>
        </w:rPr>
        <w:tab/>
      </w:r>
      <w:proofErr w:type="spellStart"/>
      <w:r w:rsidRPr="006A5B3D">
        <w:rPr>
          <w:sz w:val="24"/>
          <w:szCs w:val="24"/>
        </w:rPr>
        <w:t>Cefalexin</w:t>
      </w:r>
      <w:proofErr w:type="spellEnd"/>
      <w:r w:rsidRPr="006A5B3D">
        <w:rPr>
          <w:sz w:val="24"/>
          <w:szCs w:val="24"/>
        </w:rPr>
        <w:t xml:space="preserve"> (som </w:t>
      </w:r>
      <w:proofErr w:type="spellStart"/>
      <w:r w:rsidRPr="006A5B3D">
        <w:rPr>
          <w:sz w:val="24"/>
          <w:szCs w:val="24"/>
        </w:rPr>
        <w:t>cefalexinmonohydrat</w:t>
      </w:r>
      <w:proofErr w:type="spellEnd"/>
      <w:r w:rsidRPr="006A5B3D">
        <w:rPr>
          <w:sz w:val="24"/>
          <w:szCs w:val="24"/>
        </w:rPr>
        <w:t>)</w:t>
      </w:r>
      <w:r w:rsidRPr="006A5B3D">
        <w:rPr>
          <w:sz w:val="24"/>
          <w:szCs w:val="24"/>
        </w:rPr>
        <w:tab/>
        <w:t>500 mg</w:t>
      </w:r>
    </w:p>
    <w:p w:rsidR="006A5B3D" w:rsidRPr="006A5B3D" w:rsidRDefault="006A5B3D" w:rsidP="006A5B3D">
      <w:pPr>
        <w:ind w:left="567"/>
        <w:rPr>
          <w:sz w:val="24"/>
          <w:szCs w:val="24"/>
        </w:rPr>
      </w:pPr>
      <w:r w:rsidRPr="006A5B3D">
        <w:rPr>
          <w:sz w:val="24"/>
          <w:szCs w:val="24"/>
        </w:rPr>
        <w:t xml:space="preserve">1000 mg: </w:t>
      </w:r>
      <w:r w:rsidRPr="006A5B3D">
        <w:rPr>
          <w:sz w:val="24"/>
          <w:szCs w:val="24"/>
        </w:rPr>
        <w:tab/>
      </w:r>
      <w:proofErr w:type="spellStart"/>
      <w:r w:rsidRPr="006A5B3D">
        <w:rPr>
          <w:sz w:val="24"/>
          <w:szCs w:val="24"/>
        </w:rPr>
        <w:t>Cefalexin</w:t>
      </w:r>
      <w:proofErr w:type="spellEnd"/>
      <w:r w:rsidRPr="006A5B3D">
        <w:rPr>
          <w:sz w:val="24"/>
          <w:szCs w:val="24"/>
        </w:rPr>
        <w:t xml:space="preserve"> (som </w:t>
      </w:r>
      <w:proofErr w:type="spellStart"/>
      <w:r w:rsidRPr="006A5B3D">
        <w:rPr>
          <w:sz w:val="24"/>
          <w:szCs w:val="24"/>
        </w:rPr>
        <w:t>cefalexinmonohydrat</w:t>
      </w:r>
      <w:proofErr w:type="spellEnd"/>
      <w:r w:rsidRPr="006A5B3D">
        <w:rPr>
          <w:sz w:val="24"/>
          <w:szCs w:val="24"/>
        </w:rPr>
        <w:t>)</w:t>
      </w:r>
      <w:r w:rsidRPr="006A5B3D">
        <w:rPr>
          <w:sz w:val="24"/>
          <w:szCs w:val="24"/>
        </w:rPr>
        <w:tab/>
        <w:t>1000 mg</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b/>
          <w:sz w:val="24"/>
          <w:szCs w:val="24"/>
        </w:rPr>
        <w:t>Hjælpestoffer:</w:t>
      </w:r>
      <w:r w:rsidRPr="006A5B3D" w:rsidDel="00FF75E1">
        <w:rPr>
          <w:sz w:val="24"/>
          <w:szCs w:val="24"/>
        </w:rPr>
        <w:t xml:space="preserve"> </w:t>
      </w:r>
    </w:p>
    <w:p w:rsidR="006A5B3D" w:rsidRPr="006A5B3D" w:rsidRDefault="006A5B3D" w:rsidP="006A5B3D">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6A5B3D" w:rsidRPr="006A5B3D" w:rsidTr="006A5B3D">
        <w:tc>
          <w:tcPr>
            <w:tcW w:w="4518" w:type="dxa"/>
            <w:shd w:val="clear" w:color="auto" w:fill="auto"/>
            <w:vAlign w:val="center"/>
          </w:tcPr>
          <w:p w:rsidR="006A5B3D" w:rsidRPr="006A5B3D" w:rsidRDefault="006A5B3D" w:rsidP="00327BBC">
            <w:pPr>
              <w:spacing w:before="60" w:after="60"/>
              <w:rPr>
                <w:b/>
                <w:bCs/>
                <w:iCs/>
                <w:sz w:val="24"/>
                <w:szCs w:val="24"/>
              </w:rPr>
            </w:pPr>
            <w:r w:rsidRPr="006A5B3D">
              <w:rPr>
                <w:b/>
                <w:bCs/>
                <w:iCs/>
                <w:sz w:val="24"/>
                <w:szCs w:val="24"/>
              </w:rPr>
              <w:t>Kvalitativ sammensætning af hjælpestoffer og andre bestanddele</w:t>
            </w:r>
          </w:p>
        </w:tc>
      </w:tr>
      <w:tr w:rsidR="006A5B3D" w:rsidRPr="006A5B3D" w:rsidTr="006A5B3D">
        <w:tc>
          <w:tcPr>
            <w:tcW w:w="4518" w:type="dxa"/>
            <w:shd w:val="clear" w:color="auto" w:fill="auto"/>
            <w:vAlign w:val="center"/>
          </w:tcPr>
          <w:p w:rsidR="006A5B3D" w:rsidRPr="006A5B3D" w:rsidRDefault="006A5B3D" w:rsidP="00327BBC">
            <w:pPr>
              <w:spacing w:before="60" w:after="60"/>
              <w:ind w:left="567" w:hanging="567"/>
              <w:rPr>
                <w:iCs/>
                <w:sz w:val="24"/>
                <w:szCs w:val="24"/>
              </w:rPr>
            </w:pPr>
            <w:proofErr w:type="spellStart"/>
            <w:r w:rsidRPr="006A5B3D">
              <w:rPr>
                <w:iCs/>
                <w:sz w:val="24"/>
                <w:szCs w:val="24"/>
              </w:rPr>
              <w:t>Lactosemonohydrat</w:t>
            </w:r>
            <w:proofErr w:type="spellEnd"/>
          </w:p>
        </w:tc>
      </w:tr>
      <w:tr w:rsidR="006A5B3D" w:rsidRPr="006A5B3D" w:rsidTr="006A5B3D">
        <w:tc>
          <w:tcPr>
            <w:tcW w:w="4518" w:type="dxa"/>
            <w:shd w:val="clear" w:color="auto" w:fill="auto"/>
            <w:vAlign w:val="center"/>
          </w:tcPr>
          <w:p w:rsidR="006A5B3D" w:rsidRPr="006A5B3D" w:rsidRDefault="006A5B3D" w:rsidP="00327BBC">
            <w:pPr>
              <w:spacing w:before="60" w:after="60"/>
              <w:rPr>
                <w:iCs/>
                <w:sz w:val="24"/>
                <w:szCs w:val="24"/>
              </w:rPr>
            </w:pPr>
            <w:r w:rsidRPr="006A5B3D">
              <w:rPr>
                <w:iCs/>
                <w:sz w:val="24"/>
                <w:szCs w:val="24"/>
              </w:rPr>
              <w:t>Kartoffelstivelse</w:t>
            </w:r>
          </w:p>
        </w:tc>
      </w:tr>
      <w:tr w:rsidR="006A5B3D" w:rsidRPr="006A5B3D" w:rsidTr="006A5B3D">
        <w:tc>
          <w:tcPr>
            <w:tcW w:w="4518" w:type="dxa"/>
            <w:shd w:val="clear" w:color="auto" w:fill="auto"/>
            <w:vAlign w:val="center"/>
          </w:tcPr>
          <w:p w:rsidR="006A5B3D" w:rsidRPr="006A5B3D" w:rsidRDefault="006A5B3D" w:rsidP="00327BBC">
            <w:pPr>
              <w:spacing w:before="60" w:after="60"/>
              <w:rPr>
                <w:iCs/>
                <w:sz w:val="24"/>
                <w:szCs w:val="24"/>
              </w:rPr>
            </w:pPr>
            <w:proofErr w:type="spellStart"/>
            <w:r w:rsidRPr="006A5B3D">
              <w:rPr>
                <w:iCs/>
                <w:sz w:val="24"/>
                <w:szCs w:val="24"/>
              </w:rPr>
              <w:t>Silica</w:t>
            </w:r>
            <w:proofErr w:type="spellEnd"/>
            <w:r w:rsidRPr="006A5B3D">
              <w:rPr>
                <w:iCs/>
                <w:sz w:val="24"/>
                <w:szCs w:val="24"/>
              </w:rPr>
              <w:t>, kolloid hydreret</w:t>
            </w:r>
          </w:p>
        </w:tc>
      </w:tr>
      <w:tr w:rsidR="006A5B3D" w:rsidRPr="006A5B3D" w:rsidTr="006A5B3D">
        <w:tc>
          <w:tcPr>
            <w:tcW w:w="4518" w:type="dxa"/>
            <w:shd w:val="clear" w:color="auto" w:fill="auto"/>
            <w:vAlign w:val="center"/>
          </w:tcPr>
          <w:p w:rsidR="006A5B3D" w:rsidRPr="006A5B3D" w:rsidRDefault="006A5B3D" w:rsidP="00327BBC">
            <w:pPr>
              <w:spacing w:before="60" w:after="60"/>
              <w:ind w:left="567" w:hanging="567"/>
              <w:rPr>
                <w:b/>
                <w:bCs/>
                <w:iCs/>
                <w:sz w:val="24"/>
                <w:szCs w:val="24"/>
              </w:rPr>
            </w:pPr>
            <w:r w:rsidRPr="006A5B3D">
              <w:rPr>
                <w:bCs/>
                <w:iCs/>
                <w:sz w:val="24"/>
                <w:szCs w:val="24"/>
              </w:rPr>
              <w:t>Gær (tørret)</w:t>
            </w:r>
          </w:p>
        </w:tc>
      </w:tr>
      <w:tr w:rsidR="006A5B3D" w:rsidRPr="006A5B3D" w:rsidTr="006A5B3D">
        <w:tc>
          <w:tcPr>
            <w:tcW w:w="4518" w:type="dxa"/>
            <w:shd w:val="clear" w:color="auto" w:fill="auto"/>
            <w:vAlign w:val="center"/>
          </w:tcPr>
          <w:p w:rsidR="006A5B3D" w:rsidRPr="006A5B3D" w:rsidRDefault="006A5B3D" w:rsidP="00327BBC">
            <w:pPr>
              <w:spacing w:before="60" w:after="60"/>
              <w:rPr>
                <w:iCs/>
                <w:sz w:val="24"/>
                <w:szCs w:val="24"/>
              </w:rPr>
            </w:pPr>
            <w:r w:rsidRPr="006A5B3D">
              <w:rPr>
                <w:iCs/>
                <w:sz w:val="24"/>
                <w:szCs w:val="24"/>
              </w:rPr>
              <w:t>Kyllingesmag</w:t>
            </w:r>
          </w:p>
        </w:tc>
      </w:tr>
      <w:tr w:rsidR="006A5B3D" w:rsidRPr="006A5B3D" w:rsidTr="006A5B3D">
        <w:tc>
          <w:tcPr>
            <w:tcW w:w="4518" w:type="dxa"/>
            <w:shd w:val="clear" w:color="auto" w:fill="auto"/>
            <w:vAlign w:val="center"/>
          </w:tcPr>
          <w:p w:rsidR="006A5B3D" w:rsidRPr="006A5B3D" w:rsidRDefault="006A5B3D" w:rsidP="00327BBC">
            <w:pPr>
              <w:spacing w:before="60" w:after="60"/>
              <w:rPr>
                <w:iCs/>
                <w:sz w:val="24"/>
                <w:szCs w:val="24"/>
              </w:rPr>
            </w:pPr>
            <w:proofErr w:type="spellStart"/>
            <w:r w:rsidRPr="006A5B3D">
              <w:rPr>
                <w:iCs/>
                <w:sz w:val="24"/>
                <w:szCs w:val="24"/>
              </w:rPr>
              <w:t>Magnesiumstearat</w:t>
            </w:r>
            <w:proofErr w:type="spellEnd"/>
          </w:p>
        </w:tc>
      </w:tr>
    </w:tbl>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Lysebrun med brune prikker, rund og konveks tablet med smag med en </w:t>
      </w:r>
      <w:proofErr w:type="spellStart"/>
      <w:r w:rsidRPr="006A5B3D">
        <w:rPr>
          <w:sz w:val="24"/>
          <w:szCs w:val="24"/>
        </w:rPr>
        <w:t>krydsformet</w:t>
      </w:r>
      <w:proofErr w:type="spellEnd"/>
      <w:r w:rsidRPr="006A5B3D">
        <w:rPr>
          <w:sz w:val="24"/>
          <w:szCs w:val="24"/>
        </w:rPr>
        <w:t xml:space="preserve"> delekærv på den ene side.</w:t>
      </w:r>
    </w:p>
    <w:p w:rsidR="006A5B3D" w:rsidRPr="006A5B3D" w:rsidRDefault="006A5B3D" w:rsidP="006A5B3D">
      <w:pPr>
        <w:ind w:left="567"/>
        <w:rPr>
          <w:sz w:val="24"/>
          <w:szCs w:val="24"/>
        </w:rPr>
      </w:pPr>
      <w:r w:rsidRPr="006A5B3D">
        <w:rPr>
          <w:sz w:val="24"/>
          <w:szCs w:val="24"/>
        </w:rPr>
        <w:t>Tabletten kan deles i to eller fire lige store dele.</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w:t>
      </w:r>
      <w:r w:rsidRPr="006A5B3D">
        <w:rPr>
          <w:sz w:val="24"/>
          <w:szCs w:val="24"/>
        </w:rPr>
        <w:tab/>
        <w:t>KLINISKE OPLYSNINGER</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3.1</w:t>
      </w:r>
      <w:r w:rsidRPr="006A5B3D">
        <w:rPr>
          <w:sz w:val="24"/>
          <w:szCs w:val="24"/>
        </w:rPr>
        <w:tab/>
        <w:t>Dyrearter, som lægemidlet er beregnet til</w:t>
      </w:r>
    </w:p>
    <w:p w:rsidR="006A5B3D" w:rsidRPr="006A5B3D" w:rsidRDefault="006A5B3D" w:rsidP="006A5B3D">
      <w:pPr>
        <w:rPr>
          <w:sz w:val="24"/>
          <w:szCs w:val="24"/>
        </w:rPr>
      </w:pPr>
    </w:p>
    <w:p w:rsidR="006A5B3D" w:rsidRPr="006A5B3D" w:rsidRDefault="006A5B3D" w:rsidP="006A5B3D">
      <w:pPr>
        <w:ind w:firstLine="567"/>
        <w:rPr>
          <w:sz w:val="24"/>
          <w:szCs w:val="24"/>
        </w:rPr>
      </w:pPr>
      <w:r w:rsidRPr="006A5B3D">
        <w:rPr>
          <w:sz w:val="24"/>
          <w:szCs w:val="24"/>
        </w:rPr>
        <w:t>Hund.</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3.2</w:t>
      </w:r>
      <w:r w:rsidRPr="006A5B3D">
        <w:rPr>
          <w:sz w:val="24"/>
          <w:szCs w:val="24"/>
        </w:rPr>
        <w:tab/>
        <w:t>Terapeutiske indikationer for hver dyreart, som lægemidlet er beregnet til</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Til behandling af: </w:t>
      </w:r>
    </w:p>
    <w:p w:rsidR="006A5B3D" w:rsidRPr="006A5B3D" w:rsidRDefault="006A5B3D" w:rsidP="006A5B3D">
      <w:pPr>
        <w:pStyle w:val="Listeafsnit"/>
        <w:numPr>
          <w:ilvl w:val="0"/>
          <w:numId w:val="7"/>
        </w:numPr>
        <w:ind w:left="993"/>
        <w:rPr>
          <w:sz w:val="24"/>
          <w:szCs w:val="24"/>
        </w:rPr>
      </w:pPr>
      <w:r w:rsidRPr="006A5B3D">
        <w:rPr>
          <w:sz w:val="24"/>
          <w:szCs w:val="24"/>
        </w:rPr>
        <w:t xml:space="preserve">Luftvejsinfektioner, især </w:t>
      </w:r>
      <w:proofErr w:type="spellStart"/>
      <w:r w:rsidRPr="006A5B3D">
        <w:rPr>
          <w:sz w:val="24"/>
          <w:szCs w:val="24"/>
        </w:rPr>
        <w:t>bronkopneumoni</w:t>
      </w:r>
      <w:proofErr w:type="spellEnd"/>
      <w:r w:rsidRPr="006A5B3D">
        <w:rPr>
          <w:sz w:val="24"/>
          <w:szCs w:val="24"/>
        </w:rPr>
        <w:t xml:space="preserve">, forårsaget af </w:t>
      </w:r>
      <w:proofErr w:type="spellStart"/>
      <w:r w:rsidRPr="006A5B3D">
        <w:rPr>
          <w:i/>
          <w:iCs/>
          <w:sz w:val="24"/>
          <w:szCs w:val="24"/>
        </w:rPr>
        <w:t>Staphylococcus</w:t>
      </w:r>
      <w:proofErr w:type="spellEnd"/>
      <w:r w:rsidRPr="006A5B3D">
        <w:rPr>
          <w:i/>
          <w:iCs/>
          <w:sz w:val="24"/>
          <w:szCs w:val="24"/>
        </w:rPr>
        <w:t xml:space="preserve"> aureus</w:t>
      </w:r>
      <w:r w:rsidRPr="006A5B3D">
        <w:rPr>
          <w:sz w:val="24"/>
          <w:szCs w:val="24"/>
        </w:rPr>
        <w:t xml:space="preserve">, </w:t>
      </w:r>
      <w:proofErr w:type="spellStart"/>
      <w:r w:rsidRPr="006A5B3D">
        <w:rPr>
          <w:i/>
          <w:iCs/>
          <w:sz w:val="24"/>
          <w:szCs w:val="24"/>
        </w:rPr>
        <w:t>Streptococcus</w:t>
      </w:r>
      <w:proofErr w:type="spellEnd"/>
      <w:r w:rsidRPr="006A5B3D">
        <w:rPr>
          <w:sz w:val="24"/>
          <w:szCs w:val="24"/>
        </w:rPr>
        <w:t xml:space="preserve"> </w:t>
      </w:r>
      <w:proofErr w:type="spellStart"/>
      <w:r w:rsidRPr="006A5B3D">
        <w:rPr>
          <w:sz w:val="24"/>
          <w:szCs w:val="24"/>
        </w:rPr>
        <w:t>spp</w:t>
      </w:r>
      <w:proofErr w:type="spellEnd"/>
      <w:r w:rsidRPr="006A5B3D">
        <w:rPr>
          <w:sz w:val="24"/>
          <w:szCs w:val="24"/>
        </w:rPr>
        <w:t xml:space="preserve">., </w:t>
      </w:r>
      <w:r w:rsidRPr="006A5B3D">
        <w:rPr>
          <w:i/>
          <w:iCs/>
          <w:sz w:val="24"/>
          <w:szCs w:val="24"/>
        </w:rPr>
        <w:t xml:space="preserve">Escherichia coli </w:t>
      </w:r>
      <w:r w:rsidRPr="006A5B3D">
        <w:rPr>
          <w:sz w:val="24"/>
          <w:szCs w:val="24"/>
        </w:rPr>
        <w:t xml:space="preserve">og </w:t>
      </w:r>
      <w:proofErr w:type="spellStart"/>
      <w:r w:rsidRPr="006A5B3D">
        <w:rPr>
          <w:i/>
          <w:iCs/>
          <w:sz w:val="24"/>
          <w:szCs w:val="24"/>
        </w:rPr>
        <w:t>Klebsiella</w:t>
      </w:r>
      <w:proofErr w:type="spellEnd"/>
      <w:r w:rsidRPr="006A5B3D">
        <w:rPr>
          <w:sz w:val="24"/>
          <w:szCs w:val="24"/>
        </w:rPr>
        <w:t xml:space="preserve"> </w:t>
      </w:r>
      <w:proofErr w:type="spellStart"/>
      <w:r w:rsidRPr="006A5B3D">
        <w:rPr>
          <w:sz w:val="24"/>
          <w:szCs w:val="24"/>
        </w:rPr>
        <w:t>spp</w:t>
      </w:r>
      <w:proofErr w:type="spellEnd"/>
      <w:r w:rsidRPr="006A5B3D">
        <w:rPr>
          <w:sz w:val="24"/>
          <w:szCs w:val="24"/>
        </w:rPr>
        <w:t>.</w:t>
      </w:r>
    </w:p>
    <w:p w:rsidR="006A5B3D" w:rsidRPr="006A5B3D" w:rsidRDefault="006A5B3D" w:rsidP="006A5B3D">
      <w:pPr>
        <w:pStyle w:val="Listeafsnit"/>
        <w:numPr>
          <w:ilvl w:val="0"/>
          <w:numId w:val="7"/>
        </w:numPr>
        <w:ind w:left="993"/>
        <w:rPr>
          <w:sz w:val="24"/>
          <w:szCs w:val="24"/>
        </w:rPr>
      </w:pPr>
      <w:r w:rsidRPr="006A5B3D">
        <w:rPr>
          <w:sz w:val="24"/>
          <w:szCs w:val="24"/>
        </w:rPr>
        <w:t xml:space="preserve">Urinvejsinfektioner forårsaget af </w:t>
      </w:r>
      <w:r w:rsidRPr="006A5B3D">
        <w:rPr>
          <w:i/>
          <w:iCs/>
          <w:sz w:val="24"/>
          <w:szCs w:val="24"/>
        </w:rPr>
        <w:t>Escherichia coli</w:t>
      </w:r>
      <w:r w:rsidRPr="006A5B3D">
        <w:rPr>
          <w:sz w:val="24"/>
          <w:szCs w:val="24"/>
        </w:rPr>
        <w:t xml:space="preserve">, </w:t>
      </w:r>
      <w:r w:rsidRPr="006A5B3D">
        <w:rPr>
          <w:i/>
          <w:iCs/>
          <w:sz w:val="24"/>
          <w:szCs w:val="24"/>
        </w:rPr>
        <w:t>Proteus</w:t>
      </w:r>
      <w:r w:rsidRPr="006A5B3D">
        <w:rPr>
          <w:sz w:val="24"/>
          <w:szCs w:val="24"/>
        </w:rPr>
        <w:t xml:space="preserve"> </w:t>
      </w:r>
      <w:proofErr w:type="spellStart"/>
      <w:r w:rsidRPr="006A5B3D">
        <w:rPr>
          <w:sz w:val="24"/>
          <w:szCs w:val="24"/>
        </w:rPr>
        <w:t>spp</w:t>
      </w:r>
      <w:proofErr w:type="spellEnd"/>
      <w:r w:rsidRPr="006A5B3D">
        <w:rPr>
          <w:sz w:val="24"/>
          <w:szCs w:val="24"/>
        </w:rPr>
        <w:t xml:space="preserve">. og </w:t>
      </w:r>
      <w:proofErr w:type="spellStart"/>
      <w:r w:rsidRPr="006A5B3D">
        <w:rPr>
          <w:i/>
          <w:iCs/>
          <w:sz w:val="24"/>
          <w:szCs w:val="24"/>
        </w:rPr>
        <w:t>Staphylococcus</w:t>
      </w:r>
      <w:proofErr w:type="spellEnd"/>
      <w:r w:rsidRPr="006A5B3D">
        <w:rPr>
          <w:sz w:val="24"/>
          <w:szCs w:val="24"/>
        </w:rPr>
        <w:t xml:space="preserve"> </w:t>
      </w:r>
      <w:proofErr w:type="spellStart"/>
      <w:r w:rsidRPr="006A5B3D">
        <w:rPr>
          <w:sz w:val="24"/>
          <w:szCs w:val="24"/>
        </w:rPr>
        <w:t>spp</w:t>
      </w:r>
      <w:proofErr w:type="spellEnd"/>
      <w:r w:rsidRPr="006A5B3D">
        <w:rPr>
          <w:sz w:val="24"/>
          <w:szCs w:val="24"/>
        </w:rPr>
        <w:t>.</w:t>
      </w:r>
    </w:p>
    <w:p w:rsidR="006A5B3D" w:rsidRPr="006A5B3D" w:rsidRDefault="006A5B3D" w:rsidP="006A5B3D">
      <w:pPr>
        <w:pStyle w:val="Listeafsnit"/>
        <w:numPr>
          <w:ilvl w:val="0"/>
          <w:numId w:val="7"/>
        </w:numPr>
        <w:ind w:left="993"/>
        <w:rPr>
          <w:sz w:val="24"/>
          <w:szCs w:val="24"/>
        </w:rPr>
      </w:pPr>
      <w:r w:rsidRPr="006A5B3D">
        <w:rPr>
          <w:sz w:val="24"/>
          <w:szCs w:val="24"/>
        </w:rPr>
        <w:t xml:space="preserve">Hudinfektioner forårsaget af </w:t>
      </w:r>
      <w:proofErr w:type="spellStart"/>
      <w:r w:rsidRPr="006A5B3D">
        <w:rPr>
          <w:i/>
          <w:iCs/>
          <w:sz w:val="24"/>
          <w:szCs w:val="24"/>
        </w:rPr>
        <w:t>Staphylococcus</w:t>
      </w:r>
      <w:proofErr w:type="spellEnd"/>
      <w:r w:rsidRPr="006A5B3D">
        <w:rPr>
          <w:sz w:val="24"/>
          <w:szCs w:val="24"/>
        </w:rPr>
        <w:t xml:space="preserve"> </w:t>
      </w:r>
      <w:proofErr w:type="spellStart"/>
      <w:r w:rsidRPr="006A5B3D">
        <w:rPr>
          <w:sz w:val="24"/>
          <w:szCs w:val="24"/>
        </w:rPr>
        <w:t>spp</w:t>
      </w:r>
      <w:proofErr w:type="spellEnd"/>
      <w:r w:rsidRPr="006A5B3D">
        <w:rPr>
          <w:sz w:val="24"/>
          <w:szCs w:val="24"/>
        </w:rPr>
        <w:t>.</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3.3</w:t>
      </w:r>
      <w:r w:rsidRPr="006A5B3D">
        <w:rPr>
          <w:sz w:val="24"/>
          <w:szCs w:val="24"/>
        </w:rPr>
        <w:tab/>
        <w:t>Kontraindikationer</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Må ikke anvendes i tilfælde af overfølsomhed over for det aktive stof, andre </w:t>
      </w:r>
      <w:proofErr w:type="spellStart"/>
      <w:r w:rsidRPr="006A5B3D">
        <w:rPr>
          <w:sz w:val="24"/>
          <w:szCs w:val="24"/>
        </w:rPr>
        <w:t>cefalosporiner</w:t>
      </w:r>
      <w:proofErr w:type="spellEnd"/>
      <w:r w:rsidRPr="006A5B3D">
        <w:rPr>
          <w:sz w:val="24"/>
          <w:szCs w:val="24"/>
        </w:rPr>
        <w:t>, andre stoffer, der tilhører β-</w:t>
      </w:r>
      <w:proofErr w:type="spellStart"/>
      <w:r w:rsidRPr="006A5B3D">
        <w:rPr>
          <w:sz w:val="24"/>
          <w:szCs w:val="24"/>
        </w:rPr>
        <w:t>lactamgruppen</w:t>
      </w:r>
      <w:proofErr w:type="spellEnd"/>
      <w:r w:rsidRPr="006A5B3D">
        <w:rPr>
          <w:sz w:val="24"/>
          <w:szCs w:val="24"/>
        </w:rPr>
        <w:t xml:space="preserve">, eller over for et eller flere af hjælpestofferne. </w:t>
      </w:r>
    </w:p>
    <w:p w:rsidR="006A5B3D" w:rsidRPr="006A5B3D" w:rsidRDefault="006A5B3D" w:rsidP="006A5B3D">
      <w:pPr>
        <w:ind w:left="567"/>
        <w:rPr>
          <w:sz w:val="24"/>
          <w:szCs w:val="24"/>
        </w:rPr>
      </w:pPr>
      <w:r w:rsidRPr="006A5B3D">
        <w:rPr>
          <w:sz w:val="24"/>
          <w:szCs w:val="24"/>
        </w:rPr>
        <w:t xml:space="preserve">Må ikke anvendes i kendte tilfælde af modstandsdygtighed over for </w:t>
      </w:r>
      <w:proofErr w:type="spellStart"/>
      <w:r w:rsidRPr="006A5B3D">
        <w:rPr>
          <w:sz w:val="24"/>
          <w:szCs w:val="24"/>
        </w:rPr>
        <w:t>cefalosporiner</w:t>
      </w:r>
      <w:proofErr w:type="spellEnd"/>
      <w:r w:rsidRPr="006A5B3D">
        <w:rPr>
          <w:sz w:val="24"/>
          <w:szCs w:val="24"/>
        </w:rPr>
        <w:t xml:space="preserve"> eller penicilliner.</w:t>
      </w:r>
    </w:p>
    <w:p w:rsidR="006A5B3D" w:rsidRPr="006A5B3D" w:rsidRDefault="006A5B3D" w:rsidP="006A5B3D">
      <w:pPr>
        <w:ind w:left="567"/>
        <w:rPr>
          <w:sz w:val="24"/>
          <w:szCs w:val="24"/>
        </w:rPr>
      </w:pPr>
      <w:r w:rsidRPr="006A5B3D">
        <w:rPr>
          <w:sz w:val="24"/>
          <w:szCs w:val="24"/>
        </w:rPr>
        <w:t>Må ikke anvendes til kaniner, marsvin, hamstere og ørkenrotter.</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3.4</w:t>
      </w:r>
      <w:r w:rsidRPr="006A5B3D">
        <w:rPr>
          <w:sz w:val="24"/>
          <w:szCs w:val="24"/>
        </w:rPr>
        <w:tab/>
        <w:t>Særlige advarsler</w:t>
      </w:r>
    </w:p>
    <w:p w:rsidR="006A5B3D" w:rsidRPr="006A5B3D" w:rsidRDefault="006A5B3D" w:rsidP="006A5B3D">
      <w:pPr>
        <w:rPr>
          <w:sz w:val="24"/>
          <w:szCs w:val="24"/>
        </w:rPr>
      </w:pPr>
    </w:p>
    <w:p w:rsidR="006A5B3D" w:rsidRPr="006A5B3D" w:rsidRDefault="006A5B3D" w:rsidP="006A5B3D">
      <w:pPr>
        <w:ind w:firstLine="567"/>
        <w:rPr>
          <w:sz w:val="24"/>
          <w:szCs w:val="24"/>
        </w:rPr>
      </w:pPr>
      <w:r w:rsidRPr="006A5B3D">
        <w:rPr>
          <w:sz w:val="24"/>
          <w:szCs w:val="24"/>
        </w:rPr>
        <w:t>Ingen.</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3.5</w:t>
      </w:r>
      <w:r w:rsidRPr="006A5B3D">
        <w:rPr>
          <w:sz w:val="24"/>
          <w:szCs w:val="24"/>
        </w:rPr>
        <w:tab/>
        <w:t>Særlige forholdsregler vedrørende brugen</w:t>
      </w:r>
    </w:p>
    <w:p w:rsidR="006A5B3D" w:rsidRPr="006A5B3D" w:rsidRDefault="006A5B3D" w:rsidP="006A5B3D">
      <w:pPr>
        <w:rPr>
          <w:sz w:val="24"/>
          <w:szCs w:val="24"/>
        </w:rPr>
      </w:pPr>
    </w:p>
    <w:p w:rsidR="006A5B3D" w:rsidRPr="006A5B3D" w:rsidRDefault="006A5B3D" w:rsidP="006A5B3D">
      <w:pPr>
        <w:ind w:left="567"/>
        <w:rPr>
          <w:sz w:val="24"/>
          <w:szCs w:val="24"/>
          <w:u w:val="single"/>
        </w:rPr>
      </w:pPr>
      <w:r w:rsidRPr="006A5B3D">
        <w:rPr>
          <w:sz w:val="24"/>
          <w:szCs w:val="24"/>
          <w:u w:val="single"/>
        </w:rPr>
        <w:t>Særlige forholdsregler vedrørende sikker brug hos de dyrearter, som lægemidlet er beregnet til:</w:t>
      </w:r>
    </w:p>
    <w:p w:rsidR="006A5B3D" w:rsidRPr="006A5B3D" w:rsidRDefault="006A5B3D" w:rsidP="006A5B3D">
      <w:pPr>
        <w:ind w:left="567"/>
        <w:rPr>
          <w:sz w:val="24"/>
          <w:szCs w:val="24"/>
        </w:rPr>
      </w:pPr>
      <w:r w:rsidRPr="006A5B3D">
        <w:rPr>
          <w:sz w:val="24"/>
          <w:szCs w:val="24"/>
        </w:rPr>
        <w:t xml:space="preserve">Da forekomsten af </w:t>
      </w:r>
      <w:proofErr w:type="spellStart"/>
      <w:r w:rsidRPr="006A5B3D">
        <w:rPr>
          <w:sz w:val="24"/>
          <w:szCs w:val="24"/>
        </w:rPr>
        <w:t>cefalexin</w:t>
      </w:r>
      <w:proofErr w:type="spellEnd"/>
      <w:r w:rsidRPr="006A5B3D">
        <w:rPr>
          <w:sz w:val="24"/>
          <w:szCs w:val="24"/>
        </w:rPr>
        <w:t>-resistente bakterier sandsynligvis varierer (tid og sted), anbefales bakteriologisk prøvetagning samt resistensbestemmelse.</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Veterinærlægemidlet bør kun bruges på baggrund af resistensbestemmelse af de bakterier, der blev isoleret fra dyrene. Hvis det ikke er muligt, skal behandlingen baseres på lokale epidemiologiske oplysninger.</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Brug af veterinærlægemidlet skal være i overensstemmelse med officiel, national og regional antimikrobiel politik.</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 xml:space="preserve">Anvendelse af veterinærlægemidlet, der afviger fra anvisningerne i produktresuméet, kan øge forekomsten af bakterier, der er resistente over for </w:t>
      </w:r>
      <w:proofErr w:type="spellStart"/>
      <w:r w:rsidRPr="006A5B3D">
        <w:rPr>
          <w:sz w:val="24"/>
          <w:szCs w:val="24"/>
        </w:rPr>
        <w:t>cefalexin</w:t>
      </w:r>
      <w:proofErr w:type="spellEnd"/>
      <w:r w:rsidRPr="006A5B3D">
        <w:rPr>
          <w:sz w:val="24"/>
          <w:szCs w:val="24"/>
        </w:rPr>
        <w:t>, og kan nedsætte effektiviteten af behandling med andre antibiotika mod beta-</w:t>
      </w:r>
      <w:proofErr w:type="spellStart"/>
      <w:r w:rsidRPr="006A5B3D">
        <w:rPr>
          <w:sz w:val="24"/>
          <w:szCs w:val="24"/>
        </w:rPr>
        <w:t>lactam</w:t>
      </w:r>
      <w:proofErr w:type="spellEnd"/>
      <w:r w:rsidRPr="006A5B3D">
        <w:rPr>
          <w:sz w:val="24"/>
          <w:szCs w:val="24"/>
        </w:rPr>
        <w:t xml:space="preserve"> pga. potentialet for krydsresistens.</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I tilfælde af kronisk nyreinsufficiens skal dosis reduceres, eller dosisintervallet skal øges.</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lastRenderedPageBreak/>
        <w:t>Tabletterne er tilsat smagsstoffer. For at undgå utilsigtet indtagelse skal tabletterne opbevares utilgængeligt for dyr.</w:t>
      </w:r>
    </w:p>
    <w:p w:rsidR="006A5B3D" w:rsidRPr="006A5B3D" w:rsidRDefault="006A5B3D" w:rsidP="006A5B3D">
      <w:pPr>
        <w:ind w:left="567"/>
        <w:rPr>
          <w:sz w:val="24"/>
          <w:szCs w:val="24"/>
        </w:rPr>
      </w:pPr>
    </w:p>
    <w:p w:rsidR="006A5B3D" w:rsidRPr="006A5B3D" w:rsidRDefault="006A5B3D" w:rsidP="006A5B3D">
      <w:pPr>
        <w:ind w:left="567"/>
        <w:rPr>
          <w:sz w:val="24"/>
          <w:szCs w:val="24"/>
          <w:u w:val="single"/>
        </w:rPr>
      </w:pPr>
      <w:r w:rsidRPr="006A5B3D">
        <w:rPr>
          <w:sz w:val="24"/>
          <w:szCs w:val="24"/>
          <w:u w:val="single"/>
        </w:rPr>
        <w:t>Særlige forholdsregler for personer, der administrerer veterinærlægemidlet til dyr:</w:t>
      </w:r>
    </w:p>
    <w:p w:rsidR="006A5B3D" w:rsidRPr="006A5B3D" w:rsidRDefault="006A5B3D" w:rsidP="006A5B3D">
      <w:pPr>
        <w:ind w:left="567"/>
        <w:rPr>
          <w:sz w:val="24"/>
          <w:szCs w:val="24"/>
        </w:rPr>
      </w:pPr>
      <w:bookmarkStart w:id="1" w:name="OLE_LINK1"/>
      <w:bookmarkStart w:id="2" w:name="OLE_LINK2"/>
      <w:r w:rsidRPr="006A5B3D">
        <w:rPr>
          <w:sz w:val="24"/>
          <w:szCs w:val="24"/>
        </w:rPr>
        <w:t xml:space="preserve">Penicilliner og </w:t>
      </w:r>
      <w:proofErr w:type="spellStart"/>
      <w:r w:rsidRPr="006A5B3D">
        <w:rPr>
          <w:sz w:val="24"/>
          <w:szCs w:val="24"/>
        </w:rPr>
        <w:t>cefalosporiner</w:t>
      </w:r>
      <w:proofErr w:type="spellEnd"/>
      <w:r w:rsidRPr="006A5B3D">
        <w:rPr>
          <w:sz w:val="24"/>
          <w:szCs w:val="24"/>
        </w:rPr>
        <w:t xml:space="preserve"> kan forårsage overfølsomhed (allergi) efter injektion, inhalation, indtagelse eller hudkontakt. Overfølsomhed over for penicillin kan resultere i krydsreaktioner over for </w:t>
      </w:r>
      <w:proofErr w:type="spellStart"/>
      <w:r w:rsidRPr="006A5B3D">
        <w:rPr>
          <w:sz w:val="24"/>
          <w:szCs w:val="24"/>
        </w:rPr>
        <w:t>cefalosporin</w:t>
      </w:r>
      <w:proofErr w:type="spellEnd"/>
      <w:r w:rsidRPr="006A5B3D">
        <w:rPr>
          <w:sz w:val="24"/>
          <w:szCs w:val="24"/>
        </w:rPr>
        <w:t xml:space="preserve"> og omvendt. Allergiske reaktioner over for disse stoffer kan af og til være alvorlige. Du må ikke håndtere dette veterinærlægemiddel, hvis du ved, du er følsom over for det, eller hvis du er blevet frarådet at komme i kontakt med sådanne stoffer.</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Håndtér veterinærlægemidlet med stor forsigtighed for at undgå eksponering og tag alle anbefalede forholdsregler. Hvis du udvikler symptomer såsom hududslæt, skal du søge lægehjælp og vise lægen denne advarsel. Hævelse af ansigt, læber eller øjne eller vejrtrækningsbesvær er mere alvorlige symptomer, som kræver øjeblikkelig lægehjælp.</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For at undgå utilsigtet indtagelse af veterinærlægemidlet ved hændeligt uheld af et barn, skal delte eller ubrugte tabletter sættes tilbage i blisterlommen, og de skal igen placeres i den ydre æske.</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I tilfælde af utilsigtet indtagelse ved hændeligt uheld skal der straks søges lægehjælp, og indlægssedlen eller etiketten vises til lægen.</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Vask hænderne efter brug.</w:t>
      </w:r>
    </w:p>
    <w:bookmarkEnd w:id="1"/>
    <w:bookmarkEnd w:id="2"/>
    <w:p w:rsidR="006A5B3D" w:rsidRPr="006A5B3D" w:rsidRDefault="006A5B3D" w:rsidP="006A5B3D">
      <w:pPr>
        <w:ind w:left="567"/>
        <w:rPr>
          <w:sz w:val="24"/>
          <w:szCs w:val="24"/>
        </w:rPr>
      </w:pPr>
    </w:p>
    <w:p w:rsidR="006A5B3D" w:rsidRPr="006A5B3D" w:rsidRDefault="006A5B3D" w:rsidP="006A5B3D">
      <w:pPr>
        <w:ind w:left="567"/>
        <w:rPr>
          <w:sz w:val="24"/>
          <w:szCs w:val="24"/>
          <w:u w:val="single"/>
        </w:rPr>
      </w:pPr>
      <w:r w:rsidRPr="006A5B3D">
        <w:rPr>
          <w:sz w:val="24"/>
          <w:szCs w:val="24"/>
          <w:u w:val="single"/>
        </w:rPr>
        <w:t>Særlige forholdsregler vedrørende beskyttelse af miljøet:</w:t>
      </w:r>
    </w:p>
    <w:p w:rsidR="006A5B3D" w:rsidRPr="006A5B3D" w:rsidRDefault="006A5B3D" w:rsidP="006A5B3D">
      <w:pPr>
        <w:ind w:left="567"/>
        <w:rPr>
          <w:sz w:val="24"/>
          <w:szCs w:val="24"/>
        </w:rPr>
      </w:pPr>
      <w:r w:rsidRPr="006A5B3D">
        <w:rPr>
          <w:sz w:val="24"/>
          <w:szCs w:val="24"/>
        </w:rPr>
        <w:t>Ikke relevant.</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3.6</w:t>
      </w:r>
      <w:r w:rsidRPr="006A5B3D">
        <w:rPr>
          <w:sz w:val="24"/>
          <w:szCs w:val="24"/>
        </w:rPr>
        <w:tab/>
        <w:t>Bivirkninger</w:t>
      </w:r>
    </w:p>
    <w:p w:rsidR="006A5B3D" w:rsidRPr="006A5B3D" w:rsidRDefault="006A5B3D" w:rsidP="006A5B3D">
      <w:pPr>
        <w:rPr>
          <w:sz w:val="24"/>
          <w:szCs w:val="24"/>
        </w:rPr>
      </w:pPr>
    </w:p>
    <w:p w:rsidR="006A5B3D" w:rsidRPr="006A5B3D" w:rsidRDefault="006A5B3D" w:rsidP="006A5B3D">
      <w:pPr>
        <w:ind w:firstLine="567"/>
        <w:rPr>
          <w:sz w:val="24"/>
          <w:szCs w:val="24"/>
        </w:rPr>
      </w:pPr>
      <w:bookmarkStart w:id="3" w:name="_Hlk153976129"/>
      <w:bookmarkStart w:id="4" w:name="_Hlk153976076"/>
      <w:r w:rsidRPr="006A5B3D">
        <w:rPr>
          <w:sz w:val="24"/>
          <w:szCs w:val="24"/>
        </w:rPr>
        <w:t>Hunde:</w:t>
      </w:r>
    </w:p>
    <w:p w:rsidR="006A5B3D" w:rsidRPr="006A5B3D" w:rsidRDefault="006A5B3D" w:rsidP="006A5B3D">
      <w:pPr>
        <w:rPr>
          <w:sz w:val="24"/>
          <w:szCs w:val="24"/>
        </w:rPr>
      </w:pPr>
    </w:p>
    <w:tbl>
      <w:tblPr>
        <w:tblW w:w="4942"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860"/>
      </w:tblGrid>
      <w:tr w:rsidR="006A5B3D" w:rsidRPr="006A5B3D" w:rsidTr="006A5B3D">
        <w:tc>
          <w:tcPr>
            <w:tcW w:w="1921" w:type="pct"/>
            <w:tcBorders>
              <w:top w:val="single" w:sz="4" w:space="0" w:color="auto"/>
              <w:left w:val="single" w:sz="4" w:space="0" w:color="auto"/>
              <w:bottom w:val="single" w:sz="4" w:space="0" w:color="auto"/>
              <w:right w:val="single" w:sz="4" w:space="0" w:color="auto"/>
            </w:tcBorders>
            <w:hideMark/>
          </w:tcPr>
          <w:p w:rsidR="006A5B3D" w:rsidRPr="006A5B3D" w:rsidRDefault="006A5B3D" w:rsidP="00327BBC">
            <w:pPr>
              <w:spacing w:before="60" w:after="60"/>
              <w:rPr>
                <w:sz w:val="24"/>
                <w:szCs w:val="24"/>
              </w:rPr>
            </w:pPr>
            <w:r w:rsidRPr="006A5B3D">
              <w:rPr>
                <w:sz w:val="24"/>
                <w:szCs w:val="24"/>
              </w:rPr>
              <w:t>Sjælden</w:t>
            </w:r>
          </w:p>
          <w:p w:rsidR="006A5B3D" w:rsidRPr="006A5B3D" w:rsidRDefault="006A5B3D" w:rsidP="00327BBC">
            <w:pPr>
              <w:spacing w:before="60" w:after="60"/>
              <w:rPr>
                <w:sz w:val="24"/>
                <w:szCs w:val="24"/>
                <w:highlight w:val="yellow"/>
              </w:rPr>
            </w:pPr>
            <w:r w:rsidRPr="006A5B3D">
              <w:rPr>
                <w:sz w:val="24"/>
                <w:szCs w:val="24"/>
              </w:rPr>
              <w:t>(1 til 10 dyr ud af 10 000 behandlede dyr):</w:t>
            </w:r>
          </w:p>
        </w:tc>
        <w:tc>
          <w:tcPr>
            <w:tcW w:w="3079" w:type="pct"/>
            <w:tcBorders>
              <w:top w:val="single" w:sz="4" w:space="0" w:color="auto"/>
              <w:left w:val="single" w:sz="4" w:space="0" w:color="auto"/>
              <w:bottom w:val="single" w:sz="4" w:space="0" w:color="auto"/>
              <w:right w:val="single" w:sz="4" w:space="0" w:color="auto"/>
            </w:tcBorders>
            <w:hideMark/>
          </w:tcPr>
          <w:p w:rsidR="006A5B3D" w:rsidRPr="006A5B3D" w:rsidRDefault="006A5B3D" w:rsidP="00327BBC">
            <w:pPr>
              <w:spacing w:before="60" w:after="60"/>
              <w:rPr>
                <w:iCs/>
                <w:sz w:val="24"/>
                <w:szCs w:val="24"/>
              </w:rPr>
            </w:pPr>
            <w:proofErr w:type="spellStart"/>
            <w:r w:rsidRPr="006A5B3D">
              <w:rPr>
                <w:iCs/>
                <w:sz w:val="24"/>
                <w:szCs w:val="24"/>
              </w:rPr>
              <w:t>Overfølsomhedsreaktion</w:t>
            </w:r>
            <w:r w:rsidRPr="006A5B3D">
              <w:rPr>
                <w:iCs/>
                <w:sz w:val="24"/>
                <w:szCs w:val="24"/>
                <w:vertAlign w:val="superscript"/>
              </w:rPr>
              <w:t>a</w:t>
            </w:r>
            <w:proofErr w:type="spellEnd"/>
          </w:p>
        </w:tc>
      </w:tr>
      <w:tr w:rsidR="006A5B3D" w:rsidRPr="006A5B3D" w:rsidTr="006A5B3D">
        <w:tc>
          <w:tcPr>
            <w:tcW w:w="1921" w:type="pct"/>
            <w:tcBorders>
              <w:top w:val="single" w:sz="4" w:space="0" w:color="auto"/>
              <w:left w:val="single" w:sz="4" w:space="0" w:color="auto"/>
              <w:bottom w:val="single" w:sz="4" w:space="0" w:color="auto"/>
              <w:right w:val="single" w:sz="4" w:space="0" w:color="auto"/>
            </w:tcBorders>
            <w:hideMark/>
          </w:tcPr>
          <w:p w:rsidR="006A5B3D" w:rsidRPr="006A5B3D" w:rsidRDefault="006A5B3D" w:rsidP="00327BBC">
            <w:pPr>
              <w:spacing w:before="60" w:after="60"/>
              <w:rPr>
                <w:sz w:val="24"/>
                <w:szCs w:val="24"/>
              </w:rPr>
            </w:pPr>
            <w:r w:rsidRPr="006A5B3D">
              <w:rPr>
                <w:sz w:val="24"/>
                <w:szCs w:val="24"/>
              </w:rPr>
              <w:t>Meget sjælden</w:t>
            </w:r>
          </w:p>
          <w:p w:rsidR="006A5B3D" w:rsidRPr="006A5B3D" w:rsidRDefault="006A5B3D" w:rsidP="00327BBC">
            <w:pPr>
              <w:spacing w:before="60" w:after="60"/>
              <w:rPr>
                <w:sz w:val="24"/>
                <w:szCs w:val="24"/>
                <w:highlight w:val="yellow"/>
              </w:rPr>
            </w:pPr>
            <w:r w:rsidRPr="006A5B3D">
              <w:rPr>
                <w:sz w:val="24"/>
                <w:szCs w:val="24"/>
              </w:rPr>
              <w:t>(&lt; 1 dyr ud af 10 000 behandlede dyr, herunder enkeltstående indberetninger):</w:t>
            </w:r>
          </w:p>
        </w:tc>
        <w:tc>
          <w:tcPr>
            <w:tcW w:w="3079" w:type="pct"/>
            <w:tcBorders>
              <w:top w:val="single" w:sz="4" w:space="0" w:color="auto"/>
              <w:left w:val="single" w:sz="4" w:space="0" w:color="auto"/>
              <w:bottom w:val="single" w:sz="4" w:space="0" w:color="auto"/>
              <w:right w:val="single" w:sz="4" w:space="0" w:color="auto"/>
            </w:tcBorders>
            <w:hideMark/>
          </w:tcPr>
          <w:p w:rsidR="006A5B3D" w:rsidRPr="006A5B3D" w:rsidRDefault="006A5B3D" w:rsidP="00327BBC">
            <w:pPr>
              <w:spacing w:before="60" w:after="60"/>
              <w:rPr>
                <w:iCs/>
                <w:sz w:val="24"/>
                <w:szCs w:val="24"/>
              </w:rPr>
            </w:pPr>
            <w:proofErr w:type="spellStart"/>
            <w:r w:rsidRPr="006A5B3D">
              <w:rPr>
                <w:iCs/>
                <w:sz w:val="24"/>
                <w:szCs w:val="24"/>
              </w:rPr>
              <w:t>Opkastning</w:t>
            </w:r>
            <w:r w:rsidRPr="006A5B3D">
              <w:rPr>
                <w:sz w:val="24"/>
                <w:szCs w:val="24"/>
                <w:vertAlign w:val="superscript"/>
              </w:rPr>
              <w:t>b</w:t>
            </w:r>
            <w:proofErr w:type="spellEnd"/>
            <w:r w:rsidRPr="006A5B3D">
              <w:rPr>
                <w:iCs/>
                <w:sz w:val="24"/>
                <w:szCs w:val="24"/>
              </w:rPr>
              <w:t xml:space="preserve">, </w:t>
            </w:r>
            <w:proofErr w:type="spellStart"/>
            <w:r w:rsidRPr="006A5B3D">
              <w:rPr>
                <w:iCs/>
                <w:sz w:val="24"/>
                <w:szCs w:val="24"/>
              </w:rPr>
              <w:t>Diarré</w:t>
            </w:r>
            <w:r w:rsidRPr="006A5B3D">
              <w:rPr>
                <w:sz w:val="24"/>
                <w:szCs w:val="24"/>
                <w:vertAlign w:val="superscript"/>
              </w:rPr>
              <w:t>b</w:t>
            </w:r>
            <w:proofErr w:type="spellEnd"/>
            <w:r w:rsidRPr="006A5B3D">
              <w:rPr>
                <w:iCs/>
                <w:sz w:val="24"/>
                <w:szCs w:val="24"/>
              </w:rPr>
              <w:t xml:space="preserve">, </w:t>
            </w:r>
          </w:p>
          <w:p w:rsidR="006A5B3D" w:rsidRPr="006A5B3D" w:rsidRDefault="006A5B3D" w:rsidP="00327BBC">
            <w:pPr>
              <w:spacing w:before="60" w:after="60"/>
              <w:rPr>
                <w:iCs/>
                <w:sz w:val="24"/>
                <w:szCs w:val="24"/>
              </w:rPr>
            </w:pPr>
            <w:r w:rsidRPr="006A5B3D">
              <w:rPr>
                <w:iCs/>
                <w:sz w:val="24"/>
                <w:szCs w:val="24"/>
              </w:rPr>
              <w:t>Sløvhed</w:t>
            </w:r>
          </w:p>
        </w:tc>
      </w:tr>
    </w:tbl>
    <w:p w:rsidR="006A5B3D" w:rsidRPr="006A5B3D" w:rsidRDefault="006A5B3D" w:rsidP="006A5B3D">
      <w:pPr>
        <w:tabs>
          <w:tab w:val="left" w:pos="142"/>
        </w:tabs>
        <w:ind w:left="567"/>
        <w:rPr>
          <w:sz w:val="24"/>
          <w:szCs w:val="24"/>
        </w:rPr>
      </w:pPr>
      <w:r w:rsidRPr="006A5B3D">
        <w:rPr>
          <w:sz w:val="24"/>
          <w:szCs w:val="24"/>
          <w:vertAlign w:val="superscript"/>
        </w:rPr>
        <w:t>a</w:t>
      </w:r>
      <w:r w:rsidRPr="006A5B3D">
        <w:rPr>
          <w:sz w:val="24"/>
          <w:szCs w:val="24"/>
        </w:rPr>
        <w:t xml:space="preserve"> Behandlingen skal afbrydes.</w:t>
      </w:r>
      <w:r w:rsidRPr="006A5B3D">
        <w:rPr>
          <w:sz w:val="24"/>
          <w:szCs w:val="24"/>
          <w:vertAlign w:val="superscript"/>
        </w:rPr>
        <w:t xml:space="preserve"> </w:t>
      </w:r>
    </w:p>
    <w:p w:rsidR="006A5B3D" w:rsidRPr="006A5B3D" w:rsidRDefault="006A5B3D" w:rsidP="006A5B3D">
      <w:pPr>
        <w:tabs>
          <w:tab w:val="left" w:pos="142"/>
        </w:tabs>
        <w:ind w:left="567"/>
        <w:rPr>
          <w:sz w:val="24"/>
          <w:szCs w:val="24"/>
        </w:rPr>
      </w:pPr>
      <w:r w:rsidRPr="006A5B3D">
        <w:rPr>
          <w:sz w:val="24"/>
          <w:szCs w:val="24"/>
          <w:vertAlign w:val="superscript"/>
        </w:rPr>
        <w:t>b</w:t>
      </w:r>
      <w:r w:rsidRPr="006A5B3D">
        <w:rPr>
          <w:sz w:val="24"/>
          <w:szCs w:val="24"/>
        </w:rPr>
        <w:t xml:space="preserve"> I tilfælde af gentagen opkastning og/eller diarré skal behandlingen afbrydes, og man skal søge hjælp hos den behandlende dyrlæge.</w:t>
      </w:r>
    </w:p>
    <w:bookmarkEnd w:id="3"/>
    <w:bookmarkEnd w:id="4"/>
    <w:p w:rsidR="006A5B3D" w:rsidRPr="006A5B3D" w:rsidRDefault="006A5B3D" w:rsidP="006A5B3D">
      <w:pPr>
        <w:tabs>
          <w:tab w:val="left" w:pos="142"/>
        </w:tabs>
        <w:ind w:left="567"/>
        <w:rPr>
          <w:sz w:val="24"/>
          <w:szCs w:val="24"/>
        </w:rPr>
      </w:pPr>
    </w:p>
    <w:p w:rsidR="006A5B3D" w:rsidRPr="006A5B3D" w:rsidRDefault="006A5B3D" w:rsidP="006A5B3D">
      <w:pPr>
        <w:ind w:left="567"/>
        <w:rPr>
          <w:sz w:val="24"/>
          <w:szCs w:val="24"/>
        </w:rPr>
      </w:pPr>
      <w:r w:rsidRPr="006A5B3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3.7</w:t>
      </w:r>
      <w:r w:rsidRPr="006A5B3D">
        <w:rPr>
          <w:sz w:val="24"/>
          <w:szCs w:val="24"/>
        </w:rPr>
        <w:tab/>
        <w:t>Anvendelse under drægtighed, laktation eller æglægning</w:t>
      </w:r>
    </w:p>
    <w:p w:rsidR="006A5B3D" w:rsidRPr="006A5B3D" w:rsidRDefault="006A5B3D" w:rsidP="006A5B3D">
      <w:pPr>
        <w:ind w:left="567"/>
        <w:rPr>
          <w:sz w:val="24"/>
          <w:szCs w:val="24"/>
        </w:rPr>
      </w:pPr>
      <w:r w:rsidRPr="006A5B3D">
        <w:rPr>
          <w:sz w:val="24"/>
          <w:szCs w:val="24"/>
          <w:u w:val="single"/>
        </w:rPr>
        <w:lastRenderedPageBreak/>
        <w:t>Drægtighed og diegivning</w:t>
      </w:r>
      <w:r w:rsidRPr="006A5B3D">
        <w:rPr>
          <w:sz w:val="24"/>
          <w:szCs w:val="24"/>
        </w:rPr>
        <w:t>:</w:t>
      </w:r>
    </w:p>
    <w:p w:rsidR="006A5B3D" w:rsidRPr="006A5B3D" w:rsidRDefault="006A5B3D" w:rsidP="006A5B3D">
      <w:pPr>
        <w:ind w:left="567"/>
        <w:rPr>
          <w:sz w:val="24"/>
          <w:szCs w:val="24"/>
        </w:rPr>
      </w:pPr>
      <w:r w:rsidRPr="006A5B3D">
        <w:rPr>
          <w:sz w:val="24"/>
          <w:szCs w:val="24"/>
        </w:rPr>
        <w:t xml:space="preserve">Laboratorieundersøgelser af rotter og mus har ikke afsløret </w:t>
      </w:r>
      <w:proofErr w:type="spellStart"/>
      <w:r w:rsidRPr="006A5B3D">
        <w:rPr>
          <w:sz w:val="24"/>
          <w:szCs w:val="24"/>
        </w:rPr>
        <w:t>teratogene</w:t>
      </w:r>
      <w:proofErr w:type="spellEnd"/>
      <w:r w:rsidRPr="006A5B3D">
        <w:rPr>
          <w:sz w:val="24"/>
          <w:szCs w:val="24"/>
        </w:rPr>
        <w:t xml:space="preserve"> virkninger.</w:t>
      </w:r>
    </w:p>
    <w:p w:rsidR="006A5B3D" w:rsidRPr="006A5B3D" w:rsidRDefault="006A5B3D" w:rsidP="006A5B3D">
      <w:pPr>
        <w:ind w:left="567"/>
        <w:rPr>
          <w:sz w:val="24"/>
          <w:szCs w:val="24"/>
        </w:rPr>
      </w:pPr>
      <w:r w:rsidRPr="006A5B3D">
        <w:rPr>
          <w:sz w:val="24"/>
          <w:szCs w:val="24"/>
        </w:rPr>
        <w:t>Veterinærlægemidlets sikkerhed hos hunde under drægtighed og diegivning er ikke fastlagt. Må kun anvendes i overensstemmelse med den ansvarlige dyrlæges vurdering af benefit/</w:t>
      </w:r>
      <w:proofErr w:type="spellStart"/>
      <w:r w:rsidRPr="006A5B3D">
        <w:rPr>
          <w:sz w:val="24"/>
          <w:szCs w:val="24"/>
        </w:rPr>
        <w:t>risk</w:t>
      </w:r>
      <w:proofErr w:type="spellEnd"/>
      <w:r w:rsidRPr="006A5B3D">
        <w:rPr>
          <w:sz w:val="24"/>
          <w:szCs w:val="24"/>
        </w:rPr>
        <w:t>-forholdet.</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3.8</w:t>
      </w:r>
      <w:r w:rsidRPr="006A5B3D">
        <w:rPr>
          <w:sz w:val="24"/>
          <w:szCs w:val="24"/>
        </w:rPr>
        <w:tab/>
        <w:t>Interaktion med andre lægemidler og andre former for interaktion</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For at sikre veterinærlægemidlets effekt bør det ikke anvendes i kombination med </w:t>
      </w:r>
      <w:proofErr w:type="spellStart"/>
      <w:r w:rsidRPr="006A5B3D">
        <w:rPr>
          <w:sz w:val="24"/>
          <w:szCs w:val="24"/>
        </w:rPr>
        <w:t>bakteriostatiske</w:t>
      </w:r>
      <w:proofErr w:type="spellEnd"/>
      <w:r w:rsidRPr="006A5B3D">
        <w:rPr>
          <w:sz w:val="24"/>
          <w:szCs w:val="24"/>
        </w:rPr>
        <w:t xml:space="preserve"> antibiotika (makrolider, sulfonamider og </w:t>
      </w:r>
      <w:proofErr w:type="spellStart"/>
      <w:r w:rsidRPr="006A5B3D">
        <w:rPr>
          <w:sz w:val="24"/>
          <w:szCs w:val="24"/>
        </w:rPr>
        <w:t>tetracykliner</w:t>
      </w:r>
      <w:proofErr w:type="spellEnd"/>
      <w:r w:rsidRPr="006A5B3D">
        <w:rPr>
          <w:sz w:val="24"/>
          <w:szCs w:val="24"/>
        </w:rPr>
        <w:t>). Samtidig brug af 1. generations-</w:t>
      </w:r>
      <w:proofErr w:type="spellStart"/>
      <w:r w:rsidRPr="006A5B3D">
        <w:rPr>
          <w:sz w:val="24"/>
          <w:szCs w:val="24"/>
        </w:rPr>
        <w:t>cefalosporiner</w:t>
      </w:r>
      <w:proofErr w:type="spellEnd"/>
      <w:r w:rsidRPr="006A5B3D">
        <w:rPr>
          <w:sz w:val="24"/>
          <w:szCs w:val="24"/>
        </w:rPr>
        <w:t xml:space="preserve"> med aminoglykosid-antibiotika eller visse </w:t>
      </w:r>
      <w:proofErr w:type="spellStart"/>
      <w:r w:rsidRPr="006A5B3D">
        <w:rPr>
          <w:sz w:val="24"/>
          <w:szCs w:val="24"/>
        </w:rPr>
        <w:t>diuretika</w:t>
      </w:r>
      <w:proofErr w:type="spellEnd"/>
      <w:r w:rsidRPr="006A5B3D">
        <w:rPr>
          <w:sz w:val="24"/>
          <w:szCs w:val="24"/>
        </w:rPr>
        <w:t xml:space="preserve"> såsom </w:t>
      </w:r>
      <w:proofErr w:type="spellStart"/>
      <w:r w:rsidRPr="006A5B3D">
        <w:rPr>
          <w:sz w:val="24"/>
          <w:szCs w:val="24"/>
        </w:rPr>
        <w:t>furosemid</w:t>
      </w:r>
      <w:proofErr w:type="spellEnd"/>
      <w:r w:rsidRPr="006A5B3D">
        <w:rPr>
          <w:sz w:val="24"/>
          <w:szCs w:val="24"/>
        </w:rPr>
        <w:t xml:space="preserve"> kan øge risikoen for </w:t>
      </w:r>
      <w:proofErr w:type="spellStart"/>
      <w:r w:rsidRPr="006A5B3D">
        <w:rPr>
          <w:sz w:val="24"/>
          <w:szCs w:val="24"/>
        </w:rPr>
        <w:t>nefrotoksicitet</w:t>
      </w:r>
      <w:proofErr w:type="spellEnd"/>
      <w:r w:rsidRPr="006A5B3D">
        <w:rPr>
          <w:sz w:val="24"/>
          <w:szCs w:val="24"/>
        </w:rPr>
        <w:t>.</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3.9</w:t>
      </w:r>
      <w:r w:rsidRPr="006A5B3D">
        <w:rPr>
          <w:sz w:val="24"/>
          <w:szCs w:val="24"/>
        </w:rPr>
        <w:tab/>
        <w:t>Administrationsveje og dosering</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Til oral anvendelse.</w:t>
      </w:r>
    </w:p>
    <w:p w:rsidR="006A5B3D" w:rsidRPr="006A5B3D" w:rsidRDefault="006A5B3D" w:rsidP="006A5B3D">
      <w:pPr>
        <w:ind w:left="567"/>
        <w:rPr>
          <w:sz w:val="24"/>
          <w:szCs w:val="24"/>
        </w:rPr>
      </w:pPr>
      <w:r w:rsidRPr="006A5B3D">
        <w:rPr>
          <w:sz w:val="24"/>
          <w:szCs w:val="24"/>
        </w:rPr>
        <w:t xml:space="preserve">Den anbefalede dosis er 15-30 mg </w:t>
      </w:r>
      <w:proofErr w:type="spellStart"/>
      <w:r w:rsidRPr="006A5B3D">
        <w:rPr>
          <w:sz w:val="24"/>
          <w:szCs w:val="24"/>
        </w:rPr>
        <w:t>cefalexin</w:t>
      </w:r>
      <w:proofErr w:type="spellEnd"/>
      <w:r w:rsidRPr="006A5B3D">
        <w:rPr>
          <w:sz w:val="24"/>
          <w:szCs w:val="24"/>
        </w:rPr>
        <w:t xml:space="preserve"> pr. kg kropsvægt to gange daglig mindst 5 dage i træk. Den ansvarlige dyrlæge kan ordinere et udvidet behandlingsforløb ved f.eks. urinvejsinfektion eller bakteriel </w:t>
      </w:r>
      <w:proofErr w:type="spellStart"/>
      <w:r w:rsidRPr="006A5B3D">
        <w:rPr>
          <w:sz w:val="24"/>
          <w:szCs w:val="24"/>
        </w:rPr>
        <w:t>dermatitis</w:t>
      </w:r>
      <w:proofErr w:type="spellEnd"/>
      <w:r w:rsidRPr="006A5B3D">
        <w:rPr>
          <w:sz w:val="24"/>
          <w:szCs w:val="24"/>
        </w:rPr>
        <w:t>.</w:t>
      </w:r>
    </w:p>
    <w:p w:rsidR="006A5B3D" w:rsidRPr="006A5B3D" w:rsidRDefault="006A5B3D" w:rsidP="006A5B3D">
      <w:pPr>
        <w:ind w:left="567"/>
        <w:rPr>
          <w:sz w:val="24"/>
          <w:szCs w:val="24"/>
        </w:rPr>
      </w:pPr>
      <w:r w:rsidRPr="006A5B3D">
        <w:rPr>
          <w:sz w:val="24"/>
          <w:szCs w:val="24"/>
        </w:rPr>
        <w:t>For at sikre korrekt dosering og undgå underdosering bør legemsvægten beregnes så nøjagtigt som muligt.</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 xml:space="preserve">Den følgende tabel er beregnet som en vejledning til at levere veterinærlægemidlets med en dosishyppighed på 15 mg </w:t>
      </w:r>
      <w:proofErr w:type="spellStart"/>
      <w:r w:rsidRPr="006A5B3D">
        <w:rPr>
          <w:sz w:val="24"/>
          <w:szCs w:val="24"/>
        </w:rPr>
        <w:t>cefalexin</w:t>
      </w:r>
      <w:proofErr w:type="spellEnd"/>
      <w:r w:rsidRPr="006A5B3D">
        <w:rPr>
          <w:sz w:val="24"/>
          <w:szCs w:val="24"/>
        </w:rPr>
        <w:t xml:space="preserve"> pr. kg. kropsvægt to gange daglig. </w:t>
      </w:r>
    </w:p>
    <w:p w:rsidR="006A5B3D" w:rsidRPr="006A5B3D" w:rsidRDefault="006A5B3D" w:rsidP="006A5B3D">
      <w:pPr>
        <w:rPr>
          <w:sz w:val="24"/>
          <w:szCs w:val="24"/>
        </w:rPr>
      </w:pPr>
    </w:p>
    <w:tbl>
      <w:tblPr>
        <w:tblW w:w="5000" w:type="pct"/>
        <w:tblInd w:w="567" w:type="dxa"/>
        <w:tblLook w:val="04A0" w:firstRow="1" w:lastRow="0" w:firstColumn="1" w:lastColumn="0" w:noHBand="0" w:noVBand="1"/>
      </w:tblPr>
      <w:tblGrid>
        <w:gridCol w:w="2491"/>
        <w:gridCol w:w="830"/>
        <w:gridCol w:w="1661"/>
        <w:gridCol w:w="1495"/>
        <w:gridCol w:w="1493"/>
        <w:gridCol w:w="1663"/>
      </w:tblGrid>
      <w:tr w:rsidR="006A5B3D" w:rsidRPr="006A5B3D" w:rsidTr="006A5B3D">
        <w:trPr>
          <w:trHeight w:val="721"/>
        </w:trPr>
        <w:tc>
          <w:tcPr>
            <w:tcW w:w="5000" w:type="pct"/>
            <w:gridSpan w:val="6"/>
            <w:tcBorders>
              <w:bottom w:val="single" w:sz="4" w:space="0" w:color="FFFFFF"/>
              <w:right w:val="single" w:sz="4" w:space="0" w:color="FFFFFF"/>
            </w:tcBorders>
            <w:shd w:val="clear" w:color="auto" w:fill="ECECEC"/>
            <w:vAlign w:val="center"/>
          </w:tcPr>
          <w:p w:rsidR="006A5B3D" w:rsidRPr="006A5B3D" w:rsidRDefault="006A5B3D" w:rsidP="00327BBC">
            <w:pPr>
              <w:rPr>
                <w:b/>
                <w:bCs/>
                <w:sz w:val="24"/>
                <w:szCs w:val="24"/>
              </w:rPr>
            </w:pPr>
            <w:r w:rsidRPr="006A5B3D">
              <w:rPr>
                <w:b/>
                <w:bCs/>
                <w:sz w:val="24"/>
                <w:szCs w:val="24"/>
              </w:rPr>
              <w:t>ADMINISTRATION TO GANGE DAGLIG</w:t>
            </w:r>
          </w:p>
          <w:p w:rsidR="006A5B3D" w:rsidRPr="006A5B3D" w:rsidRDefault="006A5B3D" w:rsidP="00327BBC">
            <w:pPr>
              <w:rPr>
                <w:b/>
                <w:bCs/>
                <w:sz w:val="24"/>
                <w:szCs w:val="24"/>
              </w:rPr>
            </w:pPr>
          </w:p>
        </w:tc>
      </w:tr>
      <w:tr w:rsidR="006A5B3D" w:rsidRPr="006A5B3D" w:rsidTr="006A5B3D">
        <w:trPr>
          <w:trHeight w:val="937"/>
        </w:trPr>
        <w:tc>
          <w:tcPr>
            <w:tcW w:w="1293" w:type="pct"/>
            <w:tcBorders>
              <w:right w:val="single" w:sz="4" w:space="0" w:color="FFFFFF"/>
            </w:tcBorders>
            <w:shd w:val="clear" w:color="auto" w:fill="ECECEC"/>
            <w:vAlign w:val="center"/>
            <w:hideMark/>
          </w:tcPr>
          <w:p w:rsidR="006A5B3D" w:rsidRPr="006A5B3D" w:rsidRDefault="006A5B3D" w:rsidP="00327BBC">
            <w:pPr>
              <w:rPr>
                <w:b/>
                <w:bCs/>
                <w:sz w:val="24"/>
                <w:szCs w:val="24"/>
              </w:rPr>
            </w:pPr>
            <w:r w:rsidRPr="006A5B3D">
              <w:rPr>
                <w:b/>
                <w:bCs/>
                <w:sz w:val="24"/>
                <w:szCs w:val="24"/>
              </w:rPr>
              <w:t>Kropsvægt</w:t>
            </w:r>
          </w:p>
        </w:tc>
        <w:tc>
          <w:tcPr>
            <w:tcW w:w="431" w:type="pct"/>
            <w:tcBorders>
              <w:right w:val="single" w:sz="4" w:space="0" w:color="FFFFFF"/>
            </w:tcBorders>
            <w:shd w:val="clear" w:color="auto" w:fill="ECECEC"/>
            <w:vAlign w:val="center"/>
          </w:tcPr>
          <w:p w:rsidR="006A5B3D" w:rsidRPr="006A5B3D" w:rsidRDefault="006A5B3D" w:rsidP="00327BBC">
            <w:pPr>
              <w:rPr>
                <w:b/>
                <w:bCs/>
                <w:sz w:val="24"/>
                <w:szCs w:val="24"/>
              </w:rPr>
            </w:pPr>
            <w:r w:rsidRPr="006A5B3D">
              <w:rPr>
                <w:b/>
                <w:bCs/>
                <w:sz w:val="24"/>
                <w:szCs w:val="24"/>
              </w:rPr>
              <w:t>Dosis mg</w:t>
            </w:r>
          </w:p>
        </w:tc>
        <w:tc>
          <w:tcPr>
            <w:tcW w:w="862" w:type="pct"/>
            <w:tcBorders>
              <w:top w:val="nil"/>
              <w:left w:val="single" w:sz="4" w:space="0" w:color="FFFFFF"/>
              <w:right w:val="single" w:sz="4" w:space="0" w:color="FFFFFF"/>
            </w:tcBorders>
            <w:shd w:val="clear" w:color="auto" w:fill="ECECEC"/>
            <w:vAlign w:val="center"/>
            <w:hideMark/>
          </w:tcPr>
          <w:p w:rsidR="006A5B3D" w:rsidRPr="006A5B3D" w:rsidRDefault="006A5B3D" w:rsidP="00327BBC">
            <w:pPr>
              <w:rPr>
                <w:b/>
                <w:bCs/>
                <w:sz w:val="24"/>
                <w:szCs w:val="24"/>
              </w:rPr>
            </w:pPr>
            <w:proofErr w:type="spellStart"/>
            <w:r w:rsidRPr="006A5B3D">
              <w:rPr>
                <w:b/>
                <w:bCs/>
                <w:sz w:val="24"/>
                <w:szCs w:val="24"/>
              </w:rPr>
              <w:t>Cefabactin</w:t>
            </w:r>
            <w:proofErr w:type="spellEnd"/>
            <w:r w:rsidRPr="006A5B3D">
              <w:rPr>
                <w:b/>
                <w:bCs/>
                <w:sz w:val="24"/>
                <w:szCs w:val="24"/>
              </w:rPr>
              <w:t xml:space="preserve"> </w:t>
            </w:r>
            <w:proofErr w:type="spellStart"/>
            <w:r w:rsidRPr="006A5B3D">
              <w:rPr>
                <w:b/>
                <w:bCs/>
                <w:sz w:val="24"/>
                <w:szCs w:val="24"/>
              </w:rPr>
              <w:t>Vet</w:t>
            </w:r>
            <w:proofErr w:type="spellEnd"/>
            <w:r w:rsidRPr="006A5B3D">
              <w:rPr>
                <w:b/>
                <w:bCs/>
                <w:sz w:val="24"/>
                <w:szCs w:val="24"/>
              </w:rPr>
              <w:t>.  50 mg</w:t>
            </w:r>
          </w:p>
        </w:tc>
        <w:tc>
          <w:tcPr>
            <w:tcW w:w="776" w:type="pct"/>
            <w:tcBorders>
              <w:top w:val="nil"/>
              <w:left w:val="single" w:sz="4" w:space="0" w:color="FFFFFF"/>
              <w:right w:val="nil"/>
            </w:tcBorders>
            <w:shd w:val="clear" w:color="auto" w:fill="ECECEC"/>
            <w:vAlign w:val="center"/>
            <w:hideMark/>
          </w:tcPr>
          <w:p w:rsidR="006A5B3D" w:rsidRPr="006A5B3D" w:rsidRDefault="006A5B3D" w:rsidP="00327BBC">
            <w:pPr>
              <w:rPr>
                <w:b/>
                <w:bCs/>
                <w:sz w:val="24"/>
                <w:szCs w:val="24"/>
              </w:rPr>
            </w:pPr>
            <w:proofErr w:type="spellStart"/>
            <w:r w:rsidRPr="006A5B3D">
              <w:rPr>
                <w:b/>
                <w:bCs/>
                <w:sz w:val="24"/>
                <w:szCs w:val="24"/>
              </w:rPr>
              <w:t>Cefabactin</w:t>
            </w:r>
            <w:proofErr w:type="spellEnd"/>
            <w:r w:rsidRPr="006A5B3D">
              <w:rPr>
                <w:b/>
                <w:bCs/>
                <w:sz w:val="24"/>
                <w:szCs w:val="24"/>
              </w:rPr>
              <w:t xml:space="preserve"> </w:t>
            </w:r>
            <w:proofErr w:type="spellStart"/>
            <w:r w:rsidRPr="006A5B3D">
              <w:rPr>
                <w:b/>
                <w:bCs/>
                <w:sz w:val="24"/>
                <w:szCs w:val="24"/>
              </w:rPr>
              <w:t>Vet</w:t>
            </w:r>
            <w:proofErr w:type="spellEnd"/>
            <w:r w:rsidRPr="006A5B3D">
              <w:rPr>
                <w:b/>
                <w:bCs/>
                <w:sz w:val="24"/>
                <w:szCs w:val="24"/>
              </w:rPr>
              <w:t>. 250 mg</w:t>
            </w:r>
          </w:p>
        </w:tc>
        <w:tc>
          <w:tcPr>
            <w:tcW w:w="775" w:type="pct"/>
            <w:tcBorders>
              <w:top w:val="nil"/>
              <w:left w:val="single" w:sz="4" w:space="0" w:color="FFFFFF"/>
              <w:right w:val="single" w:sz="4" w:space="0" w:color="FFFFFF"/>
            </w:tcBorders>
            <w:shd w:val="clear" w:color="auto" w:fill="ECECEC"/>
            <w:vAlign w:val="center"/>
          </w:tcPr>
          <w:p w:rsidR="006A5B3D" w:rsidRPr="006A5B3D" w:rsidRDefault="006A5B3D" w:rsidP="00327BBC">
            <w:pPr>
              <w:rPr>
                <w:b/>
                <w:bCs/>
                <w:sz w:val="24"/>
                <w:szCs w:val="24"/>
              </w:rPr>
            </w:pPr>
            <w:proofErr w:type="spellStart"/>
            <w:r w:rsidRPr="006A5B3D">
              <w:rPr>
                <w:b/>
                <w:bCs/>
                <w:sz w:val="24"/>
                <w:szCs w:val="24"/>
              </w:rPr>
              <w:t>Cefabactin</w:t>
            </w:r>
            <w:proofErr w:type="spellEnd"/>
            <w:r w:rsidRPr="006A5B3D">
              <w:rPr>
                <w:b/>
                <w:bCs/>
                <w:sz w:val="24"/>
                <w:szCs w:val="24"/>
              </w:rPr>
              <w:t xml:space="preserve"> </w:t>
            </w:r>
            <w:proofErr w:type="spellStart"/>
            <w:r w:rsidRPr="006A5B3D">
              <w:rPr>
                <w:b/>
                <w:bCs/>
                <w:sz w:val="24"/>
                <w:szCs w:val="24"/>
              </w:rPr>
              <w:t>Vet</w:t>
            </w:r>
            <w:proofErr w:type="spellEnd"/>
            <w:r w:rsidRPr="006A5B3D">
              <w:rPr>
                <w:b/>
                <w:bCs/>
                <w:sz w:val="24"/>
                <w:szCs w:val="24"/>
              </w:rPr>
              <w:t>. 500 mg</w:t>
            </w:r>
          </w:p>
        </w:tc>
        <w:tc>
          <w:tcPr>
            <w:tcW w:w="863" w:type="pct"/>
            <w:tcBorders>
              <w:top w:val="nil"/>
              <w:left w:val="single" w:sz="4" w:space="0" w:color="FFFFFF"/>
              <w:right w:val="nil"/>
            </w:tcBorders>
            <w:shd w:val="clear" w:color="auto" w:fill="ECECEC"/>
            <w:vAlign w:val="center"/>
          </w:tcPr>
          <w:p w:rsidR="006A5B3D" w:rsidRPr="006A5B3D" w:rsidRDefault="006A5B3D" w:rsidP="00327BBC">
            <w:pPr>
              <w:rPr>
                <w:b/>
                <w:bCs/>
                <w:sz w:val="24"/>
                <w:szCs w:val="24"/>
              </w:rPr>
            </w:pPr>
            <w:proofErr w:type="spellStart"/>
            <w:r w:rsidRPr="006A5B3D">
              <w:rPr>
                <w:b/>
                <w:bCs/>
                <w:sz w:val="24"/>
                <w:szCs w:val="24"/>
              </w:rPr>
              <w:t>Cefabactin</w:t>
            </w:r>
            <w:proofErr w:type="spellEnd"/>
            <w:r w:rsidRPr="006A5B3D">
              <w:rPr>
                <w:b/>
                <w:bCs/>
                <w:sz w:val="24"/>
                <w:szCs w:val="24"/>
              </w:rPr>
              <w:t xml:space="preserve"> </w:t>
            </w:r>
            <w:proofErr w:type="spellStart"/>
            <w:r w:rsidRPr="006A5B3D">
              <w:rPr>
                <w:b/>
                <w:bCs/>
                <w:sz w:val="24"/>
                <w:szCs w:val="24"/>
              </w:rPr>
              <w:t>Vet</w:t>
            </w:r>
            <w:proofErr w:type="spellEnd"/>
            <w:r w:rsidRPr="006A5B3D">
              <w:rPr>
                <w:b/>
                <w:bCs/>
                <w:sz w:val="24"/>
                <w:szCs w:val="24"/>
              </w:rPr>
              <w:t>. 1000 mg</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 xml:space="preserve">&gt;0,5 kg – 0,8 kg </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12,5</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30190E64" wp14:editId="4C49F276">
                  <wp:extent cx="247650" cy="247650"/>
                  <wp:effectExtent l="0" t="0" r="0" b="0"/>
                  <wp:docPr id="2"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hideMark/>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&gt;0,8 kg – 1,6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25</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4BE7746E" wp14:editId="096A7874">
                  <wp:extent cx="247650" cy="247650"/>
                  <wp:effectExtent l="0" t="0" r="0" b="0"/>
                  <wp:docPr id="3"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hideMark/>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&gt;1,6 kg – 2,5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37,5</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549BC179" wp14:editId="765A15CC">
                  <wp:extent cx="247650" cy="247650"/>
                  <wp:effectExtent l="0" t="0" r="0" b="0"/>
                  <wp:docPr id="4"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hideMark/>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tcPr>
          <w:p w:rsidR="006A5B3D" w:rsidRPr="006A5B3D" w:rsidRDefault="006A5B3D" w:rsidP="00327BBC">
            <w:pPr>
              <w:rPr>
                <w:sz w:val="24"/>
                <w:szCs w:val="24"/>
              </w:rPr>
            </w:pPr>
            <w:r w:rsidRPr="006A5B3D">
              <w:rPr>
                <w:sz w:val="24"/>
                <w:szCs w:val="24"/>
              </w:rPr>
              <w:t>&gt;2,5 kg – 3,3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50</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790320F3" wp14:editId="08141593">
                  <wp:extent cx="247650" cy="247650"/>
                  <wp:effectExtent l="0" t="0" r="0" b="0"/>
                  <wp:docPr id="5"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&gt;3,3 kg – 5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75</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058C4F4B" wp14:editId="72CAAE22">
                  <wp:extent cx="247650" cy="247650"/>
                  <wp:effectExtent l="0" t="0" r="0" b="0"/>
                  <wp:docPr id="6"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64874FE7" wp14:editId="36112D01">
                  <wp:extent cx="247650" cy="247650"/>
                  <wp:effectExtent l="0" t="0" r="0" b="0"/>
                  <wp:docPr id="7"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hideMark/>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&gt;5 kg – 6,6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100</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4BF86245" wp14:editId="12DEC1EB">
                  <wp:extent cx="247650" cy="247650"/>
                  <wp:effectExtent l="0" t="0" r="0" b="0"/>
                  <wp:docPr id="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06C2077A" wp14:editId="5CA58226">
                  <wp:extent cx="247650" cy="247650"/>
                  <wp:effectExtent l="0" t="0" r="0" b="0"/>
                  <wp:docPr id="9"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hideMark/>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&gt;6,6 kg – 8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125</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547ED9CC" wp14:editId="217659D4">
                  <wp:extent cx="247650" cy="247650"/>
                  <wp:effectExtent l="0" t="0" r="0" b="0"/>
                  <wp:docPr id="10"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5460D103" wp14:editId="213F465F">
                  <wp:extent cx="247650" cy="247650"/>
                  <wp:effectExtent l="0" t="0" r="0" b="0"/>
                  <wp:docPr id="11"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137B5BAB" wp14:editId="7E786896">
                  <wp:extent cx="247650" cy="247650"/>
                  <wp:effectExtent l="0" t="0" r="0" b="0"/>
                  <wp:docPr id="12"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6C514EE8" wp14:editId="064D0369">
                  <wp:extent cx="247650" cy="247650"/>
                  <wp:effectExtent l="0" t="0" r="0" b="0"/>
                  <wp:docPr id="13"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 xml:space="preserve">&gt;8 kg – 10 kg </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150</w:t>
            </w:r>
          </w:p>
        </w:tc>
        <w:tc>
          <w:tcPr>
            <w:tcW w:w="862"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538880A0" wp14:editId="36BB5DC8">
                  <wp:extent cx="247650" cy="247650"/>
                  <wp:effectExtent l="0" t="0" r="0" b="0"/>
                  <wp:docPr id="14"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4D098B76" wp14:editId="0238047D">
                  <wp:extent cx="247650" cy="247650"/>
                  <wp:effectExtent l="0" t="0" r="0" b="0"/>
                  <wp:docPr id="15"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3A10E1FD" wp14:editId="34BA71B1">
                  <wp:extent cx="247650" cy="247650"/>
                  <wp:effectExtent l="0" t="0" r="0" b="0"/>
                  <wp:docPr id="16"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6" w:type="pct"/>
            <w:tcBorders>
              <w:top w:val="single" w:sz="4" w:space="0" w:color="FFFFFF"/>
              <w:left w:val="single" w:sz="4" w:space="0" w:color="FFFFFF"/>
              <w:bottom w:val="single" w:sz="4" w:space="0" w:color="FFFFFF"/>
              <w:right w:val="nil"/>
            </w:tcBorders>
            <w:shd w:val="clear" w:color="auto" w:fill="F0F0F0"/>
            <w:vAlign w:val="center"/>
            <w:hideMark/>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&gt;10 kg – 12,5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188</w:t>
            </w:r>
          </w:p>
        </w:tc>
        <w:tc>
          <w:tcPr>
            <w:tcW w:w="862" w:type="pct"/>
            <w:tcBorders>
              <w:top w:val="single" w:sz="4" w:space="0" w:color="FFFFFF"/>
              <w:left w:val="single" w:sz="4" w:space="0" w:color="FFFFFF"/>
              <w:bottom w:val="single" w:sz="4" w:space="0" w:color="FFFFFF"/>
              <w:right w:val="single" w:sz="4" w:space="0" w:color="FFFFFF"/>
            </w:tcBorders>
            <w:shd w:val="clear" w:color="auto" w:fill="F0F0F0"/>
            <w:hideMark/>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6FA8686B" wp14:editId="2ABAB7E6">
                  <wp:extent cx="247650" cy="247650"/>
                  <wp:effectExtent l="0" t="0" r="0" b="0"/>
                  <wp:docPr id="1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hideMark/>
          </w:tcPr>
          <w:p w:rsidR="006A5B3D" w:rsidRPr="006A5B3D" w:rsidRDefault="006A5B3D" w:rsidP="00327BBC">
            <w:pPr>
              <w:rPr>
                <w:sz w:val="24"/>
                <w:szCs w:val="24"/>
              </w:rPr>
            </w:pPr>
            <w:r w:rsidRPr="006A5B3D">
              <w:rPr>
                <w:sz w:val="24"/>
                <w:szCs w:val="24"/>
              </w:rPr>
              <w:t>&gt;12,5 kg – 16,6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250</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582DC31A" wp14:editId="6EA2A066">
                  <wp:extent cx="247650" cy="247650"/>
                  <wp:effectExtent l="0" t="0" r="0" b="0"/>
                  <wp:docPr id="1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6FF04EBB" wp14:editId="71094881">
                  <wp:extent cx="247650" cy="247650"/>
                  <wp:effectExtent l="0" t="0" r="0" b="0"/>
                  <wp:docPr id="19"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c>
          <w:tcPr>
            <w:tcW w:w="1293" w:type="pct"/>
            <w:tcBorders>
              <w:top w:val="single" w:sz="4" w:space="0" w:color="FFFFFF"/>
              <w:bottom w:val="single" w:sz="4" w:space="0" w:color="FFFFFF"/>
              <w:right w:val="single" w:sz="4" w:space="0" w:color="FFFFFF"/>
            </w:tcBorders>
            <w:shd w:val="clear" w:color="auto" w:fill="F0F0F0"/>
            <w:vAlign w:val="center"/>
          </w:tcPr>
          <w:p w:rsidR="006A5B3D" w:rsidRPr="006A5B3D" w:rsidRDefault="006A5B3D" w:rsidP="00327BBC">
            <w:pPr>
              <w:rPr>
                <w:sz w:val="24"/>
                <w:szCs w:val="24"/>
              </w:rPr>
            </w:pPr>
            <w:r w:rsidRPr="006A5B3D">
              <w:rPr>
                <w:sz w:val="24"/>
                <w:szCs w:val="24"/>
              </w:rPr>
              <w:t>&gt;16,6 kg – 20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313</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p>
        </w:tc>
        <w:tc>
          <w:tcPr>
            <w:tcW w:w="776"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0C2F5E59" wp14:editId="10433BF3">
                  <wp:extent cx="247650" cy="247650"/>
                  <wp:effectExtent l="0" t="0" r="0" b="0"/>
                  <wp:docPr id="20"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7E5F94EB" wp14:editId="33E0EBB1">
                  <wp:extent cx="247650" cy="247650"/>
                  <wp:effectExtent l="0" t="0" r="0" b="0"/>
                  <wp:docPr id="21"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vAlign w:val="center"/>
          </w:tcPr>
          <w:p w:rsidR="006A5B3D" w:rsidRPr="006A5B3D" w:rsidRDefault="006A5B3D" w:rsidP="00327BBC">
            <w:pPr>
              <w:rPr>
                <w:sz w:val="24"/>
                <w:szCs w:val="24"/>
              </w:rPr>
            </w:pPr>
            <w:r w:rsidRPr="006A5B3D">
              <w:rPr>
                <w:sz w:val="24"/>
                <w:szCs w:val="24"/>
              </w:rPr>
              <w:t>&gt;20 kg – 25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375</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vAlign w:val="center"/>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56BEA391" wp14:editId="6A95C957">
                  <wp:extent cx="247650" cy="247650"/>
                  <wp:effectExtent l="0" t="0" r="0" b="0"/>
                  <wp:docPr id="2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0F59FC61" wp14:editId="0A33CCB0">
                  <wp:extent cx="247650" cy="247650"/>
                  <wp:effectExtent l="0" t="0" r="0" b="0"/>
                  <wp:docPr id="23"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rPr>
                <w:sz w:val="24"/>
                <w:szCs w:val="24"/>
              </w:rPr>
            </w:pPr>
            <w:r w:rsidRPr="006A5B3D">
              <w:rPr>
                <w:sz w:val="24"/>
                <w:szCs w:val="24"/>
              </w:rPr>
              <w:t>&gt;25 kg – 29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438</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vAlign w:val="center"/>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00403F4D" wp14:editId="3BC92BC3">
                  <wp:extent cx="247650" cy="247650"/>
                  <wp:effectExtent l="0" t="0" r="0" b="0"/>
                  <wp:docPr id="24"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2FA0B9EC" wp14:editId="4409720B">
                  <wp:extent cx="247650" cy="247650"/>
                  <wp:effectExtent l="0" t="0" r="0" b="0"/>
                  <wp:docPr id="25"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rPr>
                <w:sz w:val="24"/>
                <w:szCs w:val="24"/>
              </w:rPr>
            </w:pPr>
            <w:r w:rsidRPr="006A5B3D">
              <w:rPr>
                <w:sz w:val="24"/>
                <w:szCs w:val="24"/>
              </w:rPr>
              <w:lastRenderedPageBreak/>
              <w:t>&gt;29 kg – 33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500</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vAlign w:val="center"/>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3968EBA2" wp14:editId="09248550">
                  <wp:extent cx="247650" cy="247650"/>
                  <wp:effectExtent l="0" t="0" r="0" b="0"/>
                  <wp:docPr id="2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591B1146" wp14:editId="7E7281A5">
                  <wp:extent cx="247650" cy="247650"/>
                  <wp:effectExtent l="0" t="0" r="0" b="0"/>
                  <wp:docPr id="2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09E48145" wp14:editId="1E3FDDF4">
                  <wp:extent cx="247650" cy="247650"/>
                  <wp:effectExtent l="0" t="0" r="0" b="0"/>
                  <wp:docPr id="28"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1332A1BA" wp14:editId="18730602">
                  <wp:extent cx="247650" cy="247650"/>
                  <wp:effectExtent l="0" t="0" r="0" b="0"/>
                  <wp:docPr id="29"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rPr>
                <w:sz w:val="24"/>
                <w:szCs w:val="24"/>
              </w:rPr>
            </w:pPr>
            <w:r w:rsidRPr="006A5B3D">
              <w:rPr>
                <w:sz w:val="24"/>
                <w:szCs w:val="24"/>
              </w:rPr>
              <w:t>&gt;33 kg – 41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625</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0FBA3F5D" wp14:editId="771D94F2">
                  <wp:extent cx="247650" cy="247650"/>
                  <wp:effectExtent l="0" t="0" r="0" b="0"/>
                  <wp:docPr id="30"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44E7F0AA" wp14:editId="11088134">
                  <wp:extent cx="247650" cy="247650"/>
                  <wp:effectExtent l="0" t="0" r="0" b="0"/>
                  <wp:docPr id="31"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rPr>
                <w:sz w:val="24"/>
                <w:szCs w:val="24"/>
              </w:rPr>
            </w:pPr>
            <w:r w:rsidRPr="006A5B3D">
              <w:rPr>
                <w:sz w:val="24"/>
                <w:szCs w:val="24"/>
              </w:rPr>
              <w:t>&gt;41 kg – 50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750</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0E515A65" wp14:editId="62059880">
                  <wp:extent cx="247650" cy="247650"/>
                  <wp:effectExtent l="0" t="0" r="0" b="0"/>
                  <wp:docPr id="32"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0BB84F1A" wp14:editId="38BF61CD">
                  <wp:extent cx="247650" cy="247650"/>
                  <wp:effectExtent l="0" t="0" r="0" b="0"/>
                  <wp:docPr id="33"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2117C8A5" wp14:editId="28792D3F">
                  <wp:extent cx="247650" cy="247650"/>
                  <wp:effectExtent l="0" t="0" r="0" b="0"/>
                  <wp:docPr id="34"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rPr>
                <w:sz w:val="24"/>
                <w:szCs w:val="24"/>
              </w:rPr>
            </w:pPr>
            <w:r w:rsidRPr="006A5B3D">
              <w:rPr>
                <w:sz w:val="24"/>
                <w:szCs w:val="24"/>
              </w:rPr>
              <w:t>&gt;50 kg – 58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875</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4BC9926B" wp14:editId="0F02E61F">
                  <wp:extent cx="247650" cy="247650"/>
                  <wp:effectExtent l="0" t="0" r="0" b="0"/>
                  <wp:docPr id="35"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7D42DF2B" wp14:editId="09785F66">
                  <wp:extent cx="247650" cy="247650"/>
                  <wp:effectExtent l="0" t="0" r="0" b="0"/>
                  <wp:docPr id="36"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rPr>
                <w:sz w:val="24"/>
                <w:szCs w:val="24"/>
              </w:rPr>
            </w:pPr>
            <w:r w:rsidRPr="006A5B3D">
              <w:rPr>
                <w:sz w:val="24"/>
                <w:szCs w:val="24"/>
              </w:rPr>
              <w:t>&gt;58 kg – 66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1000</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69F07962" wp14:editId="496DA0AF">
                  <wp:extent cx="247650" cy="247650"/>
                  <wp:effectExtent l="0" t="0" r="0" b="0"/>
                  <wp:docPr id="37"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0DBA2BA0" wp14:editId="3A2848A1">
                  <wp:extent cx="247650" cy="247650"/>
                  <wp:effectExtent l="0" t="0" r="0" b="0"/>
                  <wp:docPr id="38"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36772879" wp14:editId="14587796">
                  <wp:extent cx="247650" cy="247650"/>
                  <wp:effectExtent l="0" t="0" r="0" b="0"/>
                  <wp:docPr id="39"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6A5B3D" w:rsidRPr="006A5B3D" w:rsidTr="006A5B3D">
        <w:trPr>
          <w:trHeight w:val="297"/>
        </w:trPr>
        <w:tc>
          <w:tcPr>
            <w:tcW w:w="1293"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rPr>
                <w:sz w:val="24"/>
                <w:szCs w:val="24"/>
              </w:rPr>
            </w:pPr>
            <w:r w:rsidRPr="006A5B3D">
              <w:rPr>
                <w:sz w:val="24"/>
                <w:szCs w:val="24"/>
              </w:rPr>
              <w:t>&gt;66 kg – 83 kg</w:t>
            </w:r>
          </w:p>
        </w:tc>
        <w:tc>
          <w:tcPr>
            <w:tcW w:w="431" w:type="pct"/>
            <w:tcBorders>
              <w:top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1250</w:t>
            </w:r>
          </w:p>
        </w:tc>
        <w:tc>
          <w:tcPr>
            <w:tcW w:w="862"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776"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sz w:val="24"/>
                <w:szCs w:val="24"/>
              </w:rPr>
              <w:t>-</w:t>
            </w:r>
          </w:p>
        </w:tc>
        <w:tc>
          <w:tcPr>
            <w:tcW w:w="775" w:type="pct"/>
            <w:tcBorders>
              <w:top w:val="single" w:sz="4" w:space="0" w:color="FFFFFF"/>
              <w:left w:val="single" w:sz="4" w:space="0" w:color="FFFFFF"/>
              <w:bottom w:val="single" w:sz="4" w:space="0" w:color="FFFFFF"/>
              <w:right w:val="single" w:sz="4" w:space="0" w:color="FFFFFF"/>
            </w:tcBorders>
            <w:shd w:val="clear" w:color="auto" w:fill="F0F0F0"/>
          </w:tcPr>
          <w:p w:rsidR="006A5B3D" w:rsidRPr="006A5B3D" w:rsidRDefault="006A5B3D" w:rsidP="00327BBC">
            <w:pPr>
              <w:jc w:val="center"/>
              <w:rPr>
                <w:sz w:val="24"/>
                <w:szCs w:val="24"/>
              </w:rPr>
            </w:pPr>
            <w:r w:rsidRPr="006A5B3D">
              <w:rPr>
                <w:sz w:val="24"/>
                <w:szCs w:val="24"/>
              </w:rPr>
              <w:t>-</w:t>
            </w:r>
          </w:p>
        </w:tc>
        <w:tc>
          <w:tcPr>
            <w:tcW w:w="863" w:type="pct"/>
            <w:tcBorders>
              <w:top w:val="single" w:sz="4" w:space="0" w:color="FFFFFF"/>
              <w:left w:val="single" w:sz="4" w:space="0" w:color="FFFFFF"/>
              <w:bottom w:val="single" w:sz="4" w:space="0" w:color="FFFFFF"/>
              <w:right w:val="nil"/>
            </w:tcBorders>
            <w:shd w:val="clear" w:color="auto" w:fill="F0F0F0"/>
          </w:tcPr>
          <w:p w:rsidR="006A5B3D" w:rsidRPr="006A5B3D" w:rsidRDefault="006A5B3D" w:rsidP="00327BBC">
            <w:pPr>
              <w:jc w:val="center"/>
              <w:rPr>
                <w:sz w:val="24"/>
                <w:szCs w:val="24"/>
              </w:rPr>
            </w:pPr>
            <w:r w:rsidRPr="006A5B3D">
              <w:rPr>
                <w:noProof/>
                <w:sz w:val="24"/>
                <w:szCs w:val="24"/>
                <w:lang w:val="en-IE" w:eastAsia="en-IE"/>
              </w:rPr>
              <w:drawing>
                <wp:inline distT="0" distB="0" distL="0" distR="0" wp14:anchorId="20F06FDD" wp14:editId="430037DE">
                  <wp:extent cx="247650" cy="247650"/>
                  <wp:effectExtent l="0" t="0" r="0" b="0"/>
                  <wp:docPr id="40"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noProof/>
                <w:sz w:val="24"/>
                <w:szCs w:val="24"/>
                <w:lang w:val="en-IE" w:eastAsia="en-IE"/>
              </w:rPr>
              <w:drawing>
                <wp:inline distT="0" distB="0" distL="0" distR="0" wp14:anchorId="7A6C1D88" wp14:editId="20B5DB1A">
                  <wp:extent cx="247650" cy="247650"/>
                  <wp:effectExtent l="0" t="0" r="0" b="0"/>
                  <wp:docPr id="41"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6A5B3D" w:rsidRPr="006A5B3D" w:rsidRDefault="006A5B3D" w:rsidP="006A5B3D">
      <w:pPr>
        <w:ind w:left="426"/>
        <w:rPr>
          <w:sz w:val="24"/>
          <w:szCs w:val="24"/>
        </w:rPr>
      </w:pPr>
      <w:r w:rsidRPr="006A5B3D">
        <w:rPr>
          <w:noProof/>
          <w:sz w:val="24"/>
          <w:szCs w:val="24"/>
          <w:lang w:val="en-IE" w:eastAsia="en-IE"/>
        </w:rPr>
        <w:drawing>
          <wp:inline distT="0" distB="0" distL="0" distR="0" wp14:anchorId="7BA32F1C" wp14:editId="3E534DFE">
            <wp:extent cx="247650" cy="247650"/>
            <wp:effectExtent l="0" t="0" r="0" b="0"/>
            <wp:docPr id="4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sz w:val="24"/>
          <w:szCs w:val="24"/>
        </w:rPr>
        <w:t>= ¼ tablet</w:t>
      </w:r>
      <w:r w:rsidRPr="006A5B3D">
        <w:rPr>
          <w:sz w:val="24"/>
          <w:szCs w:val="24"/>
        </w:rPr>
        <w:tab/>
      </w:r>
      <w:r w:rsidRPr="006A5B3D">
        <w:rPr>
          <w:noProof/>
          <w:sz w:val="24"/>
          <w:szCs w:val="24"/>
          <w:lang w:val="en-IE" w:eastAsia="en-IE"/>
        </w:rPr>
        <w:drawing>
          <wp:inline distT="0" distB="0" distL="0" distR="0" wp14:anchorId="1CE3D6D4" wp14:editId="6BB5366A">
            <wp:extent cx="247650" cy="247650"/>
            <wp:effectExtent l="0" t="0" r="0" b="0"/>
            <wp:docPr id="4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sz w:val="24"/>
          <w:szCs w:val="24"/>
        </w:rPr>
        <w:t xml:space="preserve">= ½ tablet </w:t>
      </w:r>
      <w:r w:rsidRPr="006A5B3D">
        <w:rPr>
          <w:sz w:val="24"/>
          <w:szCs w:val="24"/>
        </w:rPr>
        <w:tab/>
      </w:r>
      <w:r w:rsidRPr="006A5B3D">
        <w:rPr>
          <w:noProof/>
          <w:sz w:val="24"/>
          <w:szCs w:val="24"/>
          <w:lang w:val="en-IE" w:eastAsia="en-IE"/>
        </w:rPr>
        <w:drawing>
          <wp:inline distT="0" distB="0" distL="0" distR="0" wp14:anchorId="21F57194" wp14:editId="6012F1FC">
            <wp:extent cx="247650" cy="247650"/>
            <wp:effectExtent l="0" t="0" r="0" b="0"/>
            <wp:docPr id="4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sz w:val="24"/>
          <w:szCs w:val="24"/>
        </w:rPr>
        <w:t>= ¾ tablet</w:t>
      </w:r>
      <w:r w:rsidRPr="006A5B3D">
        <w:rPr>
          <w:sz w:val="24"/>
          <w:szCs w:val="24"/>
        </w:rPr>
        <w:tab/>
      </w:r>
      <w:r w:rsidRPr="006A5B3D">
        <w:rPr>
          <w:noProof/>
          <w:sz w:val="24"/>
          <w:szCs w:val="24"/>
          <w:lang w:val="en-IE" w:eastAsia="en-IE"/>
        </w:rPr>
        <w:drawing>
          <wp:inline distT="0" distB="0" distL="0" distR="0" wp14:anchorId="51DA4BBA" wp14:editId="3E981016">
            <wp:extent cx="247650" cy="247650"/>
            <wp:effectExtent l="0" t="0" r="0" b="0"/>
            <wp:docPr id="4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A5B3D">
        <w:rPr>
          <w:sz w:val="24"/>
          <w:szCs w:val="24"/>
        </w:rPr>
        <w:t>= 1 tablet</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Tabletten kan deles i 2 eller 4 lige store dele for at sikre præcis dosering. Placér tabletten på en flad overflade med delekærven opad.</w:t>
      </w:r>
    </w:p>
    <w:p w:rsidR="006A5B3D" w:rsidRPr="006A5B3D" w:rsidRDefault="006A5B3D" w:rsidP="006A5B3D">
      <w:pPr>
        <w:ind w:left="567"/>
        <w:rPr>
          <w:sz w:val="24"/>
          <w:szCs w:val="24"/>
        </w:rPr>
      </w:pPr>
      <w:r w:rsidRPr="006A5B3D">
        <w:rPr>
          <w:noProof/>
          <w:sz w:val="24"/>
          <w:szCs w:val="24"/>
          <w:lang w:val="en-IE" w:eastAsia="en-IE"/>
        </w:rPr>
        <w:drawing>
          <wp:inline distT="0" distB="0" distL="0" distR="0" wp14:anchorId="6AADFCF2" wp14:editId="2FCDD1C4">
            <wp:extent cx="2305050" cy="1952625"/>
            <wp:effectExtent l="0" t="0" r="0" b="9525"/>
            <wp:docPr id="46"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rsidR="006A5B3D" w:rsidRPr="006A5B3D" w:rsidRDefault="006A5B3D" w:rsidP="006A5B3D">
      <w:pPr>
        <w:ind w:left="567"/>
        <w:rPr>
          <w:sz w:val="24"/>
          <w:szCs w:val="24"/>
        </w:rPr>
      </w:pPr>
      <w:r w:rsidRPr="006A5B3D">
        <w:rPr>
          <w:sz w:val="24"/>
          <w:szCs w:val="24"/>
        </w:rPr>
        <w:t>Halve: Tryk ned med tommelfingrene på begge sider af tabletten.</w:t>
      </w:r>
    </w:p>
    <w:p w:rsidR="006A5B3D" w:rsidRPr="006A5B3D" w:rsidRDefault="006A5B3D" w:rsidP="006A5B3D">
      <w:pPr>
        <w:ind w:left="567"/>
        <w:rPr>
          <w:sz w:val="24"/>
          <w:szCs w:val="24"/>
        </w:rPr>
      </w:pPr>
      <w:r w:rsidRPr="006A5B3D">
        <w:rPr>
          <w:sz w:val="24"/>
          <w:szCs w:val="24"/>
        </w:rPr>
        <w:t>Kvarte: Tryk ned med tommelfingeren midt på tabletten.</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3.10</w:t>
      </w:r>
      <w:r w:rsidRPr="006A5B3D">
        <w:rPr>
          <w:sz w:val="24"/>
          <w:szCs w:val="24"/>
        </w:rPr>
        <w:tab/>
        <w:t>Symptomer på overdosering (og, hvis relevant, nødforanstaltninger og modgift)</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Der kendes ingen andre bivirkninger end de, der er nævnt i pkt. 3.6.</w:t>
      </w:r>
    </w:p>
    <w:p w:rsidR="006A5B3D" w:rsidRPr="006A5B3D" w:rsidRDefault="006A5B3D" w:rsidP="006A5B3D">
      <w:pPr>
        <w:ind w:left="567"/>
        <w:rPr>
          <w:sz w:val="24"/>
          <w:szCs w:val="24"/>
        </w:rPr>
      </w:pPr>
      <w:r w:rsidRPr="006A5B3D">
        <w:rPr>
          <w:sz w:val="24"/>
          <w:szCs w:val="24"/>
        </w:rPr>
        <w:t>I tilfælde af overdosering skal behandlingen være symptomatisk.</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3.11</w:t>
      </w:r>
      <w:r w:rsidRPr="006A5B3D">
        <w:rPr>
          <w:sz w:val="24"/>
          <w:szCs w:val="24"/>
        </w:rPr>
        <w:tab/>
        <w:t>Særlige begrænsninger og betingelser for anvendelse, herunder begrænsninger for anvendelsen af antimikrobielle og antiparasitære veterinærlægemidler for at begrænse risikoen for udvikling af resistens</w:t>
      </w:r>
    </w:p>
    <w:p w:rsidR="006A5B3D" w:rsidRPr="006A5B3D" w:rsidRDefault="006A5B3D" w:rsidP="006A5B3D">
      <w:pPr>
        <w:rPr>
          <w:sz w:val="24"/>
          <w:szCs w:val="24"/>
        </w:rPr>
      </w:pP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3.12</w:t>
      </w:r>
      <w:r w:rsidRPr="006A5B3D">
        <w:rPr>
          <w:sz w:val="24"/>
          <w:szCs w:val="24"/>
        </w:rPr>
        <w:tab/>
        <w:t>Tilbageholdelsestid(er)</w:t>
      </w:r>
    </w:p>
    <w:p w:rsidR="006A5B3D" w:rsidRPr="006A5B3D" w:rsidRDefault="006A5B3D" w:rsidP="006A5B3D">
      <w:pPr>
        <w:rPr>
          <w:sz w:val="24"/>
          <w:szCs w:val="24"/>
        </w:rPr>
      </w:pPr>
    </w:p>
    <w:p w:rsidR="006A5B3D" w:rsidRPr="006A5B3D" w:rsidRDefault="006A5B3D" w:rsidP="006A5B3D">
      <w:pPr>
        <w:ind w:firstLine="567"/>
        <w:rPr>
          <w:sz w:val="24"/>
          <w:szCs w:val="24"/>
        </w:rPr>
      </w:pPr>
      <w:r w:rsidRPr="006A5B3D">
        <w:rPr>
          <w:sz w:val="24"/>
          <w:szCs w:val="24"/>
        </w:rPr>
        <w:t xml:space="preserve">Ikke relevant. </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4.</w:t>
      </w:r>
      <w:r w:rsidRPr="006A5B3D">
        <w:rPr>
          <w:sz w:val="24"/>
          <w:szCs w:val="24"/>
        </w:rPr>
        <w:tab/>
        <w:t>FARMAKOLOGISKE OPLYSNINGER</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4.1</w:t>
      </w:r>
      <w:r w:rsidRPr="006A5B3D">
        <w:rPr>
          <w:sz w:val="24"/>
          <w:szCs w:val="24"/>
        </w:rPr>
        <w:tab/>
      </w:r>
      <w:proofErr w:type="spellStart"/>
      <w:r w:rsidRPr="006A5B3D">
        <w:rPr>
          <w:sz w:val="24"/>
          <w:szCs w:val="24"/>
        </w:rPr>
        <w:t>ATCvet</w:t>
      </w:r>
      <w:proofErr w:type="spellEnd"/>
      <w:r w:rsidRPr="006A5B3D">
        <w:rPr>
          <w:sz w:val="24"/>
          <w:szCs w:val="24"/>
        </w:rPr>
        <w:t xml:space="preserve">-kode: </w:t>
      </w:r>
      <w:r w:rsidRPr="006A5B3D">
        <w:rPr>
          <w:b w:val="0"/>
          <w:sz w:val="24"/>
          <w:szCs w:val="24"/>
        </w:rPr>
        <w:t>QJ 01 DB 01</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4.2</w:t>
      </w:r>
      <w:r w:rsidRPr="006A5B3D">
        <w:rPr>
          <w:sz w:val="24"/>
          <w:szCs w:val="24"/>
        </w:rPr>
        <w:tab/>
      </w:r>
      <w:proofErr w:type="spellStart"/>
      <w:r w:rsidRPr="006A5B3D">
        <w:rPr>
          <w:sz w:val="24"/>
          <w:szCs w:val="24"/>
        </w:rPr>
        <w:t>Farmakodynamiske</w:t>
      </w:r>
      <w:proofErr w:type="spellEnd"/>
      <w:r w:rsidRPr="006A5B3D">
        <w:rPr>
          <w:sz w:val="24"/>
          <w:szCs w:val="24"/>
        </w:rPr>
        <w:t xml:space="preserve"> oplysninger</w:t>
      </w:r>
    </w:p>
    <w:p w:rsidR="006A5B3D" w:rsidRPr="006A5B3D" w:rsidRDefault="006A5B3D" w:rsidP="006A5B3D">
      <w:pPr>
        <w:rPr>
          <w:sz w:val="24"/>
          <w:szCs w:val="24"/>
        </w:rPr>
      </w:pPr>
    </w:p>
    <w:p w:rsidR="006A5B3D" w:rsidRPr="006A5B3D" w:rsidRDefault="006A5B3D" w:rsidP="006A5B3D">
      <w:pPr>
        <w:ind w:left="567"/>
        <w:rPr>
          <w:sz w:val="24"/>
          <w:szCs w:val="24"/>
        </w:rPr>
      </w:pPr>
      <w:proofErr w:type="spellStart"/>
      <w:r w:rsidRPr="006A5B3D">
        <w:rPr>
          <w:sz w:val="24"/>
          <w:szCs w:val="24"/>
        </w:rPr>
        <w:t>Cefalosporiners</w:t>
      </w:r>
      <w:proofErr w:type="spellEnd"/>
      <w:r w:rsidRPr="006A5B3D">
        <w:rPr>
          <w:sz w:val="24"/>
          <w:szCs w:val="24"/>
        </w:rPr>
        <w:t xml:space="preserve"> virkningsmekanisme ligner penicilliners, især </w:t>
      </w:r>
      <w:proofErr w:type="spellStart"/>
      <w:r w:rsidRPr="006A5B3D">
        <w:rPr>
          <w:sz w:val="24"/>
          <w:szCs w:val="24"/>
        </w:rPr>
        <w:t>ampicillins</w:t>
      </w:r>
      <w:proofErr w:type="spellEnd"/>
      <w:r w:rsidRPr="006A5B3D">
        <w:rPr>
          <w:sz w:val="24"/>
          <w:szCs w:val="24"/>
        </w:rPr>
        <w:t xml:space="preserve"> (almindelig beta-</w:t>
      </w:r>
      <w:proofErr w:type="spellStart"/>
      <w:r w:rsidRPr="006A5B3D">
        <w:rPr>
          <w:sz w:val="24"/>
          <w:szCs w:val="24"/>
        </w:rPr>
        <w:t>lactamring</w:t>
      </w:r>
      <w:proofErr w:type="spellEnd"/>
      <w:r w:rsidRPr="006A5B3D">
        <w:rPr>
          <w:sz w:val="24"/>
          <w:szCs w:val="24"/>
        </w:rPr>
        <w:t xml:space="preserve">). </w:t>
      </w:r>
      <w:proofErr w:type="spellStart"/>
      <w:r w:rsidRPr="006A5B3D">
        <w:rPr>
          <w:sz w:val="24"/>
          <w:szCs w:val="24"/>
        </w:rPr>
        <w:t>Cefalosporiner</w:t>
      </w:r>
      <w:proofErr w:type="spellEnd"/>
      <w:r w:rsidRPr="006A5B3D">
        <w:rPr>
          <w:sz w:val="24"/>
          <w:szCs w:val="24"/>
        </w:rPr>
        <w:t xml:space="preserve"> i særdeleshed har en tidsafhængig bakteriedræbende virkning på bakterier, der er ved at dele sig. De bindes irreversibelt til penicillin-bindende proteiner </w:t>
      </w:r>
      <w:r w:rsidRPr="006A5B3D">
        <w:rPr>
          <w:sz w:val="24"/>
          <w:szCs w:val="24"/>
        </w:rPr>
        <w:lastRenderedPageBreak/>
        <w:t>(</w:t>
      </w:r>
      <w:proofErr w:type="spellStart"/>
      <w:r w:rsidRPr="006A5B3D">
        <w:rPr>
          <w:sz w:val="24"/>
          <w:szCs w:val="24"/>
        </w:rPr>
        <w:t>PBP’er</w:t>
      </w:r>
      <w:proofErr w:type="spellEnd"/>
      <w:r w:rsidRPr="006A5B3D">
        <w:rPr>
          <w:sz w:val="24"/>
          <w:szCs w:val="24"/>
        </w:rPr>
        <w:t xml:space="preserve">), som er enzymer, der er nødvendige ved krydskobling af </w:t>
      </w:r>
      <w:proofErr w:type="spellStart"/>
      <w:r w:rsidRPr="006A5B3D">
        <w:rPr>
          <w:sz w:val="24"/>
          <w:szCs w:val="24"/>
        </w:rPr>
        <w:t>peptidoglycanstrenge</w:t>
      </w:r>
      <w:proofErr w:type="spellEnd"/>
      <w:r w:rsidRPr="006A5B3D">
        <w:rPr>
          <w:sz w:val="24"/>
          <w:szCs w:val="24"/>
        </w:rPr>
        <w:t xml:space="preserve"> ved syntese af bakteriecellevæggen. Dette forstyrrer den krydsbinding af </w:t>
      </w:r>
      <w:proofErr w:type="spellStart"/>
      <w:r w:rsidRPr="006A5B3D">
        <w:rPr>
          <w:sz w:val="24"/>
          <w:szCs w:val="24"/>
        </w:rPr>
        <w:t>peptidoglycankæder</w:t>
      </w:r>
      <w:proofErr w:type="spellEnd"/>
      <w:r w:rsidRPr="006A5B3D">
        <w:rPr>
          <w:sz w:val="24"/>
          <w:szCs w:val="24"/>
        </w:rPr>
        <w:t xml:space="preserve">, der er nødvendig for at gøre bakteriecellen stærk og stiv, og resulterer i abnorm cellevækst og cellelyse. </w:t>
      </w:r>
    </w:p>
    <w:p w:rsidR="006A5B3D" w:rsidRPr="006A5B3D" w:rsidRDefault="006A5B3D" w:rsidP="006A5B3D">
      <w:pPr>
        <w:ind w:left="567"/>
        <w:rPr>
          <w:sz w:val="24"/>
          <w:szCs w:val="24"/>
        </w:rPr>
      </w:pPr>
      <w:proofErr w:type="spellStart"/>
      <w:r w:rsidRPr="006A5B3D">
        <w:rPr>
          <w:sz w:val="24"/>
          <w:szCs w:val="24"/>
        </w:rPr>
        <w:t>Cefalexin</w:t>
      </w:r>
      <w:proofErr w:type="spellEnd"/>
      <w:r w:rsidRPr="006A5B3D">
        <w:rPr>
          <w:sz w:val="24"/>
          <w:szCs w:val="24"/>
        </w:rPr>
        <w:t xml:space="preserve"> er aktiv over for både grampositive og nogle gramnegative bakterier.</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 xml:space="preserve">De følgende CLSI </w:t>
      </w:r>
      <w:proofErr w:type="spellStart"/>
      <w:r w:rsidRPr="006A5B3D">
        <w:rPr>
          <w:sz w:val="24"/>
          <w:szCs w:val="24"/>
        </w:rPr>
        <w:t>cephalothin</w:t>
      </w:r>
      <w:proofErr w:type="spellEnd"/>
      <w:r w:rsidRPr="006A5B3D">
        <w:rPr>
          <w:sz w:val="24"/>
          <w:szCs w:val="24"/>
        </w:rPr>
        <w:t xml:space="preserve"> veterinære </w:t>
      </w:r>
      <w:proofErr w:type="spellStart"/>
      <w:r w:rsidRPr="006A5B3D">
        <w:rPr>
          <w:sz w:val="24"/>
          <w:szCs w:val="24"/>
        </w:rPr>
        <w:t>breakpoints</w:t>
      </w:r>
      <w:proofErr w:type="spellEnd"/>
      <w:r w:rsidRPr="006A5B3D">
        <w:rPr>
          <w:sz w:val="24"/>
          <w:szCs w:val="24"/>
        </w:rPr>
        <w:t xml:space="preserve"> er tilgængelige for hunde (CLSI, VET 01S udgave 5. november 2020)</w:t>
      </w:r>
    </w:p>
    <w:p w:rsidR="006A5B3D" w:rsidRPr="006A5B3D" w:rsidRDefault="006A5B3D" w:rsidP="006A5B3D">
      <w:pPr>
        <w:ind w:left="567"/>
        <w:rPr>
          <w:sz w:val="24"/>
          <w:szCs w:val="24"/>
        </w:rPr>
      </w:pPr>
      <w:proofErr w:type="spellStart"/>
      <w:r w:rsidRPr="006A5B3D">
        <w:rPr>
          <w:sz w:val="24"/>
          <w:szCs w:val="24"/>
        </w:rPr>
        <w:t>Cephalothin</w:t>
      </w:r>
      <w:proofErr w:type="spellEnd"/>
      <w:r w:rsidRPr="006A5B3D">
        <w:rPr>
          <w:sz w:val="24"/>
          <w:szCs w:val="24"/>
        </w:rPr>
        <w:t xml:space="preserve"> kan bruges som en indikator for 1. generations-</w:t>
      </w:r>
      <w:proofErr w:type="spellStart"/>
      <w:r w:rsidRPr="006A5B3D">
        <w:rPr>
          <w:sz w:val="24"/>
          <w:szCs w:val="24"/>
        </w:rPr>
        <w:t>cefalosporiner</w:t>
      </w:r>
      <w:proofErr w:type="spellEnd"/>
      <w:r w:rsidRPr="006A5B3D">
        <w:rPr>
          <w:sz w:val="24"/>
          <w:szCs w:val="24"/>
        </w:rPr>
        <w:t xml:space="preserve">. </w:t>
      </w:r>
    </w:p>
    <w:p w:rsidR="006A5B3D" w:rsidRPr="006A5B3D" w:rsidRDefault="006A5B3D" w:rsidP="006A5B3D">
      <w:pPr>
        <w:ind w:left="567"/>
        <w:rPr>
          <w:sz w:val="24"/>
          <w:szCs w:val="24"/>
        </w:rPr>
      </w:pPr>
      <w:r w:rsidRPr="006A5B3D">
        <w:rPr>
          <w:sz w:val="24"/>
          <w:szCs w:val="24"/>
        </w:rPr>
        <w:t>Infektioner i hud og bløddele:</w:t>
      </w:r>
    </w:p>
    <w:p w:rsidR="006A5B3D" w:rsidRPr="006A5B3D" w:rsidRDefault="006A5B3D" w:rsidP="006A5B3D">
      <w:pPr>
        <w:ind w:left="567"/>
        <w:rPr>
          <w:sz w:val="24"/>
          <w:szCs w:val="24"/>
        </w:rPr>
      </w:pPr>
      <w:r w:rsidRPr="006A5B3D">
        <w:rPr>
          <w:sz w:val="24"/>
          <w:szCs w:val="24"/>
        </w:rPr>
        <w:t xml:space="preserve">Bakteriearter </w:t>
      </w:r>
      <w:r w:rsidRPr="006A5B3D">
        <w:rPr>
          <w:sz w:val="24"/>
          <w:szCs w:val="24"/>
        </w:rPr>
        <w:tab/>
      </w:r>
      <w:r w:rsidRPr="006A5B3D">
        <w:rPr>
          <w:sz w:val="24"/>
          <w:szCs w:val="24"/>
        </w:rPr>
        <w:tab/>
      </w:r>
      <w:r w:rsidRPr="006A5B3D">
        <w:rPr>
          <w:sz w:val="24"/>
          <w:szCs w:val="24"/>
        </w:rPr>
        <w:tab/>
        <w:t>Følsom</w:t>
      </w:r>
      <w:r w:rsidRPr="006A5B3D">
        <w:rPr>
          <w:sz w:val="24"/>
          <w:szCs w:val="24"/>
        </w:rPr>
        <w:tab/>
        <w:t>Resistent</w:t>
      </w:r>
    </w:p>
    <w:p w:rsidR="006A5B3D" w:rsidRPr="006A5B3D" w:rsidRDefault="006A5B3D" w:rsidP="006A5B3D">
      <w:pPr>
        <w:ind w:left="567"/>
        <w:rPr>
          <w:sz w:val="24"/>
          <w:szCs w:val="24"/>
        </w:rPr>
      </w:pPr>
      <w:proofErr w:type="spellStart"/>
      <w:r w:rsidRPr="006A5B3D">
        <w:rPr>
          <w:i/>
          <w:iCs/>
          <w:sz w:val="24"/>
          <w:szCs w:val="24"/>
        </w:rPr>
        <w:t>Staphylococcus</w:t>
      </w:r>
      <w:proofErr w:type="spellEnd"/>
      <w:r w:rsidRPr="006A5B3D">
        <w:rPr>
          <w:i/>
          <w:iCs/>
          <w:sz w:val="24"/>
          <w:szCs w:val="24"/>
        </w:rPr>
        <w:t xml:space="preserve"> aureus</w:t>
      </w:r>
      <w:r w:rsidRPr="006A5B3D">
        <w:rPr>
          <w:sz w:val="24"/>
          <w:szCs w:val="24"/>
        </w:rPr>
        <w:t xml:space="preserve"> og</w:t>
      </w:r>
    </w:p>
    <w:p w:rsidR="006A5B3D" w:rsidRPr="006A5B3D" w:rsidRDefault="006A5B3D" w:rsidP="006A5B3D">
      <w:pPr>
        <w:ind w:left="567"/>
        <w:rPr>
          <w:sz w:val="24"/>
          <w:szCs w:val="24"/>
        </w:rPr>
      </w:pPr>
      <w:proofErr w:type="spellStart"/>
      <w:r w:rsidRPr="006A5B3D">
        <w:rPr>
          <w:i/>
          <w:iCs/>
          <w:sz w:val="24"/>
          <w:szCs w:val="24"/>
        </w:rPr>
        <w:t>Staphylococcus</w:t>
      </w:r>
      <w:proofErr w:type="spellEnd"/>
      <w:r w:rsidRPr="006A5B3D">
        <w:rPr>
          <w:i/>
          <w:iCs/>
          <w:sz w:val="24"/>
          <w:szCs w:val="24"/>
        </w:rPr>
        <w:t xml:space="preserve"> </w:t>
      </w:r>
      <w:proofErr w:type="spellStart"/>
      <w:r w:rsidRPr="006A5B3D">
        <w:rPr>
          <w:i/>
          <w:iCs/>
          <w:sz w:val="24"/>
          <w:szCs w:val="24"/>
        </w:rPr>
        <w:t>pseudintermedius</w:t>
      </w:r>
      <w:proofErr w:type="spellEnd"/>
      <w:r w:rsidRPr="006A5B3D">
        <w:rPr>
          <w:sz w:val="24"/>
          <w:szCs w:val="24"/>
        </w:rPr>
        <w:tab/>
      </w:r>
      <w:r>
        <w:rPr>
          <w:sz w:val="24"/>
          <w:szCs w:val="24"/>
        </w:rPr>
        <w:tab/>
      </w:r>
      <w:r w:rsidRPr="006A5B3D">
        <w:rPr>
          <w:sz w:val="24"/>
          <w:szCs w:val="24"/>
        </w:rPr>
        <w:t>≤ 2 </w:t>
      </w:r>
      <w:proofErr w:type="spellStart"/>
      <w:r w:rsidRPr="006A5B3D">
        <w:rPr>
          <w:sz w:val="24"/>
          <w:szCs w:val="24"/>
        </w:rPr>
        <w:t>μg</w:t>
      </w:r>
      <w:proofErr w:type="spellEnd"/>
      <w:r w:rsidRPr="006A5B3D">
        <w:rPr>
          <w:sz w:val="24"/>
          <w:szCs w:val="24"/>
        </w:rPr>
        <w:t>/ml</w:t>
      </w:r>
      <w:r w:rsidRPr="006A5B3D">
        <w:rPr>
          <w:sz w:val="24"/>
          <w:szCs w:val="24"/>
        </w:rPr>
        <w:tab/>
        <w:t>≥ 4 </w:t>
      </w:r>
      <w:proofErr w:type="spellStart"/>
      <w:r w:rsidRPr="006A5B3D">
        <w:rPr>
          <w:sz w:val="24"/>
          <w:szCs w:val="24"/>
        </w:rPr>
        <w:t>μg</w:t>
      </w:r>
      <w:proofErr w:type="spellEnd"/>
      <w:r w:rsidRPr="006A5B3D">
        <w:rPr>
          <w:sz w:val="24"/>
          <w:szCs w:val="24"/>
        </w:rPr>
        <w:t>/ml</w:t>
      </w:r>
    </w:p>
    <w:p w:rsidR="006A5B3D" w:rsidRPr="006A5B3D" w:rsidRDefault="006A5B3D" w:rsidP="006A5B3D">
      <w:pPr>
        <w:ind w:left="567"/>
        <w:rPr>
          <w:sz w:val="24"/>
          <w:szCs w:val="24"/>
        </w:rPr>
      </w:pPr>
      <w:proofErr w:type="spellStart"/>
      <w:r w:rsidRPr="006A5B3D">
        <w:rPr>
          <w:i/>
          <w:iCs/>
          <w:sz w:val="24"/>
          <w:szCs w:val="24"/>
        </w:rPr>
        <w:t>Streptococcus</w:t>
      </w:r>
      <w:proofErr w:type="spellEnd"/>
      <w:r w:rsidRPr="006A5B3D">
        <w:rPr>
          <w:sz w:val="24"/>
          <w:szCs w:val="24"/>
        </w:rPr>
        <w:t xml:space="preserve"> </w:t>
      </w:r>
      <w:proofErr w:type="spellStart"/>
      <w:r w:rsidRPr="006A5B3D">
        <w:rPr>
          <w:sz w:val="24"/>
          <w:szCs w:val="24"/>
        </w:rPr>
        <w:t>spp</w:t>
      </w:r>
      <w:proofErr w:type="spellEnd"/>
      <w:r w:rsidRPr="006A5B3D">
        <w:rPr>
          <w:sz w:val="24"/>
          <w:szCs w:val="24"/>
        </w:rPr>
        <w:t xml:space="preserve"> og </w:t>
      </w:r>
      <w:r w:rsidRPr="006A5B3D">
        <w:rPr>
          <w:i/>
          <w:iCs/>
          <w:sz w:val="24"/>
          <w:szCs w:val="24"/>
        </w:rPr>
        <w:t>E. coli</w:t>
      </w:r>
      <w:r w:rsidRPr="006A5B3D">
        <w:rPr>
          <w:sz w:val="24"/>
          <w:szCs w:val="24"/>
        </w:rPr>
        <w:tab/>
      </w:r>
      <w:r w:rsidRPr="006A5B3D">
        <w:rPr>
          <w:sz w:val="24"/>
          <w:szCs w:val="24"/>
        </w:rPr>
        <w:tab/>
      </w:r>
      <w:r w:rsidRPr="006A5B3D">
        <w:rPr>
          <w:rFonts w:hint="eastAsia"/>
          <w:sz w:val="24"/>
          <w:szCs w:val="24"/>
        </w:rPr>
        <w:t>≤</w:t>
      </w:r>
      <w:r w:rsidRPr="006A5B3D">
        <w:rPr>
          <w:sz w:val="24"/>
          <w:szCs w:val="24"/>
        </w:rPr>
        <w:t> 2 </w:t>
      </w:r>
      <w:proofErr w:type="spellStart"/>
      <w:r w:rsidRPr="006A5B3D">
        <w:rPr>
          <w:sz w:val="24"/>
          <w:szCs w:val="24"/>
        </w:rPr>
        <w:t>μg</w:t>
      </w:r>
      <w:proofErr w:type="spellEnd"/>
      <w:r w:rsidRPr="006A5B3D">
        <w:rPr>
          <w:sz w:val="24"/>
          <w:szCs w:val="24"/>
        </w:rPr>
        <w:t>/ml</w:t>
      </w:r>
      <w:r w:rsidRPr="006A5B3D">
        <w:rPr>
          <w:sz w:val="24"/>
          <w:szCs w:val="24"/>
        </w:rPr>
        <w:tab/>
      </w:r>
      <w:r w:rsidRPr="006A5B3D">
        <w:rPr>
          <w:rFonts w:hint="eastAsia"/>
          <w:sz w:val="24"/>
          <w:szCs w:val="24"/>
        </w:rPr>
        <w:t>≥</w:t>
      </w:r>
      <w:r w:rsidRPr="006A5B3D">
        <w:rPr>
          <w:sz w:val="24"/>
          <w:szCs w:val="24"/>
        </w:rPr>
        <w:t> 8 </w:t>
      </w:r>
      <w:proofErr w:type="spellStart"/>
      <w:r w:rsidRPr="006A5B3D">
        <w:rPr>
          <w:sz w:val="24"/>
          <w:szCs w:val="24"/>
        </w:rPr>
        <w:t>μg</w:t>
      </w:r>
      <w:proofErr w:type="spellEnd"/>
      <w:r w:rsidRPr="006A5B3D">
        <w:rPr>
          <w:sz w:val="24"/>
          <w:szCs w:val="24"/>
        </w:rPr>
        <w:t>/ml</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Urinvejsinfektioner:</w:t>
      </w:r>
    </w:p>
    <w:p w:rsidR="006A5B3D" w:rsidRPr="006A5B3D" w:rsidRDefault="006A5B3D" w:rsidP="006A5B3D">
      <w:pPr>
        <w:ind w:left="567"/>
        <w:rPr>
          <w:sz w:val="24"/>
          <w:szCs w:val="24"/>
        </w:rPr>
      </w:pPr>
      <w:proofErr w:type="spellStart"/>
      <w:r w:rsidRPr="006A5B3D">
        <w:rPr>
          <w:sz w:val="24"/>
          <w:szCs w:val="24"/>
        </w:rPr>
        <w:t>Bacteriearter</w:t>
      </w:r>
      <w:proofErr w:type="spellEnd"/>
      <w:r w:rsidRPr="006A5B3D">
        <w:rPr>
          <w:sz w:val="24"/>
          <w:szCs w:val="24"/>
        </w:rPr>
        <w:t xml:space="preserve"> </w:t>
      </w:r>
      <w:r w:rsidRPr="006A5B3D">
        <w:rPr>
          <w:sz w:val="24"/>
          <w:szCs w:val="24"/>
        </w:rPr>
        <w:tab/>
      </w:r>
      <w:r w:rsidRPr="006A5B3D">
        <w:rPr>
          <w:sz w:val="24"/>
          <w:szCs w:val="24"/>
        </w:rPr>
        <w:tab/>
      </w:r>
      <w:r w:rsidRPr="006A5B3D">
        <w:rPr>
          <w:sz w:val="24"/>
          <w:szCs w:val="24"/>
        </w:rPr>
        <w:tab/>
        <w:t>Følsom</w:t>
      </w:r>
      <w:r w:rsidRPr="006A5B3D">
        <w:rPr>
          <w:sz w:val="24"/>
          <w:szCs w:val="24"/>
        </w:rPr>
        <w:tab/>
        <w:t>Resistent</w:t>
      </w:r>
    </w:p>
    <w:p w:rsidR="006A5B3D" w:rsidRPr="006A5B3D" w:rsidRDefault="006A5B3D" w:rsidP="006A5B3D">
      <w:pPr>
        <w:ind w:left="567"/>
        <w:rPr>
          <w:sz w:val="24"/>
          <w:szCs w:val="24"/>
        </w:rPr>
      </w:pPr>
      <w:r w:rsidRPr="006A5B3D">
        <w:rPr>
          <w:i/>
          <w:iCs/>
          <w:sz w:val="24"/>
          <w:szCs w:val="24"/>
        </w:rPr>
        <w:t xml:space="preserve">E. coli, </w:t>
      </w:r>
      <w:proofErr w:type="spellStart"/>
      <w:r w:rsidRPr="006A5B3D">
        <w:rPr>
          <w:i/>
          <w:iCs/>
          <w:sz w:val="24"/>
          <w:szCs w:val="24"/>
        </w:rPr>
        <w:t>Klebsiella</w:t>
      </w:r>
      <w:proofErr w:type="spellEnd"/>
      <w:r w:rsidRPr="006A5B3D">
        <w:rPr>
          <w:i/>
          <w:iCs/>
          <w:sz w:val="24"/>
          <w:szCs w:val="24"/>
        </w:rPr>
        <w:t xml:space="preserve"> </w:t>
      </w:r>
      <w:proofErr w:type="spellStart"/>
      <w:r w:rsidRPr="006A5B3D">
        <w:rPr>
          <w:i/>
          <w:iCs/>
          <w:sz w:val="24"/>
          <w:szCs w:val="24"/>
        </w:rPr>
        <w:t>pneumoniae</w:t>
      </w:r>
      <w:proofErr w:type="spellEnd"/>
      <w:r w:rsidRPr="006A5B3D">
        <w:rPr>
          <w:sz w:val="24"/>
          <w:szCs w:val="24"/>
        </w:rPr>
        <w:t xml:space="preserve"> og</w:t>
      </w:r>
    </w:p>
    <w:p w:rsidR="006A5B3D" w:rsidRPr="006A5B3D" w:rsidRDefault="006A5B3D" w:rsidP="006A5B3D">
      <w:pPr>
        <w:ind w:left="567"/>
        <w:rPr>
          <w:sz w:val="24"/>
          <w:szCs w:val="24"/>
        </w:rPr>
      </w:pPr>
      <w:r w:rsidRPr="006A5B3D">
        <w:rPr>
          <w:i/>
          <w:iCs/>
          <w:sz w:val="24"/>
          <w:szCs w:val="24"/>
        </w:rPr>
        <w:t xml:space="preserve">Proteus </w:t>
      </w:r>
      <w:proofErr w:type="spellStart"/>
      <w:r w:rsidRPr="006A5B3D">
        <w:rPr>
          <w:i/>
          <w:iCs/>
          <w:sz w:val="24"/>
          <w:szCs w:val="24"/>
        </w:rPr>
        <w:t>mirabilis</w:t>
      </w:r>
      <w:proofErr w:type="spellEnd"/>
      <w:r w:rsidRPr="006A5B3D">
        <w:rPr>
          <w:sz w:val="24"/>
          <w:szCs w:val="24"/>
        </w:rPr>
        <w:tab/>
      </w:r>
      <w:r w:rsidRPr="006A5B3D">
        <w:rPr>
          <w:sz w:val="24"/>
          <w:szCs w:val="24"/>
        </w:rPr>
        <w:tab/>
      </w:r>
      <w:r w:rsidRPr="006A5B3D">
        <w:rPr>
          <w:sz w:val="24"/>
          <w:szCs w:val="24"/>
        </w:rPr>
        <w:tab/>
        <w:t>≤ 16 </w:t>
      </w:r>
      <w:proofErr w:type="spellStart"/>
      <w:r w:rsidRPr="006A5B3D">
        <w:rPr>
          <w:sz w:val="24"/>
          <w:szCs w:val="24"/>
        </w:rPr>
        <w:t>μg</w:t>
      </w:r>
      <w:proofErr w:type="spellEnd"/>
      <w:r w:rsidRPr="006A5B3D">
        <w:rPr>
          <w:sz w:val="24"/>
          <w:szCs w:val="24"/>
        </w:rPr>
        <w:t xml:space="preserve">/ml </w:t>
      </w:r>
      <w:r w:rsidRPr="006A5B3D">
        <w:rPr>
          <w:sz w:val="24"/>
          <w:szCs w:val="24"/>
        </w:rPr>
        <w:tab/>
        <w:t>≥ 32 </w:t>
      </w:r>
      <w:proofErr w:type="spellStart"/>
      <w:r w:rsidRPr="006A5B3D">
        <w:rPr>
          <w:sz w:val="24"/>
          <w:szCs w:val="24"/>
        </w:rPr>
        <w:t>μg</w:t>
      </w:r>
      <w:proofErr w:type="spellEnd"/>
      <w:r w:rsidRPr="006A5B3D">
        <w:rPr>
          <w:sz w:val="24"/>
          <w:szCs w:val="24"/>
        </w:rPr>
        <w:t>/ml</w:t>
      </w:r>
    </w:p>
    <w:p w:rsidR="006A5B3D" w:rsidRPr="006A5B3D" w:rsidRDefault="006A5B3D" w:rsidP="006A5B3D">
      <w:pPr>
        <w:ind w:left="567"/>
        <w:rPr>
          <w:sz w:val="24"/>
          <w:szCs w:val="24"/>
        </w:rPr>
      </w:pP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 xml:space="preserve">Som med penicilliner kan resistens over for </w:t>
      </w:r>
      <w:proofErr w:type="spellStart"/>
      <w:r w:rsidRPr="006A5B3D">
        <w:rPr>
          <w:sz w:val="24"/>
          <w:szCs w:val="24"/>
        </w:rPr>
        <w:t>cefalexin</w:t>
      </w:r>
      <w:proofErr w:type="spellEnd"/>
      <w:r w:rsidRPr="006A5B3D">
        <w:rPr>
          <w:sz w:val="24"/>
          <w:szCs w:val="24"/>
        </w:rPr>
        <w:t xml:space="preserve"> skyldes en af følgende resistensmekanismer: produktion af forskellige beta-</w:t>
      </w:r>
      <w:proofErr w:type="spellStart"/>
      <w:r w:rsidRPr="006A5B3D">
        <w:rPr>
          <w:sz w:val="24"/>
          <w:szCs w:val="24"/>
        </w:rPr>
        <w:t>lactamaser</w:t>
      </w:r>
      <w:proofErr w:type="spellEnd"/>
      <w:r w:rsidRPr="006A5B3D">
        <w:rPr>
          <w:sz w:val="24"/>
          <w:szCs w:val="24"/>
        </w:rPr>
        <w:t xml:space="preserve">, kodet på plasmider eller ikke kodet eller ved </w:t>
      </w:r>
      <w:proofErr w:type="spellStart"/>
      <w:r w:rsidRPr="006A5B3D">
        <w:rPr>
          <w:sz w:val="24"/>
          <w:szCs w:val="24"/>
        </w:rPr>
        <w:t>flertrinsmutationer</w:t>
      </w:r>
      <w:proofErr w:type="spellEnd"/>
      <w:r w:rsidRPr="006A5B3D">
        <w:rPr>
          <w:sz w:val="24"/>
          <w:szCs w:val="24"/>
        </w:rPr>
        <w:t xml:space="preserve">. I det første tilfælde er der næsten altid krydsresistens med </w:t>
      </w:r>
      <w:proofErr w:type="spellStart"/>
      <w:r w:rsidRPr="006A5B3D">
        <w:rPr>
          <w:sz w:val="24"/>
          <w:szCs w:val="24"/>
        </w:rPr>
        <w:t>ampicillin</w:t>
      </w:r>
      <w:proofErr w:type="spellEnd"/>
      <w:r w:rsidRPr="006A5B3D">
        <w:rPr>
          <w:sz w:val="24"/>
          <w:szCs w:val="24"/>
        </w:rPr>
        <w:t xml:space="preserve">. I de andre tilfælde er der delvis eller fuldstændig krydsresistens over for alle penicilliner og </w:t>
      </w:r>
      <w:proofErr w:type="spellStart"/>
      <w:r w:rsidRPr="006A5B3D">
        <w:rPr>
          <w:sz w:val="24"/>
          <w:szCs w:val="24"/>
        </w:rPr>
        <w:t>cefalosporiner</w:t>
      </w:r>
      <w:proofErr w:type="spellEnd"/>
      <w:r w:rsidRPr="006A5B3D">
        <w:rPr>
          <w:sz w:val="24"/>
          <w:szCs w:val="24"/>
        </w:rPr>
        <w:t xml:space="preserve">. Derimod er </w:t>
      </w:r>
      <w:proofErr w:type="spellStart"/>
      <w:r w:rsidRPr="006A5B3D">
        <w:rPr>
          <w:sz w:val="24"/>
          <w:szCs w:val="24"/>
        </w:rPr>
        <w:t>methicillinresistente</w:t>
      </w:r>
      <w:proofErr w:type="spellEnd"/>
      <w:r w:rsidRPr="006A5B3D">
        <w:rPr>
          <w:sz w:val="24"/>
          <w:szCs w:val="24"/>
        </w:rPr>
        <w:t xml:space="preserve"> stafylokokker ufølsomme over for </w:t>
      </w:r>
      <w:proofErr w:type="spellStart"/>
      <w:r w:rsidRPr="006A5B3D">
        <w:rPr>
          <w:sz w:val="24"/>
          <w:szCs w:val="24"/>
        </w:rPr>
        <w:t>cefalosporiner</w:t>
      </w:r>
      <w:proofErr w:type="spellEnd"/>
      <w:r w:rsidRPr="006A5B3D">
        <w:rPr>
          <w:sz w:val="24"/>
          <w:szCs w:val="24"/>
        </w:rPr>
        <w:t xml:space="preserve">. </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4.3</w:t>
      </w:r>
      <w:r w:rsidRPr="006A5B3D">
        <w:rPr>
          <w:sz w:val="24"/>
          <w:szCs w:val="24"/>
        </w:rPr>
        <w:tab/>
      </w:r>
      <w:proofErr w:type="spellStart"/>
      <w:r w:rsidRPr="006A5B3D">
        <w:rPr>
          <w:sz w:val="24"/>
          <w:szCs w:val="24"/>
        </w:rPr>
        <w:t>Farmakokinetiske</w:t>
      </w:r>
      <w:proofErr w:type="spellEnd"/>
      <w:r w:rsidRPr="006A5B3D">
        <w:rPr>
          <w:sz w:val="24"/>
          <w:szCs w:val="24"/>
        </w:rPr>
        <w:t xml:space="preserve"> oplysninger</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Efter indgift af </w:t>
      </w:r>
      <w:proofErr w:type="spellStart"/>
      <w:r w:rsidRPr="006A5B3D">
        <w:rPr>
          <w:sz w:val="24"/>
          <w:szCs w:val="24"/>
        </w:rPr>
        <w:t>cefalexinmonohydrat</w:t>
      </w:r>
      <w:proofErr w:type="spellEnd"/>
      <w:r w:rsidRPr="006A5B3D">
        <w:rPr>
          <w:sz w:val="24"/>
          <w:szCs w:val="24"/>
        </w:rPr>
        <w:t xml:space="preserve"> absorberes </w:t>
      </w:r>
      <w:proofErr w:type="spellStart"/>
      <w:r w:rsidRPr="006A5B3D">
        <w:rPr>
          <w:sz w:val="24"/>
          <w:szCs w:val="24"/>
        </w:rPr>
        <w:t>cefalexin</w:t>
      </w:r>
      <w:proofErr w:type="spellEnd"/>
      <w:r w:rsidRPr="006A5B3D">
        <w:rPr>
          <w:sz w:val="24"/>
          <w:szCs w:val="24"/>
        </w:rPr>
        <w:t xml:space="preserve"> hurtigt og næsten fuldstændigt i </w:t>
      </w:r>
      <w:proofErr w:type="spellStart"/>
      <w:r w:rsidRPr="006A5B3D">
        <w:rPr>
          <w:sz w:val="24"/>
          <w:szCs w:val="24"/>
        </w:rPr>
        <w:t>mave-tarmkanalen</w:t>
      </w:r>
      <w:proofErr w:type="spellEnd"/>
      <w:r w:rsidRPr="006A5B3D">
        <w:rPr>
          <w:sz w:val="24"/>
          <w:szCs w:val="24"/>
        </w:rPr>
        <w:t>. Absorption forsinkes af mad (lavere blodniveau). Plasmaproteinbindingsgraden er ca. 20 %.</w:t>
      </w:r>
    </w:p>
    <w:p w:rsidR="006A5B3D" w:rsidRPr="006A5B3D" w:rsidRDefault="006A5B3D" w:rsidP="006A5B3D">
      <w:pPr>
        <w:ind w:left="567"/>
        <w:rPr>
          <w:sz w:val="24"/>
          <w:szCs w:val="24"/>
        </w:rPr>
      </w:pPr>
      <w:r w:rsidRPr="006A5B3D">
        <w:rPr>
          <w:sz w:val="24"/>
          <w:szCs w:val="24"/>
        </w:rPr>
        <w:t xml:space="preserve">En enkelt oral administration af 20 mg </w:t>
      </w:r>
      <w:proofErr w:type="spellStart"/>
      <w:r w:rsidRPr="006A5B3D">
        <w:rPr>
          <w:sz w:val="24"/>
          <w:szCs w:val="24"/>
        </w:rPr>
        <w:t>cefalexin</w:t>
      </w:r>
      <w:proofErr w:type="spellEnd"/>
      <w:r w:rsidRPr="006A5B3D">
        <w:rPr>
          <w:sz w:val="24"/>
          <w:szCs w:val="24"/>
        </w:rPr>
        <w:t xml:space="preserve"> pr. kg kropsvægt til hunde resulterede i en </w:t>
      </w:r>
      <w:proofErr w:type="spellStart"/>
      <w:r w:rsidRPr="006A5B3D">
        <w:rPr>
          <w:sz w:val="24"/>
          <w:szCs w:val="24"/>
        </w:rPr>
        <w:t>T</w:t>
      </w:r>
      <w:r w:rsidRPr="006A5B3D">
        <w:rPr>
          <w:sz w:val="24"/>
          <w:szCs w:val="24"/>
          <w:vertAlign w:val="subscript"/>
        </w:rPr>
        <w:t>max</w:t>
      </w:r>
      <w:proofErr w:type="spellEnd"/>
      <w:r w:rsidRPr="006A5B3D">
        <w:rPr>
          <w:sz w:val="24"/>
          <w:szCs w:val="24"/>
        </w:rPr>
        <w:t xml:space="preserve"> på ca. 1-1,5 timer, en </w:t>
      </w:r>
      <w:proofErr w:type="spellStart"/>
      <w:r w:rsidRPr="006A5B3D">
        <w:rPr>
          <w:sz w:val="24"/>
          <w:szCs w:val="24"/>
        </w:rPr>
        <w:t>C</w:t>
      </w:r>
      <w:r w:rsidRPr="006A5B3D">
        <w:rPr>
          <w:sz w:val="24"/>
          <w:szCs w:val="24"/>
          <w:vertAlign w:val="subscript"/>
        </w:rPr>
        <w:t>max</w:t>
      </w:r>
      <w:proofErr w:type="spellEnd"/>
      <w:r w:rsidRPr="006A5B3D">
        <w:rPr>
          <w:sz w:val="24"/>
          <w:szCs w:val="24"/>
        </w:rPr>
        <w:t xml:space="preserve"> i plasma på ca. 15 µg/ml og en eliminationshalveringstid på ca. 2 timer (biotilgængelighed = 75 % - 80 %). Distributionsvolumen er 1,62 l/kg.</w:t>
      </w:r>
    </w:p>
    <w:p w:rsidR="006A5B3D" w:rsidRPr="006A5B3D" w:rsidRDefault="006A5B3D" w:rsidP="006A5B3D">
      <w:pPr>
        <w:ind w:left="567"/>
        <w:rPr>
          <w:sz w:val="24"/>
          <w:szCs w:val="24"/>
        </w:rPr>
      </w:pPr>
      <w:r w:rsidRPr="006A5B3D">
        <w:rPr>
          <w:sz w:val="24"/>
          <w:szCs w:val="24"/>
        </w:rPr>
        <w:t xml:space="preserve">Efter absorption fordeles </w:t>
      </w:r>
      <w:proofErr w:type="spellStart"/>
      <w:r w:rsidRPr="006A5B3D">
        <w:rPr>
          <w:sz w:val="24"/>
          <w:szCs w:val="24"/>
        </w:rPr>
        <w:t>cefalexin</w:t>
      </w:r>
      <w:proofErr w:type="spellEnd"/>
      <w:r w:rsidRPr="006A5B3D">
        <w:rPr>
          <w:sz w:val="24"/>
          <w:szCs w:val="24"/>
        </w:rPr>
        <w:t xml:space="preserve"> godt i kroppens ekstracellulære væsker men med begrænset passage af biologiske membraner. Koncentrationen af </w:t>
      </w:r>
      <w:proofErr w:type="spellStart"/>
      <w:r w:rsidRPr="006A5B3D">
        <w:rPr>
          <w:sz w:val="24"/>
          <w:szCs w:val="24"/>
        </w:rPr>
        <w:t>cefalexin</w:t>
      </w:r>
      <w:proofErr w:type="spellEnd"/>
      <w:r w:rsidRPr="006A5B3D">
        <w:rPr>
          <w:sz w:val="24"/>
          <w:szCs w:val="24"/>
        </w:rPr>
        <w:t xml:space="preserve"> er højest i nyrer (urin) og galde efterfulgt af lever, lunger, hjerte, skeletmuskler samt milt.</w:t>
      </w:r>
    </w:p>
    <w:p w:rsidR="006A5B3D" w:rsidRPr="006A5B3D" w:rsidRDefault="006A5B3D" w:rsidP="006A5B3D">
      <w:pPr>
        <w:ind w:left="567"/>
        <w:rPr>
          <w:sz w:val="24"/>
          <w:szCs w:val="24"/>
        </w:rPr>
      </w:pPr>
      <w:r w:rsidRPr="006A5B3D">
        <w:rPr>
          <w:sz w:val="24"/>
          <w:szCs w:val="24"/>
        </w:rPr>
        <w:t xml:space="preserve">Der foregår næsten ingen omsætning i leveren. Eliminering sker næsten udelukkende via nyrerne ved </w:t>
      </w:r>
      <w:proofErr w:type="spellStart"/>
      <w:r w:rsidRPr="006A5B3D">
        <w:rPr>
          <w:sz w:val="24"/>
          <w:szCs w:val="24"/>
        </w:rPr>
        <w:t>tubulær</w:t>
      </w:r>
      <w:proofErr w:type="spellEnd"/>
      <w:r w:rsidRPr="006A5B3D">
        <w:rPr>
          <w:sz w:val="24"/>
          <w:szCs w:val="24"/>
        </w:rPr>
        <w:t xml:space="preserve"> </w:t>
      </w:r>
      <w:proofErr w:type="spellStart"/>
      <w:r w:rsidRPr="006A5B3D">
        <w:rPr>
          <w:sz w:val="24"/>
          <w:szCs w:val="24"/>
        </w:rPr>
        <w:t>ekskretion</w:t>
      </w:r>
      <w:proofErr w:type="spellEnd"/>
      <w:r w:rsidRPr="006A5B3D">
        <w:rPr>
          <w:sz w:val="24"/>
          <w:szCs w:val="24"/>
        </w:rPr>
        <w:t xml:space="preserve"> og </w:t>
      </w:r>
      <w:proofErr w:type="spellStart"/>
      <w:r w:rsidRPr="006A5B3D">
        <w:rPr>
          <w:sz w:val="24"/>
          <w:szCs w:val="24"/>
        </w:rPr>
        <w:t>glomerulær</w:t>
      </w:r>
      <w:proofErr w:type="spellEnd"/>
      <w:r w:rsidRPr="006A5B3D">
        <w:rPr>
          <w:sz w:val="24"/>
          <w:szCs w:val="24"/>
        </w:rPr>
        <w:t xml:space="preserve"> filtration. </w:t>
      </w:r>
      <w:proofErr w:type="spellStart"/>
      <w:r w:rsidRPr="006A5B3D">
        <w:rPr>
          <w:sz w:val="24"/>
          <w:szCs w:val="24"/>
        </w:rPr>
        <w:t>Cefalexin</w:t>
      </w:r>
      <w:proofErr w:type="spellEnd"/>
      <w:r w:rsidRPr="006A5B3D">
        <w:rPr>
          <w:sz w:val="24"/>
          <w:szCs w:val="24"/>
        </w:rPr>
        <w:t xml:space="preserve"> udskilles også i galden i en tilsvarende eller noget større koncentration end i blodet.</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5.</w:t>
      </w:r>
      <w:r w:rsidRPr="006A5B3D">
        <w:rPr>
          <w:sz w:val="24"/>
          <w:szCs w:val="24"/>
        </w:rPr>
        <w:tab/>
        <w:t>FARMACEUTISKE OPLYSNINGER</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5.1</w:t>
      </w:r>
      <w:r w:rsidRPr="006A5B3D">
        <w:rPr>
          <w:sz w:val="24"/>
          <w:szCs w:val="24"/>
        </w:rPr>
        <w:tab/>
        <w:t>Væsentlige uforligeligheder</w:t>
      </w:r>
    </w:p>
    <w:p w:rsidR="006A5B3D" w:rsidRPr="006A5B3D" w:rsidRDefault="006A5B3D" w:rsidP="006A5B3D">
      <w:pPr>
        <w:rPr>
          <w:sz w:val="24"/>
          <w:szCs w:val="24"/>
        </w:rPr>
      </w:pPr>
    </w:p>
    <w:p w:rsidR="006A5B3D" w:rsidRPr="006A5B3D" w:rsidRDefault="006A5B3D" w:rsidP="006A5B3D">
      <w:pPr>
        <w:ind w:firstLine="567"/>
        <w:rPr>
          <w:sz w:val="24"/>
          <w:szCs w:val="24"/>
        </w:rPr>
      </w:pPr>
      <w:r w:rsidRPr="006A5B3D">
        <w:rPr>
          <w:sz w:val="24"/>
          <w:szCs w:val="24"/>
        </w:rPr>
        <w:t>Ikke relevant.</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5.2</w:t>
      </w:r>
      <w:r w:rsidRPr="006A5B3D">
        <w:rPr>
          <w:sz w:val="24"/>
          <w:szCs w:val="24"/>
        </w:rPr>
        <w:tab/>
        <w:t>Opbevaringstid</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lastRenderedPageBreak/>
        <w:t>Opbevaringstid for veterinærlægemidlet i salgspakning: 2 år.</w:t>
      </w:r>
    </w:p>
    <w:p w:rsidR="006A5B3D" w:rsidRPr="006A5B3D" w:rsidRDefault="006A5B3D" w:rsidP="006A5B3D">
      <w:pPr>
        <w:ind w:left="567"/>
        <w:rPr>
          <w:sz w:val="24"/>
          <w:szCs w:val="24"/>
        </w:rPr>
      </w:pPr>
      <w:r w:rsidRPr="006A5B3D">
        <w:rPr>
          <w:sz w:val="24"/>
          <w:szCs w:val="24"/>
        </w:rPr>
        <w:t>Opbevaringstid for delte tabletter: 4 dage.</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5.3</w:t>
      </w:r>
      <w:r w:rsidRPr="006A5B3D">
        <w:rPr>
          <w:sz w:val="24"/>
          <w:szCs w:val="24"/>
        </w:rPr>
        <w:tab/>
        <w:t>Særlige forholdsregler vedrørende opbevaring</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500 mg: Må ikke opbevares over 25 °C. </w:t>
      </w:r>
    </w:p>
    <w:p w:rsidR="006A5B3D" w:rsidRPr="006A5B3D" w:rsidRDefault="006A5B3D" w:rsidP="006A5B3D">
      <w:pPr>
        <w:ind w:left="567"/>
        <w:rPr>
          <w:sz w:val="24"/>
          <w:szCs w:val="24"/>
        </w:rPr>
      </w:pPr>
      <w:r w:rsidRPr="006A5B3D">
        <w:rPr>
          <w:sz w:val="24"/>
          <w:szCs w:val="24"/>
        </w:rPr>
        <w:t>1000 mg: Dette veterinærlægemiddel kræver ingen særlige forholdsregler vedrørende opbevaringen.</w:t>
      </w:r>
    </w:p>
    <w:p w:rsidR="006A5B3D" w:rsidRPr="006A5B3D" w:rsidRDefault="006A5B3D" w:rsidP="006A5B3D">
      <w:pPr>
        <w:rPr>
          <w:sz w:val="24"/>
          <w:szCs w:val="24"/>
        </w:rPr>
      </w:pP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5.4</w:t>
      </w:r>
      <w:r w:rsidRPr="006A5B3D">
        <w:rPr>
          <w:sz w:val="24"/>
          <w:szCs w:val="24"/>
        </w:rPr>
        <w:tab/>
        <w:t>Den indre emballages art og indhold</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Aluminium - PVC/PE/PVDC blisterkort.</w:t>
      </w:r>
    </w:p>
    <w:p w:rsidR="006A5B3D" w:rsidRPr="006A5B3D" w:rsidRDefault="006A5B3D" w:rsidP="006A5B3D">
      <w:pPr>
        <w:ind w:left="567"/>
        <w:rPr>
          <w:sz w:val="24"/>
          <w:szCs w:val="24"/>
        </w:rPr>
      </w:pPr>
      <w:r w:rsidRPr="006A5B3D">
        <w:rPr>
          <w:sz w:val="24"/>
          <w:szCs w:val="24"/>
        </w:rPr>
        <w:t>Kartonæske med 1, 2, 3, 4, 5, 6, 7, 8, 9, 10 eller 25 blisterkort med 10 tabletter.</w:t>
      </w:r>
    </w:p>
    <w:p w:rsidR="006A5B3D" w:rsidRPr="006A5B3D" w:rsidRDefault="006A5B3D" w:rsidP="006A5B3D">
      <w:pPr>
        <w:ind w:left="567"/>
        <w:rPr>
          <w:sz w:val="24"/>
          <w:szCs w:val="24"/>
        </w:rPr>
      </w:pPr>
      <w:r w:rsidRPr="006A5B3D">
        <w:rPr>
          <w:sz w:val="24"/>
          <w:szCs w:val="24"/>
        </w:rPr>
        <w:t xml:space="preserve">Kartonæske indeholdende 10 særskilte kartonæsker à 1 blisterkort med 10 tabletter. </w:t>
      </w:r>
    </w:p>
    <w:p w:rsidR="006A5B3D" w:rsidRPr="006A5B3D" w:rsidRDefault="006A5B3D" w:rsidP="006A5B3D">
      <w:pPr>
        <w:ind w:left="567"/>
        <w:rPr>
          <w:sz w:val="24"/>
          <w:szCs w:val="24"/>
        </w:rPr>
      </w:pPr>
      <w:r w:rsidRPr="006A5B3D">
        <w:rPr>
          <w:sz w:val="24"/>
          <w:szCs w:val="24"/>
        </w:rPr>
        <w:t>Ikke alle pakningsstørrelser er nødvendigvis markedsført.</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5.5</w:t>
      </w:r>
      <w:r w:rsidRPr="006A5B3D">
        <w:rPr>
          <w:sz w:val="24"/>
          <w:szCs w:val="24"/>
        </w:rPr>
        <w:tab/>
        <w:t>Særlige forholdsregler vedrørende bortskaffelse af ubrugte veterinærlægemidler eller affaldsmaterialer fra brugen heraf</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Lægemidler må ikke bortskaffes sammen med spildevand eller husholdningsaffald.</w:t>
      </w:r>
    </w:p>
    <w:p w:rsidR="006A5B3D" w:rsidRPr="006A5B3D" w:rsidRDefault="006A5B3D" w:rsidP="006A5B3D">
      <w:pPr>
        <w:ind w:left="567"/>
        <w:rPr>
          <w:sz w:val="24"/>
          <w:szCs w:val="24"/>
        </w:rPr>
      </w:pPr>
    </w:p>
    <w:p w:rsidR="006A5B3D" w:rsidRPr="006A5B3D" w:rsidRDefault="006A5B3D" w:rsidP="006A5B3D">
      <w:pPr>
        <w:ind w:left="567"/>
        <w:rPr>
          <w:sz w:val="24"/>
          <w:szCs w:val="24"/>
        </w:rPr>
      </w:pPr>
      <w:r w:rsidRPr="006A5B3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6.</w:t>
      </w:r>
      <w:r w:rsidRPr="006A5B3D">
        <w:rPr>
          <w:sz w:val="24"/>
          <w:szCs w:val="24"/>
        </w:rPr>
        <w:tab/>
        <w:t>NAVN PÅ INDEHAVEREN AF MARKEDSFØRINGSTILLADELSEN</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Le </w:t>
      </w:r>
      <w:proofErr w:type="spellStart"/>
      <w:r w:rsidRPr="006A5B3D">
        <w:rPr>
          <w:sz w:val="24"/>
          <w:szCs w:val="24"/>
        </w:rPr>
        <w:t>Vet</w:t>
      </w:r>
      <w:proofErr w:type="spellEnd"/>
      <w:r w:rsidRPr="006A5B3D">
        <w:rPr>
          <w:sz w:val="24"/>
          <w:szCs w:val="24"/>
        </w:rPr>
        <w:t xml:space="preserve"> </w:t>
      </w:r>
      <w:proofErr w:type="spellStart"/>
      <w:r w:rsidRPr="006A5B3D">
        <w:rPr>
          <w:sz w:val="24"/>
          <w:szCs w:val="24"/>
        </w:rPr>
        <w:t>Beheer</w:t>
      </w:r>
      <w:proofErr w:type="spellEnd"/>
      <w:r w:rsidRPr="006A5B3D">
        <w:rPr>
          <w:sz w:val="24"/>
          <w:szCs w:val="24"/>
        </w:rPr>
        <w:t xml:space="preserve"> B.V.</w:t>
      </w:r>
    </w:p>
    <w:p w:rsidR="006A5B3D" w:rsidRPr="006A5B3D" w:rsidRDefault="006A5B3D" w:rsidP="006A5B3D">
      <w:pPr>
        <w:ind w:left="567"/>
        <w:rPr>
          <w:sz w:val="24"/>
          <w:szCs w:val="24"/>
          <w:lang w:val="en-US"/>
        </w:rPr>
      </w:pPr>
      <w:proofErr w:type="spellStart"/>
      <w:r w:rsidRPr="006A5B3D">
        <w:rPr>
          <w:sz w:val="24"/>
          <w:szCs w:val="24"/>
          <w:lang w:val="en-US"/>
        </w:rPr>
        <w:t>Wilgenweg</w:t>
      </w:r>
      <w:proofErr w:type="spellEnd"/>
      <w:r w:rsidRPr="006A5B3D">
        <w:rPr>
          <w:sz w:val="24"/>
          <w:szCs w:val="24"/>
          <w:lang w:val="en-US"/>
        </w:rPr>
        <w:t xml:space="preserve"> 7</w:t>
      </w:r>
    </w:p>
    <w:p w:rsidR="006A5B3D" w:rsidRPr="006A5B3D" w:rsidRDefault="006A5B3D" w:rsidP="006A5B3D">
      <w:pPr>
        <w:ind w:left="567"/>
        <w:rPr>
          <w:sz w:val="24"/>
          <w:szCs w:val="24"/>
          <w:lang w:val="en-US"/>
        </w:rPr>
      </w:pPr>
      <w:r w:rsidRPr="006A5B3D">
        <w:rPr>
          <w:sz w:val="24"/>
          <w:szCs w:val="24"/>
          <w:lang w:val="en-US"/>
        </w:rPr>
        <w:t xml:space="preserve">3421 TV </w:t>
      </w:r>
      <w:proofErr w:type="spellStart"/>
      <w:r w:rsidRPr="006A5B3D">
        <w:rPr>
          <w:sz w:val="24"/>
          <w:szCs w:val="24"/>
          <w:lang w:val="en-US"/>
        </w:rPr>
        <w:t>Oudewater</w:t>
      </w:r>
      <w:proofErr w:type="spellEnd"/>
    </w:p>
    <w:p w:rsidR="006A5B3D" w:rsidRPr="006A5B3D" w:rsidRDefault="006A5B3D" w:rsidP="006A5B3D">
      <w:pPr>
        <w:ind w:left="567"/>
        <w:rPr>
          <w:sz w:val="24"/>
          <w:szCs w:val="24"/>
          <w:lang w:val="en-US"/>
        </w:rPr>
      </w:pPr>
      <w:r w:rsidRPr="006A5B3D">
        <w:rPr>
          <w:sz w:val="24"/>
          <w:szCs w:val="24"/>
          <w:lang w:val="en-US"/>
        </w:rPr>
        <w:t>Holland</w:t>
      </w:r>
    </w:p>
    <w:p w:rsidR="006A5B3D" w:rsidRPr="006A5B3D" w:rsidRDefault="006A5B3D" w:rsidP="006A5B3D">
      <w:pPr>
        <w:ind w:left="567"/>
        <w:rPr>
          <w:sz w:val="24"/>
          <w:szCs w:val="24"/>
          <w:lang w:val="en-US"/>
        </w:rPr>
      </w:pPr>
    </w:p>
    <w:p w:rsidR="006A5B3D" w:rsidRPr="006A5B3D" w:rsidRDefault="006A5B3D" w:rsidP="006A5B3D">
      <w:pPr>
        <w:ind w:left="567"/>
        <w:rPr>
          <w:b/>
          <w:bCs/>
          <w:sz w:val="24"/>
          <w:szCs w:val="24"/>
          <w:lang w:val="nl-NL"/>
        </w:rPr>
      </w:pPr>
      <w:r w:rsidRPr="006A5B3D">
        <w:rPr>
          <w:b/>
          <w:bCs/>
          <w:sz w:val="24"/>
          <w:szCs w:val="24"/>
          <w:lang w:val="nl-NL"/>
        </w:rPr>
        <w:t>Repræsentant</w:t>
      </w:r>
    </w:p>
    <w:p w:rsidR="006A5B3D" w:rsidRPr="006A5B3D" w:rsidRDefault="006A5B3D" w:rsidP="006A5B3D">
      <w:pPr>
        <w:ind w:left="567"/>
        <w:rPr>
          <w:bCs/>
          <w:sz w:val="24"/>
          <w:szCs w:val="24"/>
          <w:lang w:val="nl-NL"/>
        </w:rPr>
      </w:pPr>
      <w:r w:rsidRPr="006A5B3D">
        <w:rPr>
          <w:bCs/>
          <w:sz w:val="24"/>
          <w:szCs w:val="24"/>
          <w:lang w:val="nl-NL"/>
        </w:rPr>
        <w:t>Dechra Veterinary Products A/S</w:t>
      </w:r>
    </w:p>
    <w:p w:rsidR="006A5B3D" w:rsidRPr="006A5B3D" w:rsidRDefault="006A5B3D" w:rsidP="006A5B3D">
      <w:pPr>
        <w:ind w:left="567"/>
        <w:rPr>
          <w:bCs/>
          <w:sz w:val="24"/>
          <w:szCs w:val="24"/>
          <w:lang w:val="nl-NL"/>
        </w:rPr>
      </w:pPr>
      <w:r w:rsidRPr="006A5B3D">
        <w:rPr>
          <w:bCs/>
          <w:sz w:val="24"/>
          <w:szCs w:val="24"/>
          <w:lang w:val="nl-NL"/>
        </w:rPr>
        <w:t>Mekuvej 9</w:t>
      </w:r>
    </w:p>
    <w:p w:rsidR="006A5B3D" w:rsidRPr="006A5B3D" w:rsidRDefault="006A5B3D" w:rsidP="006A5B3D">
      <w:pPr>
        <w:ind w:left="567"/>
        <w:rPr>
          <w:sz w:val="24"/>
          <w:szCs w:val="24"/>
        </w:rPr>
      </w:pPr>
      <w:r w:rsidRPr="006A5B3D">
        <w:rPr>
          <w:bCs/>
          <w:sz w:val="24"/>
          <w:szCs w:val="24"/>
          <w:lang w:val="nl-NL"/>
        </w:rPr>
        <w:t>7171 Uldum</w:t>
      </w: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7.</w:t>
      </w:r>
      <w:r w:rsidRPr="006A5B3D">
        <w:rPr>
          <w:sz w:val="24"/>
          <w:szCs w:val="24"/>
        </w:rPr>
        <w:tab/>
        <w:t>MARKEDSFØRINGSTILLADELSESNUMMER (-NUMRE)</w:t>
      </w:r>
    </w:p>
    <w:p w:rsidR="006A5B3D" w:rsidRPr="006A5B3D" w:rsidRDefault="006A5B3D" w:rsidP="006A5B3D">
      <w:pPr>
        <w:rPr>
          <w:sz w:val="24"/>
          <w:szCs w:val="24"/>
        </w:rPr>
      </w:pPr>
    </w:p>
    <w:p w:rsidR="006A5B3D" w:rsidRPr="006A5B3D" w:rsidRDefault="006A5B3D" w:rsidP="006A5B3D">
      <w:pPr>
        <w:ind w:left="567"/>
        <w:rPr>
          <w:sz w:val="24"/>
          <w:szCs w:val="24"/>
        </w:rPr>
      </w:pPr>
      <w:r w:rsidRPr="006A5B3D">
        <w:rPr>
          <w:sz w:val="24"/>
          <w:szCs w:val="24"/>
        </w:rPr>
        <w:t xml:space="preserve">500 mg: </w:t>
      </w:r>
      <w:r w:rsidRPr="006A5B3D">
        <w:rPr>
          <w:sz w:val="24"/>
          <w:szCs w:val="24"/>
        </w:rPr>
        <w:tab/>
        <w:t>56261</w:t>
      </w:r>
    </w:p>
    <w:p w:rsidR="006A5B3D" w:rsidRPr="006A5B3D" w:rsidRDefault="006A5B3D" w:rsidP="006A5B3D">
      <w:pPr>
        <w:ind w:left="567"/>
        <w:rPr>
          <w:sz w:val="24"/>
          <w:szCs w:val="24"/>
        </w:rPr>
      </w:pPr>
      <w:r w:rsidRPr="006A5B3D">
        <w:rPr>
          <w:sz w:val="24"/>
          <w:szCs w:val="24"/>
        </w:rPr>
        <w:t xml:space="preserve">1000 mg: </w:t>
      </w:r>
      <w:r w:rsidRPr="006A5B3D">
        <w:rPr>
          <w:sz w:val="24"/>
          <w:szCs w:val="24"/>
        </w:rPr>
        <w:tab/>
        <w:t>56262</w:t>
      </w:r>
    </w:p>
    <w:p w:rsidR="006A5B3D" w:rsidRPr="006A5B3D" w:rsidRDefault="006A5B3D" w:rsidP="006A5B3D">
      <w:pPr>
        <w:rPr>
          <w:sz w:val="24"/>
          <w:szCs w:val="24"/>
        </w:rPr>
      </w:pP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8.</w:t>
      </w:r>
      <w:r w:rsidRPr="006A5B3D">
        <w:rPr>
          <w:sz w:val="24"/>
          <w:szCs w:val="24"/>
        </w:rPr>
        <w:tab/>
        <w:t>DATO FOR FØRSTE TILLADELSE</w:t>
      </w:r>
    </w:p>
    <w:p w:rsidR="006A5B3D" w:rsidRPr="006A5B3D" w:rsidRDefault="006A5B3D" w:rsidP="006A5B3D">
      <w:pPr>
        <w:rPr>
          <w:sz w:val="24"/>
          <w:szCs w:val="24"/>
        </w:rPr>
      </w:pPr>
    </w:p>
    <w:p w:rsidR="006A5B3D" w:rsidRPr="006A5B3D" w:rsidRDefault="006A5B3D" w:rsidP="006A5B3D">
      <w:pPr>
        <w:ind w:firstLine="567"/>
        <w:rPr>
          <w:sz w:val="24"/>
          <w:szCs w:val="24"/>
        </w:rPr>
      </w:pPr>
      <w:r w:rsidRPr="006A5B3D">
        <w:rPr>
          <w:sz w:val="24"/>
          <w:szCs w:val="24"/>
        </w:rPr>
        <w:t>Dato for første markedsføringstilladelse: 31. august 2016</w:t>
      </w:r>
    </w:p>
    <w:p w:rsidR="006A5B3D" w:rsidRPr="006A5B3D" w:rsidRDefault="006A5B3D" w:rsidP="006A5B3D">
      <w:pPr>
        <w:rPr>
          <w:sz w:val="24"/>
          <w:szCs w:val="24"/>
        </w:rPr>
      </w:pP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9.</w:t>
      </w:r>
      <w:r w:rsidRPr="006A5B3D">
        <w:rPr>
          <w:sz w:val="24"/>
          <w:szCs w:val="24"/>
        </w:rPr>
        <w:tab/>
        <w:t>DATO FOR SENESTE ÆNDRING AF PRODUKTRESUMÉET</w:t>
      </w:r>
    </w:p>
    <w:p w:rsidR="006A5B3D" w:rsidRDefault="006A5B3D" w:rsidP="006A5B3D">
      <w:pPr>
        <w:rPr>
          <w:sz w:val="24"/>
          <w:szCs w:val="24"/>
        </w:rPr>
      </w:pPr>
    </w:p>
    <w:p w:rsidR="006A5B3D" w:rsidRPr="006A5B3D" w:rsidRDefault="006A5B3D" w:rsidP="006A5B3D">
      <w:pPr>
        <w:tabs>
          <w:tab w:val="left" w:pos="567"/>
        </w:tabs>
        <w:rPr>
          <w:sz w:val="24"/>
          <w:szCs w:val="24"/>
        </w:rPr>
      </w:pPr>
      <w:r>
        <w:rPr>
          <w:sz w:val="24"/>
          <w:szCs w:val="24"/>
        </w:rPr>
        <w:lastRenderedPageBreak/>
        <w:tab/>
        <w:t>3. februar 2025</w:t>
      </w:r>
    </w:p>
    <w:p w:rsidR="006A5B3D" w:rsidRPr="006A5B3D" w:rsidRDefault="006A5B3D" w:rsidP="006A5B3D">
      <w:pPr>
        <w:rPr>
          <w:sz w:val="24"/>
          <w:szCs w:val="24"/>
        </w:rPr>
      </w:pPr>
    </w:p>
    <w:p w:rsidR="006A5B3D" w:rsidRPr="006A5B3D" w:rsidRDefault="006A5B3D" w:rsidP="006A5B3D">
      <w:pPr>
        <w:rPr>
          <w:sz w:val="24"/>
          <w:szCs w:val="24"/>
        </w:rPr>
      </w:pPr>
    </w:p>
    <w:p w:rsidR="006A5B3D" w:rsidRPr="006A5B3D" w:rsidRDefault="006A5B3D" w:rsidP="006A5B3D">
      <w:pPr>
        <w:pStyle w:val="Style1"/>
        <w:rPr>
          <w:sz w:val="24"/>
          <w:szCs w:val="24"/>
        </w:rPr>
      </w:pPr>
      <w:r w:rsidRPr="006A5B3D">
        <w:rPr>
          <w:sz w:val="24"/>
          <w:szCs w:val="24"/>
        </w:rPr>
        <w:t>10.</w:t>
      </w:r>
      <w:r w:rsidRPr="006A5B3D">
        <w:rPr>
          <w:sz w:val="24"/>
          <w:szCs w:val="24"/>
        </w:rPr>
        <w:tab/>
        <w:t>KLASSIFICERING AF VETERINÆRLÆGEMIDLER</w:t>
      </w:r>
    </w:p>
    <w:p w:rsidR="006A5B3D" w:rsidRPr="006A5B3D" w:rsidRDefault="006A5B3D" w:rsidP="006A5B3D">
      <w:pPr>
        <w:rPr>
          <w:sz w:val="24"/>
          <w:szCs w:val="24"/>
        </w:rPr>
      </w:pPr>
    </w:p>
    <w:p w:rsidR="006A5B3D" w:rsidRPr="006A5B3D" w:rsidRDefault="006A5B3D" w:rsidP="006A5B3D">
      <w:pPr>
        <w:numPr>
          <w:ilvl w:val="12"/>
          <w:numId w:val="0"/>
        </w:numPr>
        <w:ind w:left="567"/>
        <w:rPr>
          <w:sz w:val="24"/>
          <w:szCs w:val="24"/>
        </w:rPr>
      </w:pPr>
      <w:r w:rsidRPr="006A5B3D">
        <w:rPr>
          <w:sz w:val="24"/>
          <w:szCs w:val="24"/>
        </w:rPr>
        <w:t>B</w:t>
      </w:r>
    </w:p>
    <w:p w:rsidR="006A5B3D" w:rsidRPr="006A5B3D" w:rsidRDefault="006A5B3D" w:rsidP="006A5B3D">
      <w:pPr>
        <w:ind w:left="567" w:right="-318"/>
        <w:rPr>
          <w:sz w:val="24"/>
          <w:szCs w:val="24"/>
        </w:rPr>
      </w:pPr>
    </w:p>
    <w:p w:rsidR="006A5B3D" w:rsidRPr="006A5B3D" w:rsidRDefault="006A5B3D" w:rsidP="006A5B3D">
      <w:pPr>
        <w:ind w:left="567" w:right="-318"/>
        <w:rPr>
          <w:sz w:val="24"/>
          <w:szCs w:val="24"/>
        </w:rPr>
      </w:pPr>
      <w:bookmarkStart w:id="5" w:name="_Hlk73467306"/>
      <w:r w:rsidRPr="006A5B3D">
        <w:rPr>
          <w:sz w:val="24"/>
          <w:szCs w:val="24"/>
        </w:rPr>
        <w:t>Der findes detaljerede oplysninger om dette veterinærlægemiddel i EU-lægemiddeldatabasen.</w:t>
      </w:r>
      <w:bookmarkEnd w:id="5"/>
    </w:p>
    <w:sectPr w:rsidR="006A5B3D" w:rsidRPr="006A5B3D" w:rsidSect="00C479BF">
      <w:headerReference w:type="default"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349" w:rsidRDefault="00146349">
      <w:r>
        <w:separator/>
      </w:r>
    </w:p>
  </w:endnote>
  <w:endnote w:type="continuationSeparator" w:id="0">
    <w:p w:rsidR="00146349" w:rsidRDefault="0014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A5895">
      <w:rPr>
        <w:i/>
        <w:noProof/>
        <w:snapToGrid w:val="0"/>
        <w:sz w:val="18"/>
      </w:rPr>
      <w:t>Cefabactin Vet., tabletter 500 mg og 1000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A5895">
      <w:rPr>
        <w:i/>
        <w:noProof/>
        <w:snapToGrid w:val="0"/>
        <w:sz w:val="18"/>
      </w:rPr>
      <w:t>Cefabactin Vet., tabletter 500 mg og 1000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349" w:rsidRDefault="00146349">
      <w:r>
        <w:separator/>
      </w:r>
    </w:p>
  </w:footnote>
  <w:footnote w:type="continuationSeparator" w:id="0">
    <w:p w:rsidR="00146349" w:rsidRDefault="0014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C2A75"/>
    <w:multiLevelType w:val="hybridMultilevel"/>
    <w:tmpl w:val="F7D423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224E3BA0"/>
    <w:multiLevelType w:val="hybridMultilevel"/>
    <w:tmpl w:val="652250B8"/>
    <w:lvl w:ilvl="0" w:tplc="ED88F7B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BC4D63"/>
    <w:multiLevelType w:val="hybridMultilevel"/>
    <w:tmpl w:val="48042734"/>
    <w:lvl w:ilvl="0" w:tplc="3A760F8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CF110D"/>
    <w:multiLevelType w:val="hybridMultilevel"/>
    <w:tmpl w:val="BACCA986"/>
    <w:lvl w:ilvl="0" w:tplc="8312BF1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A7B"/>
    <w:rsid w:val="0003527F"/>
    <w:rsid w:val="00065C7D"/>
    <w:rsid w:val="000C6CD4"/>
    <w:rsid w:val="00146349"/>
    <w:rsid w:val="001577E4"/>
    <w:rsid w:val="001858CA"/>
    <w:rsid w:val="001C4AEF"/>
    <w:rsid w:val="001D3CC5"/>
    <w:rsid w:val="00311854"/>
    <w:rsid w:val="00322BDE"/>
    <w:rsid w:val="00406EE7"/>
    <w:rsid w:val="00407013"/>
    <w:rsid w:val="004A5895"/>
    <w:rsid w:val="004A62CC"/>
    <w:rsid w:val="00565A74"/>
    <w:rsid w:val="005826D3"/>
    <w:rsid w:val="005B0036"/>
    <w:rsid w:val="005E287E"/>
    <w:rsid w:val="005F5831"/>
    <w:rsid w:val="00662012"/>
    <w:rsid w:val="00666B01"/>
    <w:rsid w:val="006A5B3D"/>
    <w:rsid w:val="006B1539"/>
    <w:rsid w:val="006D4B41"/>
    <w:rsid w:val="006F5621"/>
    <w:rsid w:val="007334E9"/>
    <w:rsid w:val="00760D81"/>
    <w:rsid w:val="007E2A00"/>
    <w:rsid w:val="008010F2"/>
    <w:rsid w:val="008D632C"/>
    <w:rsid w:val="009202AE"/>
    <w:rsid w:val="00932676"/>
    <w:rsid w:val="0094285B"/>
    <w:rsid w:val="009925B2"/>
    <w:rsid w:val="009D66C6"/>
    <w:rsid w:val="00A96525"/>
    <w:rsid w:val="00AE29E5"/>
    <w:rsid w:val="00AE5757"/>
    <w:rsid w:val="00B25EB8"/>
    <w:rsid w:val="00B956CC"/>
    <w:rsid w:val="00BC634B"/>
    <w:rsid w:val="00BF2AE0"/>
    <w:rsid w:val="00C479BF"/>
    <w:rsid w:val="00C85A7B"/>
    <w:rsid w:val="00D567AA"/>
    <w:rsid w:val="00DD6D71"/>
    <w:rsid w:val="00DF32BE"/>
    <w:rsid w:val="00E14F0A"/>
    <w:rsid w:val="00EB5778"/>
    <w:rsid w:val="00EC2A7E"/>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60B6D3-1ED7-4E2B-BF55-C2C3C936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BodytextAgency">
    <w:name w:val="Body text (Agency)"/>
    <w:basedOn w:val="Normal"/>
    <w:link w:val="BodytextAgencyChar"/>
    <w:qFormat/>
    <w:rsid w:val="00C85A7B"/>
    <w:pPr>
      <w:spacing w:after="140" w:line="280" w:lineRule="atLeast"/>
    </w:pPr>
    <w:rPr>
      <w:rFonts w:ascii="Verdana" w:eastAsia="Verdana" w:hAnsi="Verdana"/>
      <w:sz w:val="18"/>
      <w:szCs w:val="18"/>
      <w:lang w:val="en-GB"/>
    </w:rPr>
  </w:style>
  <w:style w:type="character" w:customStyle="1" w:styleId="BodytextAgencyChar">
    <w:name w:val="Body text (Agency) Char"/>
    <w:link w:val="BodytextAgency"/>
    <w:rsid w:val="00C85A7B"/>
    <w:rPr>
      <w:rFonts w:ascii="Verdana" w:eastAsia="Verdana" w:hAnsi="Verdana"/>
      <w:sz w:val="18"/>
      <w:szCs w:val="18"/>
      <w:lang w:val="en-GB" w:eastAsia="en-US"/>
    </w:rPr>
  </w:style>
  <w:style w:type="paragraph" w:styleId="Listeafsnit">
    <w:name w:val="List Paragraph"/>
    <w:basedOn w:val="Normal"/>
    <w:uiPriority w:val="34"/>
    <w:qFormat/>
    <w:rsid w:val="00C85A7B"/>
    <w:pPr>
      <w:ind w:left="720"/>
      <w:contextualSpacing/>
    </w:pPr>
  </w:style>
  <w:style w:type="paragraph" w:customStyle="1" w:styleId="Style1">
    <w:name w:val="Style1"/>
    <w:basedOn w:val="Normal"/>
    <w:qFormat/>
    <w:rsid w:val="006A5B3D"/>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1656</Words>
  <Characters>10407</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2023073771 QRD9</dc:description>
  <cp:lastModifiedBy>Alexandra Wæver</cp:lastModifiedBy>
  <cp:revision>2</cp:revision>
  <dcterms:created xsi:type="dcterms:W3CDTF">2025-02-03T07:09:00Z</dcterms:created>
  <dcterms:modified xsi:type="dcterms:W3CDTF">2025-02-03T07:09:00Z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