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12" w:rsidRPr="008F49E1" w:rsidRDefault="00A81712" w:rsidP="00A81712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1B635C9D" wp14:editId="4DE4AA1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12" w:rsidRDefault="00A81712" w:rsidP="00A81712">
      <w:pPr>
        <w:rPr>
          <w:sz w:val="24"/>
          <w:szCs w:val="24"/>
        </w:rPr>
      </w:pPr>
    </w:p>
    <w:p w:rsidR="00A81712" w:rsidRPr="00406EE7" w:rsidRDefault="00A6678A" w:rsidP="004F461B">
      <w:pPr>
        <w:tabs>
          <w:tab w:val="right" w:pos="93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F461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november</w:t>
      </w:r>
      <w:r w:rsidR="004F461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</w:p>
    <w:p w:rsidR="00A81712" w:rsidRDefault="00A81712" w:rsidP="00A81712">
      <w:pPr>
        <w:rPr>
          <w:sz w:val="24"/>
          <w:szCs w:val="24"/>
        </w:rPr>
      </w:pPr>
    </w:p>
    <w:p w:rsidR="00A81712" w:rsidRPr="00406EE7" w:rsidRDefault="00A81712" w:rsidP="00A81712">
      <w:pPr>
        <w:rPr>
          <w:sz w:val="24"/>
          <w:szCs w:val="24"/>
        </w:rPr>
      </w:pPr>
    </w:p>
    <w:p w:rsidR="00A81712" w:rsidRPr="00406EE7" w:rsidRDefault="00A81712" w:rsidP="00A8171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A81712" w:rsidRPr="00406EE7" w:rsidRDefault="00A81712" w:rsidP="00A817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A81712" w:rsidRPr="00406EE7" w:rsidRDefault="00A81712" w:rsidP="00A8171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A81712" w:rsidRPr="00406EE7" w:rsidRDefault="00A81712" w:rsidP="00A8171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A81712" w:rsidRPr="00565A74" w:rsidRDefault="00A81712" w:rsidP="00A8171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Cevac</w:t>
      </w:r>
      <w:proofErr w:type="spellEnd"/>
      <w:r>
        <w:rPr>
          <w:b/>
          <w:sz w:val="24"/>
          <w:szCs w:val="24"/>
        </w:rPr>
        <w:t xml:space="preserve"> MD HVT, suspension og solvens til injektionsvæske, suspension</w:t>
      </w:r>
    </w:p>
    <w:p w:rsidR="00A81712" w:rsidRPr="00406EE7" w:rsidRDefault="00A81712" w:rsidP="00A81712">
      <w:pPr>
        <w:tabs>
          <w:tab w:val="left" w:pos="8222"/>
        </w:tabs>
        <w:jc w:val="both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0.</w:t>
      </w:r>
      <w:r w:rsidRPr="005C501A">
        <w:rPr>
          <w:b/>
          <w:sz w:val="24"/>
          <w:szCs w:val="24"/>
        </w:rPr>
        <w:tab/>
        <w:t>D.SP.NR.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30099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1.</w:t>
      </w:r>
      <w:r w:rsidRPr="005C501A">
        <w:rPr>
          <w:b/>
          <w:sz w:val="24"/>
          <w:szCs w:val="24"/>
        </w:rPr>
        <w:tab/>
        <w:t>VETERINÆRLÆGEMIDLETS NAVN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Cevac</w:t>
      </w:r>
      <w:proofErr w:type="spellEnd"/>
      <w:r w:rsidRPr="005C501A">
        <w:rPr>
          <w:sz w:val="24"/>
          <w:szCs w:val="24"/>
        </w:rPr>
        <w:t xml:space="preserve"> MD HVT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2.</w:t>
      </w:r>
      <w:r w:rsidRPr="005C501A">
        <w:rPr>
          <w:b/>
          <w:sz w:val="24"/>
          <w:szCs w:val="24"/>
        </w:rPr>
        <w:tab/>
        <w:t>KVALITATIV OG KVANTITATIV SAMMENSÆTNING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Hver dosis (0,05 ml in-ovo eller 0,2 ml subkutant) indeholder: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b/>
          <w:sz w:val="24"/>
          <w:szCs w:val="24"/>
        </w:rPr>
        <w:t>Aktiv substans: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5C501A">
        <w:rPr>
          <w:szCs w:val="24"/>
        </w:rPr>
        <w:t xml:space="preserve">Celleassocieret, levende kalkun herpes virus (HVT, </w:t>
      </w:r>
      <w:proofErr w:type="spellStart"/>
      <w:r w:rsidRPr="005C501A">
        <w:rPr>
          <w:szCs w:val="24"/>
        </w:rPr>
        <w:t>Marek</w:t>
      </w:r>
      <w:r>
        <w:rPr>
          <w:szCs w:val="24"/>
        </w:rPr>
        <w:t>'</w:t>
      </w:r>
      <w:r w:rsidRPr="005C501A">
        <w:rPr>
          <w:szCs w:val="24"/>
        </w:rPr>
        <w:t>s</w:t>
      </w:r>
      <w:proofErr w:type="spellEnd"/>
      <w:r w:rsidRPr="005C501A">
        <w:rPr>
          <w:szCs w:val="24"/>
        </w:rPr>
        <w:t xml:space="preserve"> </w:t>
      </w:r>
      <w:proofErr w:type="spellStart"/>
      <w:r w:rsidRPr="005C501A">
        <w:rPr>
          <w:szCs w:val="24"/>
        </w:rPr>
        <w:t>disease</w:t>
      </w:r>
      <w:proofErr w:type="spellEnd"/>
      <w:r w:rsidRPr="005C501A">
        <w:rPr>
          <w:szCs w:val="24"/>
        </w:rPr>
        <w:t xml:space="preserve"> virus),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5C501A">
        <w:rPr>
          <w:szCs w:val="24"/>
        </w:rPr>
        <w:t>Serotype</w:t>
      </w:r>
      <w:proofErr w:type="spellEnd"/>
      <w:r w:rsidRPr="005C501A">
        <w:rPr>
          <w:szCs w:val="24"/>
        </w:rPr>
        <w:t xml:space="preserve"> 3, stamme FC-126</w:t>
      </w:r>
      <w:r w:rsidRPr="005C501A">
        <w:rPr>
          <w:szCs w:val="24"/>
        </w:rPr>
        <w:tab/>
      </w:r>
      <w:r w:rsidRPr="005C501A">
        <w:rPr>
          <w:szCs w:val="24"/>
        </w:rPr>
        <w:tab/>
        <w:t>2000 - 8000 PFU</w:t>
      </w:r>
      <w:r w:rsidRPr="005C501A">
        <w:rPr>
          <w:szCs w:val="24"/>
          <w:vertAlign w:val="superscript"/>
        </w:rPr>
        <w:sym w:font="Symbol" w:char="F02A"/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5C501A">
        <w:rPr>
          <w:szCs w:val="24"/>
          <w:vertAlign w:val="superscript"/>
        </w:rPr>
        <w:sym w:font="Symbol" w:char="F02A"/>
      </w:r>
      <w:r w:rsidRPr="005C501A">
        <w:rPr>
          <w:szCs w:val="24"/>
        </w:rPr>
        <w:t xml:space="preserve">PFU: </w:t>
      </w:r>
      <w:proofErr w:type="spellStart"/>
      <w:r w:rsidRPr="005C501A">
        <w:rPr>
          <w:szCs w:val="24"/>
        </w:rPr>
        <w:t>plaque</w:t>
      </w:r>
      <w:proofErr w:type="spellEnd"/>
      <w:r w:rsidRPr="005C501A">
        <w:rPr>
          <w:szCs w:val="24"/>
        </w:rPr>
        <w:t xml:space="preserve"> </w:t>
      </w:r>
      <w:proofErr w:type="spellStart"/>
      <w:r w:rsidRPr="005C501A">
        <w:rPr>
          <w:szCs w:val="24"/>
        </w:rPr>
        <w:t>forming</w:t>
      </w:r>
      <w:proofErr w:type="spellEnd"/>
      <w:r w:rsidRPr="005C501A">
        <w:rPr>
          <w:szCs w:val="24"/>
        </w:rPr>
        <w:t xml:space="preserve"> unit</w:t>
      </w:r>
    </w:p>
    <w:p w:rsidR="00A81712" w:rsidRPr="005C501A" w:rsidRDefault="00A81712" w:rsidP="00A81712">
      <w:pPr>
        <w:ind w:left="851" w:hanging="851"/>
        <w:outlineLvl w:val="0"/>
        <w:rPr>
          <w:sz w:val="24"/>
          <w:szCs w:val="24"/>
        </w:rPr>
      </w:pPr>
    </w:p>
    <w:p w:rsidR="00A81712" w:rsidRPr="005C501A" w:rsidRDefault="00A81712" w:rsidP="00A81712">
      <w:pPr>
        <w:ind w:left="851"/>
        <w:outlineLvl w:val="0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Hjælpestoffer: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Alle hjælpestoffer er anført under pkt. 6.1.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3.</w:t>
      </w:r>
      <w:r w:rsidRPr="005C501A">
        <w:rPr>
          <w:b/>
          <w:sz w:val="24"/>
          <w:szCs w:val="24"/>
        </w:rPr>
        <w:tab/>
        <w:t>LÆGEMIDDELFORM</w:t>
      </w:r>
    </w:p>
    <w:p w:rsidR="00A81712" w:rsidRPr="005C501A" w:rsidRDefault="00A81712" w:rsidP="00A81712">
      <w:pPr>
        <w:ind w:left="851"/>
        <w:outlineLvl w:val="0"/>
        <w:rPr>
          <w:sz w:val="24"/>
          <w:szCs w:val="24"/>
        </w:rPr>
      </w:pPr>
      <w:r w:rsidRPr="005C501A">
        <w:rPr>
          <w:sz w:val="24"/>
          <w:szCs w:val="24"/>
        </w:rPr>
        <w:t>Suspension og solvens til injektionsvæske, suspension</w:t>
      </w:r>
    </w:p>
    <w:p w:rsidR="004F461B" w:rsidRDefault="004F461B" w:rsidP="00A81712">
      <w:pPr>
        <w:ind w:left="851"/>
        <w:rPr>
          <w:sz w:val="24"/>
          <w:szCs w:val="24"/>
        </w:rPr>
      </w:pPr>
    </w:p>
    <w:p w:rsidR="004F461B" w:rsidRDefault="004F461B" w:rsidP="004F461B">
      <w:pPr>
        <w:ind w:left="851"/>
        <w:rPr>
          <w:sz w:val="24"/>
          <w:szCs w:val="24"/>
        </w:rPr>
      </w:pPr>
      <w:r w:rsidRPr="0092486F">
        <w:rPr>
          <w:sz w:val="24"/>
          <w:szCs w:val="24"/>
        </w:rPr>
        <w:t xml:space="preserve">Vaccine: </w:t>
      </w:r>
      <w:proofErr w:type="spellStart"/>
      <w:r w:rsidRPr="0092486F">
        <w:rPr>
          <w:sz w:val="24"/>
          <w:szCs w:val="24"/>
        </w:rPr>
        <w:t>Gul</w:t>
      </w:r>
      <w:r>
        <w:rPr>
          <w:sz w:val="24"/>
          <w:szCs w:val="24"/>
        </w:rPr>
        <w:t>-</w:t>
      </w:r>
      <w:r w:rsidRPr="0092486F">
        <w:rPr>
          <w:sz w:val="24"/>
          <w:szCs w:val="24"/>
        </w:rPr>
        <w:t>brun</w:t>
      </w:r>
      <w:proofErr w:type="spellEnd"/>
      <w:r w:rsidRPr="0092486F">
        <w:rPr>
          <w:sz w:val="24"/>
          <w:szCs w:val="24"/>
        </w:rPr>
        <w:t>, tæt, fross</w:t>
      </w:r>
      <w:r w:rsidRPr="001E7FDB">
        <w:rPr>
          <w:sz w:val="24"/>
          <w:szCs w:val="24"/>
        </w:rPr>
        <w:t>en vi</w:t>
      </w:r>
      <w:r>
        <w:rPr>
          <w:sz w:val="24"/>
          <w:szCs w:val="24"/>
        </w:rPr>
        <w:t>russuspension</w:t>
      </w:r>
    </w:p>
    <w:p w:rsidR="004F461B" w:rsidRPr="0092486F" w:rsidRDefault="004F461B" w:rsidP="004F461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Solvens: klar, </w:t>
      </w:r>
      <w:proofErr w:type="spellStart"/>
      <w:r>
        <w:rPr>
          <w:sz w:val="24"/>
          <w:szCs w:val="24"/>
        </w:rPr>
        <w:t>orange-rød</w:t>
      </w:r>
      <w:proofErr w:type="spellEnd"/>
      <w:r>
        <w:rPr>
          <w:sz w:val="24"/>
          <w:szCs w:val="24"/>
        </w:rPr>
        <w:t xml:space="preserve"> opløsning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4.</w:t>
      </w:r>
      <w:r w:rsidRPr="005C501A">
        <w:rPr>
          <w:b/>
          <w:sz w:val="24"/>
          <w:szCs w:val="24"/>
        </w:rPr>
        <w:tab/>
        <w:t>KLINISKE OPLYSNINGER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  <w:u w:val="single"/>
        </w:rPr>
      </w:pPr>
      <w:r w:rsidRPr="005C501A">
        <w:rPr>
          <w:b/>
          <w:sz w:val="24"/>
          <w:szCs w:val="24"/>
        </w:rPr>
        <w:t>4.1</w:t>
      </w:r>
      <w:r w:rsidRPr="005C501A">
        <w:rPr>
          <w:b/>
          <w:sz w:val="24"/>
          <w:szCs w:val="24"/>
        </w:rPr>
        <w:tab/>
        <w:t>Dyrearter</w:t>
      </w:r>
    </w:p>
    <w:p w:rsidR="00A81712" w:rsidRPr="005C501A" w:rsidRDefault="00A81712" w:rsidP="00A81712">
      <w:pPr>
        <w:ind w:left="851"/>
        <w:outlineLvl w:val="0"/>
        <w:rPr>
          <w:sz w:val="24"/>
          <w:szCs w:val="24"/>
        </w:rPr>
      </w:pPr>
      <w:r w:rsidRPr="005C501A">
        <w:rPr>
          <w:sz w:val="24"/>
          <w:szCs w:val="24"/>
        </w:rPr>
        <w:t xml:space="preserve">Kyllinger og befrugtede hønseæg. 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5C501A">
        <w:rPr>
          <w:b/>
          <w:szCs w:val="24"/>
        </w:rPr>
        <w:t>4.2</w:t>
      </w:r>
      <w:r w:rsidRPr="005C501A">
        <w:rPr>
          <w:b/>
          <w:szCs w:val="24"/>
        </w:rPr>
        <w:tab/>
        <w:t>Terapeutiske indikationer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 xml:space="preserve">Til aktiv immunisering af 18-dage gamle befrugtede hønseæg eller daggamle kyllinger for at reducere dødelighed, kliniske symptomer og læsioner forårsaget af lette og virulente stammer af </w:t>
      </w:r>
      <w:proofErr w:type="spellStart"/>
      <w:r w:rsidRPr="005C501A">
        <w:rPr>
          <w:sz w:val="24"/>
          <w:szCs w:val="24"/>
        </w:rPr>
        <w:t>Marek</w:t>
      </w:r>
      <w:r>
        <w:rPr>
          <w:sz w:val="24"/>
          <w:szCs w:val="24"/>
        </w:rPr>
        <w:t>'</w:t>
      </w:r>
      <w:r w:rsidRPr="005C501A">
        <w:rPr>
          <w:sz w:val="24"/>
          <w:szCs w:val="24"/>
        </w:rPr>
        <w:t>s</w:t>
      </w:r>
      <w:proofErr w:type="spellEnd"/>
      <w:r w:rsidRPr="005C501A">
        <w:rPr>
          <w:sz w:val="24"/>
          <w:szCs w:val="24"/>
        </w:rPr>
        <w:t xml:space="preserve"> </w:t>
      </w:r>
      <w:proofErr w:type="spellStart"/>
      <w:r w:rsidRPr="005C501A">
        <w:rPr>
          <w:sz w:val="24"/>
          <w:szCs w:val="24"/>
        </w:rPr>
        <w:t>disease</w:t>
      </w:r>
      <w:proofErr w:type="spellEnd"/>
      <w:r w:rsidRPr="005C501A">
        <w:rPr>
          <w:sz w:val="24"/>
          <w:szCs w:val="24"/>
        </w:rPr>
        <w:t xml:space="preserve"> virus.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Immunitet er påvist: 9 dage efter vaccination.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 xml:space="preserve">Varighed af immunitet: En enkelt vaccination er tilstrækkelig til at give beskyttelse gennem risikoperioden for infektion med </w:t>
      </w:r>
      <w:proofErr w:type="spellStart"/>
      <w:r w:rsidRPr="005C501A">
        <w:rPr>
          <w:sz w:val="24"/>
          <w:szCs w:val="24"/>
        </w:rPr>
        <w:t>Marek</w:t>
      </w:r>
      <w:r>
        <w:rPr>
          <w:sz w:val="24"/>
          <w:szCs w:val="24"/>
        </w:rPr>
        <w:t>'</w:t>
      </w:r>
      <w:r w:rsidRPr="005C501A">
        <w:rPr>
          <w:sz w:val="24"/>
          <w:szCs w:val="24"/>
        </w:rPr>
        <w:t>s</w:t>
      </w:r>
      <w:proofErr w:type="spellEnd"/>
      <w:r w:rsidRPr="005C501A">
        <w:rPr>
          <w:sz w:val="24"/>
          <w:szCs w:val="24"/>
        </w:rPr>
        <w:t xml:space="preserve"> </w:t>
      </w:r>
      <w:proofErr w:type="spellStart"/>
      <w:r w:rsidRPr="005C501A">
        <w:rPr>
          <w:sz w:val="24"/>
          <w:szCs w:val="24"/>
        </w:rPr>
        <w:t>disease</w:t>
      </w:r>
      <w:proofErr w:type="spellEnd"/>
      <w:r w:rsidRPr="005C501A">
        <w:rPr>
          <w:sz w:val="24"/>
          <w:szCs w:val="24"/>
        </w:rPr>
        <w:t xml:space="preserve"> virus. 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5C501A">
        <w:rPr>
          <w:b/>
          <w:szCs w:val="24"/>
        </w:rPr>
        <w:t>4.3</w:t>
      </w:r>
      <w:r w:rsidRPr="005C501A">
        <w:rPr>
          <w:b/>
          <w:szCs w:val="24"/>
        </w:rPr>
        <w:tab/>
        <w:t>Kontraindikationer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5C501A">
        <w:rPr>
          <w:szCs w:val="24"/>
        </w:rPr>
        <w:t>Ingen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4.4</w:t>
      </w:r>
      <w:r w:rsidRPr="005C501A">
        <w:rPr>
          <w:b/>
          <w:sz w:val="24"/>
          <w:szCs w:val="24"/>
        </w:rPr>
        <w:tab/>
        <w:t>Særlige advarsler</w:t>
      </w:r>
    </w:p>
    <w:p w:rsidR="00A81712" w:rsidRPr="005C501A" w:rsidRDefault="0051154A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92486F">
        <w:rPr>
          <w:szCs w:val="24"/>
        </w:rPr>
        <w:t>Kun raske dyr må vaccineres.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4.5</w:t>
      </w:r>
      <w:r w:rsidRPr="005C501A">
        <w:rPr>
          <w:b/>
          <w:sz w:val="24"/>
          <w:szCs w:val="24"/>
        </w:rPr>
        <w:tab/>
      </w:r>
      <w:r w:rsidRPr="00822839">
        <w:rPr>
          <w:b/>
          <w:sz w:val="24"/>
          <w:szCs w:val="24"/>
        </w:rPr>
        <w:t>Særlige forsigtighedsregler vedrørende brugen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Særlige forsigtighedsregler for dyret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Det er vist, at vaccinestammen udskilles fra kyllinger i 46 dage. Sikkerhedsstudier har vist, at den udskilte vaccinestamme ikke volder skader i kalkuner; imidlertid bør særlige forholdsregler træffes for at undgå, at vaccinestammen spredes til kalkuner. En overdosering på 10 gange var uskadelig for kalkuner, ænder, vagtler, perlehøns, fasaner og duer. </w:t>
      </w:r>
    </w:p>
    <w:p w:rsidR="00A81712" w:rsidRPr="00822839" w:rsidRDefault="00A81712" w:rsidP="00A81712">
      <w:pPr>
        <w:rPr>
          <w:sz w:val="24"/>
          <w:szCs w:val="24"/>
        </w:rPr>
      </w:pPr>
    </w:p>
    <w:p w:rsidR="00A81712" w:rsidRPr="00822839" w:rsidRDefault="00A81712" w:rsidP="00A81712">
      <w:pPr>
        <w:ind w:firstLine="851"/>
        <w:rPr>
          <w:sz w:val="24"/>
          <w:szCs w:val="24"/>
        </w:rPr>
      </w:pPr>
      <w:r w:rsidRPr="00822839">
        <w:rPr>
          <w:sz w:val="24"/>
          <w:szCs w:val="24"/>
        </w:rPr>
        <w:t xml:space="preserve">Der blev ikke påvist spredning internt mellem kyllinger. 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Særlige forsigtighedsregler for personer, der administrerer lægemidlet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Beholdere med flydende kvælstof og vaccine bør kun håndteres af særligt uddannede personer. 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Personligt beskyttelsesudstyr bestående af beskyttelseshandsker, -briller og -støvler bør anvendes ved håndtering af dette veterinære lægemiddel; før udtagning fra </w:t>
      </w:r>
      <w:proofErr w:type="gramStart"/>
      <w:r w:rsidRPr="00822839">
        <w:rPr>
          <w:sz w:val="24"/>
          <w:szCs w:val="24"/>
        </w:rPr>
        <w:t>den flydende kvælstof</w:t>
      </w:r>
      <w:proofErr w:type="gramEnd"/>
      <w:r w:rsidRPr="00822839">
        <w:rPr>
          <w:sz w:val="24"/>
          <w:szCs w:val="24"/>
        </w:rPr>
        <w:t>, ved optøning af den frosne ampul og ved åbning af ampullerne.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Frosne glasampuller kan eksplodere ved pludselige temperaturændringer.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Opbevaring og brug af flydende kvælstof skal ske i et tørt og vel-ventileret rum. Inhalation af flydende kvælstof er farligt.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Personale der er involveret i håndteringen af vaccinerede fugle, bør følge hygiejniske sikkerhedsregler og være særlig forsigtig ved håndtering af flokke af vaccinerede kyllinger.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Andre forsigtighedsregler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-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4.6</w:t>
      </w:r>
      <w:r w:rsidRPr="00822839">
        <w:rPr>
          <w:b/>
          <w:sz w:val="24"/>
          <w:szCs w:val="24"/>
        </w:rPr>
        <w:tab/>
        <w:t>Bivirkninger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  <w:r w:rsidRPr="00822839">
        <w:rPr>
          <w:sz w:val="24"/>
          <w:szCs w:val="24"/>
        </w:rPr>
        <w:tab/>
        <w:t>Ingen kendte.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4.7</w:t>
      </w:r>
      <w:r w:rsidRPr="00822839">
        <w:rPr>
          <w:b/>
          <w:sz w:val="24"/>
          <w:szCs w:val="24"/>
        </w:rPr>
        <w:tab/>
        <w:t>Drægtighed, diegivning eller æglægning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Må ikke anvendes i æglægningsperioden og inden for 4 uger forud for </w:t>
      </w:r>
      <w:proofErr w:type="spellStart"/>
      <w:r w:rsidRPr="00822839">
        <w:rPr>
          <w:sz w:val="24"/>
          <w:szCs w:val="24"/>
        </w:rPr>
        <w:t>æglæg</w:t>
      </w:r>
      <w:r w:rsidR="0051154A">
        <w:rPr>
          <w:sz w:val="24"/>
          <w:szCs w:val="24"/>
        </w:rPr>
        <w:t>-</w:t>
      </w:r>
      <w:r w:rsidRPr="00822839">
        <w:rPr>
          <w:sz w:val="24"/>
          <w:szCs w:val="24"/>
        </w:rPr>
        <w:t>ningsperiodens</w:t>
      </w:r>
      <w:proofErr w:type="spellEnd"/>
      <w:r w:rsidRPr="00822839">
        <w:rPr>
          <w:sz w:val="24"/>
          <w:szCs w:val="24"/>
        </w:rPr>
        <w:t xml:space="preserve"> begyndelse.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4.8</w:t>
      </w:r>
      <w:r w:rsidRPr="00822839">
        <w:rPr>
          <w:b/>
          <w:sz w:val="24"/>
          <w:szCs w:val="24"/>
        </w:rPr>
        <w:tab/>
        <w:t>Interaktion med andre lægemidler og andre former for interaktion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Der foreligger ingen oplysninger om sikkerhed og effekt af vaccinen ved samtidig brug med andre lægemidler til dyr.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En eventuel beslutning om at anvende vaccinen umiddelbart før eller efter brug af et andet lægemiddel til dyr skal derfor tages med udgangspunkt i det enkelte tilfælde.</w:t>
      </w:r>
    </w:p>
    <w:p w:rsidR="00A81712" w:rsidRPr="00822839" w:rsidRDefault="00A81712" w:rsidP="00A81712">
      <w:pPr>
        <w:rPr>
          <w:sz w:val="24"/>
          <w:szCs w:val="24"/>
        </w:rPr>
      </w:pPr>
      <w:r w:rsidRPr="00822839">
        <w:rPr>
          <w:sz w:val="24"/>
          <w:szCs w:val="24"/>
        </w:rPr>
        <w:br w:type="page"/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4.9</w:t>
      </w:r>
      <w:r w:rsidRPr="00822839">
        <w:rPr>
          <w:b/>
          <w:sz w:val="24"/>
          <w:szCs w:val="24"/>
        </w:rPr>
        <w:tab/>
        <w:t>Dosering og indgivelsesmåde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Til in-ovo eller subkutan anvendelse:</w:t>
      </w:r>
    </w:p>
    <w:p w:rsidR="00A81712" w:rsidRPr="00822839" w:rsidRDefault="00A81712" w:rsidP="00A81712">
      <w:pPr>
        <w:ind w:left="851"/>
        <w:rPr>
          <w:sz w:val="24"/>
          <w:szCs w:val="24"/>
          <w:u w:val="single"/>
        </w:rPr>
      </w:pPr>
    </w:p>
    <w:p w:rsidR="00A81712" w:rsidRPr="007B3D69" w:rsidRDefault="00A81712" w:rsidP="00A81712">
      <w:pPr>
        <w:ind w:left="851"/>
        <w:rPr>
          <w:i/>
          <w:sz w:val="24"/>
          <w:szCs w:val="24"/>
        </w:rPr>
      </w:pPr>
      <w:r w:rsidRPr="007B3D69">
        <w:rPr>
          <w:i/>
          <w:sz w:val="24"/>
          <w:szCs w:val="24"/>
          <w:u w:val="single"/>
        </w:rPr>
        <w:t>In-ovo</w:t>
      </w:r>
      <w:r w:rsidRPr="007B3D69">
        <w:rPr>
          <w:i/>
          <w:sz w:val="24"/>
          <w:szCs w:val="24"/>
        </w:rPr>
        <w:t>: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Én enkelt dosis på 0,05 ml injiceres i hvert af de 18-dage-gamle, befrugtede hønseæg. Til in-ovo applikation kan anvendes en automatisk in-ovo </w:t>
      </w:r>
      <w:proofErr w:type="spellStart"/>
      <w:r w:rsidRPr="00822839">
        <w:rPr>
          <w:sz w:val="24"/>
          <w:szCs w:val="24"/>
        </w:rPr>
        <w:t>æginjector</w:t>
      </w:r>
      <w:proofErr w:type="spellEnd"/>
      <w:r w:rsidRPr="00822839">
        <w:rPr>
          <w:sz w:val="24"/>
          <w:szCs w:val="24"/>
        </w:rPr>
        <w:t xml:space="preserve">. </w:t>
      </w:r>
      <w:r w:rsidRPr="00822839">
        <w:rPr>
          <w:rStyle w:val="BodytextAgencyChar"/>
          <w:rFonts w:ascii="Times New Roman" w:hAnsi="Times New Roman"/>
          <w:sz w:val="24"/>
          <w:szCs w:val="24"/>
          <w:lang w:val="da-DK"/>
        </w:rPr>
        <w:t>In-ovo udstyr bør kalibreres for at sikre, at der anvendes en dosis på 0,05 ml i hvert æg.</w:t>
      </w:r>
    </w:p>
    <w:p w:rsidR="00A81712" w:rsidRPr="00822839" w:rsidRDefault="00A81712" w:rsidP="00A81712">
      <w:pPr>
        <w:ind w:left="851"/>
        <w:rPr>
          <w:sz w:val="24"/>
          <w:szCs w:val="24"/>
          <w:u w:val="single"/>
        </w:rPr>
      </w:pP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  <w:u w:val="single"/>
        </w:rPr>
        <w:t>Subkutan anvendelse (fortrinsvist under huden på halsen)</w:t>
      </w:r>
      <w:r w:rsidRPr="00822839">
        <w:rPr>
          <w:sz w:val="24"/>
          <w:szCs w:val="24"/>
        </w:rPr>
        <w:t>: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Én enkelt injektion af 0,2 ml pr. kylling gives til daggamle kyllinger. 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Vaccinen kan indgives med automatsprøjte. Beholderen med 500 doser anbefales anvendt ved manuel injektion.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Oversigtsskema for anbefalede fortyndingsgrader for de forskellige præsentationer: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Til </w:t>
      </w:r>
      <w:r w:rsidRPr="007B3D69">
        <w:rPr>
          <w:i/>
          <w:sz w:val="24"/>
          <w:szCs w:val="24"/>
        </w:rPr>
        <w:t>in-ovo</w:t>
      </w:r>
      <w:r w:rsidRPr="00822839">
        <w:rPr>
          <w:sz w:val="24"/>
          <w:szCs w:val="24"/>
        </w:rPr>
        <w:t xml:space="preserve"> administration:</w:t>
      </w:r>
    </w:p>
    <w:p w:rsidR="00A81712" w:rsidRDefault="00A81712" w:rsidP="00A81712">
      <w:pPr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966"/>
        <w:gridCol w:w="2126"/>
      </w:tblGrid>
      <w:tr w:rsidR="0084537A" w:rsidRPr="006E5CD7" w:rsidTr="0084537A">
        <w:trPr>
          <w:cantSplit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CD7" w:rsidRPr="00822839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Frossen suspension præsentation</w:t>
            </w:r>
          </w:p>
          <w:p w:rsidR="0084537A" w:rsidRPr="006E5CD7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Antal ampuller gange doser(D)</w:t>
            </w:r>
          </w:p>
        </w:tc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jc w:val="center"/>
              <w:rPr>
                <w:b/>
                <w:sz w:val="24"/>
                <w:szCs w:val="24"/>
              </w:rPr>
            </w:pPr>
            <w:r w:rsidRPr="0084537A">
              <w:rPr>
                <w:b/>
                <w:sz w:val="24"/>
                <w:szCs w:val="24"/>
              </w:rPr>
              <w:t>Solvent pr</w:t>
            </w:r>
            <w:r w:rsidR="006E5CD7">
              <w:rPr>
                <w:b/>
                <w:sz w:val="24"/>
                <w:szCs w:val="24"/>
              </w:rPr>
              <w:t>æ</w:t>
            </w:r>
            <w:r w:rsidRPr="0084537A">
              <w:rPr>
                <w:b/>
                <w:sz w:val="24"/>
                <w:szCs w:val="24"/>
              </w:rPr>
              <w:t>sentation</w:t>
            </w:r>
          </w:p>
          <w:p w:rsidR="0084537A" w:rsidRPr="0084537A" w:rsidRDefault="0084537A" w:rsidP="006A3279">
            <w:pPr>
              <w:jc w:val="center"/>
              <w:rPr>
                <w:b/>
                <w:sz w:val="24"/>
                <w:szCs w:val="24"/>
              </w:rPr>
            </w:pPr>
            <w:r w:rsidRPr="0084537A"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37A" w:rsidRPr="00484CBE" w:rsidRDefault="0084537A" w:rsidP="006A3279">
            <w:pPr>
              <w:jc w:val="center"/>
              <w:rPr>
                <w:b/>
                <w:sz w:val="24"/>
                <w:szCs w:val="24"/>
              </w:rPr>
            </w:pPr>
            <w:r w:rsidRPr="00484CBE">
              <w:rPr>
                <w:b/>
                <w:sz w:val="24"/>
                <w:szCs w:val="24"/>
              </w:rPr>
              <w:t>Volume</w:t>
            </w:r>
            <w:r w:rsidR="006E5CD7" w:rsidRPr="00484CBE">
              <w:rPr>
                <w:b/>
                <w:sz w:val="24"/>
                <w:szCs w:val="24"/>
              </w:rPr>
              <w:t>n</w:t>
            </w:r>
            <w:r w:rsidRPr="00484CBE">
              <w:rPr>
                <w:b/>
                <w:sz w:val="24"/>
                <w:szCs w:val="24"/>
              </w:rPr>
              <w:t xml:space="preserve"> </w:t>
            </w:r>
            <w:r w:rsidR="006E5CD7" w:rsidRPr="00484CBE">
              <w:rPr>
                <w:b/>
                <w:sz w:val="24"/>
                <w:szCs w:val="24"/>
              </w:rPr>
              <w:t>a</w:t>
            </w:r>
            <w:r w:rsidRPr="00484CBE">
              <w:rPr>
                <w:b/>
                <w:sz w:val="24"/>
                <w:szCs w:val="24"/>
              </w:rPr>
              <w:t xml:space="preserve">f </w:t>
            </w:r>
            <w:proofErr w:type="spellStart"/>
            <w:r w:rsidR="006E5CD7" w:rsidRPr="00484CBE">
              <w:rPr>
                <w:b/>
                <w:sz w:val="24"/>
                <w:szCs w:val="24"/>
              </w:rPr>
              <w:t>èn</w:t>
            </w:r>
            <w:proofErr w:type="spellEnd"/>
            <w:r w:rsidR="006E5CD7" w:rsidRPr="00484CBE">
              <w:rPr>
                <w:b/>
                <w:sz w:val="24"/>
                <w:szCs w:val="24"/>
              </w:rPr>
              <w:t xml:space="preserve"> </w:t>
            </w:r>
            <w:r w:rsidRPr="00484CBE">
              <w:rPr>
                <w:b/>
                <w:sz w:val="24"/>
                <w:szCs w:val="24"/>
              </w:rPr>
              <w:t>dos</w:t>
            </w:r>
            <w:r w:rsidR="006E5CD7" w:rsidRPr="00484CBE">
              <w:rPr>
                <w:b/>
                <w:sz w:val="24"/>
                <w:szCs w:val="24"/>
              </w:rPr>
              <w:t>is</w:t>
            </w:r>
          </w:p>
          <w:p w:rsidR="0084537A" w:rsidRPr="00484CBE" w:rsidRDefault="0084537A" w:rsidP="006A3279">
            <w:pPr>
              <w:jc w:val="center"/>
              <w:rPr>
                <w:b/>
                <w:sz w:val="24"/>
                <w:szCs w:val="24"/>
              </w:rPr>
            </w:pPr>
            <w:r w:rsidRPr="00484CBE">
              <w:rPr>
                <w:b/>
                <w:sz w:val="24"/>
                <w:szCs w:val="24"/>
              </w:rPr>
              <w:t>(ml)</w:t>
            </w:r>
          </w:p>
        </w:tc>
      </w:tr>
      <w:tr w:rsidR="0084537A" w:rsidRPr="0084537A" w:rsidTr="0084537A">
        <w:trPr>
          <w:cantSplit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 x   500 D</w:t>
            </w:r>
          </w:p>
        </w:tc>
        <w:tc>
          <w:tcPr>
            <w:tcW w:w="1966" w:type="dxa"/>
            <w:tcBorders>
              <w:bottom w:val="single" w:sz="2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0.05</w:t>
            </w:r>
          </w:p>
        </w:tc>
      </w:tr>
      <w:tr w:rsidR="0084537A" w:rsidRPr="0084537A" w:rsidTr="0084537A">
        <w:trPr>
          <w:cantSplit/>
        </w:trPr>
        <w:tc>
          <w:tcPr>
            <w:tcW w:w="299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 x 1000 D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rPr>
          <w:cantSplit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 x 2000 D</w:t>
            </w:r>
          </w:p>
        </w:tc>
        <w:tc>
          <w:tcPr>
            <w:tcW w:w="19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rPr>
          <w:cantSplit/>
        </w:trPr>
        <w:tc>
          <w:tcPr>
            <w:tcW w:w="2996" w:type="dxa"/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 x 4000 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Del="00464C90" w:rsidTr="0084537A">
        <w:trPr>
          <w:cantSplit/>
        </w:trPr>
        <w:tc>
          <w:tcPr>
            <w:tcW w:w="2996" w:type="dxa"/>
            <w:shd w:val="clear" w:color="auto" w:fill="auto"/>
          </w:tcPr>
          <w:p w:rsidR="0084537A" w:rsidRPr="0084537A" w:rsidDel="00464C90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 x 4000 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Del="00464C90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Del="00464C90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Del="00464C90" w:rsidTr="0084537A">
        <w:trPr>
          <w:cantSplit/>
        </w:trPr>
        <w:tc>
          <w:tcPr>
            <w:tcW w:w="2996" w:type="dxa"/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5 x 4000 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Del="00464C90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Del="00464C90" w:rsidTr="0084537A">
        <w:trPr>
          <w:cantSplit/>
        </w:trPr>
        <w:tc>
          <w:tcPr>
            <w:tcW w:w="2996" w:type="dxa"/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6 x 4000 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1200</w:t>
            </w:r>
          </w:p>
        </w:tc>
        <w:tc>
          <w:tcPr>
            <w:tcW w:w="2126" w:type="dxa"/>
            <w:vMerge/>
            <w:shd w:val="clear" w:color="auto" w:fill="auto"/>
          </w:tcPr>
          <w:p w:rsidR="0084537A" w:rsidRPr="0084537A" w:rsidDel="00464C90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Del="00464C90" w:rsidTr="0084537A">
        <w:trPr>
          <w:cantSplit/>
        </w:trPr>
        <w:tc>
          <w:tcPr>
            <w:tcW w:w="2996" w:type="dxa"/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 x 4000 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1600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7A" w:rsidRPr="0084537A" w:rsidDel="00464C90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537A" w:rsidRPr="00117628" w:rsidRDefault="0084537A" w:rsidP="0084537A">
      <w:pPr>
        <w:pStyle w:val="Kommentartekst"/>
        <w:rPr>
          <w:sz w:val="22"/>
          <w:szCs w:val="22"/>
        </w:rPr>
      </w:pPr>
    </w:p>
    <w:p w:rsidR="00A81712" w:rsidRPr="00822839" w:rsidRDefault="00A81712" w:rsidP="00A81712">
      <w:pPr>
        <w:pStyle w:val="Kommentartekst"/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pStyle w:val="Kommentartekst"/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Hastigheden ved automatisk injektion er mindst 2.500 æg pr. time. Det anbefales, at anvende solvenspræsentationer med mindst 400 ml, for at opstarte og injicere i længere tid end 10 minutter. </w:t>
      </w:r>
    </w:p>
    <w:p w:rsidR="00A81712" w:rsidRPr="00822839" w:rsidRDefault="00A81712" w:rsidP="00A81712">
      <w:pPr>
        <w:pStyle w:val="Kommentartekst"/>
        <w:ind w:left="851"/>
        <w:rPr>
          <w:sz w:val="24"/>
          <w:szCs w:val="24"/>
        </w:rPr>
      </w:pPr>
    </w:p>
    <w:p w:rsidR="00A81712" w:rsidRPr="00822839" w:rsidRDefault="00A81712" w:rsidP="00A81712">
      <w:pPr>
        <w:pStyle w:val="Kommentartekst"/>
        <w:ind w:left="851"/>
        <w:rPr>
          <w:sz w:val="24"/>
          <w:szCs w:val="24"/>
        </w:rPr>
      </w:pPr>
      <w:r w:rsidRPr="00822839">
        <w:rPr>
          <w:sz w:val="24"/>
          <w:szCs w:val="24"/>
        </w:rPr>
        <w:t xml:space="preserve">Solvenspræsentationen med 200 ml kan anvendes til manuel </w:t>
      </w:r>
      <w:r w:rsidRPr="007B3D69">
        <w:rPr>
          <w:i/>
          <w:sz w:val="24"/>
          <w:szCs w:val="24"/>
        </w:rPr>
        <w:t>in-ovo</w:t>
      </w:r>
      <w:r w:rsidRPr="00822839">
        <w:rPr>
          <w:sz w:val="24"/>
          <w:szCs w:val="24"/>
        </w:rPr>
        <w:t xml:space="preserve"> udstyr. 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Til subkutan anvendelse:</w:t>
      </w:r>
    </w:p>
    <w:p w:rsidR="00A81712" w:rsidRPr="00822839" w:rsidRDefault="00A81712" w:rsidP="00A81712">
      <w:pPr>
        <w:ind w:left="851" w:hanging="851"/>
        <w:rPr>
          <w:i/>
          <w:sz w:val="24"/>
          <w:szCs w:val="24"/>
        </w:rPr>
      </w:pPr>
    </w:p>
    <w:tbl>
      <w:tblPr>
        <w:tblW w:w="70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1985"/>
      </w:tblGrid>
      <w:tr w:rsidR="0084537A" w:rsidRPr="006E5CD7" w:rsidTr="0084537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CD7" w:rsidRPr="00822839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Frossen suspension præsentation</w:t>
            </w:r>
          </w:p>
          <w:p w:rsidR="0084537A" w:rsidRPr="006E5CD7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Antal ampuller gange doser (D)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CD7" w:rsidRPr="00822839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Solvens</w:t>
            </w:r>
            <w:r w:rsidRPr="00822839">
              <w:rPr>
                <w:b/>
                <w:sz w:val="24"/>
                <w:szCs w:val="24"/>
              </w:rPr>
              <w:softHyphen/>
              <w:t>præsentation</w:t>
            </w:r>
          </w:p>
          <w:p w:rsidR="0084537A" w:rsidRPr="0084537A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CD7" w:rsidRPr="00822839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Volumen af én dosis</w:t>
            </w:r>
          </w:p>
          <w:p w:rsidR="0084537A" w:rsidRPr="006E5CD7" w:rsidRDefault="006E5CD7" w:rsidP="006E5CD7">
            <w:pPr>
              <w:jc w:val="center"/>
              <w:rPr>
                <w:b/>
                <w:sz w:val="24"/>
                <w:szCs w:val="24"/>
              </w:rPr>
            </w:pPr>
            <w:r w:rsidRPr="00822839">
              <w:rPr>
                <w:b/>
                <w:sz w:val="24"/>
                <w:szCs w:val="24"/>
              </w:rPr>
              <w:t>(ml)</w:t>
            </w:r>
          </w:p>
        </w:tc>
      </w:tr>
      <w:tr w:rsidR="0084537A" w:rsidRPr="0084537A" w:rsidTr="0084537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 x   500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0.20</w:t>
            </w:r>
          </w:p>
        </w:tc>
      </w:tr>
      <w:tr w:rsidR="0084537A" w:rsidRPr="0084537A" w:rsidTr="0084537A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 x 1000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rPr>
          <w:trHeight w:val="25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 x 2000 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rPr>
          <w:trHeight w:val="160"/>
        </w:trPr>
        <w:tc>
          <w:tcPr>
            <w:tcW w:w="2977" w:type="dxa"/>
            <w:shd w:val="clear" w:color="auto" w:fill="auto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 x 2000 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 x 4000 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3 x 2000 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1200</w:t>
            </w:r>
          </w:p>
        </w:tc>
        <w:tc>
          <w:tcPr>
            <w:tcW w:w="1985" w:type="dxa"/>
            <w:vMerge/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  <w:tr w:rsidR="0084537A" w:rsidRPr="0084537A" w:rsidTr="0084537A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37A" w:rsidRPr="0084537A" w:rsidRDefault="0084537A" w:rsidP="006A3279">
            <w:pPr>
              <w:ind w:right="903"/>
              <w:jc w:val="right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2 x 4000 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  <w:r w:rsidRPr="0084537A">
              <w:rPr>
                <w:sz w:val="24"/>
                <w:szCs w:val="24"/>
              </w:rPr>
              <w:t>1600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7A" w:rsidRPr="0084537A" w:rsidRDefault="0084537A" w:rsidP="006A32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537A" w:rsidRPr="0084537A" w:rsidRDefault="0084537A" w:rsidP="0084537A">
      <w:pPr>
        <w:jc w:val="both"/>
        <w:rPr>
          <w:noProof/>
          <w:sz w:val="24"/>
          <w:szCs w:val="24"/>
        </w:rPr>
      </w:pPr>
    </w:p>
    <w:p w:rsidR="0084537A" w:rsidRPr="00822839" w:rsidRDefault="0084537A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Sædvanlige aseptiske forholdsregler bør overholdes ved alle administrationsprocedurer.</w:t>
      </w:r>
    </w:p>
    <w:p w:rsidR="00A81712" w:rsidRPr="00822839" w:rsidRDefault="00A81712" w:rsidP="0084537A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Ved håndtering af flydende kvælstof kræves kendskab til alle sikkerheds- og forholdsregler for at undgå personskade.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sz w:val="24"/>
          <w:szCs w:val="24"/>
          <w:u w:val="single"/>
        </w:rPr>
      </w:pPr>
      <w:r w:rsidRPr="00822839">
        <w:rPr>
          <w:sz w:val="24"/>
          <w:szCs w:val="24"/>
          <w:u w:val="single"/>
        </w:rPr>
        <w:t>Vejledning i fremstilling af vaccineopløsning:</w:t>
      </w:r>
    </w:p>
    <w:p w:rsidR="00A81712" w:rsidRPr="00822839" w:rsidRDefault="00A81712" w:rsidP="00A81712">
      <w:pPr>
        <w:numPr>
          <w:ilvl w:val="0"/>
          <w:numId w:val="4"/>
        </w:numPr>
        <w:spacing w:line="260" w:lineRule="exact"/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Når beregning af antal doser af vaccinen og tilsvarende solvensmængde er udført, optages det nøjagtige antal ampuller hurtigt fra beholderen med flydende kvælstof.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Træk 2 ml solvens op i en 5 ml sprøjte. Anvend som minimum en 18 G kanyle.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 xml:space="preserve">Ampullernes indhold </w:t>
      </w:r>
      <w:proofErr w:type="spellStart"/>
      <w:r w:rsidRPr="00822839">
        <w:rPr>
          <w:sz w:val="24"/>
          <w:szCs w:val="24"/>
        </w:rPr>
        <w:t>tøes</w:t>
      </w:r>
      <w:proofErr w:type="spellEnd"/>
      <w:r w:rsidRPr="00822839">
        <w:rPr>
          <w:sz w:val="24"/>
          <w:szCs w:val="24"/>
        </w:rPr>
        <w:t xml:space="preserve"> hurtigt op ved forsigtig bevægelse i 27-39°C varmt vand. 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Så snart de er fuldstændigt optøede, åbnes ampullerne idet de holdes væk fra kroppen i strakt arm for at undgå enhver risiko for skade, hvis ampullerne går i stykker.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Når ampullen er åben, trækkes indholdet langsomt op i den 5 ml sterile sprøjte, der er klargjort i henhold til pkt. 2.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Overfør den optøede suspension til posen med solvens. Den fortyndede vaccine, der er forberedt som beskrevet, blandes ved at posen forsigtigt vendes rundt flere gange.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 xml:space="preserve">En portion af den fortyndede vaccine i solvensposen trækkes op i sprøjten, og anvendes til at skylle ampullen. Derefter overføres indholdet igen til solvensposen. Processen gentages 1-2 gange. </w:t>
      </w:r>
    </w:p>
    <w:p w:rsidR="00A81712" w:rsidRPr="00822839" w:rsidRDefault="00A81712" w:rsidP="00A81712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22839">
        <w:rPr>
          <w:sz w:val="24"/>
          <w:szCs w:val="24"/>
        </w:rPr>
        <w:t>Den fortyndede vaccine, der er forberedt som beskrevet, blandes ved at posen forsigtigt vendes rundt flere gange, og er derefter klar til brug.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Gentag punkterne 2-7 for det passende antal ampuller for at optø dem.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Vaccinen anvendes straks, og opblandes jævnligt for at sikre en ensartet fordeling af celler i suspensionen. Brugsperioden bør ikke overstige 2 timer.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/>
        <w:rPr>
          <w:sz w:val="24"/>
          <w:szCs w:val="24"/>
          <w:highlight w:val="yellow"/>
        </w:rPr>
      </w:pPr>
      <w:r w:rsidRPr="00822839">
        <w:rPr>
          <w:sz w:val="24"/>
          <w:szCs w:val="24"/>
        </w:rPr>
        <w:t xml:space="preserve">Det bør sikres, at vaccineopløsningen forsigtigt blandes regelmæssigt undervejs i vaccinationsprocessen for at sikre, at vaccineopløsningen forbliver homogen så den korrekte mængde vaccinevirus administreres i hele forløbet (f.eks. når der anvendes automatisk </w:t>
      </w:r>
      <w:r w:rsidRPr="007B3D69">
        <w:rPr>
          <w:i/>
          <w:sz w:val="24"/>
          <w:szCs w:val="24"/>
        </w:rPr>
        <w:t>in-ovo</w:t>
      </w:r>
      <w:r w:rsidRPr="00822839">
        <w:rPr>
          <w:sz w:val="24"/>
          <w:szCs w:val="24"/>
        </w:rPr>
        <w:t xml:space="preserve"> injektionsmaskiner eller hvor vaccineprocessen er langvarig).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4.10</w:t>
      </w:r>
      <w:r w:rsidRPr="00822839">
        <w:rPr>
          <w:b/>
          <w:sz w:val="24"/>
          <w:szCs w:val="24"/>
        </w:rPr>
        <w:tab/>
        <w:t>Overdosering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Der blev ikke observeret symptomer efter administration af 10 gange den anbefalede vaccinedosis.</w:t>
      </w:r>
    </w:p>
    <w:p w:rsidR="00A81712" w:rsidRPr="00822839" w:rsidRDefault="00A81712" w:rsidP="00A81712">
      <w:pPr>
        <w:ind w:left="851" w:hanging="851"/>
        <w:rPr>
          <w:sz w:val="24"/>
          <w:szCs w:val="24"/>
        </w:rPr>
      </w:pPr>
    </w:p>
    <w:p w:rsidR="00A81712" w:rsidRPr="00822839" w:rsidRDefault="00A81712" w:rsidP="00A81712">
      <w:pPr>
        <w:ind w:left="851" w:hanging="851"/>
        <w:rPr>
          <w:b/>
          <w:sz w:val="24"/>
          <w:szCs w:val="24"/>
        </w:rPr>
      </w:pPr>
      <w:r w:rsidRPr="00822839">
        <w:rPr>
          <w:b/>
          <w:sz w:val="24"/>
          <w:szCs w:val="24"/>
        </w:rPr>
        <w:t>4.11</w:t>
      </w:r>
      <w:r w:rsidRPr="00822839">
        <w:rPr>
          <w:b/>
          <w:sz w:val="24"/>
          <w:szCs w:val="24"/>
        </w:rPr>
        <w:tab/>
        <w:t>Tilbageholdelsestid</w:t>
      </w:r>
    </w:p>
    <w:p w:rsidR="00A81712" w:rsidRPr="00822839" w:rsidRDefault="00A81712" w:rsidP="00A81712">
      <w:pPr>
        <w:ind w:left="851"/>
        <w:rPr>
          <w:sz w:val="24"/>
          <w:szCs w:val="24"/>
        </w:rPr>
      </w:pPr>
      <w:r w:rsidRPr="00822839">
        <w:rPr>
          <w:sz w:val="24"/>
          <w:szCs w:val="24"/>
        </w:rPr>
        <w:t>Slagtning: 0 dage.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5.</w:t>
      </w:r>
      <w:r w:rsidRPr="005C501A">
        <w:rPr>
          <w:b/>
          <w:sz w:val="24"/>
          <w:szCs w:val="24"/>
        </w:rPr>
        <w:tab/>
        <w:t>IMMUNOLOGISKE EGENSKABER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7B3D69" w:rsidRPr="005C501A" w:rsidRDefault="007B3D69" w:rsidP="007B3D69">
      <w:pPr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Farmakoterapeutisk</w:t>
      </w:r>
      <w:proofErr w:type="spellEnd"/>
      <w:r w:rsidRPr="005C501A">
        <w:rPr>
          <w:sz w:val="24"/>
          <w:szCs w:val="24"/>
        </w:rPr>
        <w:t xml:space="preserve"> gruppe: </w:t>
      </w:r>
      <w:r w:rsidRPr="005C501A">
        <w:rPr>
          <w:sz w:val="24"/>
          <w:szCs w:val="24"/>
        </w:rPr>
        <w:br/>
        <w:t xml:space="preserve">Vacciner til fjerkræ, levende virusvacciner, </w:t>
      </w:r>
      <w:proofErr w:type="spellStart"/>
      <w:r w:rsidRPr="005C501A">
        <w:rPr>
          <w:sz w:val="24"/>
          <w:szCs w:val="24"/>
        </w:rPr>
        <w:t>aviær</w:t>
      </w:r>
      <w:proofErr w:type="spellEnd"/>
      <w:r w:rsidRPr="005C501A">
        <w:rPr>
          <w:sz w:val="24"/>
          <w:szCs w:val="24"/>
        </w:rPr>
        <w:t xml:space="preserve"> herpesvirus (</w:t>
      </w:r>
      <w:proofErr w:type="spellStart"/>
      <w:r w:rsidRPr="005C501A">
        <w:rPr>
          <w:sz w:val="24"/>
          <w:szCs w:val="24"/>
        </w:rPr>
        <w:t>Marek</w:t>
      </w:r>
      <w:r>
        <w:rPr>
          <w:sz w:val="24"/>
          <w:szCs w:val="24"/>
        </w:rPr>
        <w:t>'</w:t>
      </w:r>
      <w:r w:rsidRPr="005C501A">
        <w:rPr>
          <w:sz w:val="24"/>
          <w:szCs w:val="24"/>
        </w:rPr>
        <w:t>s</w:t>
      </w:r>
      <w:proofErr w:type="spellEnd"/>
      <w:r w:rsidRPr="005C501A">
        <w:rPr>
          <w:sz w:val="24"/>
          <w:szCs w:val="24"/>
        </w:rPr>
        <w:t xml:space="preserve"> </w:t>
      </w:r>
      <w:proofErr w:type="spellStart"/>
      <w:r w:rsidRPr="005C501A">
        <w:rPr>
          <w:sz w:val="24"/>
          <w:szCs w:val="24"/>
        </w:rPr>
        <w:t>disease</w:t>
      </w:r>
      <w:proofErr w:type="spellEnd"/>
      <w:r w:rsidRPr="005C501A">
        <w:rPr>
          <w:sz w:val="24"/>
          <w:szCs w:val="24"/>
        </w:rPr>
        <w:t>).</w:t>
      </w:r>
    </w:p>
    <w:p w:rsidR="007B3D69" w:rsidRDefault="007B3D69" w:rsidP="007B3D69">
      <w:pPr>
        <w:ind w:left="851"/>
        <w:rPr>
          <w:sz w:val="24"/>
          <w:szCs w:val="24"/>
        </w:rPr>
      </w:pPr>
    </w:p>
    <w:p w:rsidR="007B3D69" w:rsidRPr="005C501A" w:rsidRDefault="007B3D69" w:rsidP="007B3D69">
      <w:pPr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ATCvet</w:t>
      </w:r>
      <w:proofErr w:type="spellEnd"/>
      <w:r w:rsidRPr="005C501A">
        <w:rPr>
          <w:sz w:val="24"/>
          <w:szCs w:val="24"/>
        </w:rPr>
        <w:t xml:space="preserve"> kode: QI 01 </w:t>
      </w:r>
      <w:r>
        <w:rPr>
          <w:sz w:val="24"/>
          <w:szCs w:val="24"/>
        </w:rPr>
        <w:t>A</w:t>
      </w:r>
      <w:r w:rsidRPr="005C501A">
        <w:rPr>
          <w:sz w:val="24"/>
          <w:szCs w:val="24"/>
        </w:rPr>
        <w:t xml:space="preserve">D </w:t>
      </w:r>
      <w:r>
        <w:rPr>
          <w:sz w:val="24"/>
          <w:szCs w:val="24"/>
        </w:rPr>
        <w:t>03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 xml:space="preserve">Levende virusvaccine til stimulering af den aktive immunitet mod </w:t>
      </w:r>
      <w:proofErr w:type="spellStart"/>
      <w:r w:rsidRPr="005C501A">
        <w:rPr>
          <w:sz w:val="24"/>
          <w:szCs w:val="24"/>
        </w:rPr>
        <w:t>Marek</w:t>
      </w:r>
      <w:r>
        <w:rPr>
          <w:sz w:val="24"/>
          <w:szCs w:val="24"/>
        </w:rPr>
        <w:t>'</w:t>
      </w:r>
      <w:r w:rsidRPr="005C501A">
        <w:rPr>
          <w:sz w:val="24"/>
          <w:szCs w:val="24"/>
        </w:rPr>
        <w:t>s</w:t>
      </w:r>
      <w:proofErr w:type="spellEnd"/>
      <w:r w:rsidRPr="005C501A">
        <w:rPr>
          <w:sz w:val="24"/>
          <w:szCs w:val="24"/>
        </w:rPr>
        <w:t xml:space="preserve"> </w:t>
      </w:r>
      <w:proofErr w:type="spellStart"/>
      <w:r w:rsidRPr="005C501A">
        <w:rPr>
          <w:sz w:val="24"/>
          <w:szCs w:val="24"/>
        </w:rPr>
        <w:t>disease</w:t>
      </w:r>
      <w:proofErr w:type="spellEnd"/>
      <w:r w:rsidRPr="005C501A">
        <w:rPr>
          <w:sz w:val="24"/>
          <w:szCs w:val="24"/>
        </w:rPr>
        <w:t>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5.1</w:t>
      </w:r>
      <w:r w:rsidRPr="005C501A">
        <w:rPr>
          <w:b/>
          <w:sz w:val="24"/>
          <w:szCs w:val="24"/>
        </w:rPr>
        <w:tab/>
        <w:t>Immunologiske egenskaber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-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5.2</w:t>
      </w:r>
      <w:r w:rsidRPr="005C501A">
        <w:rPr>
          <w:b/>
          <w:sz w:val="24"/>
          <w:szCs w:val="24"/>
        </w:rPr>
        <w:tab/>
        <w:t>Miljømæssige forhold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-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</w:t>
      </w:r>
      <w:r w:rsidRPr="005C501A">
        <w:rPr>
          <w:b/>
          <w:sz w:val="24"/>
          <w:szCs w:val="24"/>
        </w:rPr>
        <w:tab/>
        <w:t>FARMACEUTISKE OPLYSNINGER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6.1</w:t>
      </w:r>
      <w:r w:rsidRPr="005C501A">
        <w:rPr>
          <w:b/>
          <w:sz w:val="24"/>
          <w:szCs w:val="24"/>
        </w:rPr>
        <w:tab/>
        <w:t>Hjælpestoffer</w:t>
      </w:r>
    </w:p>
    <w:p w:rsidR="00A81712" w:rsidRPr="005C501A" w:rsidRDefault="00A81712" w:rsidP="00A81712">
      <w:pPr>
        <w:autoSpaceDE w:val="0"/>
        <w:autoSpaceDN w:val="0"/>
        <w:adjustRightInd w:val="0"/>
        <w:ind w:left="851" w:hanging="851"/>
        <w:rPr>
          <w:sz w:val="24"/>
          <w:szCs w:val="24"/>
          <w:u w:val="single"/>
          <w:lang w:eastAsia="hu-HU"/>
        </w:rPr>
      </w:pP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hu-HU"/>
        </w:rPr>
      </w:pPr>
      <w:r w:rsidRPr="005C501A">
        <w:rPr>
          <w:sz w:val="24"/>
          <w:szCs w:val="24"/>
          <w:u w:val="single"/>
          <w:lang w:eastAsia="hu-HU"/>
        </w:rPr>
        <w:t>Frossen virussuspension: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r w:rsidRPr="005C501A">
        <w:rPr>
          <w:sz w:val="24"/>
          <w:szCs w:val="24"/>
          <w:lang w:eastAsia="hu-HU"/>
        </w:rPr>
        <w:t>EMEM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r w:rsidRPr="005C501A">
        <w:rPr>
          <w:sz w:val="24"/>
          <w:szCs w:val="24"/>
          <w:lang w:eastAsia="hu-HU"/>
        </w:rPr>
        <w:t>L-</w:t>
      </w:r>
      <w:proofErr w:type="spellStart"/>
      <w:r w:rsidRPr="005C501A">
        <w:rPr>
          <w:sz w:val="24"/>
          <w:szCs w:val="24"/>
          <w:lang w:eastAsia="hu-HU"/>
        </w:rPr>
        <w:t>glutamin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proofErr w:type="spellStart"/>
      <w:r w:rsidRPr="005C501A">
        <w:rPr>
          <w:sz w:val="24"/>
          <w:szCs w:val="24"/>
          <w:lang w:eastAsia="hu-HU"/>
        </w:rPr>
        <w:t>Natriumbicarbonat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proofErr w:type="spellStart"/>
      <w:r w:rsidRPr="005C501A">
        <w:rPr>
          <w:sz w:val="24"/>
          <w:szCs w:val="24"/>
          <w:lang w:eastAsia="hu-HU"/>
        </w:rPr>
        <w:t>Hepes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highlight w:val="yellow"/>
          <w:lang w:eastAsia="hu-HU"/>
        </w:rPr>
      </w:pPr>
      <w:r w:rsidRPr="005C501A">
        <w:rPr>
          <w:sz w:val="24"/>
          <w:szCs w:val="24"/>
          <w:lang w:eastAsia="hu-HU"/>
        </w:rPr>
        <w:t>Kvægserum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proofErr w:type="spellStart"/>
      <w:r w:rsidRPr="005C501A">
        <w:rPr>
          <w:sz w:val="24"/>
          <w:szCs w:val="24"/>
          <w:lang w:eastAsia="hu-HU"/>
        </w:rPr>
        <w:t>Dimethylsulfoxid</w:t>
      </w:r>
      <w:proofErr w:type="spellEnd"/>
    </w:p>
    <w:p w:rsidR="00A81712" w:rsidRPr="005C501A" w:rsidRDefault="00A81712" w:rsidP="00A81712">
      <w:pPr>
        <w:spacing w:before="40" w:after="40"/>
        <w:ind w:left="851"/>
        <w:rPr>
          <w:sz w:val="24"/>
          <w:szCs w:val="24"/>
          <w:highlight w:val="cyan"/>
          <w:lang w:eastAsia="hu-HU"/>
        </w:rPr>
      </w:pPr>
      <w:r w:rsidRPr="005C501A">
        <w:rPr>
          <w:sz w:val="24"/>
          <w:szCs w:val="24"/>
          <w:lang w:eastAsia="hu-HU"/>
        </w:rPr>
        <w:t>Vand til injektionsvæsker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</w:p>
    <w:p w:rsidR="00A81712" w:rsidRDefault="00A81712" w:rsidP="00A81712">
      <w:pPr>
        <w:ind w:left="851"/>
        <w:rPr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Solvent (</w:t>
      </w:r>
      <w:proofErr w:type="spellStart"/>
      <w:r>
        <w:rPr>
          <w:sz w:val="24"/>
          <w:szCs w:val="24"/>
          <w:u w:val="single"/>
          <w:lang w:val="en-US"/>
        </w:rPr>
        <w:t>Cevac</w:t>
      </w:r>
      <w:proofErr w:type="spellEnd"/>
      <w:r>
        <w:rPr>
          <w:sz w:val="24"/>
          <w:szCs w:val="24"/>
          <w:u w:val="single"/>
          <w:lang w:val="en-US"/>
        </w:rPr>
        <w:t xml:space="preserve"> Solvent Poultry):</w:t>
      </w:r>
    </w:p>
    <w:p w:rsidR="00A81712" w:rsidRPr="00E11824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E11824">
        <w:rPr>
          <w:sz w:val="24"/>
          <w:szCs w:val="24"/>
          <w:lang w:val="en-US"/>
        </w:rPr>
        <w:t>Saccharose</w:t>
      </w:r>
    </w:p>
    <w:p w:rsidR="00A81712" w:rsidRPr="0090258B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90258B">
        <w:rPr>
          <w:sz w:val="24"/>
          <w:szCs w:val="24"/>
          <w:lang w:val="en-US"/>
        </w:rPr>
        <w:t>Caseinhydrolisat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01A">
        <w:rPr>
          <w:sz w:val="24"/>
          <w:szCs w:val="24"/>
        </w:rPr>
        <w:t>Sorbitol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Dikaliumphosphat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Kaliumdihydrogenphosphat</w:t>
      </w:r>
      <w:proofErr w:type="spellEnd"/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5C501A">
        <w:rPr>
          <w:sz w:val="24"/>
          <w:szCs w:val="24"/>
        </w:rPr>
        <w:t>Phenolrødt</w:t>
      </w:r>
      <w:proofErr w:type="spellEnd"/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Vand til injektionsvæsker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6.2</w:t>
      </w:r>
      <w:r w:rsidRPr="005C501A">
        <w:rPr>
          <w:b/>
          <w:sz w:val="24"/>
          <w:szCs w:val="24"/>
        </w:rPr>
        <w:tab/>
        <w:t>Uforligeligheder</w:t>
      </w:r>
    </w:p>
    <w:p w:rsidR="00A81712" w:rsidRDefault="00A81712" w:rsidP="00A81712">
      <w:pPr>
        <w:ind w:left="851"/>
        <w:rPr>
          <w:sz w:val="24"/>
          <w:szCs w:val="24"/>
        </w:rPr>
      </w:pPr>
      <w:r>
        <w:rPr>
          <w:sz w:val="24"/>
          <w:szCs w:val="24"/>
        </w:rPr>
        <w:t>Må ikke blandes med andre veterinærlægemidler, undtaget den solvens (</w:t>
      </w:r>
      <w:proofErr w:type="spellStart"/>
      <w:r>
        <w:rPr>
          <w:sz w:val="24"/>
          <w:szCs w:val="24"/>
        </w:rPr>
        <w:t>Cevac</w:t>
      </w:r>
      <w:proofErr w:type="spellEnd"/>
      <w:r>
        <w:rPr>
          <w:sz w:val="24"/>
          <w:szCs w:val="24"/>
        </w:rPr>
        <w:t xml:space="preserve"> Solvent </w:t>
      </w:r>
      <w:proofErr w:type="spellStart"/>
      <w:r>
        <w:rPr>
          <w:sz w:val="24"/>
          <w:szCs w:val="24"/>
        </w:rPr>
        <w:t>Poultry</w:t>
      </w:r>
      <w:proofErr w:type="spellEnd"/>
      <w:r>
        <w:rPr>
          <w:sz w:val="24"/>
          <w:szCs w:val="24"/>
        </w:rPr>
        <w:t>) som leveres med produktet.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6.3</w:t>
      </w:r>
      <w:r w:rsidRPr="005C501A">
        <w:rPr>
          <w:b/>
          <w:sz w:val="24"/>
          <w:szCs w:val="24"/>
        </w:rPr>
        <w:tab/>
        <w:t>Opbevaringstid</w:t>
      </w:r>
    </w:p>
    <w:p w:rsidR="00A81712" w:rsidRPr="005C501A" w:rsidRDefault="00A81712" w:rsidP="00A81712">
      <w:pPr>
        <w:ind w:left="851" w:right="-318"/>
        <w:rPr>
          <w:sz w:val="24"/>
          <w:szCs w:val="24"/>
        </w:rPr>
      </w:pPr>
      <w:r w:rsidRPr="005C501A">
        <w:rPr>
          <w:sz w:val="24"/>
          <w:szCs w:val="24"/>
        </w:rPr>
        <w:t>Holdbarhed af frossen virussuspension i salgspakning: 2 år.</w:t>
      </w:r>
    </w:p>
    <w:p w:rsidR="00A81712" w:rsidRPr="005C501A" w:rsidRDefault="00A81712" w:rsidP="00A81712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Holdbarhed af solvens</w:t>
      </w:r>
      <w:r w:rsidRPr="005C501A">
        <w:rPr>
          <w:sz w:val="24"/>
          <w:szCs w:val="24"/>
        </w:rPr>
        <w:t xml:space="preserve"> i salgspakning: 3</w:t>
      </w:r>
      <w:r>
        <w:rPr>
          <w:sz w:val="24"/>
          <w:szCs w:val="24"/>
        </w:rPr>
        <w:t>0 måneder</w:t>
      </w:r>
      <w:r w:rsidRPr="005C501A">
        <w:rPr>
          <w:sz w:val="24"/>
          <w:szCs w:val="24"/>
        </w:rPr>
        <w:t>.</w:t>
      </w:r>
    </w:p>
    <w:p w:rsidR="00A81712" w:rsidRPr="005C501A" w:rsidRDefault="00A81712" w:rsidP="00A81712">
      <w:pPr>
        <w:ind w:left="851" w:right="-318" w:hanging="851"/>
        <w:rPr>
          <w:sz w:val="24"/>
          <w:szCs w:val="24"/>
        </w:rPr>
      </w:pPr>
    </w:p>
    <w:p w:rsidR="00A81712" w:rsidRPr="005C501A" w:rsidRDefault="00A81712" w:rsidP="00A81712">
      <w:pPr>
        <w:ind w:left="851" w:right="-318"/>
        <w:rPr>
          <w:sz w:val="24"/>
          <w:szCs w:val="24"/>
        </w:rPr>
      </w:pPr>
      <w:r w:rsidRPr="005C501A">
        <w:rPr>
          <w:sz w:val="24"/>
          <w:szCs w:val="24"/>
        </w:rPr>
        <w:t>Holdbarhed efter fortynding som anvist: 2 timer ved temperaturer under 25°C.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6.4</w:t>
      </w:r>
      <w:r w:rsidRPr="005C501A">
        <w:rPr>
          <w:b/>
          <w:sz w:val="24"/>
          <w:szCs w:val="24"/>
        </w:rPr>
        <w:tab/>
        <w:t>Særlige opbevaringsforhold</w:t>
      </w:r>
    </w:p>
    <w:p w:rsidR="00A81712" w:rsidRPr="005C501A" w:rsidRDefault="00A81712" w:rsidP="00A81712">
      <w:pPr>
        <w:rPr>
          <w:sz w:val="24"/>
          <w:szCs w:val="24"/>
        </w:rPr>
      </w:pPr>
    </w:p>
    <w:p w:rsidR="00A81712" w:rsidRPr="005C501A" w:rsidRDefault="00A81712" w:rsidP="00A81712">
      <w:pPr>
        <w:ind w:firstLine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Frossen virussuspension:</w:t>
      </w:r>
    </w:p>
    <w:p w:rsidR="00A81712" w:rsidRPr="005C501A" w:rsidRDefault="00A81712" w:rsidP="00A81712">
      <w:pPr>
        <w:ind w:firstLine="851"/>
        <w:rPr>
          <w:noProof/>
          <w:sz w:val="24"/>
          <w:szCs w:val="24"/>
        </w:rPr>
      </w:pPr>
      <w:r w:rsidRPr="005C501A">
        <w:rPr>
          <w:noProof/>
          <w:sz w:val="24"/>
          <w:szCs w:val="24"/>
        </w:rPr>
        <w:t>Opbevares og transporteres nedfrosset i flydende kvælstof (-196°C).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Beholdere med flydende kvælstof skal kontrolleres jævnligt for mængden af flydende kvælstof, og skal fyldes op efter behov. Beholdere med flydende kvælstof opbevares sikkert i opret position i et rent, tørt og vel-ventileret rum adskilt fra rugeriets klækkeafdeling/kyllingerum.</w:t>
      </w:r>
    </w:p>
    <w:p w:rsidR="00A81712" w:rsidRPr="005C501A" w:rsidRDefault="00A81712" w:rsidP="00A81712">
      <w:pPr>
        <w:rPr>
          <w:noProof/>
          <w:sz w:val="24"/>
          <w:szCs w:val="24"/>
        </w:rPr>
      </w:pPr>
    </w:p>
    <w:p w:rsidR="00A81712" w:rsidRPr="005C501A" w:rsidRDefault="00A81712" w:rsidP="00A81712">
      <w:pPr>
        <w:ind w:firstLine="851"/>
        <w:rPr>
          <w:b/>
          <w:noProof/>
          <w:sz w:val="24"/>
          <w:szCs w:val="24"/>
        </w:rPr>
      </w:pPr>
      <w:r w:rsidRPr="005C501A">
        <w:rPr>
          <w:b/>
          <w:noProof/>
          <w:sz w:val="24"/>
          <w:szCs w:val="24"/>
        </w:rPr>
        <w:t xml:space="preserve">Solvens: </w:t>
      </w:r>
    </w:p>
    <w:p w:rsidR="00A81712" w:rsidRPr="005C501A" w:rsidRDefault="00A81712" w:rsidP="00A81712">
      <w:pPr>
        <w:ind w:firstLine="851"/>
        <w:rPr>
          <w:noProof/>
          <w:sz w:val="24"/>
          <w:szCs w:val="24"/>
        </w:rPr>
      </w:pPr>
      <w:r w:rsidRPr="005C501A">
        <w:rPr>
          <w:noProof/>
          <w:sz w:val="24"/>
          <w:szCs w:val="24"/>
        </w:rPr>
        <w:t>Opbevares ved temperaturer under 25°C. Må ikke fryses.</w:t>
      </w:r>
    </w:p>
    <w:p w:rsidR="007B3D69" w:rsidRDefault="007B3D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6.5</w:t>
      </w:r>
      <w:r w:rsidRPr="005C501A">
        <w:rPr>
          <w:b/>
          <w:sz w:val="24"/>
          <w:szCs w:val="24"/>
        </w:rPr>
        <w:tab/>
        <w:t>Emballage</w:t>
      </w: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</w:p>
    <w:p w:rsidR="009446B0" w:rsidRDefault="009446B0" w:rsidP="009446B0">
      <w:pPr>
        <w:ind w:left="851"/>
        <w:jc w:val="both"/>
        <w:rPr>
          <w:szCs w:val="22"/>
        </w:rPr>
      </w:pPr>
      <w:r>
        <w:rPr>
          <w:szCs w:val="22"/>
        </w:rPr>
        <w:t xml:space="preserve">Én type I glasampul á 2 ml indeholdende 500, 1000, 2000 eller 4000 doser vaccine. Ampullerne sidder i en stang forsynet med en etiket, der viser antal doser. </w:t>
      </w:r>
    </w:p>
    <w:p w:rsidR="009446B0" w:rsidRDefault="009446B0" w:rsidP="009446B0">
      <w:pPr>
        <w:tabs>
          <w:tab w:val="left" w:pos="0"/>
        </w:tabs>
        <w:ind w:left="851"/>
        <w:jc w:val="both"/>
        <w:rPr>
          <w:szCs w:val="22"/>
        </w:rPr>
      </w:pPr>
      <w:r>
        <w:rPr>
          <w:szCs w:val="22"/>
        </w:rPr>
        <w:t>Stænger med ampuller opbevares i en beholder med flydende kvælstof.</w:t>
      </w:r>
    </w:p>
    <w:p w:rsidR="009446B0" w:rsidRDefault="009446B0" w:rsidP="009446B0">
      <w:pPr>
        <w:ind w:left="851"/>
        <w:rPr>
          <w:b/>
          <w:sz w:val="24"/>
          <w:szCs w:val="24"/>
        </w:rPr>
      </w:pPr>
    </w:p>
    <w:p w:rsidR="009446B0" w:rsidRDefault="009446B0" w:rsidP="009446B0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Solvens:</w:t>
      </w:r>
    </w:p>
    <w:p w:rsidR="009446B0" w:rsidRDefault="009446B0" w:rsidP="009446B0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Polyvinylchloridpose</w:t>
      </w:r>
      <w:proofErr w:type="spellEnd"/>
      <w:r>
        <w:rPr>
          <w:sz w:val="24"/>
          <w:szCs w:val="24"/>
        </w:rPr>
        <w:t xml:space="preserve"> indeholdende 200 ml, 400 ml</w:t>
      </w:r>
      <w:r w:rsidR="0084537A">
        <w:rPr>
          <w:sz w:val="24"/>
          <w:szCs w:val="24"/>
        </w:rPr>
        <w:t xml:space="preserve">, </w:t>
      </w:r>
      <w:r>
        <w:rPr>
          <w:sz w:val="24"/>
          <w:szCs w:val="24"/>
        </w:rPr>
        <w:t>800 ml</w:t>
      </w:r>
      <w:r w:rsidR="0084537A">
        <w:rPr>
          <w:sz w:val="24"/>
          <w:szCs w:val="24"/>
        </w:rPr>
        <w:t>, 1000 ml, 1200 ml og 1600 ml</w:t>
      </w:r>
      <w:r>
        <w:rPr>
          <w:sz w:val="24"/>
          <w:szCs w:val="24"/>
        </w:rPr>
        <w:t xml:space="preserve"> med individuel overtrækspose.</w:t>
      </w:r>
    </w:p>
    <w:p w:rsidR="009446B0" w:rsidRDefault="009446B0" w:rsidP="009446B0">
      <w:pPr>
        <w:ind w:left="851" w:hanging="851"/>
        <w:rPr>
          <w:sz w:val="24"/>
          <w:szCs w:val="24"/>
        </w:rPr>
      </w:pPr>
    </w:p>
    <w:p w:rsidR="009446B0" w:rsidRDefault="009446B0" w:rsidP="009446B0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6.6</w:t>
      </w:r>
      <w:r w:rsidRPr="005C501A">
        <w:rPr>
          <w:b/>
          <w:sz w:val="24"/>
          <w:szCs w:val="24"/>
        </w:rPr>
        <w:tab/>
        <w:t>Særlige forholdsregler ved bortskaffelse af rester af lægemidlet eller affald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i/>
          <w:color w:val="000000"/>
          <w:sz w:val="24"/>
          <w:szCs w:val="24"/>
          <w:lang w:eastAsia="hu-HU"/>
        </w:rPr>
      </w:pPr>
      <w:r w:rsidRPr="005C501A">
        <w:rPr>
          <w:color w:val="000000"/>
          <w:sz w:val="24"/>
          <w:szCs w:val="24"/>
        </w:rPr>
        <w:t>Ikke anvendt</w:t>
      </w:r>
      <w:r w:rsidRPr="005C501A">
        <w:rPr>
          <w:color w:val="000000"/>
          <w:sz w:val="24"/>
          <w:szCs w:val="24"/>
          <w:lang w:eastAsia="hu-HU"/>
        </w:rPr>
        <w:t xml:space="preserve"> veterinærlægemiddel samt affald heraf bør destrueres i henhold til lokale </w:t>
      </w:r>
      <w:proofErr w:type="spellStart"/>
      <w:r w:rsidRPr="005C501A">
        <w:rPr>
          <w:color w:val="000000"/>
          <w:sz w:val="24"/>
          <w:szCs w:val="24"/>
          <w:lang w:eastAsia="hu-HU"/>
        </w:rPr>
        <w:t>retningslinier</w:t>
      </w:r>
      <w:proofErr w:type="spellEnd"/>
      <w:r w:rsidRPr="005C501A">
        <w:rPr>
          <w:color w:val="000000"/>
          <w:sz w:val="24"/>
          <w:szCs w:val="24"/>
          <w:lang w:eastAsia="hu-HU"/>
        </w:rPr>
        <w:t>.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r w:rsidRPr="005C501A">
        <w:rPr>
          <w:sz w:val="24"/>
          <w:szCs w:val="24"/>
          <w:lang w:eastAsia="hu-HU"/>
        </w:rPr>
        <w:t>Ampuller der fejlagtigt er optøet, bortskaffes. Må under ingen omstændigheder nedfryses igen.</w:t>
      </w:r>
    </w:p>
    <w:p w:rsidR="00A81712" w:rsidRPr="005C501A" w:rsidRDefault="00A81712" w:rsidP="00A81712">
      <w:pPr>
        <w:autoSpaceDE w:val="0"/>
        <w:autoSpaceDN w:val="0"/>
        <w:adjustRightInd w:val="0"/>
        <w:ind w:left="851"/>
        <w:rPr>
          <w:sz w:val="24"/>
          <w:szCs w:val="24"/>
          <w:lang w:eastAsia="hu-HU"/>
        </w:rPr>
      </w:pPr>
      <w:r w:rsidRPr="005C501A">
        <w:rPr>
          <w:sz w:val="24"/>
          <w:szCs w:val="24"/>
          <w:lang w:eastAsia="hu-HU"/>
        </w:rPr>
        <w:t>Åbnede beholdere med fortyndet vaccine må ikke genbruges.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7.</w:t>
      </w:r>
      <w:r w:rsidRPr="005C501A">
        <w:rPr>
          <w:b/>
          <w:sz w:val="24"/>
          <w:szCs w:val="24"/>
        </w:rPr>
        <w:tab/>
        <w:t>INDEHAVER AF MARKEDSFØRINGSTILLADELSEN</w:t>
      </w:r>
    </w:p>
    <w:p w:rsidR="00A81712" w:rsidRPr="00A140AC" w:rsidRDefault="00A81712" w:rsidP="00A81712">
      <w:pPr>
        <w:ind w:left="851"/>
        <w:rPr>
          <w:sz w:val="24"/>
          <w:szCs w:val="24"/>
        </w:rPr>
      </w:pPr>
      <w:r w:rsidRPr="00A140AC">
        <w:rPr>
          <w:sz w:val="24"/>
          <w:szCs w:val="24"/>
        </w:rPr>
        <w:t>CEVA-</w:t>
      </w:r>
      <w:proofErr w:type="spellStart"/>
      <w:r w:rsidRPr="00A140AC">
        <w:rPr>
          <w:sz w:val="24"/>
          <w:szCs w:val="24"/>
        </w:rPr>
        <w:t>Phylaxia</w:t>
      </w:r>
      <w:proofErr w:type="spellEnd"/>
      <w:r w:rsidRPr="00A140AC">
        <w:rPr>
          <w:sz w:val="24"/>
          <w:szCs w:val="24"/>
        </w:rPr>
        <w:t xml:space="preserve"> </w:t>
      </w:r>
      <w:proofErr w:type="spellStart"/>
      <w:r w:rsidRPr="00A140AC">
        <w:rPr>
          <w:sz w:val="24"/>
          <w:szCs w:val="24"/>
        </w:rPr>
        <w:t>Veterinary</w:t>
      </w:r>
      <w:proofErr w:type="spellEnd"/>
      <w:r w:rsidRPr="00A140AC">
        <w:rPr>
          <w:sz w:val="24"/>
          <w:szCs w:val="24"/>
        </w:rPr>
        <w:t xml:space="preserve"> </w:t>
      </w:r>
      <w:proofErr w:type="spellStart"/>
      <w:r w:rsidRPr="00A140AC">
        <w:rPr>
          <w:sz w:val="24"/>
          <w:szCs w:val="24"/>
        </w:rPr>
        <w:t>Biologicals</w:t>
      </w:r>
      <w:proofErr w:type="spellEnd"/>
      <w:r w:rsidRPr="00A140AC">
        <w:rPr>
          <w:sz w:val="24"/>
          <w:szCs w:val="24"/>
        </w:rPr>
        <w:t xml:space="preserve"> Co. Ltd. </w:t>
      </w:r>
    </w:p>
    <w:p w:rsidR="00A81712" w:rsidRPr="00A140AC" w:rsidRDefault="00A81712" w:rsidP="00A81712">
      <w:pPr>
        <w:ind w:left="851"/>
        <w:rPr>
          <w:sz w:val="24"/>
          <w:szCs w:val="24"/>
        </w:rPr>
      </w:pPr>
      <w:proofErr w:type="spellStart"/>
      <w:r w:rsidRPr="00A140AC">
        <w:rPr>
          <w:sz w:val="24"/>
          <w:szCs w:val="24"/>
        </w:rPr>
        <w:t>Szállás</w:t>
      </w:r>
      <w:proofErr w:type="spellEnd"/>
      <w:r w:rsidRPr="00A140AC">
        <w:rPr>
          <w:sz w:val="24"/>
          <w:szCs w:val="24"/>
        </w:rPr>
        <w:t xml:space="preserve"> u. 5 </w:t>
      </w:r>
    </w:p>
    <w:p w:rsidR="00A81712" w:rsidRPr="00A140AC" w:rsidRDefault="00A81712" w:rsidP="00A81712">
      <w:pPr>
        <w:ind w:left="851"/>
        <w:rPr>
          <w:sz w:val="24"/>
          <w:szCs w:val="24"/>
        </w:rPr>
      </w:pPr>
      <w:r w:rsidRPr="00A140AC">
        <w:rPr>
          <w:sz w:val="24"/>
          <w:szCs w:val="24"/>
        </w:rPr>
        <w:t>1107 Budapest</w:t>
      </w:r>
    </w:p>
    <w:p w:rsidR="00A81712" w:rsidRDefault="00A81712" w:rsidP="00A81712">
      <w:pPr>
        <w:ind w:left="851"/>
        <w:rPr>
          <w:sz w:val="24"/>
          <w:szCs w:val="24"/>
        </w:rPr>
      </w:pPr>
      <w:r w:rsidRPr="00A140AC">
        <w:rPr>
          <w:sz w:val="24"/>
          <w:szCs w:val="24"/>
        </w:rPr>
        <w:t>Ungarn</w:t>
      </w:r>
    </w:p>
    <w:p w:rsidR="00A81712" w:rsidRDefault="00A81712" w:rsidP="00A81712">
      <w:pPr>
        <w:ind w:left="851"/>
        <w:rPr>
          <w:sz w:val="24"/>
          <w:szCs w:val="24"/>
        </w:rPr>
      </w:pPr>
    </w:p>
    <w:p w:rsidR="00A81712" w:rsidRDefault="00A81712" w:rsidP="00A81712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A81712" w:rsidRPr="00D921D7" w:rsidRDefault="00A81712" w:rsidP="00A81712">
      <w:pPr>
        <w:ind w:left="851"/>
        <w:rPr>
          <w:sz w:val="24"/>
          <w:szCs w:val="24"/>
          <w:lang w:val="en-US"/>
        </w:rPr>
      </w:pPr>
      <w:proofErr w:type="spellStart"/>
      <w:r w:rsidRPr="00D921D7">
        <w:rPr>
          <w:sz w:val="24"/>
          <w:szCs w:val="24"/>
          <w:lang w:val="en-US"/>
        </w:rPr>
        <w:t>Ceva</w:t>
      </w:r>
      <w:proofErr w:type="spellEnd"/>
      <w:r w:rsidRPr="00D921D7">
        <w:rPr>
          <w:sz w:val="24"/>
          <w:szCs w:val="24"/>
          <w:lang w:val="en-US"/>
        </w:rPr>
        <w:t xml:space="preserve"> Animal Health A/S</w:t>
      </w:r>
    </w:p>
    <w:p w:rsidR="00A6678A" w:rsidRDefault="00A6678A" w:rsidP="00A6678A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Porschevej</w:t>
      </w:r>
      <w:proofErr w:type="spellEnd"/>
      <w:r>
        <w:rPr>
          <w:sz w:val="24"/>
          <w:szCs w:val="24"/>
          <w:lang w:val="en-US"/>
        </w:rPr>
        <w:t xml:space="preserve"> 12</w:t>
      </w:r>
    </w:p>
    <w:p w:rsidR="00A81712" w:rsidRPr="00D8446A" w:rsidRDefault="00A6678A" w:rsidP="00A6678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712">
        <w:rPr>
          <w:sz w:val="24"/>
          <w:szCs w:val="24"/>
        </w:rPr>
        <w:t>7100 Vejle</w:t>
      </w:r>
    </w:p>
    <w:p w:rsidR="00A81712" w:rsidRPr="00A140AC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8.</w:t>
      </w:r>
      <w:r w:rsidRPr="005C501A">
        <w:rPr>
          <w:b/>
          <w:sz w:val="24"/>
          <w:szCs w:val="24"/>
        </w:rPr>
        <w:tab/>
        <w:t>MARKEDSFØRINGSTILLADELSESNUMMER (NUMRE)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57091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9.</w:t>
      </w:r>
      <w:r w:rsidRPr="005C501A">
        <w:rPr>
          <w:b/>
          <w:sz w:val="24"/>
          <w:szCs w:val="24"/>
        </w:rPr>
        <w:tab/>
        <w:t>DATO FOR FØRSTE MARKEDSFØRINGSTILLADELSE</w:t>
      </w: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>23. november 2016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10.</w:t>
      </w:r>
      <w:r w:rsidRPr="005C501A">
        <w:rPr>
          <w:b/>
          <w:sz w:val="24"/>
          <w:szCs w:val="24"/>
        </w:rPr>
        <w:tab/>
        <w:t>DATO FOR ÆNDRING AF TEKSTEN</w:t>
      </w:r>
    </w:p>
    <w:p w:rsidR="00A81712" w:rsidRPr="005C501A" w:rsidRDefault="00A6678A" w:rsidP="00A81712">
      <w:pPr>
        <w:ind w:left="851"/>
        <w:rPr>
          <w:sz w:val="24"/>
          <w:szCs w:val="24"/>
        </w:rPr>
      </w:pPr>
      <w:r>
        <w:rPr>
          <w:sz w:val="24"/>
          <w:szCs w:val="24"/>
        </w:rPr>
        <w:t>2. november 2022</w:t>
      </w:r>
    </w:p>
    <w:p w:rsidR="00A81712" w:rsidRPr="005C501A" w:rsidRDefault="00A81712" w:rsidP="00A81712">
      <w:pPr>
        <w:ind w:left="851" w:hanging="851"/>
        <w:rPr>
          <w:sz w:val="24"/>
          <w:szCs w:val="24"/>
        </w:rPr>
      </w:pPr>
    </w:p>
    <w:p w:rsidR="00A81712" w:rsidRPr="005C501A" w:rsidRDefault="00A81712" w:rsidP="00A81712">
      <w:pPr>
        <w:ind w:left="851" w:hanging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11.</w:t>
      </w:r>
      <w:r w:rsidRPr="005C501A">
        <w:rPr>
          <w:b/>
          <w:sz w:val="24"/>
          <w:szCs w:val="24"/>
        </w:rPr>
        <w:tab/>
        <w:t>UDLEVERINGSBESTEMMELSE</w:t>
      </w:r>
    </w:p>
    <w:p w:rsidR="00A81712" w:rsidRPr="005C501A" w:rsidRDefault="00A81712" w:rsidP="00A81712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5C501A">
        <w:rPr>
          <w:szCs w:val="24"/>
        </w:rPr>
        <w:t>BP</w:t>
      </w:r>
    </w:p>
    <w:p w:rsidR="00A81712" w:rsidRPr="005C501A" w:rsidRDefault="00A81712" w:rsidP="00A81712">
      <w:pPr>
        <w:rPr>
          <w:sz w:val="24"/>
          <w:szCs w:val="24"/>
        </w:rPr>
      </w:pPr>
    </w:p>
    <w:p w:rsidR="00A81712" w:rsidRPr="005C501A" w:rsidRDefault="00A81712" w:rsidP="00A81712">
      <w:pPr>
        <w:ind w:firstLine="851"/>
        <w:rPr>
          <w:b/>
          <w:sz w:val="24"/>
          <w:szCs w:val="24"/>
        </w:rPr>
      </w:pPr>
      <w:r w:rsidRPr="005C501A">
        <w:rPr>
          <w:b/>
          <w:sz w:val="24"/>
          <w:szCs w:val="24"/>
        </w:rPr>
        <w:t>FORBUD MOD SALG, DISTRIBUTION OG/ELLER BRUG</w:t>
      </w:r>
    </w:p>
    <w:p w:rsidR="00A81712" w:rsidRPr="005C501A" w:rsidRDefault="00A81712" w:rsidP="00A81712">
      <w:pPr>
        <w:rPr>
          <w:sz w:val="24"/>
          <w:szCs w:val="24"/>
        </w:rPr>
      </w:pPr>
    </w:p>
    <w:p w:rsidR="00A81712" w:rsidRPr="005C501A" w:rsidRDefault="00A81712" w:rsidP="00A81712">
      <w:pPr>
        <w:ind w:left="851"/>
        <w:rPr>
          <w:sz w:val="24"/>
          <w:szCs w:val="24"/>
        </w:rPr>
      </w:pPr>
      <w:r w:rsidRPr="005C501A">
        <w:rPr>
          <w:sz w:val="24"/>
          <w:szCs w:val="24"/>
        </w:rPr>
        <w:t xml:space="preserve">Fremstilling, import, besiddelse, salg, distribution og/eller brug af </w:t>
      </w:r>
      <w:proofErr w:type="spellStart"/>
      <w:r w:rsidRPr="005C501A">
        <w:rPr>
          <w:sz w:val="24"/>
          <w:szCs w:val="24"/>
        </w:rPr>
        <w:t>Cevac</w:t>
      </w:r>
      <w:proofErr w:type="spellEnd"/>
      <w:r w:rsidRPr="005C501A">
        <w:rPr>
          <w:sz w:val="24"/>
          <w:szCs w:val="24"/>
        </w:rPr>
        <w:t xml:space="preserve"> MD HVT kan være forbudt i medlemslande i hele landet eller dele af territoriet i henhold til national lovgivning. Enhver person der påtænker at fremstille, importere, besidde, sælge, distribuere og bruge </w:t>
      </w:r>
      <w:proofErr w:type="spellStart"/>
      <w:r w:rsidRPr="005C501A">
        <w:rPr>
          <w:sz w:val="24"/>
          <w:szCs w:val="24"/>
        </w:rPr>
        <w:t>Cevac</w:t>
      </w:r>
      <w:proofErr w:type="spellEnd"/>
      <w:r w:rsidRPr="005C501A">
        <w:rPr>
          <w:sz w:val="24"/>
          <w:szCs w:val="24"/>
        </w:rPr>
        <w:t xml:space="preserve"> MD HVT skal konsultere det relevante medlemslands kompetente myndighed mht. gældende vaccinationspolitik før fremstilling, import, besiddelse, salg, distribution og/eller brug.</w:t>
      </w:r>
    </w:p>
    <w:sectPr w:rsidR="00A81712" w:rsidRPr="005C501A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12" w:rsidRDefault="00A81712">
      <w:r>
        <w:separator/>
      </w:r>
    </w:p>
  </w:endnote>
  <w:endnote w:type="continuationSeparator" w:id="0">
    <w:p w:rsidR="00A81712" w:rsidRDefault="00A8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F461B">
      <w:rPr>
        <w:i/>
        <w:noProof/>
        <w:snapToGrid w:val="0"/>
        <w:sz w:val="18"/>
      </w:rPr>
      <w:t>Cevac MD HVT, suspension og solvens til injektionsvæske, suspension 2000-8000 PFU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F461B">
      <w:rPr>
        <w:i/>
        <w:noProof/>
        <w:snapToGrid w:val="0"/>
        <w:sz w:val="18"/>
      </w:rPr>
      <w:t>Cevac MD HVT, suspension og solvens til injektionsvæske, suspension 2000-8000 PFU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12" w:rsidRDefault="00A81712">
      <w:r>
        <w:separator/>
      </w:r>
    </w:p>
  </w:footnote>
  <w:footnote w:type="continuationSeparator" w:id="0">
    <w:p w:rsidR="00A81712" w:rsidRDefault="00A8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E9091F"/>
    <w:multiLevelType w:val="hybridMultilevel"/>
    <w:tmpl w:val="9C528B12"/>
    <w:lvl w:ilvl="0" w:tplc="CAC0A74A">
      <w:start w:val="1"/>
      <w:numFmt w:val="decimal"/>
      <w:lvlText w:val="%1."/>
      <w:lvlJc w:val="left"/>
      <w:pPr>
        <w:ind w:left="1287" w:hanging="360"/>
      </w:pPr>
      <w:rPr>
        <w:lang w:val="da-DK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2"/>
    <w:rsid w:val="000320B8"/>
    <w:rsid w:val="0003527F"/>
    <w:rsid w:val="00065C7D"/>
    <w:rsid w:val="000C6CD4"/>
    <w:rsid w:val="001577E4"/>
    <w:rsid w:val="001858CA"/>
    <w:rsid w:val="001959B5"/>
    <w:rsid w:val="001C4AEF"/>
    <w:rsid w:val="001D3CC5"/>
    <w:rsid w:val="00322BDE"/>
    <w:rsid w:val="00406EE7"/>
    <w:rsid w:val="00407013"/>
    <w:rsid w:val="00484CBE"/>
    <w:rsid w:val="004A62CC"/>
    <w:rsid w:val="004F461B"/>
    <w:rsid w:val="0051154A"/>
    <w:rsid w:val="00565A74"/>
    <w:rsid w:val="005720AE"/>
    <w:rsid w:val="005B0036"/>
    <w:rsid w:val="005F5831"/>
    <w:rsid w:val="00662012"/>
    <w:rsid w:val="00666B01"/>
    <w:rsid w:val="006B1539"/>
    <w:rsid w:val="006D4B41"/>
    <w:rsid w:val="006E5CD7"/>
    <w:rsid w:val="006F5621"/>
    <w:rsid w:val="007B3D69"/>
    <w:rsid w:val="007E2A00"/>
    <w:rsid w:val="008010F2"/>
    <w:rsid w:val="0084537A"/>
    <w:rsid w:val="009202AE"/>
    <w:rsid w:val="00932676"/>
    <w:rsid w:val="009446B0"/>
    <w:rsid w:val="009D66C6"/>
    <w:rsid w:val="00A435C6"/>
    <w:rsid w:val="00A6678A"/>
    <w:rsid w:val="00A81712"/>
    <w:rsid w:val="00A84475"/>
    <w:rsid w:val="00A96525"/>
    <w:rsid w:val="00AE29E5"/>
    <w:rsid w:val="00AE5757"/>
    <w:rsid w:val="00B25EB8"/>
    <w:rsid w:val="00BC634B"/>
    <w:rsid w:val="00BF2AE0"/>
    <w:rsid w:val="00C479BF"/>
    <w:rsid w:val="00CC3FC2"/>
    <w:rsid w:val="00D567AA"/>
    <w:rsid w:val="00DD132D"/>
    <w:rsid w:val="00DD6D71"/>
    <w:rsid w:val="00DE3BD0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770A"/>
  <w15:chartTrackingRefBased/>
  <w15:docId w15:val="{B1EB15C6-F4D5-4F31-8D66-F2AE812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BodytextAgency">
    <w:name w:val="Body text (Agency)"/>
    <w:basedOn w:val="Normal"/>
    <w:link w:val="BodytextAgencyChar"/>
    <w:qFormat/>
    <w:rsid w:val="00A81712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A81712"/>
    <w:rPr>
      <w:rFonts w:ascii="Verdana" w:eastAsia="Verdana" w:hAnsi="Verdan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1370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2022102700_x000d_
Ændring af repræsentant adresse</dc:description>
  <cp:lastModifiedBy>Marianne Ott Jensen</cp:lastModifiedBy>
  <cp:revision>3</cp:revision>
  <dcterms:created xsi:type="dcterms:W3CDTF">2022-11-02T10:07:00Z</dcterms:created>
  <dcterms:modified xsi:type="dcterms:W3CDTF">2022-11-02T10:08:00Z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