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48B500" w14:textId="60421611" w:rsidR="00FA66E4" w:rsidRPr="00406EE7" w:rsidRDefault="00223966" w:rsidP="00FA66E4">
      <w:pPr>
        <w:tabs>
          <w:tab w:val="left" w:pos="6804"/>
        </w:tabs>
        <w:rPr>
          <w:b/>
          <w:sz w:val="24"/>
          <w:szCs w:val="24"/>
        </w:rPr>
      </w:pPr>
      <w:bookmarkStart w:id="0" w:name="_GoBack"/>
      <w:bookmarkEnd w:id="0"/>
      <w:r>
        <w:rPr>
          <w:b/>
          <w:noProof/>
          <w:sz w:val="24"/>
          <w:szCs w:val="24"/>
          <w:lang w:eastAsia="da-DK"/>
        </w:rPr>
        <w:drawing>
          <wp:inline distT="0" distB="0" distL="0" distR="0" wp14:anchorId="6255801C" wp14:editId="51D82503">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14:paraId="097C70F9" w14:textId="4CB43349" w:rsidR="00FA66E4" w:rsidRPr="00406EE7" w:rsidRDefault="00D61ED2" w:rsidP="00FA66E4">
      <w:pPr>
        <w:tabs>
          <w:tab w:val="left" w:pos="6804"/>
        </w:tabs>
        <w:jc w:val="right"/>
        <w:rPr>
          <w:b/>
          <w:sz w:val="24"/>
          <w:szCs w:val="24"/>
        </w:rPr>
      </w:pPr>
      <w:r>
        <w:rPr>
          <w:b/>
          <w:sz w:val="24"/>
          <w:szCs w:val="24"/>
        </w:rPr>
        <w:t>4. oktober 2019</w:t>
      </w:r>
    </w:p>
    <w:p w14:paraId="0606C47F" w14:textId="38DF5F32" w:rsidR="00FA66E4" w:rsidRPr="00406EE7" w:rsidRDefault="00FA66E4" w:rsidP="00FA66E4">
      <w:pPr>
        <w:tabs>
          <w:tab w:val="left" w:pos="8222"/>
        </w:tabs>
        <w:rPr>
          <w:sz w:val="24"/>
          <w:szCs w:val="24"/>
        </w:rPr>
      </w:pPr>
    </w:p>
    <w:p w14:paraId="4CACECEA" w14:textId="77777777" w:rsidR="00FA66E4" w:rsidRPr="00406EE7" w:rsidRDefault="00FA66E4" w:rsidP="00FA66E4">
      <w:pPr>
        <w:tabs>
          <w:tab w:val="left" w:pos="8222"/>
        </w:tabs>
        <w:rPr>
          <w:sz w:val="24"/>
          <w:szCs w:val="24"/>
        </w:rPr>
      </w:pPr>
    </w:p>
    <w:p w14:paraId="2109B05D" w14:textId="77777777" w:rsidR="00FA66E4" w:rsidRPr="00406EE7" w:rsidRDefault="00FA66E4" w:rsidP="00FA66E4">
      <w:pPr>
        <w:tabs>
          <w:tab w:val="left" w:pos="8222"/>
        </w:tabs>
        <w:jc w:val="center"/>
        <w:rPr>
          <w:b/>
          <w:sz w:val="24"/>
          <w:szCs w:val="24"/>
        </w:rPr>
      </w:pPr>
      <w:r w:rsidRPr="00406EE7">
        <w:rPr>
          <w:b/>
          <w:sz w:val="24"/>
          <w:szCs w:val="24"/>
        </w:rPr>
        <w:t>PRODUKTRESUMÉ</w:t>
      </w:r>
    </w:p>
    <w:p w14:paraId="0BBFB415" w14:textId="77777777" w:rsidR="00FA66E4" w:rsidRPr="00406EE7" w:rsidRDefault="00FA66E4" w:rsidP="00FA66E4">
      <w:pPr>
        <w:tabs>
          <w:tab w:val="left" w:pos="8222"/>
        </w:tabs>
        <w:jc w:val="center"/>
        <w:rPr>
          <w:b/>
          <w:sz w:val="24"/>
          <w:szCs w:val="24"/>
        </w:rPr>
      </w:pPr>
    </w:p>
    <w:p w14:paraId="546C4A5E" w14:textId="77777777" w:rsidR="00FA66E4" w:rsidRPr="00406EE7" w:rsidRDefault="00FA66E4" w:rsidP="00FA66E4">
      <w:pPr>
        <w:tabs>
          <w:tab w:val="left" w:pos="8222"/>
        </w:tabs>
        <w:jc w:val="center"/>
        <w:rPr>
          <w:b/>
          <w:sz w:val="24"/>
          <w:szCs w:val="24"/>
        </w:rPr>
      </w:pPr>
      <w:r w:rsidRPr="00406EE7">
        <w:rPr>
          <w:b/>
          <w:sz w:val="24"/>
          <w:szCs w:val="24"/>
        </w:rPr>
        <w:t>for</w:t>
      </w:r>
    </w:p>
    <w:p w14:paraId="596DCF97" w14:textId="77777777" w:rsidR="00FA66E4" w:rsidRPr="00406EE7" w:rsidRDefault="00FA66E4" w:rsidP="00FA66E4">
      <w:pPr>
        <w:tabs>
          <w:tab w:val="left" w:pos="8222"/>
        </w:tabs>
        <w:jc w:val="center"/>
        <w:rPr>
          <w:b/>
          <w:sz w:val="24"/>
          <w:szCs w:val="24"/>
        </w:rPr>
      </w:pPr>
    </w:p>
    <w:p w14:paraId="64C1ACB8" w14:textId="0B4E59B2" w:rsidR="00FA66E4" w:rsidRPr="00406EE7" w:rsidRDefault="00403127" w:rsidP="00FA66E4">
      <w:pPr>
        <w:tabs>
          <w:tab w:val="left" w:pos="8222"/>
        </w:tabs>
        <w:jc w:val="center"/>
        <w:rPr>
          <w:b/>
          <w:sz w:val="24"/>
          <w:szCs w:val="24"/>
        </w:rPr>
      </w:pPr>
      <w:r>
        <w:rPr>
          <w:b/>
          <w:sz w:val="24"/>
          <w:szCs w:val="24"/>
        </w:rPr>
        <w:t>Clinacin Vet., hårde kapsler 25 mg</w:t>
      </w:r>
    </w:p>
    <w:p w14:paraId="750BF904" w14:textId="77777777" w:rsidR="00FA66E4" w:rsidRPr="00406EE7" w:rsidRDefault="00FA66E4" w:rsidP="00FA66E4">
      <w:pPr>
        <w:tabs>
          <w:tab w:val="left" w:pos="8222"/>
        </w:tabs>
        <w:jc w:val="both"/>
        <w:rPr>
          <w:sz w:val="24"/>
          <w:szCs w:val="24"/>
        </w:rPr>
      </w:pPr>
    </w:p>
    <w:p w14:paraId="675CF70D" w14:textId="77777777" w:rsidR="00FA66E4" w:rsidRPr="002A7531" w:rsidRDefault="00FA66E4" w:rsidP="002A7531">
      <w:pPr>
        <w:ind w:left="851" w:hanging="851"/>
        <w:jc w:val="both"/>
        <w:rPr>
          <w:sz w:val="24"/>
          <w:szCs w:val="24"/>
        </w:rPr>
      </w:pPr>
    </w:p>
    <w:p w14:paraId="747E9D70" w14:textId="77777777" w:rsidR="00FA66E4" w:rsidRPr="002A7531" w:rsidRDefault="00FA66E4" w:rsidP="002A7531">
      <w:pPr>
        <w:ind w:left="851" w:hanging="851"/>
        <w:rPr>
          <w:b/>
          <w:sz w:val="24"/>
          <w:szCs w:val="24"/>
        </w:rPr>
      </w:pPr>
      <w:r w:rsidRPr="002A7531">
        <w:rPr>
          <w:b/>
          <w:sz w:val="24"/>
          <w:szCs w:val="24"/>
        </w:rPr>
        <w:t>0.</w:t>
      </w:r>
      <w:r w:rsidRPr="002A7531">
        <w:rPr>
          <w:b/>
          <w:sz w:val="24"/>
          <w:szCs w:val="24"/>
        </w:rPr>
        <w:tab/>
        <w:t>D.SP.NR</w:t>
      </w:r>
      <w:r w:rsidR="00406EE7" w:rsidRPr="002A7531">
        <w:rPr>
          <w:b/>
          <w:sz w:val="24"/>
          <w:szCs w:val="24"/>
        </w:rPr>
        <w:t>.</w:t>
      </w:r>
    </w:p>
    <w:p w14:paraId="386ACB39" w14:textId="08F47F56" w:rsidR="00FA66E4" w:rsidRPr="002A7531" w:rsidRDefault="00403127" w:rsidP="002A7531">
      <w:pPr>
        <w:ind w:left="851"/>
        <w:rPr>
          <w:sz w:val="24"/>
          <w:szCs w:val="24"/>
        </w:rPr>
      </w:pPr>
      <w:r w:rsidRPr="002A7531">
        <w:rPr>
          <w:sz w:val="24"/>
          <w:szCs w:val="24"/>
        </w:rPr>
        <w:t>21033</w:t>
      </w:r>
    </w:p>
    <w:p w14:paraId="74031528" w14:textId="77777777" w:rsidR="00FA66E4" w:rsidRPr="002A7531" w:rsidRDefault="00FA66E4" w:rsidP="002A7531">
      <w:pPr>
        <w:ind w:left="851" w:hanging="851"/>
        <w:rPr>
          <w:sz w:val="24"/>
          <w:szCs w:val="24"/>
        </w:rPr>
      </w:pPr>
    </w:p>
    <w:p w14:paraId="354F9C5D" w14:textId="77777777" w:rsidR="00FA66E4" w:rsidRPr="002A7531" w:rsidRDefault="00FA66E4" w:rsidP="002A7531">
      <w:pPr>
        <w:ind w:left="851" w:hanging="851"/>
        <w:rPr>
          <w:b/>
          <w:sz w:val="24"/>
          <w:szCs w:val="24"/>
        </w:rPr>
      </w:pPr>
      <w:r w:rsidRPr="002A7531">
        <w:rPr>
          <w:b/>
          <w:sz w:val="24"/>
          <w:szCs w:val="24"/>
        </w:rPr>
        <w:t>1.</w:t>
      </w:r>
      <w:r w:rsidRPr="002A7531">
        <w:rPr>
          <w:b/>
          <w:sz w:val="24"/>
          <w:szCs w:val="24"/>
        </w:rPr>
        <w:tab/>
        <w:t>VETERINÆRLÆGEMIDLETS NAVN</w:t>
      </w:r>
    </w:p>
    <w:p w14:paraId="4A2E66F0" w14:textId="7AD47521" w:rsidR="00FA66E4" w:rsidRPr="002A7531" w:rsidRDefault="00403127" w:rsidP="002A7531">
      <w:pPr>
        <w:ind w:left="851"/>
        <w:rPr>
          <w:sz w:val="24"/>
          <w:szCs w:val="24"/>
        </w:rPr>
      </w:pPr>
      <w:r w:rsidRPr="002A7531">
        <w:rPr>
          <w:sz w:val="24"/>
          <w:szCs w:val="24"/>
        </w:rPr>
        <w:t>Clinacin Vet.</w:t>
      </w:r>
    </w:p>
    <w:p w14:paraId="712FE624" w14:textId="77777777" w:rsidR="00FA66E4" w:rsidRPr="002A7531" w:rsidRDefault="00FA66E4" w:rsidP="002A7531">
      <w:pPr>
        <w:ind w:left="851" w:hanging="851"/>
        <w:rPr>
          <w:sz w:val="24"/>
          <w:szCs w:val="24"/>
        </w:rPr>
      </w:pPr>
    </w:p>
    <w:p w14:paraId="559CF4EE" w14:textId="77777777" w:rsidR="00FA66E4" w:rsidRPr="002A7531" w:rsidRDefault="00FA66E4" w:rsidP="002A7531">
      <w:pPr>
        <w:ind w:left="851" w:hanging="851"/>
        <w:rPr>
          <w:b/>
          <w:sz w:val="24"/>
          <w:szCs w:val="24"/>
        </w:rPr>
      </w:pPr>
      <w:r w:rsidRPr="002A7531">
        <w:rPr>
          <w:b/>
          <w:sz w:val="24"/>
          <w:szCs w:val="24"/>
        </w:rPr>
        <w:t>2.</w:t>
      </w:r>
      <w:r w:rsidRPr="002A7531">
        <w:rPr>
          <w:b/>
          <w:sz w:val="24"/>
          <w:szCs w:val="24"/>
        </w:rPr>
        <w:tab/>
        <w:t>KVALITATIV OG KVANTITATIV SAMMENSÆTNING</w:t>
      </w:r>
    </w:p>
    <w:p w14:paraId="39189132" w14:textId="77777777" w:rsidR="002C3A45" w:rsidRDefault="002C3A45" w:rsidP="002A7531">
      <w:pPr>
        <w:ind w:left="851"/>
        <w:rPr>
          <w:b/>
          <w:sz w:val="24"/>
          <w:szCs w:val="24"/>
        </w:rPr>
      </w:pPr>
    </w:p>
    <w:p w14:paraId="78B83964" w14:textId="77777777" w:rsidR="00403127" w:rsidRPr="002A7531" w:rsidRDefault="00403127" w:rsidP="002A7531">
      <w:pPr>
        <w:ind w:left="851"/>
        <w:rPr>
          <w:sz w:val="24"/>
          <w:szCs w:val="24"/>
        </w:rPr>
      </w:pPr>
      <w:r w:rsidRPr="002A7531">
        <w:rPr>
          <w:b/>
          <w:sz w:val="24"/>
          <w:szCs w:val="24"/>
        </w:rPr>
        <w:t>Hver kapsel indeholder:</w:t>
      </w:r>
    </w:p>
    <w:p w14:paraId="4E7EABAF" w14:textId="77777777" w:rsidR="00403127" w:rsidRPr="002C3A45" w:rsidRDefault="00403127" w:rsidP="002A7531">
      <w:pPr>
        <w:ind w:left="851"/>
        <w:rPr>
          <w:sz w:val="24"/>
          <w:szCs w:val="24"/>
          <w:u w:val="single"/>
        </w:rPr>
      </w:pPr>
      <w:r w:rsidRPr="002C3A45">
        <w:rPr>
          <w:sz w:val="24"/>
          <w:szCs w:val="24"/>
          <w:u w:val="single"/>
        </w:rPr>
        <w:t>Aktivt stof:</w:t>
      </w:r>
    </w:p>
    <w:p w14:paraId="6C8D4A3D" w14:textId="388F3128" w:rsidR="00403127" w:rsidRPr="002A7531" w:rsidRDefault="00403127" w:rsidP="002A7531">
      <w:pPr>
        <w:ind w:left="851"/>
        <w:rPr>
          <w:sz w:val="24"/>
          <w:szCs w:val="24"/>
        </w:rPr>
      </w:pPr>
      <w:r w:rsidRPr="002A7531">
        <w:rPr>
          <w:sz w:val="24"/>
          <w:szCs w:val="24"/>
        </w:rPr>
        <w:t>Clindamycin (som clindamycinhydrochlorid)</w:t>
      </w:r>
      <w:r w:rsidRPr="002A7531">
        <w:rPr>
          <w:sz w:val="24"/>
          <w:szCs w:val="24"/>
        </w:rPr>
        <w:tab/>
      </w:r>
      <w:r w:rsidR="002A7531">
        <w:rPr>
          <w:sz w:val="24"/>
          <w:szCs w:val="24"/>
        </w:rPr>
        <w:tab/>
      </w:r>
      <w:r w:rsidRPr="002A7531">
        <w:rPr>
          <w:sz w:val="24"/>
          <w:szCs w:val="24"/>
        </w:rPr>
        <w:t>25 mg</w:t>
      </w:r>
    </w:p>
    <w:p w14:paraId="0365F50F" w14:textId="77777777" w:rsidR="00403127" w:rsidRPr="002A7531" w:rsidRDefault="00403127" w:rsidP="002A7531">
      <w:pPr>
        <w:ind w:left="851" w:hanging="851"/>
        <w:rPr>
          <w:sz w:val="24"/>
          <w:szCs w:val="24"/>
        </w:rPr>
      </w:pPr>
    </w:p>
    <w:p w14:paraId="7976ED54" w14:textId="77777777" w:rsidR="00403127" w:rsidRPr="002A7531" w:rsidRDefault="00403127" w:rsidP="002A7531">
      <w:pPr>
        <w:ind w:left="851"/>
        <w:rPr>
          <w:b/>
          <w:sz w:val="24"/>
          <w:szCs w:val="24"/>
        </w:rPr>
      </w:pPr>
      <w:r w:rsidRPr="002A7531">
        <w:rPr>
          <w:b/>
          <w:sz w:val="24"/>
          <w:szCs w:val="24"/>
        </w:rPr>
        <w:t>Hjælpestof:</w:t>
      </w:r>
    </w:p>
    <w:p w14:paraId="627BA826" w14:textId="77777777" w:rsidR="00403127" w:rsidRPr="002A7531" w:rsidRDefault="00403127" w:rsidP="002A7531">
      <w:pPr>
        <w:ind w:left="851"/>
        <w:rPr>
          <w:sz w:val="24"/>
          <w:szCs w:val="24"/>
        </w:rPr>
      </w:pPr>
      <w:r w:rsidRPr="002A7531">
        <w:rPr>
          <w:sz w:val="24"/>
          <w:szCs w:val="24"/>
        </w:rPr>
        <w:t xml:space="preserve">Alle hjælpestoffer er anført under pkt. 6.1  </w:t>
      </w:r>
    </w:p>
    <w:p w14:paraId="5273B1DF" w14:textId="77777777" w:rsidR="00FA66E4" w:rsidRPr="002A7531" w:rsidRDefault="00FA66E4" w:rsidP="002A7531">
      <w:pPr>
        <w:ind w:left="851" w:hanging="851"/>
        <w:rPr>
          <w:sz w:val="24"/>
          <w:szCs w:val="24"/>
        </w:rPr>
      </w:pPr>
    </w:p>
    <w:p w14:paraId="3B7B8A5C" w14:textId="77777777" w:rsidR="00FA66E4" w:rsidRPr="002A7531" w:rsidRDefault="00FA66E4" w:rsidP="002A7531">
      <w:pPr>
        <w:ind w:left="851" w:hanging="851"/>
        <w:rPr>
          <w:b/>
          <w:sz w:val="24"/>
          <w:szCs w:val="24"/>
        </w:rPr>
      </w:pPr>
      <w:r w:rsidRPr="002A7531">
        <w:rPr>
          <w:b/>
          <w:sz w:val="24"/>
          <w:szCs w:val="24"/>
        </w:rPr>
        <w:t>3.</w:t>
      </w:r>
      <w:r w:rsidRPr="002A7531">
        <w:rPr>
          <w:b/>
          <w:sz w:val="24"/>
          <w:szCs w:val="24"/>
        </w:rPr>
        <w:tab/>
        <w:t>LÆGEMIDDELFORM</w:t>
      </w:r>
    </w:p>
    <w:p w14:paraId="1234F966" w14:textId="2872A614" w:rsidR="00403127" w:rsidRPr="002A7531" w:rsidRDefault="002A7531" w:rsidP="002A7531">
      <w:pPr>
        <w:ind w:left="851"/>
        <w:rPr>
          <w:sz w:val="24"/>
          <w:szCs w:val="24"/>
        </w:rPr>
      </w:pPr>
      <w:r>
        <w:rPr>
          <w:sz w:val="24"/>
          <w:szCs w:val="24"/>
        </w:rPr>
        <w:t>Hårde kapsler</w:t>
      </w:r>
      <w:r w:rsidR="00403127" w:rsidRPr="002A7531">
        <w:rPr>
          <w:sz w:val="24"/>
          <w:szCs w:val="24"/>
        </w:rPr>
        <w:t>.</w:t>
      </w:r>
    </w:p>
    <w:p w14:paraId="15507D13" w14:textId="77777777" w:rsidR="00403127" w:rsidRPr="002A7531" w:rsidRDefault="00403127" w:rsidP="002A7531">
      <w:pPr>
        <w:ind w:left="851" w:hanging="851"/>
        <w:rPr>
          <w:sz w:val="24"/>
          <w:szCs w:val="24"/>
        </w:rPr>
      </w:pPr>
    </w:p>
    <w:p w14:paraId="4BDAEC29" w14:textId="77777777" w:rsidR="00403127" w:rsidRPr="002A7531" w:rsidRDefault="00403127" w:rsidP="002A7531">
      <w:pPr>
        <w:ind w:left="851"/>
        <w:rPr>
          <w:sz w:val="24"/>
          <w:szCs w:val="24"/>
        </w:rPr>
      </w:pPr>
      <w:r w:rsidRPr="002A7531">
        <w:rPr>
          <w:sz w:val="24"/>
          <w:szCs w:val="24"/>
        </w:rPr>
        <w:t>Kapslen har en orange skal og en orange hætte.</w:t>
      </w:r>
    </w:p>
    <w:p w14:paraId="0D77C244" w14:textId="12884E6A" w:rsidR="00FA66E4" w:rsidRPr="002A7531" w:rsidRDefault="00FA66E4" w:rsidP="002A7531">
      <w:pPr>
        <w:ind w:left="851" w:hanging="851"/>
        <w:rPr>
          <w:sz w:val="24"/>
          <w:szCs w:val="24"/>
        </w:rPr>
      </w:pPr>
    </w:p>
    <w:p w14:paraId="167D59DB" w14:textId="77777777" w:rsidR="00FA66E4" w:rsidRPr="002A7531" w:rsidRDefault="00FA66E4" w:rsidP="002A7531">
      <w:pPr>
        <w:ind w:left="851" w:hanging="851"/>
        <w:rPr>
          <w:sz w:val="24"/>
          <w:szCs w:val="24"/>
        </w:rPr>
      </w:pPr>
    </w:p>
    <w:p w14:paraId="61ECE5CC" w14:textId="77777777" w:rsidR="00FA66E4" w:rsidRPr="002A7531" w:rsidRDefault="00FA66E4" w:rsidP="002A7531">
      <w:pPr>
        <w:ind w:left="851" w:hanging="851"/>
        <w:rPr>
          <w:b/>
          <w:sz w:val="24"/>
          <w:szCs w:val="24"/>
        </w:rPr>
      </w:pPr>
      <w:r w:rsidRPr="002A7531">
        <w:rPr>
          <w:b/>
          <w:sz w:val="24"/>
          <w:szCs w:val="24"/>
        </w:rPr>
        <w:t>4.</w:t>
      </w:r>
      <w:r w:rsidRPr="002A7531">
        <w:rPr>
          <w:b/>
          <w:sz w:val="24"/>
          <w:szCs w:val="24"/>
        </w:rPr>
        <w:tab/>
        <w:t>KLINISKE OPLYSNINGER</w:t>
      </w:r>
    </w:p>
    <w:p w14:paraId="5838A8A3" w14:textId="77777777" w:rsidR="00FA66E4" w:rsidRPr="002A7531" w:rsidRDefault="00FA66E4" w:rsidP="002A7531">
      <w:pPr>
        <w:ind w:left="851" w:hanging="851"/>
        <w:rPr>
          <w:sz w:val="24"/>
          <w:szCs w:val="24"/>
        </w:rPr>
      </w:pPr>
    </w:p>
    <w:p w14:paraId="10AA53C7" w14:textId="77777777" w:rsidR="00FA66E4" w:rsidRPr="002A7531" w:rsidRDefault="00FA66E4" w:rsidP="002A7531">
      <w:pPr>
        <w:ind w:left="851" w:hanging="851"/>
        <w:rPr>
          <w:b/>
          <w:sz w:val="24"/>
          <w:szCs w:val="24"/>
          <w:u w:val="single"/>
        </w:rPr>
      </w:pPr>
      <w:r w:rsidRPr="002A7531">
        <w:rPr>
          <w:b/>
          <w:sz w:val="24"/>
          <w:szCs w:val="24"/>
        </w:rPr>
        <w:t>4.1</w:t>
      </w:r>
      <w:r w:rsidRPr="002A7531">
        <w:rPr>
          <w:b/>
          <w:sz w:val="24"/>
          <w:szCs w:val="24"/>
        </w:rPr>
        <w:tab/>
        <w:t>Dyrearter</w:t>
      </w:r>
    </w:p>
    <w:p w14:paraId="4D9A07B2" w14:textId="77777777" w:rsidR="00403127" w:rsidRPr="002A7531" w:rsidRDefault="00403127" w:rsidP="002A7531">
      <w:pPr>
        <w:ind w:left="851"/>
        <w:rPr>
          <w:sz w:val="24"/>
          <w:szCs w:val="24"/>
        </w:rPr>
      </w:pPr>
      <w:r w:rsidRPr="002A7531">
        <w:rPr>
          <w:sz w:val="24"/>
          <w:szCs w:val="24"/>
        </w:rPr>
        <w:t>Hunde.</w:t>
      </w:r>
    </w:p>
    <w:p w14:paraId="0CB003FB" w14:textId="77777777" w:rsidR="00FA66E4" w:rsidRPr="002A7531" w:rsidRDefault="00FA66E4" w:rsidP="002A7531">
      <w:pPr>
        <w:ind w:left="851" w:hanging="851"/>
        <w:rPr>
          <w:sz w:val="24"/>
          <w:szCs w:val="24"/>
        </w:rPr>
      </w:pPr>
    </w:p>
    <w:p w14:paraId="579573A6" w14:textId="77777777" w:rsidR="00FA66E4" w:rsidRPr="002A7531" w:rsidRDefault="00FA66E4" w:rsidP="002A7531">
      <w:pPr>
        <w:pStyle w:val="Sidehoved"/>
        <w:tabs>
          <w:tab w:val="clear" w:pos="4819"/>
          <w:tab w:val="clear" w:pos="9638"/>
        </w:tabs>
        <w:ind w:left="851" w:hanging="851"/>
        <w:rPr>
          <w:b/>
          <w:szCs w:val="24"/>
        </w:rPr>
      </w:pPr>
      <w:r w:rsidRPr="002A7531">
        <w:rPr>
          <w:b/>
          <w:szCs w:val="24"/>
        </w:rPr>
        <w:t>4.2</w:t>
      </w:r>
      <w:r w:rsidRPr="002A7531">
        <w:rPr>
          <w:b/>
          <w:szCs w:val="24"/>
        </w:rPr>
        <w:tab/>
        <w:t>Terapeutiske indikationer</w:t>
      </w:r>
    </w:p>
    <w:p w14:paraId="5237DF86" w14:textId="77777777" w:rsidR="00D61ED2" w:rsidRPr="00D61ED2" w:rsidRDefault="00D61ED2" w:rsidP="00D61ED2">
      <w:pPr>
        <w:ind w:left="851"/>
        <w:rPr>
          <w:sz w:val="24"/>
          <w:szCs w:val="24"/>
        </w:rPr>
      </w:pPr>
      <w:r w:rsidRPr="00D61ED2">
        <w:rPr>
          <w:sz w:val="24"/>
          <w:szCs w:val="24"/>
        </w:rPr>
        <w:t xml:space="preserve">Til behandling af inficerede sår, abscesser og infektioner i mundhule/tænder forårsaget af eller associeret med clindamycinfølsomme arter af </w:t>
      </w:r>
      <w:r w:rsidRPr="00D61ED2">
        <w:rPr>
          <w:i/>
          <w:sz w:val="24"/>
          <w:szCs w:val="24"/>
        </w:rPr>
        <w:t>Staphylococcus, Streptococcus, Bacteroides, Clostridium perfringens og Fusobacterium necrophorum</w:t>
      </w:r>
      <w:r w:rsidRPr="00D61ED2">
        <w:rPr>
          <w:sz w:val="24"/>
          <w:szCs w:val="24"/>
        </w:rPr>
        <w:t xml:space="preserve">. </w:t>
      </w:r>
    </w:p>
    <w:p w14:paraId="4486EE73" w14:textId="77777777" w:rsidR="00D61ED2" w:rsidRPr="00D61ED2" w:rsidRDefault="00D61ED2" w:rsidP="00D61ED2">
      <w:pPr>
        <w:ind w:left="851"/>
        <w:rPr>
          <w:sz w:val="24"/>
          <w:szCs w:val="24"/>
        </w:rPr>
      </w:pPr>
    </w:p>
    <w:p w14:paraId="0776894C" w14:textId="77777777" w:rsidR="00D61ED2" w:rsidRPr="00D61ED2" w:rsidRDefault="00D61ED2" w:rsidP="00D61ED2">
      <w:pPr>
        <w:ind w:left="851"/>
        <w:rPr>
          <w:sz w:val="24"/>
          <w:szCs w:val="24"/>
        </w:rPr>
      </w:pPr>
      <w:r w:rsidRPr="00D61ED2">
        <w:rPr>
          <w:sz w:val="24"/>
          <w:szCs w:val="24"/>
        </w:rPr>
        <w:t xml:space="preserve">Til behandling af osteomyelitis forårsaget af </w:t>
      </w:r>
      <w:r w:rsidRPr="00D61ED2">
        <w:rPr>
          <w:i/>
          <w:sz w:val="24"/>
          <w:szCs w:val="24"/>
        </w:rPr>
        <w:t>Staphylococcus aureus</w:t>
      </w:r>
      <w:r w:rsidRPr="00D61ED2">
        <w:rPr>
          <w:sz w:val="24"/>
          <w:szCs w:val="24"/>
        </w:rPr>
        <w:t xml:space="preserve">. </w:t>
      </w:r>
    </w:p>
    <w:p w14:paraId="3C08754E" w14:textId="030782F7" w:rsidR="00403127" w:rsidRPr="002A7531" w:rsidRDefault="00403127" w:rsidP="00D61ED2">
      <w:pPr>
        <w:rPr>
          <w:sz w:val="24"/>
          <w:szCs w:val="24"/>
        </w:rPr>
      </w:pPr>
    </w:p>
    <w:p w14:paraId="31116A58" w14:textId="77777777" w:rsidR="00FA66E4" w:rsidRPr="002A7531" w:rsidRDefault="00FA66E4" w:rsidP="002A7531">
      <w:pPr>
        <w:pStyle w:val="Sidehoved"/>
        <w:tabs>
          <w:tab w:val="clear" w:pos="4819"/>
          <w:tab w:val="clear" w:pos="9638"/>
        </w:tabs>
        <w:ind w:left="851" w:hanging="851"/>
        <w:rPr>
          <w:b/>
          <w:szCs w:val="24"/>
        </w:rPr>
      </w:pPr>
      <w:r w:rsidRPr="002A7531">
        <w:rPr>
          <w:b/>
          <w:szCs w:val="24"/>
        </w:rPr>
        <w:t>4.3</w:t>
      </w:r>
      <w:r w:rsidRPr="002A7531">
        <w:rPr>
          <w:b/>
          <w:szCs w:val="24"/>
        </w:rPr>
        <w:tab/>
        <w:t>Kontraindikationer</w:t>
      </w:r>
    </w:p>
    <w:p w14:paraId="35AFBB25" w14:textId="5CDC6D25" w:rsidR="00403127" w:rsidRPr="002A7531" w:rsidRDefault="00403127" w:rsidP="002A7531">
      <w:pPr>
        <w:ind w:left="851"/>
        <w:rPr>
          <w:sz w:val="24"/>
          <w:szCs w:val="24"/>
        </w:rPr>
      </w:pPr>
      <w:r w:rsidRPr="002A7531">
        <w:rPr>
          <w:sz w:val="24"/>
          <w:szCs w:val="24"/>
        </w:rPr>
        <w:t xml:space="preserve">Bør ikke anvendes i tilfælde af overfølsomhed over for clindamycin, lincomycin eller pirlimycin eller over for et eller flere af hjælpestofferne. </w:t>
      </w:r>
    </w:p>
    <w:p w14:paraId="31AB45F8" w14:textId="77777777" w:rsidR="00403127" w:rsidRPr="002A7531" w:rsidRDefault="00403127" w:rsidP="002A7531">
      <w:pPr>
        <w:ind w:left="851" w:hanging="851"/>
        <w:rPr>
          <w:sz w:val="24"/>
          <w:szCs w:val="24"/>
        </w:rPr>
      </w:pPr>
    </w:p>
    <w:p w14:paraId="12A81888" w14:textId="77777777" w:rsidR="00403127" w:rsidRPr="002A7531" w:rsidRDefault="00403127" w:rsidP="002A7531">
      <w:pPr>
        <w:ind w:left="851"/>
        <w:rPr>
          <w:sz w:val="24"/>
          <w:szCs w:val="24"/>
        </w:rPr>
      </w:pPr>
      <w:r w:rsidRPr="002A7531">
        <w:rPr>
          <w:sz w:val="24"/>
          <w:szCs w:val="24"/>
        </w:rPr>
        <w:t>Bør ikke gives til kaniner, hamstere, marsvin, chinchillaer, heste eller drøvtyggere, da indtagelse af clindamycin af disse arter kan resultere i alvorlig gastrointestinal forstyrrelse.</w:t>
      </w:r>
    </w:p>
    <w:p w14:paraId="4894D97E" w14:textId="77777777" w:rsidR="00FA66E4" w:rsidRPr="002A7531" w:rsidRDefault="00FA66E4" w:rsidP="002A7531">
      <w:pPr>
        <w:pStyle w:val="Sidehoved"/>
        <w:tabs>
          <w:tab w:val="clear" w:pos="4819"/>
          <w:tab w:val="clear" w:pos="9638"/>
        </w:tabs>
        <w:ind w:left="851" w:hanging="851"/>
        <w:rPr>
          <w:szCs w:val="24"/>
        </w:rPr>
      </w:pPr>
    </w:p>
    <w:p w14:paraId="11689077" w14:textId="77777777" w:rsidR="00FA66E4" w:rsidRPr="002A7531" w:rsidRDefault="00FA66E4" w:rsidP="002A7531">
      <w:pPr>
        <w:ind w:left="851" w:hanging="851"/>
        <w:rPr>
          <w:b/>
          <w:sz w:val="24"/>
          <w:szCs w:val="24"/>
        </w:rPr>
      </w:pPr>
      <w:r w:rsidRPr="002A7531">
        <w:rPr>
          <w:b/>
          <w:sz w:val="24"/>
          <w:szCs w:val="24"/>
        </w:rPr>
        <w:t>4.4</w:t>
      </w:r>
      <w:r w:rsidRPr="002A7531">
        <w:rPr>
          <w:b/>
          <w:sz w:val="24"/>
          <w:szCs w:val="24"/>
        </w:rPr>
        <w:tab/>
        <w:t>Særlige advarsler</w:t>
      </w:r>
    </w:p>
    <w:p w14:paraId="11A01253" w14:textId="77777777" w:rsidR="00403127" w:rsidRPr="002A7531" w:rsidRDefault="00FA66E4" w:rsidP="002A7531">
      <w:pPr>
        <w:ind w:left="851" w:hanging="851"/>
        <w:rPr>
          <w:sz w:val="24"/>
          <w:szCs w:val="24"/>
        </w:rPr>
      </w:pPr>
      <w:r w:rsidRPr="002A7531">
        <w:rPr>
          <w:sz w:val="24"/>
          <w:szCs w:val="24"/>
        </w:rPr>
        <w:tab/>
      </w:r>
      <w:r w:rsidR="00403127" w:rsidRPr="002A7531">
        <w:rPr>
          <w:sz w:val="24"/>
          <w:szCs w:val="24"/>
        </w:rPr>
        <w:t>Ingen.</w:t>
      </w:r>
    </w:p>
    <w:p w14:paraId="4D482D5D" w14:textId="77777777" w:rsidR="00FA66E4" w:rsidRPr="002A7531" w:rsidRDefault="00FA66E4" w:rsidP="002A7531">
      <w:pPr>
        <w:pStyle w:val="Sidehoved"/>
        <w:tabs>
          <w:tab w:val="clear" w:pos="4819"/>
          <w:tab w:val="clear" w:pos="9638"/>
        </w:tabs>
        <w:ind w:left="851" w:hanging="851"/>
        <w:rPr>
          <w:szCs w:val="24"/>
        </w:rPr>
      </w:pPr>
    </w:p>
    <w:p w14:paraId="65011656" w14:textId="77777777" w:rsidR="00FA66E4" w:rsidRPr="002A7531" w:rsidRDefault="00FA66E4" w:rsidP="002A7531">
      <w:pPr>
        <w:ind w:left="851" w:hanging="851"/>
        <w:rPr>
          <w:b/>
          <w:sz w:val="24"/>
          <w:szCs w:val="24"/>
        </w:rPr>
      </w:pPr>
      <w:r w:rsidRPr="002A7531">
        <w:rPr>
          <w:b/>
          <w:sz w:val="24"/>
          <w:szCs w:val="24"/>
        </w:rPr>
        <w:t>4.5</w:t>
      </w:r>
      <w:r w:rsidRPr="002A7531">
        <w:rPr>
          <w:b/>
          <w:sz w:val="24"/>
          <w:szCs w:val="24"/>
        </w:rPr>
        <w:tab/>
        <w:t>Særlige forsigtighedsregler vedrørende brugen</w:t>
      </w:r>
    </w:p>
    <w:p w14:paraId="75C2BB01" w14:textId="77777777" w:rsidR="00FA66E4" w:rsidRPr="002A7531" w:rsidRDefault="00FA66E4" w:rsidP="002A7531">
      <w:pPr>
        <w:ind w:left="851" w:hanging="851"/>
        <w:rPr>
          <w:b/>
          <w:sz w:val="24"/>
          <w:szCs w:val="24"/>
        </w:rPr>
      </w:pPr>
      <w:r w:rsidRPr="002A7531">
        <w:rPr>
          <w:b/>
          <w:sz w:val="24"/>
          <w:szCs w:val="24"/>
        </w:rPr>
        <w:tab/>
      </w:r>
    </w:p>
    <w:p w14:paraId="4A8D066E" w14:textId="77777777" w:rsidR="00FA66E4" w:rsidRPr="002A7531" w:rsidRDefault="00FA66E4" w:rsidP="002A7531">
      <w:pPr>
        <w:ind w:left="851" w:hanging="851"/>
        <w:rPr>
          <w:b/>
          <w:sz w:val="24"/>
          <w:szCs w:val="24"/>
        </w:rPr>
      </w:pPr>
      <w:r w:rsidRPr="002A7531">
        <w:rPr>
          <w:b/>
          <w:sz w:val="24"/>
          <w:szCs w:val="24"/>
        </w:rPr>
        <w:tab/>
        <w:t>Særlige forsigtighedsregler for dyret</w:t>
      </w:r>
    </w:p>
    <w:p w14:paraId="6483F0F3" w14:textId="42A9ABA3" w:rsidR="00D61ED2" w:rsidRPr="00D61ED2" w:rsidRDefault="00D61ED2" w:rsidP="00D61ED2">
      <w:pPr>
        <w:ind w:left="851"/>
        <w:rPr>
          <w:sz w:val="24"/>
          <w:szCs w:val="24"/>
        </w:rPr>
      </w:pPr>
      <w:r w:rsidRPr="00D61ED2">
        <w:rPr>
          <w:sz w:val="24"/>
          <w:szCs w:val="24"/>
        </w:rPr>
        <w:t>Ved længerevarende behandling på en måned eller mere, bør der foretages periodiske lever- og nyrefunktionstests og blodtællinger. Hos dyr med svære nyre- og/eller leverforstyrrelser ledsaget af svære metaboliske afvigelser bør der doseres med forsigtighed og overvåges ved serumundersøgelse under behandling med clindamycin.</w:t>
      </w:r>
    </w:p>
    <w:p w14:paraId="34BF9469" w14:textId="77777777" w:rsidR="00D61ED2" w:rsidRPr="00D61ED2" w:rsidRDefault="00D61ED2" w:rsidP="00D61ED2">
      <w:pPr>
        <w:ind w:left="851"/>
        <w:rPr>
          <w:sz w:val="24"/>
          <w:szCs w:val="24"/>
        </w:rPr>
      </w:pPr>
      <w:r w:rsidRPr="00D61ED2">
        <w:rPr>
          <w:sz w:val="24"/>
          <w:szCs w:val="24"/>
        </w:rPr>
        <w:t xml:space="preserve">Uhensigtsmæssig brug af produktet eller afvigelser fra instruktionerne i produktresuméet kan øge forekomsten af clindamycinresistente bakterier og kan nedsætte effekten af behandling med lincomycin og makrolid antimikrobielle stoffer grundet muligheden for krydsresistens.   </w:t>
      </w:r>
    </w:p>
    <w:p w14:paraId="34AD5CD5" w14:textId="77777777" w:rsidR="00D61ED2" w:rsidRPr="00D61ED2" w:rsidRDefault="00D61ED2" w:rsidP="00D61ED2">
      <w:pPr>
        <w:ind w:left="851"/>
        <w:rPr>
          <w:sz w:val="24"/>
          <w:szCs w:val="24"/>
        </w:rPr>
      </w:pPr>
      <w:r w:rsidRPr="00D61ED2">
        <w:rPr>
          <w:sz w:val="24"/>
          <w:szCs w:val="24"/>
        </w:rPr>
        <w:t xml:space="preserve">Clindamycin bør først anvendes, når resistensbestemmelse af bakterierne, som er isoleret fra dyret, er blevet undersøgt. </w:t>
      </w:r>
    </w:p>
    <w:p w14:paraId="79CF254D" w14:textId="77777777" w:rsidR="00D61ED2" w:rsidRPr="00D61ED2" w:rsidRDefault="00D61ED2" w:rsidP="00D61ED2">
      <w:pPr>
        <w:ind w:left="851"/>
        <w:rPr>
          <w:sz w:val="24"/>
          <w:szCs w:val="24"/>
        </w:rPr>
      </w:pPr>
      <w:r w:rsidRPr="00D61ED2">
        <w:rPr>
          <w:sz w:val="24"/>
          <w:szCs w:val="24"/>
        </w:rPr>
        <w:t xml:space="preserve">Nationale og lokale retningslinjer vedrørende brug af antibiotika bør efterleves, når produktet tages i brug. </w:t>
      </w:r>
    </w:p>
    <w:p w14:paraId="1AD6F795" w14:textId="77777777" w:rsidR="00D61ED2" w:rsidRPr="00D61ED2" w:rsidRDefault="00D61ED2" w:rsidP="00D61ED2">
      <w:pPr>
        <w:ind w:left="851"/>
        <w:rPr>
          <w:sz w:val="24"/>
          <w:szCs w:val="24"/>
        </w:rPr>
      </w:pPr>
      <w:r w:rsidRPr="00D61ED2">
        <w:rPr>
          <w:sz w:val="24"/>
          <w:szCs w:val="24"/>
        </w:rPr>
        <w:t xml:space="preserve">Clindamycin og erythromycin viser parallel-resistens med lincomycin og co-resistens med andre makrolide antibiotika. Der er en delvis krydsresistens over for erythromycin og andre makrolider. </w:t>
      </w:r>
    </w:p>
    <w:p w14:paraId="7028DAAD" w14:textId="77777777" w:rsidR="00FA66E4" w:rsidRPr="002A7531" w:rsidRDefault="00FA66E4" w:rsidP="002A7531">
      <w:pPr>
        <w:ind w:left="851" w:hanging="851"/>
        <w:rPr>
          <w:sz w:val="24"/>
          <w:szCs w:val="24"/>
        </w:rPr>
      </w:pPr>
    </w:p>
    <w:p w14:paraId="6A5A105D" w14:textId="77777777" w:rsidR="00FA66E4" w:rsidRPr="002A7531" w:rsidRDefault="00FA66E4" w:rsidP="002A7531">
      <w:pPr>
        <w:ind w:left="851" w:hanging="851"/>
        <w:rPr>
          <w:b/>
          <w:sz w:val="24"/>
          <w:szCs w:val="24"/>
        </w:rPr>
      </w:pPr>
      <w:r w:rsidRPr="002A7531">
        <w:rPr>
          <w:sz w:val="24"/>
          <w:szCs w:val="24"/>
        </w:rPr>
        <w:tab/>
      </w:r>
      <w:r w:rsidRPr="002A7531">
        <w:rPr>
          <w:b/>
          <w:sz w:val="24"/>
          <w:szCs w:val="24"/>
        </w:rPr>
        <w:t>Særlige forsigtighedsregler for personer, der administrerer lægemidlet</w:t>
      </w:r>
    </w:p>
    <w:p w14:paraId="35E21539" w14:textId="673F970F" w:rsidR="00D61ED2" w:rsidRPr="00D61ED2" w:rsidRDefault="00D61ED2" w:rsidP="00D61ED2">
      <w:pPr>
        <w:ind w:left="851"/>
        <w:rPr>
          <w:sz w:val="24"/>
          <w:szCs w:val="24"/>
        </w:rPr>
      </w:pPr>
      <w:r w:rsidRPr="00D61ED2">
        <w:rPr>
          <w:sz w:val="24"/>
          <w:szCs w:val="24"/>
        </w:rPr>
        <w:t>Personer med kendt overfølsomhed overfor lincosamider (pirlimycin, lincomycin, clindamycin) bør undgå kontakt med lægemidlet.</w:t>
      </w:r>
    </w:p>
    <w:p w14:paraId="3D54F9C8" w14:textId="77777777" w:rsidR="00D61ED2" w:rsidRPr="00D61ED2" w:rsidRDefault="00D61ED2" w:rsidP="00D61ED2">
      <w:pPr>
        <w:ind w:left="851"/>
        <w:rPr>
          <w:sz w:val="24"/>
          <w:szCs w:val="24"/>
        </w:rPr>
      </w:pPr>
      <w:r w:rsidRPr="00D61ED2">
        <w:rPr>
          <w:sz w:val="24"/>
          <w:szCs w:val="24"/>
        </w:rPr>
        <w:t>Vask hænder efter håndtering af kapslerne.</w:t>
      </w:r>
    </w:p>
    <w:p w14:paraId="7FFF51D5" w14:textId="77777777" w:rsidR="00D61ED2" w:rsidRPr="00D61ED2" w:rsidRDefault="00D61ED2" w:rsidP="00D61ED2">
      <w:pPr>
        <w:ind w:left="851"/>
        <w:rPr>
          <w:sz w:val="24"/>
          <w:szCs w:val="24"/>
        </w:rPr>
      </w:pPr>
      <w:r w:rsidRPr="00D61ED2">
        <w:rPr>
          <w:sz w:val="24"/>
          <w:szCs w:val="24"/>
        </w:rPr>
        <w:t>Der må ikke spises, drikkes eller ryges i forbindelse med håndtering af produktet.</w:t>
      </w:r>
    </w:p>
    <w:p w14:paraId="00F352F7" w14:textId="77777777" w:rsidR="00D61ED2" w:rsidRPr="00D61ED2" w:rsidRDefault="00D61ED2" w:rsidP="00D61ED2">
      <w:pPr>
        <w:ind w:left="851"/>
        <w:rPr>
          <w:sz w:val="24"/>
          <w:szCs w:val="24"/>
        </w:rPr>
      </w:pPr>
      <w:r w:rsidRPr="00D61ED2">
        <w:rPr>
          <w:sz w:val="24"/>
          <w:szCs w:val="24"/>
        </w:rPr>
        <w:t>Utilsigtet indtagelse kan resultere i gastrointestinale bivirkninger så som mavesmerter og diarré.</w:t>
      </w:r>
    </w:p>
    <w:p w14:paraId="11C28781" w14:textId="77777777" w:rsidR="00D61ED2" w:rsidRPr="00D61ED2" w:rsidRDefault="00D61ED2" w:rsidP="00D61ED2">
      <w:pPr>
        <w:ind w:left="851"/>
        <w:rPr>
          <w:sz w:val="24"/>
          <w:szCs w:val="24"/>
        </w:rPr>
      </w:pPr>
      <w:r w:rsidRPr="00D61ED2">
        <w:rPr>
          <w:sz w:val="24"/>
          <w:szCs w:val="24"/>
        </w:rPr>
        <w:t xml:space="preserve">Forsigtighed bør udvises for at undgå utilsigtet indtagelse. </w:t>
      </w:r>
    </w:p>
    <w:p w14:paraId="6ED51510" w14:textId="77777777" w:rsidR="00D61ED2" w:rsidRPr="00D61ED2" w:rsidRDefault="00D61ED2" w:rsidP="00D61ED2">
      <w:pPr>
        <w:ind w:left="851"/>
        <w:rPr>
          <w:sz w:val="24"/>
          <w:szCs w:val="24"/>
        </w:rPr>
      </w:pPr>
      <w:r w:rsidRPr="00D61ED2">
        <w:rPr>
          <w:sz w:val="24"/>
          <w:szCs w:val="24"/>
        </w:rPr>
        <w:t>I tilfælde af utilsigtet indtagelse, især af børn, søg straks lægehjælp og vis indlægssedlen eller etiketten til lægen.</w:t>
      </w:r>
    </w:p>
    <w:p w14:paraId="1709DC0F" w14:textId="219A41FC" w:rsidR="00403127" w:rsidRPr="002A7531" w:rsidRDefault="00403127" w:rsidP="00D61ED2">
      <w:pPr>
        <w:ind w:left="851" w:hanging="851"/>
        <w:rPr>
          <w:sz w:val="24"/>
          <w:szCs w:val="24"/>
          <w:lang w:eastAsia="en-GB"/>
        </w:rPr>
      </w:pPr>
    </w:p>
    <w:p w14:paraId="6DC20100" w14:textId="77777777" w:rsidR="00FA66E4" w:rsidRPr="002A7531" w:rsidRDefault="00FA66E4" w:rsidP="002A7531">
      <w:pPr>
        <w:ind w:left="851" w:hanging="851"/>
        <w:rPr>
          <w:b/>
          <w:sz w:val="24"/>
          <w:szCs w:val="24"/>
        </w:rPr>
      </w:pPr>
      <w:r w:rsidRPr="002A7531">
        <w:rPr>
          <w:sz w:val="24"/>
          <w:szCs w:val="24"/>
        </w:rPr>
        <w:tab/>
      </w:r>
      <w:r w:rsidRPr="002A7531">
        <w:rPr>
          <w:b/>
          <w:sz w:val="24"/>
          <w:szCs w:val="24"/>
        </w:rPr>
        <w:t>Andre forsigtighedsregler</w:t>
      </w:r>
    </w:p>
    <w:p w14:paraId="46AD4F31" w14:textId="2DE70B67" w:rsidR="00FA66E4" w:rsidRPr="002A7531" w:rsidRDefault="00FA66E4" w:rsidP="002A7531">
      <w:pPr>
        <w:ind w:left="851" w:hanging="851"/>
        <w:rPr>
          <w:sz w:val="24"/>
          <w:szCs w:val="24"/>
        </w:rPr>
      </w:pPr>
      <w:r w:rsidRPr="002A7531">
        <w:rPr>
          <w:sz w:val="24"/>
          <w:szCs w:val="24"/>
        </w:rPr>
        <w:tab/>
      </w:r>
      <w:r w:rsidR="00403127" w:rsidRPr="002A7531">
        <w:rPr>
          <w:sz w:val="24"/>
          <w:szCs w:val="24"/>
        </w:rPr>
        <w:t>-</w:t>
      </w:r>
    </w:p>
    <w:p w14:paraId="01C3DDC0" w14:textId="77777777" w:rsidR="00FA66E4" w:rsidRPr="002A7531" w:rsidRDefault="00FA66E4" w:rsidP="002A7531">
      <w:pPr>
        <w:ind w:left="851" w:hanging="851"/>
        <w:rPr>
          <w:sz w:val="24"/>
          <w:szCs w:val="24"/>
        </w:rPr>
      </w:pPr>
    </w:p>
    <w:p w14:paraId="521EC526" w14:textId="77777777" w:rsidR="00FA66E4" w:rsidRPr="002A7531" w:rsidRDefault="00FA66E4" w:rsidP="002A7531">
      <w:pPr>
        <w:ind w:left="851" w:hanging="851"/>
        <w:rPr>
          <w:b/>
          <w:sz w:val="24"/>
          <w:szCs w:val="24"/>
        </w:rPr>
      </w:pPr>
      <w:r w:rsidRPr="002A7531">
        <w:rPr>
          <w:b/>
          <w:sz w:val="24"/>
          <w:szCs w:val="24"/>
        </w:rPr>
        <w:t>4.6</w:t>
      </w:r>
      <w:r w:rsidRPr="002A7531">
        <w:rPr>
          <w:b/>
          <w:sz w:val="24"/>
          <w:szCs w:val="24"/>
        </w:rPr>
        <w:tab/>
        <w:t>Bivirkninger</w:t>
      </w:r>
    </w:p>
    <w:p w14:paraId="6C01DB80" w14:textId="49C503FA" w:rsidR="00F74B76" w:rsidRPr="00F74B76" w:rsidRDefault="00F74B76" w:rsidP="00F74B76">
      <w:pPr>
        <w:ind w:left="851"/>
        <w:rPr>
          <w:sz w:val="24"/>
          <w:szCs w:val="24"/>
        </w:rPr>
      </w:pPr>
      <w:r w:rsidRPr="00F74B76">
        <w:rPr>
          <w:sz w:val="24"/>
          <w:szCs w:val="24"/>
        </w:rPr>
        <w:t xml:space="preserve">Opkast og diarré er ikke almindelige observerede bivirkninger. Clindamyocin kan forårsage overvækst af ikke-sensitive organismer, såsom resistente </w:t>
      </w:r>
      <w:r w:rsidRPr="00F74B76">
        <w:rPr>
          <w:i/>
          <w:sz w:val="24"/>
          <w:szCs w:val="24"/>
        </w:rPr>
        <w:t>Clostridia</w:t>
      </w:r>
      <w:r w:rsidRPr="00F74B76">
        <w:rPr>
          <w:sz w:val="24"/>
          <w:szCs w:val="24"/>
        </w:rPr>
        <w:t xml:space="preserve"> og gær. Dette er en ikke almindelig bivirkning.</w:t>
      </w:r>
    </w:p>
    <w:p w14:paraId="1E4EBB4F" w14:textId="26541B7C" w:rsidR="00F74B76" w:rsidRPr="00F74B76" w:rsidRDefault="00F74B76" w:rsidP="00F74B76">
      <w:pPr>
        <w:ind w:left="851"/>
        <w:rPr>
          <w:sz w:val="24"/>
          <w:szCs w:val="24"/>
        </w:rPr>
      </w:pPr>
      <w:r w:rsidRPr="00F74B76">
        <w:rPr>
          <w:sz w:val="24"/>
          <w:szCs w:val="24"/>
        </w:rPr>
        <w:t xml:space="preserve">Hvis der opstår </w:t>
      </w:r>
      <w:r>
        <w:rPr>
          <w:sz w:val="24"/>
          <w:szCs w:val="24"/>
        </w:rPr>
        <w:t>super</w:t>
      </w:r>
      <w:r w:rsidRPr="00F74B76">
        <w:rPr>
          <w:sz w:val="24"/>
          <w:szCs w:val="24"/>
        </w:rPr>
        <w:t>infektion bør passende foranstaltninger træffes, baseret på den kliniske situation.</w:t>
      </w:r>
    </w:p>
    <w:p w14:paraId="4D747846" w14:textId="77777777" w:rsidR="00F74B76" w:rsidRPr="00F74B76" w:rsidRDefault="00F74B76" w:rsidP="00F74B76">
      <w:pPr>
        <w:ind w:left="851"/>
        <w:rPr>
          <w:sz w:val="24"/>
          <w:szCs w:val="24"/>
        </w:rPr>
      </w:pPr>
    </w:p>
    <w:p w14:paraId="08370693" w14:textId="77777777" w:rsidR="00F74B76" w:rsidRPr="00F74B76" w:rsidRDefault="00F74B76" w:rsidP="00F74B76">
      <w:pPr>
        <w:ind w:left="851"/>
        <w:rPr>
          <w:sz w:val="24"/>
          <w:szCs w:val="24"/>
        </w:rPr>
      </w:pPr>
      <w:r w:rsidRPr="00F74B76">
        <w:rPr>
          <w:sz w:val="24"/>
          <w:szCs w:val="24"/>
        </w:rPr>
        <w:t>Hyppigheden af bivirkninger er defineret som:</w:t>
      </w:r>
    </w:p>
    <w:p w14:paraId="4203F385" w14:textId="77777777" w:rsidR="00F74B76" w:rsidRPr="00F74B76" w:rsidRDefault="00F74B76" w:rsidP="00F74B76">
      <w:pPr>
        <w:ind w:left="851"/>
        <w:rPr>
          <w:sz w:val="24"/>
          <w:szCs w:val="24"/>
        </w:rPr>
      </w:pPr>
      <w:r w:rsidRPr="00F74B76">
        <w:rPr>
          <w:sz w:val="24"/>
          <w:szCs w:val="24"/>
        </w:rPr>
        <w:t>- Meget almindelig (flere end 1 ud af 10 behandlede dyr, der viser bivirkninger i løbet af en behandling)</w:t>
      </w:r>
    </w:p>
    <w:p w14:paraId="2CA1FF0C" w14:textId="77777777" w:rsidR="00F74B76" w:rsidRPr="00F74B76" w:rsidRDefault="00F74B76" w:rsidP="00F74B76">
      <w:pPr>
        <w:ind w:left="851"/>
        <w:rPr>
          <w:sz w:val="24"/>
          <w:szCs w:val="24"/>
        </w:rPr>
      </w:pPr>
      <w:r w:rsidRPr="00F74B76">
        <w:rPr>
          <w:sz w:val="24"/>
          <w:szCs w:val="24"/>
        </w:rPr>
        <w:t>- Almindelige (flere end 1, men færre end 10 dyr af 100 behandlede dyr)</w:t>
      </w:r>
    </w:p>
    <w:p w14:paraId="5DC23F02" w14:textId="77777777" w:rsidR="00F74B76" w:rsidRPr="00F74B76" w:rsidRDefault="00F74B76" w:rsidP="00F74B76">
      <w:pPr>
        <w:ind w:left="851"/>
        <w:rPr>
          <w:sz w:val="24"/>
          <w:szCs w:val="24"/>
        </w:rPr>
      </w:pPr>
      <w:r w:rsidRPr="00F74B76">
        <w:rPr>
          <w:sz w:val="24"/>
          <w:szCs w:val="24"/>
        </w:rPr>
        <w:t>- Ikke almindelige (flere end 1, men færre end 10 dyr af 1.000 behandlede dyr)</w:t>
      </w:r>
    </w:p>
    <w:p w14:paraId="7FF80CC9" w14:textId="77777777" w:rsidR="00F74B76" w:rsidRPr="00F74B76" w:rsidRDefault="00F74B76" w:rsidP="00F74B76">
      <w:pPr>
        <w:ind w:left="851"/>
        <w:rPr>
          <w:sz w:val="24"/>
          <w:szCs w:val="24"/>
        </w:rPr>
      </w:pPr>
      <w:r w:rsidRPr="00F74B76">
        <w:rPr>
          <w:sz w:val="24"/>
          <w:szCs w:val="24"/>
        </w:rPr>
        <w:t>- Sjældne (flere end 1, men færre end 10 dyr ud af 10.000 behandlede dyr)</w:t>
      </w:r>
    </w:p>
    <w:p w14:paraId="6A0F6BC9" w14:textId="77777777" w:rsidR="00F74B76" w:rsidRPr="00F74B76" w:rsidRDefault="00F74B76" w:rsidP="00F74B76">
      <w:pPr>
        <w:ind w:left="851"/>
        <w:rPr>
          <w:sz w:val="24"/>
          <w:szCs w:val="24"/>
        </w:rPr>
      </w:pPr>
      <w:r w:rsidRPr="00F74B76">
        <w:rPr>
          <w:sz w:val="24"/>
          <w:szCs w:val="24"/>
        </w:rPr>
        <w:t xml:space="preserve">- Meget sjælden (færre end 1 dyr ud af 10.000 behandlede dyr, herunder isolerede rapporter). </w:t>
      </w:r>
    </w:p>
    <w:p w14:paraId="03F2D88E" w14:textId="24F1D194" w:rsidR="00403127" w:rsidRPr="002A7531" w:rsidRDefault="00403127" w:rsidP="00F74B76">
      <w:pPr>
        <w:ind w:left="851"/>
        <w:rPr>
          <w:sz w:val="24"/>
          <w:szCs w:val="24"/>
        </w:rPr>
      </w:pPr>
    </w:p>
    <w:p w14:paraId="4A6506F0" w14:textId="77777777" w:rsidR="00FA66E4" w:rsidRPr="002A7531" w:rsidRDefault="00FA66E4" w:rsidP="002A7531">
      <w:pPr>
        <w:ind w:left="851" w:hanging="851"/>
        <w:rPr>
          <w:b/>
          <w:sz w:val="24"/>
          <w:szCs w:val="24"/>
        </w:rPr>
      </w:pPr>
      <w:r w:rsidRPr="002A7531">
        <w:rPr>
          <w:b/>
          <w:sz w:val="24"/>
          <w:szCs w:val="24"/>
        </w:rPr>
        <w:t>4.7</w:t>
      </w:r>
      <w:r w:rsidRPr="002A7531">
        <w:rPr>
          <w:b/>
          <w:sz w:val="24"/>
          <w:szCs w:val="24"/>
        </w:rPr>
        <w:tab/>
        <w:t>Drægtighed, diegivning eller æglægning</w:t>
      </w:r>
    </w:p>
    <w:p w14:paraId="39E24E14" w14:textId="6BCA2080" w:rsidR="00403127" w:rsidRPr="002A7531" w:rsidRDefault="00FA66E4" w:rsidP="002A7531">
      <w:pPr>
        <w:ind w:left="851" w:hanging="851"/>
        <w:rPr>
          <w:sz w:val="24"/>
          <w:szCs w:val="24"/>
        </w:rPr>
      </w:pPr>
      <w:r w:rsidRPr="002A7531">
        <w:rPr>
          <w:sz w:val="24"/>
          <w:szCs w:val="24"/>
        </w:rPr>
        <w:tab/>
      </w:r>
      <w:r w:rsidR="00403127" w:rsidRPr="002A7531">
        <w:rPr>
          <w:sz w:val="24"/>
          <w:szCs w:val="24"/>
        </w:rPr>
        <w:t xml:space="preserve">Højdosis-studier af rotter viser, at clindamycin ikke er teratogent og ikke påvirker avlsevnen hos hunner og hanner signifikant. Veterinærlægemidlets sikkerhed under drægtighed eller diegivning eller hos avlshanhunde er ikke undersøgt. Derfor må det kun anvendes i overensstemmelse med den ansvarlige dyrlæges vurdering af risk-benefit-forholdet. Clindamycin kan passere blod-mælk barrieren. Som konsekvens heraf kan behandling af </w:t>
      </w:r>
      <w:r w:rsidR="002C3A45">
        <w:rPr>
          <w:sz w:val="24"/>
          <w:szCs w:val="24"/>
        </w:rPr>
        <w:t>diegivende</w:t>
      </w:r>
      <w:r w:rsidR="00403127" w:rsidRPr="002A7531">
        <w:rPr>
          <w:sz w:val="24"/>
          <w:szCs w:val="24"/>
        </w:rPr>
        <w:t xml:space="preserve"> hunner medføre diarré hos ungerne.</w:t>
      </w:r>
    </w:p>
    <w:p w14:paraId="35B48884" w14:textId="77777777" w:rsidR="00FA66E4" w:rsidRPr="002A7531" w:rsidRDefault="00FA66E4" w:rsidP="002A7531">
      <w:pPr>
        <w:ind w:left="851" w:hanging="851"/>
        <w:rPr>
          <w:sz w:val="24"/>
          <w:szCs w:val="24"/>
        </w:rPr>
      </w:pPr>
    </w:p>
    <w:p w14:paraId="69E5F57C" w14:textId="77777777" w:rsidR="00FA66E4" w:rsidRPr="002A7531" w:rsidRDefault="00FA66E4" w:rsidP="002A7531">
      <w:pPr>
        <w:ind w:left="851" w:hanging="851"/>
        <w:rPr>
          <w:b/>
          <w:sz w:val="24"/>
          <w:szCs w:val="24"/>
        </w:rPr>
      </w:pPr>
      <w:r w:rsidRPr="002A7531">
        <w:rPr>
          <w:b/>
          <w:sz w:val="24"/>
          <w:szCs w:val="24"/>
        </w:rPr>
        <w:t>4.8</w:t>
      </w:r>
      <w:r w:rsidRPr="002A7531">
        <w:rPr>
          <w:b/>
          <w:sz w:val="24"/>
          <w:szCs w:val="24"/>
        </w:rPr>
        <w:tab/>
        <w:t>Interaktion med andre lægemidler og andre former for interaktion</w:t>
      </w:r>
    </w:p>
    <w:p w14:paraId="1CE1AA0B" w14:textId="74B5671A" w:rsidR="00403127" w:rsidRPr="002A7531" w:rsidRDefault="00FA66E4" w:rsidP="002A7531">
      <w:pPr>
        <w:ind w:left="851" w:hanging="851"/>
        <w:rPr>
          <w:sz w:val="24"/>
          <w:szCs w:val="24"/>
          <w:lang w:eastAsia="en-GB"/>
        </w:rPr>
      </w:pPr>
      <w:r w:rsidRPr="002A7531">
        <w:rPr>
          <w:sz w:val="24"/>
          <w:szCs w:val="24"/>
        </w:rPr>
        <w:tab/>
      </w:r>
      <w:r w:rsidR="00403127" w:rsidRPr="002A7531">
        <w:rPr>
          <w:sz w:val="24"/>
          <w:szCs w:val="24"/>
          <w:lang w:eastAsia="en-GB"/>
        </w:rPr>
        <w:t>Det er påvist, at clindamycin har neuromuskulærblokerende effekt, hvilket kan forstærke effekten af andre neuromuskulærtblokerende stoffer. Samtidig anvendelse af sådanne præparater skal ske med forsigtighed. Clindamycin må ikke anve</w:t>
      </w:r>
      <w:r w:rsidR="002C3A45">
        <w:rPr>
          <w:sz w:val="24"/>
          <w:szCs w:val="24"/>
          <w:lang w:eastAsia="en-GB"/>
        </w:rPr>
        <w:t>ndes sammen med ch</w:t>
      </w:r>
      <w:r w:rsidR="00403127" w:rsidRPr="002A7531">
        <w:rPr>
          <w:sz w:val="24"/>
          <w:szCs w:val="24"/>
          <w:lang w:eastAsia="en-GB"/>
        </w:rPr>
        <w:t>loramfenikol eller makrolider, idet de har samme bindingssted på ribosom 50-S-</w:t>
      </w:r>
      <w:r w:rsidR="00403127" w:rsidRPr="002A7531">
        <w:rPr>
          <w:i/>
          <w:sz w:val="24"/>
          <w:szCs w:val="24"/>
          <w:lang w:eastAsia="en-GB"/>
        </w:rPr>
        <w:t>subunit</w:t>
      </w:r>
      <w:r w:rsidR="00403127" w:rsidRPr="002A7531">
        <w:rPr>
          <w:sz w:val="24"/>
          <w:szCs w:val="24"/>
          <w:lang w:eastAsia="en-GB"/>
        </w:rPr>
        <w:t xml:space="preserve">, og antagonistiske virkninger kan forekomme. Ved samtidig anvendelse af clindamycin og </w:t>
      </w:r>
      <w:r w:rsidR="00403127" w:rsidRPr="002A7531">
        <w:rPr>
          <w:sz w:val="24"/>
          <w:szCs w:val="24"/>
          <w:lang w:eastAsia="en-GB"/>
        </w:rPr>
        <w:lastRenderedPageBreak/>
        <w:t xml:space="preserve">aminoglykosider (f.eks. gentamicin), kan risikoen for bivirkninger (akut nyresvigt) ikke udelukkes. </w:t>
      </w:r>
    </w:p>
    <w:p w14:paraId="18453660" w14:textId="77777777" w:rsidR="00403127" w:rsidRPr="002A7531" w:rsidRDefault="00403127" w:rsidP="002A7531">
      <w:pPr>
        <w:ind w:left="851"/>
        <w:rPr>
          <w:sz w:val="24"/>
          <w:szCs w:val="24"/>
          <w:lang w:eastAsia="en-GB"/>
        </w:rPr>
      </w:pPr>
      <w:r w:rsidRPr="002A7531">
        <w:rPr>
          <w:sz w:val="24"/>
          <w:szCs w:val="24"/>
          <w:lang w:eastAsia="en-GB"/>
        </w:rPr>
        <w:t>Clindamycin kan reducere ciclosporin-niveauet og samtidig anvendelse bør derfor undgås.</w:t>
      </w:r>
    </w:p>
    <w:p w14:paraId="599803E4" w14:textId="77777777" w:rsidR="00FA66E4" w:rsidRPr="002A7531" w:rsidRDefault="00FA66E4" w:rsidP="002A7531">
      <w:pPr>
        <w:ind w:left="851" w:hanging="851"/>
        <w:rPr>
          <w:sz w:val="24"/>
          <w:szCs w:val="24"/>
        </w:rPr>
      </w:pPr>
    </w:p>
    <w:p w14:paraId="37DA1D9E" w14:textId="77777777" w:rsidR="00FA66E4" w:rsidRPr="002A7531" w:rsidRDefault="00FA66E4" w:rsidP="002A7531">
      <w:pPr>
        <w:ind w:left="851" w:hanging="851"/>
        <w:rPr>
          <w:b/>
          <w:sz w:val="24"/>
          <w:szCs w:val="24"/>
        </w:rPr>
      </w:pPr>
      <w:r w:rsidRPr="002A7531">
        <w:rPr>
          <w:b/>
          <w:sz w:val="24"/>
          <w:szCs w:val="24"/>
        </w:rPr>
        <w:t>4.9</w:t>
      </w:r>
      <w:r w:rsidRPr="002A7531">
        <w:rPr>
          <w:b/>
          <w:sz w:val="24"/>
          <w:szCs w:val="24"/>
        </w:rPr>
        <w:tab/>
        <w:t>Dosering og indgivelsesmåde</w:t>
      </w:r>
    </w:p>
    <w:p w14:paraId="522C793F" w14:textId="77777777" w:rsidR="00403127" w:rsidRPr="002A7531" w:rsidRDefault="00FA66E4" w:rsidP="002A7531">
      <w:pPr>
        <w:ind w:left="851" w:hanging="851"/>
        <w:rPr>
          <w:sz w:val="24"/>
          <w:szCs w:val="24"/>
        </w:rPr>
      </w:pPr>
      <w:r w:rsidRPr="002A7531">
        <w:rPr>
          <w:sz w:val="24"/>
          <w:szCs w:val="24"/>
        </w:rPr>
        <w:tab/>
      </w:r>
      <w:r w:rsidR="00403127" w:rsidRPr="002A7531">
        <w:rPr>
          <w:sz w:val="24"/>
          <w:szCs w:val="24"/>
        </w:rPr>
        <w:t>Til oral anvendelse.</w:t>
      </w:r>
    </w:p>
    <w:p w14:paraId="0F343996" w14:textId="77777777" w:rsidR="00403127" w:rsidRPr="002A7531" w:rsidRDefault="00403127" w:rsidP="002A7531">
      <w:pPr>
        <w:ind w:left="851" w:hanging="851"/>
        <w:rPr>
          <w:sz w:val="24"/>
          <w:szCs w:val="24"/>
        </w:rPr>
      </w:pPr>
    </w:p>
    <w:p w14:paraId="6191DED8" w14:textId="69A21EAA" w:rsidR="00403127" w:rsidRPr="002A7531" w:rsidRDefault="00403127" w:rsidP="002A7531">
      <w:pPr>
        <w:ind w:left="851"/>
        <w:rPr>
          <w:b/>
          <w:bCs/>
          <w:sz w:val="24"/>
          <w:szCs w:val="24"/>
        </w:rPr>
      </w:pPr>
      <w:r w:rsidRPr="002A7531">
        <w:rPr>
          <w:b/>
          <w:bCs/>
          <w:sz w:val="24"/>
          <w:szCs w:val="24"/>
        </w:rPr>
        <w:t>Inficerede sår, abscesser, infektioner i mundhule/tænder:</w:t>
      </w:r>
    </w:p>
    <w:p w14:paraId="341EFCE1" w14:textId="77777777" w:rsidR="00403127" w:rsidRPr="002A7531" w:rsidRDefault="00403127" w:rsidP="002A7531">
      <w:pPr>
        <w:ind w:left="851"/>
        <w:rPr>
          <w:b/>
          <w:sz w:val="24"/>
          <w:szCs w:val="24"/>
        </w:rPr>
      </w:pPr>
      <w:r w:rsidRPr="002A7531">
        <w:rPr>
          <w:sz w:val="24"/>
          <w:szCs w:val="24"/>
        </w:rPr>
        <w:t>5.5 mg/kg clindamycin hver 12. time i 7 - 10 dage (dvs. 1 kapsel pr. 4,5 kg kropsvægt to gange daglig). Hvis der ikke ses forbedring indenfor 4 dage, bør man bestemme følsomheden igen for de involverede patogener.</w:t>
      </w:r>
    </w:p>
    <w:p w14:paraId="23D8199C" w14:textId="77777777" w:rsidR="00403127" w:rsidRPr="002A7531" w:rsidRDefault="00403127" w:rsidP="002A7531">
      <w:pPr>
        <w:ind w:left="851"/>
        <w:rPr>
          <w:i/>
          <w:sz w:val="24"/>
          <w:szCs w:val="24"/>
        </w:rPr>
      </w:pPr>
      <w:r w:rsidRPr="002A7531">
        <w:rPr>
          <w:sz w:val="24"/>
          <w:szCs w:val="24"/>
        </w:rPr>
        <w:t>Dentale og periodontale infektioner – I tilfælde af dental/kirurgisk behandling grundet dentalinfektion, kan behandlingen startes før den dentale/kirurgiske behandling.</w:t>
      </w:r>
    </w:p>
    <w:p w14:paraId="345B2F4B" w14:textId="77777777" w:rsidR="00403127" w:rsidRPr="002A7531" w:rsidRDefault="00403127" w:rsidP="002A7531">
      <w:pPr>
        <w:ind w:left="851" w:hanging="851"/>
        <w:rPr>
          <w:sz w:val="24"/>
          <w:szCs w:val="24"/>
        </w:rPr>
      </w:pPr>
    </w:p>
    <w:p w14:paraId="29321DE0" w14:textId="77777777" w:rsidR="00403127" w:rsidRPr="002A7531" w:rsidRDefault="00403127" w:rsidP="002A7531">
      <w:pPr>
        <w:ind w:left="851"/>
        <w:rPr>
          <w:b/>
          <w:bCs/>
          <w:sz w:val="24"/>
          <w:szCs w:val="24"/>
        </w:rPr>
      </w:pPr>
      <w:r w:rsidRPr="002A7531">
        <w:rPr>
          <w:b/>
          <w:bCs/>
          <w:sz w:val="24"/>
          <w:szCs w:val="24"/>
        </w:rPr>
        <w:t>Osteomyelitis:</w:t>
      </w:r>
    </w:p>
    <w:p w14:paraId="02B0D4C0" w14:textId="77777777" w:rsidR="00403127" w:rsidRPr="002A7531" w:rsidRDefault="00403127" w:rsidP="002A7531">
      <w:pPr>
        <w:ind w:left="851"/>
        <w:rPr>
          <w:sz w:val="24"/>
          <w:szCs w:val="24"/>
        </w:rPr>
      </w:pPr>
      <w:r w:rsidRPr="002A7531">
        <w:rPr>
          <w:sz w:val="24"/>
          <w:szCs w:val="24"/>
        </w:rPr>
        <w:t>11 mg/kg clindamycin hver 12. time i mindst 4 uger (dvs. 2 kapsler pr. 4,5 kg kropsvægt to gange daglig). Hvis der ikke ses forbedring indenfor 14 dage, bør man bestemme følsomheden igen for de involverede patogener.</w:t>
      </w:r>
    </w:p>
    <w:p w14:paraId="653D464A" w14:textId="77777777" w:rsidR="00FA66E4" w:rsidRPr="002A7531" w:rsidRDefault="00FA66E4" w:rsidP="002A7531">
      <w:pPr>
        <w:ind w:left="851" w:hanging="851"/>
        <w:rPr>
          <w:sz w:val="24"/>
          <w:szCs w:val="24"/>
        </w:rPr>
      </w:pPr>
    </w:p>
    <w:p w14:paraId="7ABE8335" w14:textId="77777777" w:rsidR="00FA66E4" w:rsidRPr="002A7531" w:rsidRDefault="00FA66E4" w:rsidP="002A7531">
      <w:pPr>
        <w:ind w:left="851" w:hanging="851"/>
        <w:rPr>
          <w:b/>
          <w:sz w:val="24"/>
          <w:szCs w:val="24"/>
        </w:rPr>
      </w:pPr>
      <w:r w:rsidRPr="002A7531">
        <w:rPr>
          <w:b/>
          <w:sz w:val="24"/>
          <w:szCs w:val="24"/>
        </w:rPr>
        <w:t>4.10</w:t>
      </w:r>
      <w:r w:rsidRPr="002A7531">
        <w:rPr>
          <w:b/>
          <w:sz w:val="24"/>
          <w:szCs w:val="24"/>
        </w:rPr>
        <w:tab/>
        <w:t>Overdosering</w:t>
      </w:r>
    </w:p>
    <w:p w14:paraId="64745F30" w14:textId="77777777" w:rsidR="00F74B76" w:rsidRPr="00F74B76" w:rsidRDefault="00FA66E4" w:rsidP="00F74B76">
      <w:pPr>
        <w:tabs>
          <w:tab w:val="left" w:pos="851"/>
        </w:tabs>
        <w:rPr>
          <w:sz w:val="24"/>
          <w:szCs w:val="24"/>
        </w:rPr>
      </w:pPr>
      <w:r w:rsidRPr="002A7531">
        <w:rPr>
          <w:sz w:val="24"/>
          <w:szCs w:val="24"/>
        </w:rPr>
        <w:tab/>
      </w:r>
      <w:r w:rsidR="00F74B76" w:rsidRPr="00F74B76">
        <w:rPr>
          <w:sz w:val="24"/>
          <w:szCs w:val="24"/>
        </w:rPr>
        <w:t xml:space="preserve">Hos hunde resulterede orale doser af clindamycin op til 300 mg/kg/dag ikke i toksicitet. </w:t>
      </w:r>
    </w:p>
    <w:p w14:paraId="0A691698" w14:textId="77777777" w:rsidR="00403127" w:rsidRPr="002A7531" w:rsidRDefault="00403127" w:rsidP="002A7531">
      <w:pPr>
        <w:ind w:left="851"/>
        <w:rPr>
          <w:sz w:val="24"/>
          <w:szCs w:val="24"/>
        </w:rPr>
      </w:pPr>
      <w:r w:rsidRPr="002A7531">
        <w:rPr>
          <w:sz w:val="24"/>
          <w:szCs w:val="24"/>
        </w:rPr>
        <w:t>Lejlighedsvis opkastning, manglende appetit, diarré, leukocytose og stigning i leverenzymer (AST, ALT) er blevet set. I sådanne tilfælde bør behandlingen straks ophøre, og dyrene behandles symptomatisk.</w:t>
      </w:r>
    </w:p>
    <w:p w14:paraId="5235F1F4" w14:textId="77777777" w:rsidR="00FA66E4" w:rsidRPr="002A7531" w:rsidRDefault="00FA66E4" w:rsidP="002A7531">
      <w:pPr>
        <w:ind w:left="851" w:hanging="851"/>
        <w:rPr>
          <w:sz w:val="24"/>
          <w:szCs w:val="24"/>
        </w:rPr>
      </w:pPr>
    </w:p>
    <w:p w14:paraId="7A900FE7" w14:textId="77777777" w:rsidR="00FA66E4" w:rsidRPr="002A7531" w:rsidRDefault="00FA66E4" w:rsidP="002A7531">
      <w:pPr>
        <w:ind w:left="851" w:hanging="851"/>
        <w:rPr>
          <w:b/>
          <w:sz w:val="24"/>
          <w:szCs w:val="24"/>
        </w:rPr>
      </w:pPr>
      <w:r w:rsidRPr="002A7531">
        <w:rPr>
          <w:b/>
          <w:sz w:val="24"/>
          <w:szCs w:val="24"/>
        </w:rPr>
        <w:t>4.11</w:t>
      </w:r>
      <w:r w:rsidRPr="002A7531">
        <w:rPr>
          <w:b/>
          <w:sz w:val="24"/>
          <w:szCs w:val="24"/>
        </w:rPr>
        <w:tab/>
        <w:t>Tilbageholdelsestid</w:t>
      </w:r>
    </w:p>
    <w:p w14:paraId="42FFF2A5" w14:textId="77777777" w:rsidR="00403127" w:rsidRPr="002A7531" w:rsidRDefault="00FA66E4" w:rsidP="002A7531">
      <w:pPr>
        <w:ind w:left="851" w:hanging="851"/>
        <w:rPr>
          <w:b/>
          <w:sz w:val="24"/>
          <w:szCs w:val="24"/>
        </w:rPr>
      </w:pPr>
      <w:r w:rsidRPr="002A7531">
        <w:rPr>
          <w:sz w:val="24"/>
          <w:szCs w:val="24"/>
        </w:rPr>
        <w:tab/>
      </w:r>
      <w:r w:rsidR="00403127" w:rsidRPr="002A7531">
        <w:rPr>
          <w:sz w:val="24"/>
          <w:szCs w:val="24"/>
        </w:rPr>
        <w:t>Ikke relevant.</w:t>
      </w:r>
    </w:p>
    <w:p w14:paraId="540383CE" w14:textId="77777777" w:rsidR="00FA66E4" w:rsidRPr="002A7531" w:rsidRDefault="00FA66E4" w:rsidP="002A7531">
      <w:pPr>
        <w:pStyle w:val="Sidehoved"/>
        <w:tabs>
          <w:tab w:val="clear" w:pos="4819"/>
          <w:tab w:val="clear" w:pos="9638"/>
        </w:tabs>
        <w:ind w:left="851" w:hanging="851"/>
        <w:rPr>
          <w:szCs w:val="24"/>
        </w:rPr>
      </w:pPr>
    </w:p>
    <w:p w14:paraId="25E44B1B" w14:textId="77777777" w:rsidR="00FA66E4" w:rsidRPr="002A7531" w:rsidRDefault="00FA66E4" w:rsidP="002A7531">
      <w:pPr>
        <w:ind w:left="851" w:hanging="851"/>
        <w:rPr>
          <w:sz w:val="24"/>
          <w:szCs w:val="24"/>
        </w:rPr>
      </w:pPr>
    </w:p>
    <w:p w14:paraId="42221969" w14:textId="0B7F3C26" w:rsidR="00FA66E4" w:rsidRPr="002A7531" w:rsidRDefault="00FA66E4" w:rsidP="002A7531">
      <w:pPr>
        <w:ind w:left="851" w:hanging="851"/>
        <w:rPr>
          <w:b/>
          <w:sz w:val="24"/>
          <w:szCs w:val="24"/>
        </w:rPr>
      </w:pPr>
      <w:r w:rsidRPr="002A7531">
        <w:rPr>
          <w:b/>
          <w:sz w:val="24"/>
          <w:szCs w:val="24"/>
        </w:rPr>
        <w:t>5.</w:t>
      </w:r>
      <w:r w:rsidRPr="002A7531">
        <w:rPr>
          <w:b/>
          <w:sz w:val="24"/>
          <w:szCs w:val="24"/>
        </w:rPr>
        <w:tab/>
        <w:t>FARMAKOLOGISKE EGENSKABER</w:t>
      </w:r>
    </w:p>
    <w:p w14:paraId="58528513" w14:textId="77777777" w:rsidR="00403127" w:rsidRPr="002A7531" w:rsidRDefault="00403127" w:rsidP="002A7531">
      <w:pPr>
        <w:ind w:left="851"/>
        <w:rPr>
          <w:sz w:val="24"/>
          <w:szCs w:val="24"/>
        </w:rPr>
      </w:pPr>
      <w:r w:rsidRPr="002A7531">
        <w:rPr>
          <w:sz w:val="24"/>
          <w:szCs w:val="24"/>
        </w:rPr>
        <w:t>Farmakoterapeutisk gruppe: Antibacterica til systemisk brug. Lincosamider.</w:t>
      </w:r>
    </w:p>
    <w:p w14:paraId="70C80DDB" w14:textId="77777777" w:rsidR="00403127" w:rsidRPr="002A7531" w:rsidRDefault="00403127" w:rsidP="002A7531">
      <w:pPr>
        <w:ind w:left="851"/>
        <w:rPr>
          <w:sz w:val="24"/>
          <w:szCs w:val="24"/>
        </w:rPr>
      </w:pPr>
      <w:r w:rsidRPr="002A7531">
        <w:rPr>
          <w:sz w:val="24"/>
          <w:szCs w:val="24"/>
        </w:rPr>
        <w:t>ATCvet-kode: QJ01FF01.</w:t>
      </w:r>
    </w:p>
    <w:p w14:paraId="31359960" w14:textId="77777777" w:rsidR="00FA66E4" w:rsidRPr="002A7531" w:rsidRDefault="00FA66E4" w:rsidP="002A7531">
      <w:pPr>
        <w:ind w:left="851" w:hanging="851"/>
        <w:rPr>
          <w:sz w:val="24"/>
          <w:szCs w:val="24"/>
        </w:rPr>
      </w:pPr>
    </w:p>
    <w:p w14:paraId="7049D59C" w14:textId="2B332FDC" w:rsidR="00FA66E4" w:rsidRPr="002A7531" w:rsidRDefault="00FA66E4" w:rsidP="002A7531">
      <w:pPr>
        <w:ind w:left="851" w:hanging="851"/>
        <w:rPr>
          <w:b/>
          <w:sz w:val="24"/>
          <w:szCs w:val="24"/>
        </w:rPr>
      </w:pPr>
      <w:r w:rsidRPr="002A7531">
        <w:rPr>
          <w:b/>
          <w:sz w:val="24"/>
          <w:szCs w:val="24"/>
        </w:rPr>
        <w:t>5.1</w:t>
      </w:r>
      <w:r w:rsidRPr="002A7531">
        <w:rPr>
          <w:b/>
          <w:sz w:val="24"/>
          <w:szCs w:val="24"/>
        </w:rPr>
        <w:tab/>
        <w:t>Farmakodynamiske egenskaber</w:t>
      </w:r>
    </w:p>
    <w:p w14:paraId="2466EB87" w14:textId="77777777" w:rsidR="00403127" w:rsidRPr="002A7531" w:rsidRDefault="00FA66E4" w:rsidP="002A7531">
      <w:pPr>
        <w:ind w:left="851" w:hanging="851"/>
        <w:rPr>
          <w:sz w:val="24"/>
          <w:szCs w:val="24"/>
        </w:rPr>
      </w:pPr>
      <w:r w:rsidRPr="002A7531">
        <w:rPr>
          <w:sz w:val="24"/>
          <w:szCs w:val="24"/>
        </w:rPr>
        <w:tab/>
      </w:r>
      <w:r w:rsidR="00403127" w:rsidRPr="002A7531">
        <w:rPr>
          <w:sz w:val="24"/>
          <w:szCs w:val="24"/>
        </w:rPr>
        <w:t>Clindamycin er primært et bakteriostatisk antibiotikum af lincosamidgruppen, som virker ved at hæmme proteinsyntesen. Clindamycin er en klorineret analog af lincomycin. Den antibiotiske aktivitet af clindamycin er baseret på hæmning af den bakterielle syntese. Reversibel kobling til det bakterielle ribosoms 50-S-</w:t>
      </w:r>
      <w:r w:rsidR="00403127" w:rsidRPr="002A7531">
        <w:rPr>
          <w:i/>
          <w:sz w:val="24"/>
          <w:szCs w:val="24"/>
        </w:rPr>
        <w:t>subunit</w:t>
      </w:r>
      <w:r w:rsidR="00403127" w:rsidRPr="002A7531">
        <w:rPr>
          <w:sz w:val="24"/>
          <w:szCs w:val="24"/>
        </w:rPr>
        <w:t xml:space="preserve"> hæmmer </w:t>
      </w:r>
      <w:r w:rsidR="00403127" w:rsidRPr="002A7531">
        <w:rPr>
          <w:i/>
          <w:sz w:val="24"/>
          <w:szCs w:val="24"/>
        </w:rPr>
        <w:t xml:space="preserve">inter alia </w:t>
      </w:r>
      <w:r w:rsidR="00403127" w:rsidRPr="002A7531">
        <w:rPr>
          <w:sz w:val="24"/>
          <w:szCs w:val="24"/>
        </w:rPr>
        <w:t>oversættelsen af tRNA-bundne aminosyrer, hvorved forlængelsen af peptidkæden forhindres. På grund af dette, er clindamycins virkningsmåde hovedsagelig bakteriostatisk.</w:t>
      </w:r>
    </w:p>
    <w:p w14:paraId="1B666C04" w14:textId="7F9F7E76" w:rsidR="00403127" w:rsidRPr="002A7531" w:rsidRDefault="00403127" w:rsidP="002A7531">
      <w:pPr>
        <w:ind w:left="851"/>
        <w:rPr>
          <w:sz w:val="24"/>
          <w:szCs w:val="24"/>
        </w:rPr>
      </w:pPr>
      <w:r w:rsidRPr="002A7531">
        <w:rPr>
          <w:sz w:val="24"/>
          <w:szCs w:val="24"/>
        </w:rPr>
        <w:t>De fleste aerobe gram-negative bakterier er resistente overfor clindamycin.</w:t>
      </w:r>
    </w:p>
    <w:p w14:paraId="434AA45A" w14:textId="77777777" w:rsidR="00403127" w:rsidRPr="002A7531" w:rsidRDefault="00403127" w:rsidP="002A7531">
      <w:pPr>
        <w:ind w:left="851"/>
        <w:rPr>
          <w:sz w:val="24"/>
          <w:szCs w:val="24"/>
        </w:rPr>
      </w:pPr>
      <w:r w:rsidRPr="002A7531">
        <w:rPr>
          <w:sz w:val="24"/>
          <w:szCs w:val="24"/>
        </w:rPr>
        <w:t xml:space="preserve">Clindamycin har vist sig at have </w:t>
      </w:r>
      <w:r w:rsidRPr="002A7531">
        <w:rPr>
          <w:i/>
          <w:sz w:val="24"/>
          <w:szCs w:val="24"/>
        </w:rPr>
        <w:t>in-vitro</w:t>
      </w:r>
      <w:r w:rsidRPr="002A7531">
        <w:rPr>
          <w:sz w:val="24"/>
          <w:szCs w:val="24"/>
        </w:rPr>
        <w:t xml:space="preserve"> aktivitet overfor følgende organismer: </w:t>
      </w:r>
    </w:p>
    <w:p w14:paraId="218FF4CD" w14:textId="77777777" w:rsidR="00403127" w:rsidRPr="002A7531" w:rsidRDefault="00403127" w:rsidP="002A7531">
      <w:pPr>
        <w:ind w:left="851"/>
        <w:rPr>
          <w:sz w:val="24"/>
          <w:szCs w:val="24"/>
          <w:lang w:val="en-US"/>
        </w:rPr>
      </w:pPr>
      <w:r w:rsidRPr="002A7531">
        <w:rPr>
          <w:i/>
          <w:sz w:val="24"/>
          <w:szCs w:val="24"/>
          <w:lang w:val="en-US"/>
        </w:rPr>
        <w:t>Staphylococcus</w:t>
      </w:r>
      <w:r w:rsidRPr="002A7531">
        <w:rPr>
          <w:sz w:val="24"/>
          <w:szCs w:val="24"/>
          <w:lang w:val="en-US"/>
        </w:rPr>
        <w:t xml:space="preserve"> spp; </w:t>
      </w:r>
      <w:r w:rsidRPr="002A7531">
        <w:rPr>
          <w:i/>
          <w:sz w:val="24"/>
          <w:szCs w:val="24"/>
          <w:lang w:val="en-US"/>
        </w:rPr>
        <w:t>Streptococcus</w:t>
      </w:r>
      <w:r w:rsidRPr="002A7531">
        <w:rPr>
          <w:sz w:val="24"/>
          <w:szCs w:val="24"/>
          <w:lang w:val="en-US"/>
        </w:rPr>
        <w:t xml:space="preserve"> spp; </w:t>
      </w:r>
      <w:r w:rsidRPr="002A7531">
        <w:rPr>
          <w:i/>
          <w:sz w:val="24"/>
          <w:szCs w:val="24"/>
          <w:lang w:val="en-US"/>
        </w:rPr>
        <w:t>Bacteroides</w:t>
      </w:r>
      <w:r w:rsidRPr="002A7531">
        <w:rPr>
          <w:sz w:val="24"/>
          <w:szCs w:val="24"/>
          <w:lang w:val="en-US"/>
        </w:rPr>
        <w:t xml:space="preserve"> spp; </w:t>
      </w:r>
      <w:r w:rsidRPr="002A7531">
        <w:rPr>
          <w:i/>
          <w:sz w:val="24"/>
          <w:szCs w:val="24"/>
          <w:lang w:val="en-US"/>
        </w:rPr>
        <w:t>Fusobacterium</w:t>
      </w:r>
      <w:r w:rsidRPr="002A7531">
        <w:rPr>
          <w:sz w:val="24"/>
          <w:szCs w:val="24"/>
          <w:lang w:val="en-US"/>
        </w:rPr>
        <w:t xml:space="preserve"> spp; </w:t>
      </w:r>
      <w:r w:rsidRPr="002A7531">
        <w:rPr>
          <w:i/>
          <w:sz w:val="24"/>
          <w:szCs w:val="24"/>
          <w:lang w:val="en-US"/>
        </w:rPr>
        <w:t>Clostridium</w:t>
      </w:r>
      <w:r w:rsidRPr="002A7531">
        <w:rPr>
          <w:sz w:val="24"/>
          <w:szCs w:val="24"/>
          <w:lang w:val="en-US"/>
        </w:rPr>
        <w:t xml:space="preserve"> spp. </w:t>
      </w:r>
    </w:p>
    <w:p w14:paraId="2AAF29BA" w14:textId="77777777" w:rsidR="00403127" w:rsidRPr="002A7531" w:rsidRDefault="00403127" w:rsidP="002A7531">
      <w:pPr>
        <w:ind w:left="851"/>
        <w:rPr>
          <w:sz w:val="24"/>
          <w:szCs w:val="24"/>
        </w:rPr>
      </w:pPr>
      <w:r w:rsidRPr="002A7531">
        <w:rPr>
          <w:sz w:val="24"/>
          <w:szCs w:val="24"/>
        </w:rPr>
        <w:t>Clindamycin og lincomycin udviser krydsresistens, hvilket også er almindeligt for erythromycin og andre makrolid-antibiotika. Erhvervet resistens kan forekomme ved metylering af det ribosomale bindingssted via kromosomal mutation hos gram-positive organismer, eller ved plasmid-formidlede mekanismer hos gram-negative organismer.</w:t>
      </w:r>
    </w:p>
    <w:p w14:paraId="1CE08277" w14:textId="77777777" w:rsidR="00403127" w:rsidRPr="002A7531" w:rsidRDefault="00403127" w:rsidP="002A7531">
      <w:pPr>
        <w:ind w:left="851" w:hanging="851"/>
        <w:rPr>
          <w:sz w:val="24"/>
          <w:szCs w:val="24"/>
        </w:rPr>
      </w:pPr>
    </w:p>
    <w:p w14:paraId="6BF9C40D" w14:textId="77777777" w:rsidR="00403127" w:rsidRPr="002A7531" w:rsidRDefault="00403127" w:rsidP="002A7531">
      <w:pPr>
        <w:ind w:left="851"/>
        <w:rPr>
          <w:sz w:val="24"/>
          <w:szCs w:val="24"/>
        </w:rPr>
      </w:pPr>
      <w:r w:rsidRPr="002A7531">
        <w:rPr>
          <w:sz w:val="24"/>
          <w:szCs w:val="24"/>
        </w:rPr>
        <w:lastRenderedPageBreak/>
        <w:t xml:space="preserve">CLSI clindamycin veterinære </w:t>
      </w:r>
      <w:r w:rsidRPr="002A7531">
        <w:rPr>
          <w:i/>
          <w:sz w:val="24"/>
          <w:szCs w:val="24"/>
        </w:rPr>
        <w:t>breakpoints</w:t>
      </w:r>
      <w:r w:rsidRPr="002A7531">
        <w:rPr>
          <w:sz w:val="24"/>
          <w:szCs w:val="24"/>
        </w:rPr>
        <w:t xml:space="preserve"> er til rådighed for hunde i Staphylococcus spp. og streptokokker-ß-hæmolytiske gruppe i hud- og bløddelsinfektioner: S ≤ 0.5μg/ml, I = 1-2μg/ml, R ≥ 4μg/ml ". (CLSI juli 2013).</w:t>
      </w:r>
    </w:p>
    <w:p w14:paraId="7074D305" w14:textId="24C380FC" w:rsidR="00FA66E4" w:rsidRPr="002A7531" w:rsidRDefault="00FA66E4" w:rsidP="002A7531">
      <w:pPr>
        <w:ind w:left="851" w:hanging="851"/>
        <w:rPr>
          <w:sz w:val="24"/>
          <w:szCs w:val="24"/>
        </w:rPr>
      </w:pPr>
    </w:p>
    <w:p w14:paraId="4CD05676" w14:textId="77777777" w:rsidR="00FA66E4" w:rsidRPr="002A7531" w:rsidRDefault="00FA66E4" w:rsidP="002A7531">
      <w:pPr>
        <w:ind w:left="851" w:hanging="851"/>
        <w:rPr>
          <w:b/>
          <w:sz w:val="24"/>
          <w:szCs w:val="24"/>
        </w:rPr>
      </w:pPr>
      <w:r w:rsidRPr="002A7531">
        <w:rPr>
          <w:b/>
          <w:sz w:val="24"/>
          <w:szCs w:val="24"/>
        </w:rPr>
        <w:t>5.2</w:t>
      </w:r>
      <w:r w:rsidRPr="002A7531">
        <w:rPr>
          <w:b/>
          <w:sz w:val="24"/>
          <w:szCs w:val="24"/>
        </w:rPr>
        <w:tab/>
        <w:t>Farmakokinetiske egenskaber</w:t>
      </w:r>
    </w:p>
    <w:p w14:paraId="6AA93F9C" w14:textId="77777777" w:rsidR="00403127" w:rsidRPr="002A7531" w:rsidRDefault="00FA66E4" w:rsidP="002A7531">
      <w:pPr>
        <w:ind w:left="851" w:hanging="851"/>
        <w:rPr>
          <w:sz w:val="24"/>
          <w:szCs w:val="24"/>
        </w:rPr>
      </w:pPr>
      <w:r w:rsidRPr="002A7531">
        <w:rPr>
          <w:sz w:val="24"/>
          <w:szCs w:val="24"/>
        </w:rPr>
        <w:tab/>
      </w:r>
      <w:r w:rsidR="00403127" w:rsidRPr="002A7531">
        <w:rPr>
          <w:sz w:val="24"/>
          <w:szCs w:val="24"/>
        </w:rPr>
        <w:t>Clindamycin bliver næsten fuldstændigt absorberet efter oral administration. Peak serumkoncentrationer opnås cirka 1 time efter administration ved en dosis på 10 mg/kg, C</w:t>
      </w:r>
      <w:r w:rsidR="00403127" w:rsidRPr="002A7531">
        <w:rPr>
          <w:sz w:val="24"/>
          <w:szCs w:val="24"/>
          <w:vertAlign w:val="subscript"/>
        </w:rPr>
        <w:t>max</w:t>
      </w:r>
      <w:r w:rsidR="00403127" w:rsidRPr="002A7531">
        <w:rPr>
          <w:sz w:val="24"/>
          <w:szCs w:val="24"/>
        </w:rPr>
        <w:t xml:space="preserve"> 3,3 </w:t>
      </w:r>
      <w:r w:rsidR="00403127" w:rsidRPr="002A7531">
        <w:rPr>
          <w:sz w:val="24"/>
          <w:szCs w:val="24"/>
        </w:rPr>
        <w:sym w:font="Symbol" w:char="F06D"/>
      </w:r>
      <w:r w:rsidR="00403127" w:rsidRPr="002A7531">
        <w:rPr>
          <w:sz w:val="24"/>
          <w:szCs w:val="24"/>
        </w:rPr>
        <w:t xml:space="preserve">g/ml (ikke-fastende) – 5,0 </w:t>
      </w:r>
      <w:r w:rsidR="00403127" w:rsidRPr="002A7531">
        <w:rPr>
          <w:sz w:val="24"/>
          <w:szCs w:val="24"/>
        </w:rPr>
        <w:sym w:font="Symbol" w:char="F06D"/>
      </w:r>
      <w:r w:rsidR="00403127" w:rsidRPr="002A7531">
        <w:rPr>
          <w:sz w:val="24"/>
          <w:szCs w:val="24"/>
        </w:rPr>
        <w:t>g/ml (fastende). Clindamycin penetrerer godt og kan koncentreres i visse væv. Clindamycins t½ er cirka 4 timer. Cirka 70 % clindamycin udskilles i fæces og cirka 30 % i urinen.</w:t>
      </w:r>
    </w:p>
    <w:p w14:paraId="447B76B4" w14:textId="77777777" w:rsidR="00FA66E4" w:rsidRPr="002A7531" w:rsidRDefault="00FA66E4" w:rsidP="002A7531">
      <w:pPr>
        <w:ind w:left="851" w:hanging="851"/>
        <w:rPr>
          <w:sz w:val="24"/>
          <w:szCs w:val="24"/>
        </w:rPr>
      </w:pPr>
    </w:p>
    <w:p w14:paraId="4F85BDD1" w14:textId="77777777" w:rsidR="00FA66E4" w:rsidRPr="002A7531" w:rsidRDefault="00FA66E4" w:rsidP="002A7531">
      <w:pPr>
        <w:ind w:left="851" w:hanging="851"/>
        <w:rPr>
          <w:b/>
          <w:sz w:val="24"/>
          <w:szCs w:val="24"/>
        </w:rPr>
      </w:pPr>
      <w:r w:rsidRPr="002A7531">
        <w:rPr>
          <w:b/>
          <w:sz w:val="24"/>
          <w:szCs w:val="24"/>
        </w:rPr>
        <w:t>5.3</w:t>
      </w:r>
      <w:r w:rsidRPr="002A7531">
        <w:rPr>
          <w:b/>
          <w:sz w:val="24"/>
          <w:szCs w:val="24"/>
        </w:rPr>
        <w:tab/>
        <w:t>Miljømæssige forhold</w:t>
      </w:r>
    </w:p>
    <w:p w14:paraId="58CFE061" w14:textId="2C3C6F16" w:rsidR="00FA66E4" w:rsidRPr="002A7531" w:rsidRDefault="00FA66E4" w:rsidP="002A7531">
      <w:pPr>
        <w:ind w:left="851" w:hanging="851"/>
        <w:rPr>
          <w:sz w:val="24"/>
          <w:szCs w:val="24"/>
        </w:rPr>
      </w:pPr>
      <w:r w:rsidRPr="002A7531">
        <w:rPr>
          <w:sz w:val="24"/>
          <w:szCs w:val="24"/>
        </w:rPr>
        <w:tab/>
      </w:r>
      <w:r w:rsidR="00403127" w:rsidRPr="002A7531">
        <w:rPr>
          <w:sz w:val="24"/>
          <w:szCs w:val="24"/>
        </w:rPr>
        <w:t>-</w:t>
      </w:r>
    </w:p>
    <w:p w14:paraId="39DFC0D5" w14:textId="77777777" w:rsidR="00FA66E4" w:rsidRPr="002A7531" w:rsidRDefault="00FA66E4" w:rsidP="002A7531">
      <w:pPr>
        <w:ind w:left="851" w:hanging="851"/>
        <w:rPr>
          <w:sz w:val="24"/>
          <w:szCs w:val="24"/>
        </w:rPr>
      </w:pPr>
    </w:p>
    <w:p w14:paraId="57F56BD1" w14:textId="77777777" w:rsidR="00FA66E4" w:rsidRPr="002A7531" w:rsidRDefault="00FA66E4" w:rsidP="002A7531">
      <w:pPr>
        <w:ind w:left="851" w:hanging="851"/>
        <w:rPr>
          <w:sz w:val="24"/>
          <w:szCs w:val="24"/>
        </w:rPr>
      </w:pPr>
    </w:p>
    <w:p w14:paraId="7D3612DB" w14:textId="77777777" w:rsidR="00FA66E4" w:rsidRPr="002A7531" w:rsidRDefault="00FA66E4" w:rsidP="002A7531">
      <w:pPr>
        <w:ind w:left="851" w:hanging="851"/>
        <w:rPr>
          <w:b/>
          <w:sz w:val="24"/>
          <w:szCs w:val="24"/>
        </w:rPr>
      </w:pPr>
      <w:r w:rsidRPr="002A7531">
        <w:rPr>
          <w:b/>
          <w:sz w:val="24"/>
          <w:szCs w:val="24"/>
        </w:rPr>
        <w:t>6.</w:t>
      </w:r>
      <w:r w:rsidRPr="002A7531">
        <w:rPr>
          <w:b/>
          <w:sz w:val="24"/>
          <w:szCs w:val="24"/>
        </w:rPr>
        <w:tab/>
        <w:t>FARMACEUTISKE OPLYSNINGER</w:t>
      </w:r>
    </w:p>
    <w:p w14:paraId="1E7E44E9" w14:textId="77777777" w:rsidR="00FA66E4" w:rsidRPr="002A7531" w:rsidRDefault="00FA66E4" w:rsidP="002A7531">
      <w:pPr>
        <w:ind w:left="851" w:hanging="851"/>
        <w:rPr>
          <w:sz w:val="24"/>
          <w:szCs w:val="24"/>
        </w:rPr>
      </w:pPr>
    </w:p>
    <w:p w14:paraId="6D26611A" w14:textId="77777777" w:rsidR="00FA66E4" w:rsidRPr="002A7531" w:rsidRDefault="00FA66E4" w:rsidP="002A7531">
      <w:pPr>
        <w:ind w:left="851" w:hanging="851"/>
        <w:rPr>
          <w:b/>
          <w:sz w:val="24"/>
          <w:szCs w:val="24"/>
        </w:rPr>
      </w:pPr>
      <w:r w:rsidRPr="002A7531">
        <w:rPr>
          <w:b/>
          <w:sz w:val="24"/>
          <w:szCs w:val="24"/>
        </w:rPr>
        <w:t>6.1</w:t>
      </w:r>
      <w:r w:rsidRPr="002A7531">
        <w:rPr>
          <w:b/>
          <w:sz w:val="24"/>
          <w:szCs w:val="24"/>
        </w:rPr>
        <w:tab/>
        <w:t>Hjælpestoffer</w:t>
      </w:r>
    </w:p>
    <w:p w14:paraId="3A2F59B8" w14:textId="77777777" w:rsidR="00403127" w:rsidRPr="002A7531" w:rsidRDefault="00FA66E4" w:rsidP="002A7531">
      <w:pPr>
        <w:ind w:left="851" w:hanging="851"/>
        <w:rPr>
          <w:sz w:val="24"/>
          <w:szCs w:val="24"/>
        </w:rPr>
      </w:pPr>
      <w:r w:rsidRPr="002A7531">
        <w:rPr>
          <w:sz w:val="24"/>
          <w:szCs w:val="24"/>
        </w:rPr>
        <w:tab/>
      </w:r>
      <w:r w:rsidR="00403127" w:rsidRPr="002A7531">
        <w:rPr>
          <w:sz w:val="24"/>
          <w:szCs w:val="24"/>
        </w:rPr>
        <w:t>Majsstivelse</w:t>
      </w:r>
    </w:p>
    <w:p w14:paraId="4591C26F" w14:textId="77777777" w:rsidR="00403127" w:rsidRPr="002A7531" w:rsidRDefault="00403127" w:rsidP="002A7531">
      <w:pPr>
        <w:ind w:left="851"/>
        <w:rPr>
          <w:sz w:val="24"/>
          <w:szCs w:val="24"/>
        </w:rPr>
      </w:pPr>
      <w:r w:rsidRPr="002A7531">
        <w:rPr>
          <w:sz w:val="24"/>
          <w:szCs w:val="24"/>
        </w:rPr>
        <w:t>Talcum</w:t>
      </w:r>
    </w:p>
    <w:p w14:paraId="03DCE6F5" w14:textId="77777777" w:rsidR="00403127" w:rsidRPr="002A7531" w:rsidRDefault="00403127" w:rsidP="002A7531">
      <w:pPr>
        <w:ind w:left="851"/>
        <w:rPr>
          <w:sz w:val="24"/>
          <w:szCs w:val="24"/>
        </w:rPr>
      </w:pPr>
      <w:r w:rsidRPr="002A7531">
        <w:rPr>
          <w:sz w:val="24"/>
          <w:szCs w:val="24"/>
        </w:rPr>
        <w:t>Magnesiumstearat</w:t>
      </w:r>
    </w:p>
    <w:p w14:paraId="4C94F52F" w14:textId="77777777" w:rsidR="00403127" w:rsidRPr="002A7531" w:rsidRDefault="00403127" w:rsidP="002A7531">
      <w:pPr>
        <w:ind w:left="851"/>
        <w:rPr>
          <w:sz w:val="24"/>
          <w:szCs w:val="24"/>
        </w:rPr>
      </w:pPr>
      <w:r w:rsidRPr="002A7531">
        <w:rPr>
          <w:sz w:val="24"/>
          <w:szCs w:val="24"/>
        </w:rPr>
        <w:t>Lactosemonohydrat</w:t>
      </w:r>
    </w:p>
    <w:p w14:paraId="098EDE0D" w14:textId="77777777" w:rsidR="00403127" w:rsidRPr="002A7531" w:rsidRDefault="00403127" w:rsidP="002A7531">
      <w:pPr>
        <w:ind w:left="851" w:hanging="851"/>
        <w:rPr>
          <w:sz w:val="24"/>
          <w:szCs w:val="24"/>
        </w:rPr>
      </w:pPr>
    </w:p>
    <w:p w14:paraId="48E94142" w14:textId="77777777" w:rsidR="00403127" w:rsidRPr="002A7531" w:rsidRDefault="00403127" w:rsidP="002A7531">
      <w:pPr>
        <w:ind w:left="851"/>
        <w:rPr>
          <w:sz w:val="24"/>
          <w:szCs w:val="24"/>
        </w:rPr>
      </w:pPr>
      <w:r w:rsidRPr="002A7531">
        <w:rPr>
          <w:sz w:val="24"/>
          <w:szCs w:val="24"/>
        </w:rPr>
        <w:t>Kapslen har en orange skal (gelatine, rød jernoxid E172 og titandioxid E171) og en orange hætte (gelatine, rød jernoxid E172 og titandioxid E171).</w:t>
      </w:r>
    </w:p>
    <w:p w14:paraId="5AAFA47F" w14:textId="77777777" w:rsidR="00FA66E4" w:rsidRPr="002A7531" w:rsidRDefault="00FA66E4" w:rsidP="002A7531">
      <w:pPr>
        <w:ind w:left="851" w:hanging="851"/>
        <w:rPr>
          <w:sz w:val="24"/>
          <w:szCs w:val="24"/>
        </w:rPr>
      </w:pPr>
    </w:p>
    <w:p w14:paraId="1F467694" w14:textId="77777777" w:rsidR="00FA66E4" w:rsidRPr="002A7531" w:rsidRDefault="00FA66E4" w:rsidP="002A7531">
      <w:pPr>
        <w:ind w:left="851" w:hanging="851"/>
        <w:rPr>
          <w:b/>
          <w:sz w:val="24"/>
          <w:szCs w:val="24"/>
        </w:rPr>
      </w:pPr>
      <w:r w:rsidRPr="002A7531">
        <w:rPr>
          <w:b/>
          <w:sz w:val="24"/>
          <w:szCs w:val="24"/>
        </w:rPr>
        <w:t>6.2</w:t>
      </w:r>
      <w:r w:rsidRPr="002A7531">
        <w:rPr>
          <w:b/>
          <w:sz w:val="24"/>
          <w:szCs w:val="24"/>
        </w:rPr>
        <w:tab/>
        <w:t>Uforligeligheder</w:t>
      </w:r>
    </w:p>
    <w:p w14:paraId="66CEAA03" w14:textId="77777777" w:rsidR="00403127" w:rsidRPr="002A7531" w:rsidRDefault="00FA66E4" w:rsidP="002A7531">
      <w:pPr>
        <w:ind w:left="851" w:hanging="851"/>
        <w:rPr>
          <w:sz w:val="24"/>
          <w:szCs w:val="24"/>
        </w:rPr>
      </w:pPr>
      <w:r w:rsidRPr="002A7531">
        <w:rPr>
          <w:sz w:val="24"/>
          <w:szCs w:val="24"/>
        </w:rPr>
        <w:tab/>
      </w:r>
      <w:r w:rsidR="00403127" w:rsidRPr="002A7531">
        <w:rPr>
          <w:sz w:val="24"/>
          <w:szCs w:val="24"/>
        </w:rPr>
        <w:t>Ikke relevant.</w:t>
      </w:r>
    </w:p>
    <w:p w14:paraId="42FA0F4A" w14:textId="77777777" w:rsidR="00FA66E4" w:rsidRPr="002A7531" w:rsidRDefault="00FA66E4" w:rsidP="002A7531">
      <w:pPr>
        <w:ind w:left="851" w:hanging="851"/>
        <w:rPr>
          <w:sz w:val="24"/>
          <w:szCs w:val="24"/>
        </w:rPr>
      </w:pPr>
    </w:p>
    <w:p w14:paraId="0E295B2F" w14:textId="77777777" w:rsidR="00FA66E4" w:rsidRPr="002A7531" w:rsidRDefault="00FA66E4" w:rsidP="002A7531">
      <w:pPr>
        <w:ind w:left="851" w:hanging="851"/>
        <w:rPr>
          <w:b/>
          <w:sz w:val="24"/>
          <w:szCs w:val="24"/>
        </w:rPr>
      </w:pPr>
      <w:r w:rsidRPr="002A7531">
        <w:rPr>
          <w:b/>
          <w:sz w:val="24"/>
          <w:szCs w:val="24"/>
        </w:rPr>
        <w:t>6.3</w:t>
      </w:r>
      <w:r w:rsidRPr="002A7531">
        <w:rPr>
          <w:b/>
          <w:sz w:val="24"/>
          <w:szCs w:val="24"/>
        </w:rPr>
        <w:tab/>
        <w:t>Opbevaringstid</w:t>
      </w:r>
    </w:p>
    <w:p w14:paraId="66F9EA40" w14:textId="7C4F5072" w:rsidR="00403127" w:rsidRPr="002A7531" w:rsidRDefault="00FA66E4" w:rsidP="002A7531">
      <w:pPr>
        <w:ind w:left="851" w:right="-318" w:hanging="851"/>
        <w:rPr>
          <w:sz w:val="24"/>
          <w:szCs w:val="24"/>
        </w:rPr>
      </w:pPr>
      <w:r w:rsidRPr="002A7531">
        <w:rPr>
          <w:sz w:val="24"/>
          <w:szCs w:val="24"/>
        </w:rPr>
        <w:tab/>
      </w:r>
      <w:r w:rsidR="002C3A45">
        <w:rPr>
          <w:sz w:val="24"/>
          <w:szCs w:val="24"/>
        </w:rPr>
        <w:t>I</w:t>
      </w:r>
      <w:r w:rsidR="00403127" w:rsidRPr="002A7531">
        <w:rPr>
          <w:sz w:val="24"/>
          <w:szCs w:val="24"/>
        </w:rPr>
        <w:t xml:space="preserve"> salgspakning: 3 år.</w:t>
      </w:r>
    </w:p>
    <w:p w14:paraId="6B9F4697" w14:textId="77777777" w:rsidR="00FA66E4" w:rsidRPr="002A7531" w:rsidRDefault="00FA66E4" w:rsidP="002A7531">
      <w:pPr>
        <w:ind w:left="851" w:hanging="851"/>
        <w:rPr>
          <w:sz w:val="24"/>
          <w:szCs w:val="24"/>
        </w:rPr>
      </w:pPr>
    </w:p>
    <w:p w14:paraId="5863FF19" w14:textId="77777777" w:rsidR="00FA66E4" w:rsidRPr="002A7531" w:rsidRDefault="00FA66E4" w:rsidP="002A7531">
      <w:pPr>
        <w:ind w:left="851" w:hanging="851"/>
        <w:rPr>
          <w:b/>
          <w:sz w:val="24"/>
          <w:szCs w:val="24"/>
        </w:rPr>
      </w:pPr>
      <w:r w:rsidRPr="002A7531">
        <w:rPr>
          <w:b/>
          <w:sz w:val="24"/>
          <w:szCs w:val="24"/>
        </w:rPr>
        <w:t>6.4</w:t>
      </w:r>
      <w:r w:rsidRPr="002A7531">
        <w:rPr>
          <w:b/>
          <w:sz w:val="24"/>
          <w:szCs w:val="24"/>
        </w:rPr>
        <w:tab/>
        <w:t>Særlige opbevaringsforhold</w:t>
      </w:r>
    </w:p>
    <w:p w14:paraId="5C89905D" w14:textId="77777777" w:rsidR="00403127" w:rsidRPr="002A7531" w:rsidRDefault="00FA66E4" w:rsidP="002A7531">
      <w:pPr>
        <w:ind w:left="851" w:hanging="851"/>
        <w:rPr>
          <w:noProof/>
          <w:sz w:val="24"/>
          <w:szCs w:val="24"/>
        </w:rPr>
      </w:pPr>
      <w:r w:rsidRPr="002A7531">
        <w:rPr>
          <w:sz w:val="24"/>
          <w:szCs w:val="24"/>
        </w:rPr>
        <w:tab/>
      </w:r>
      <w:r w:rsidR="00403127" w:rsidRPr="002A7531">
        <w:rPr>
          <w:noProof/>
          <w:sz w:val="24"/>
          <w:szCs w:val="24"/>
        </w:rPr>
        <w:t>Dette veterinærlægemiddel kræver ingen særlige forholdsregler vedrørende opbevaringen.</w:t>
      </w:r>
    </w:p>
    <w:p w14:paraId="622317AE" w14:textId="77777777" w:rsidR="00FA66E4" w:rsidRPr="002A7531" w:rsidRDefault="00FA66E4" w:rsidP="002A7531">
      <w:pPr>
        <w:ind w:left="851" w:hanging="851"/>
        <w:rPr>
          <w:sz w:val="24"/>
          <w:szCs w:val="24"/>
        </w:rPr>
      </w:pPr>
    </w:p>
    <w:p w14:paraId="7750577B" w14:textId="77777777" w:rsidR="00FA66E4" w:rsidRPr="002A7531" w:rsidRDefault="00FA66E4" w:rsidP="002A7531">
      <w:pPr>
        <w:ind w:left="851" w:hanging="851"/>
        <w:rPr>
          <w:b/>
          <w:sz w:val="24"/>
          <w:szCs w:val="24"/>
        </w:rPr>
      </w:pPr>
      <w:r w:rsidRPr="002A7531">
        <w:rPr>
          <w:b/>
          <w:sz w:val="24"/>
          <w:szCs w:val="24"/>
        </w:rPr>
        <w:t>6.5</w:t>
      </w:r>
      <w:r w:rsidRPr="002A7531">
        <w:rPr>
          <w:b/>
          <w:sz w:val="24"/>
          <w:szCs w:val="24"/>
        </w:rPr>
        <w:tab/>
        <w:t>Emballage</w:t>
      </w:r>
    </w:p>
    <w:p w14:paraId="16FD1010" w14:textId="0A9213FA" w:rsidR="00403127" w:rsidRPr="002A7531" w:rsidRDefault="00FA66E4" w:rsidP="002A7531">
      <w:pPr>
        <w:ind w:left="851" w:hanging="851"/>
        <w:rPr>
          <w:sz w:val="24"/>
          <w:szCs w:val="24"/>
        </w:rPr>
      </w:pPr>
      <w:r w:rsidRPr="002A7531">
        <w:rPr>
          <w:sz w:val="24"/>
          <w:szCs w:val="24"/>
        </w:rPr>
        <w:tab/>
      </w:r>
      <w:r w:rsidR="00403127" w:rsidRPr="002A7531">
        <w:rPr>
          <w:sz w:val="24"/>
          <w:szCs w:val="24"/>
        </w:rPr>
        <w:t>Blisterpakninger bestående af PVC/PE/PVdC</w:t>
      </w:r>
      <w:r w:rsidR="002C3A45">
        <w:rPr>
          <w:sz w:val="24"/>
          <w:szCs w:val="24"/>
        </w:rPr>
        <w:t>-</w:t>
      </w:r>
      <w:r w:rsidR="00403127" w:rsidRPr="002A7531">
        <w:rPr>
          <w:sz w:val="24"/>
          <w:szCs w:val="24"/>
        </w:rPr>
        <w:t>film</w:t>
      </w:r>
      <w:r w:rsidR="002C3A45">
        <w:rPr>
          <w:sz w:val="24"/>
          <w:szCs w:val="24"/>
        </w:rPr>
        <w:t xml:space="preserve"> </w:t>
      </w:r>
      <w:r w:rsidR="00403127" w:rsidRPr="002A7531">
        <w:rPr>
          <w:sz w:val="24"/>
          <w:szCs w:val="24"/>
        </w:rPr>
        <w:t>forseglet med aluminiumfolie.</w:t>
      </w:r>
    </w:p>
    <w:p w14:paraId="055DF308" w14:textId="77777777" w:rsidR="00403127" w:rsidRPr="002A7531" w:rsidRDefault="00403127" w:rsidP="002A7531">
      <w:pPr>
        <w:ind w:left="851"/>
        <w:rPr>
          <w:sz w:val="24"/>
          <w:szCs w:val="24"/>
        </w:rPr>
      </w:pPr>
      <w:r w:rsidRPr="002A7531">
        <w:rPr>
          <w:sz w:val="24"/>
          <w:szCs w:val="24"/>
        </w:rPr>
        <w:t>Pakninger med 2, 4, 6, 8 eller 10 kapsler pr. blister.</w:t>
      </w:r>
    </w:p>
    <w:p w14:paraId="00413CBF" w14:textId="77777777" w:rsidR="00403127" w:rsidRPr="002A7531" w:rsidRDefault="00403127" w:rsidP="002A7531">
      <w:pPr>
        <w:ind w:left="851"/>
        <w:rPr>
          <w:sz w:val="24"/>
          <w:szCs w:val="24"/>
        </w:rPr>
      </w:pPr>
      <w:r w:rsidRPr="002A7531">
        <w:rPr>
          <w:sz w:val="24"/>
          <w:szCs w:val="24"/>
        </w:rPr>
        <w:t>Æske med blisterstrips indeholdende: 2, 4, 6, 8, 10, 12, 14, 16, 18, 20, 22, 24, 26, 28, 30, 32, 34, 36, 38, 40, 42, 44, 46, 48, 50, 52, 54, 56, 58, 60, 62, 64, 66, 68, 70, 72, 74, 76, 78, 80, 82, 84, 86, 88, 90, 92, 94, 96, 98, 100, 112, 120, 128, 130, 140, 150, 154, 160, 168, 180, 182, 186, 190, 196, 200, 210, 224, 240, 250, 252, 256, 260, 266, 270, 280, 290, 294, 300, 308, 320, 350, 390, 392, 448, 450, 500, 540, 546, 600, 602, 700, 750, 798, 800, 810, 896, 900, 994 og 1000 kapsler.</w:t>
      </w:r>
    </w:p>
    <w:p w14:paraId="61C41FC3" w14:textId="77777777" w:rsidR="00403127" w:rsidRPr="002A7531" w:rsidRDefault="00403127" w:rsidP="002A7531">
      <w:pPr>
        <w:ind w:left="851" w:hanging="851"/>
        <w:rPr>
          <w:sz w:val="24"/>
          <w:szCs w:val="24"/>
        </w:rPr>
      </w:pPr>
    </w:p>
    <w:p w14:paraId="3C035468" w14:textId="77777777" w:rsidR="00403127" w:rsidRPr="002A7531" w:rsidRDefault="00403127" w:rsidP="00E02E43">
      <w:pPr>
        <w:ind w:left="851"/>
        <w:rPr>
          <w:sz w:val="24"/>
          <w:szCs w:val="24"/>
        </w:rPr>
      </w:pPr>
      <w:r w:rsidRPr="002A7531">
        <w:rPr>
          <w:sz w:val="24"/>
          <w:szCs w:val="24"/>
        </w:rPr>
        <w:t>Ikke alle pakningsstørrelser er nødvendigvis markedsført.</w:t>
      </w:r>
    </w:p>
    <w:p w14:paraId="086AED90" w14:textId="77777777" w:rsidR="00FA66E4" w:rsidRPr="002A7531" w:rsidRDefault="00FA66E4" w:rsidP="002A7531">
      <w:pPr>
        <w:ind w:left="851" w:hanging="851"/>
        <w:rPr>
          <w:sz w:val="24"/>
          <w:szCs w:val="24"/>
        </w:rPr>
      </w:pPr>
    </w:p>
    <w:p w14:paraId="092855A1" w14:textId="77777777" w:rsidR="00FA66E4" w:rsidRPr="002A7531" w:rsidRDefault="00FA66E4" w:rsidP="002A7531">
      <w:pPr>
        <w:ind w:left="851" w:hanging="851"/>
        <w:rPr>
          <w:b/>
          <w:sz w:val="24"/>
          <w:szCs w:val="24"/>
        </w:rPr>
      </w:pPr>
      <w:r w:rsidRPr="002A7531">
        <w:rPr>
          <w:b/>
          <w:sz w:val="24"/>
          <w:szCs w:val="24"/>
        </w:rPr>
        <w:t>6.6</w:t>
      </w:r>
      <w:r w:rsidRPr="002A7531">
        <w:rPr>
          <w:b/>
          <w:sz w:val="24"/>
          <w:szCs w:val="24"/>
        </w:rPr>
        <w:tab/>
        <w:t>Særlige forholdsregler ved bortskaffelse af rester af lægemidlet eller affald</w:t>
      </w:r>
    </w:p>
    <w:p w14:paraId="5978D8EB" w14:textId="77777777" w:rsidR="00403127" w:rsidRDefault="00FA66E4" w:rsidP="002A7531">
      <w:pPr>
        <w:ind w:left="851" w:right="-318" w:hanging="851"/>
        <w:rPr>
          <w:sz w:val="24"/>
          <w:szCs w:val="24"/>
        </w:rPr>
      </w:pPr>
      <w:r w:rsidRPr="002A7531">
        <w:rPr>
          <w:sz w:val="24"/>
          <w:szCs w:val="24"/>
        </w:rPr>
        <w:tab/>
      </w:r>
      <w:r w:rsidR="00403127" w:rsidRPr="002A7531">
        <w:rPr>
          <w:sz w:val="24"/>
          <w:szCs w:val="24"/>
        </w:rPr>
        <w:t xml:space="preserve">Ikke anvendte veterinærlægemidler, samt affald heraf bør destrueres i henhold til lokale retningslinier. </w:t>
      </w:r>
    </w:p>
    <w:p w14:paraId="5F74A162" w14:textId="77777777" w:rsidR="00F74B76" w:rsidRDefault="00F74B76" w:rsidP="002A7531">
      <w:pPr>
        <w:ind w:left="851" w:right="-318" w:hanging="851"/>
        <w:rPr>
          <w:sz w:val="24"/>
          <w:szCs w:val="24"/>
        </w:rPr>
      </w:pPr>
    </w:p>
    <w:p w14:paraId="4FB80BC4" w14:textId="377F27BD" w:rsidR="00FA66E4" w:rsidRPr="002A7531" w:rsidRDefault="00FA66E4" w:rsidP="002A7531">
      <w:pPr>
        <w:ind w:left="851" w:hanging="851"/>
        <w:rPr>
          <w:b/>
          <w:sz w:val="24"/>
          <w:szCs w:val="24"/>
        </w:rPr>
      </w:pPr>
    </w:p>
    <w:p w14:paraId="0E3E7EB0" w14:textId="4ED9113F" w:rsidR="00403127" w:rsidRPr="00223966" w:rsidRDefault="00FA66E4" w:rsidP="00223966">
      <w:pPr>
        <w:ind w:left="851" w:hanging="851"/>
        <w:rPr>
          <w:b/>
          <w:sz w:val="24"/>
          <w:szCs w:val="24"/>
        </w:rPr>
      </w:pPr>
      <w:r w:rsidRPr="002A7531">
        <w:rPr>
          <w:b/>
          <w:sz w:val="24"/>
          <w:szCs w:val="24"/>
        </w:rPr>
        <w:t>7.</w:t>
      </w:r>
      <w:r w:rsidRPr="002A7531">
        <w:rPr>
          <w:b/>
          <w:sz w:val="24"/>
          <w:szCs w:val="24"/>
        </w:rPr>
        <w:tab/>
        <w:t>INDEHAVER AF MARKEDSFØRINGSTILLADELSEN</w:t>
      </w:r>
    </w:p>
    <w:p w14:paraId="0E8ECDBA" w14:textId="77777777" w:rsidR="00403127" w:rsidRPr="00AF17E5" w:rsidRDefault="00403127" w:rsidP="00E02E43">
      <w:pPr>
        <w:ind w:left="851"/>
        <w:rPr>
          <w:sz w:val="24"/>
          <w:szCs w:val="24"/>
        </w:rPr>
      </w:pPr>
      <w:r w:rsidRPr="00AF17E5">
        <w:rPr>
          <w:sz w:val="24"/>
          <w:szCs w:val="24"/>
        </w:rPr>
        <w:t>Chanelle Pharmaceutical Manufacturing Ltd.</w:t>
      </w:r>
    </w:p>
    <w:p w14:paraId="17771D5B" w14:textId="77777777" w:rsidR="00403127" w:rsidRPr="001D49DE" w:rsidRDefault="00403127" w:rsidP="00E02E43">
      <w:pPr>
        <w:ind w:left="851"/>
        <w:rPr>
          <w:sz w:val="24"/>
          <w:szCs w:val="24"/>
        </w:rPr>
      </w:pPr>
      <w:r w:rsidRPr="001D49DE">
        <w:rPr>
          <w:sz w:val="24"/>
          <w:szCs w:val="24"/>
        </w:rPr>
        <w:t>Loughrea</w:t>
      </w:r>
    </w:p>
    <w:p w14:paraId="4FADFC28" w14:textId="77777777" w:rsidR="00403127" w:rsidRPr="002A7531" w:rsidRDefault="00403127" w:rsidP="00E02E43">
      <w:pPr>
        <w:ind w:left="851"/>
        <w:rPr>
          <w:sz w:val="24"/>
          <w:szCs w:val="24"/>
        </w:rPr>
      </w:pPr>
      <w:r w:rsidRPr="002A7531">
        <w:rPr>
          <w:sz w:val="24"/>
          <w:szCs w:val="24"/>
        </w:rPr>
        <w:t>Co. Galway</w:t>
      </w:r>
    </w:p>
    <w:p w14:paraId="6BDF3FA1" w14:textId="1B83C2AE" w:rsidR="00FA66E4" w:rsidRPr="002A7531" w:rsidRDefault="00403127" w:rsidP="00E02E43">
      <w:pPr>
        <w:ind w:left="851"/>
        <w:rPr>
          <w:sz w:val="24"/>
          <w:szCs w:val="24"/>
        </w:rPr>
      </w:pPr>
      <w:r w:rsidRPr="002A7531">
        <w:rPr>
          <w:sz w:val="24"/>
          <w:szCs w:val="24"/>
        </w:rPr>
        <w:t>Irland</w:t>
      </w:r>
    </w:p>
    <w:p w14:paraId="6E98F6F3" w14:textId="77777777" w:rsidR="00FA66E4" w:rsidRPr="002A7531" w:rsidRDefault="00FA66E4" w:rsidP="002A7531">
      <w:pPr>
        <w:ind w:left="851" w:hanging="851"/>
        <w:rPr>
          <w:sz w:val="24"/>
          <w:szCs w:val="24"/>
        </w:rPr>
      </w:pPr>
    </w:p>
    <w:p w14:paraId="7D46C508" w14:textId="77777777" w:rsidR="00FA66E4" w:rsidRPr="002A7531" w:rsidRDefault="00FA66E4" w:rsidP="002A7531">
      <w:pPr>
        <w:ind w:left="851" w:hanging="851"/>
        <w:rPr>
          <w:b/>
          <w:sz w:val="24"/>
          <w:szCs w:val="24"/>
        </w:rPr>
      </w:pPr>
      <w:r w:rsidRPr="002A7531">
        <w:rPr>
          <w:b/>
          <w:sz w:val="24"/>
          <w:szCs w:val="24"/>
        </w:rPr>
        <w:t>8.</w:t>
      </w:r>
      <w:r w:rsidRPr="002A7531">
        <w:rPr>
          <w:b/>
          <w:sz w:val="24"/>
          <w:szCs w:val="24"/>
        </w:rPr>
        <w:tab/>
        <w:t>MARKEDSFØRINGSTILLADELSESNUMMER (NUMRE)</w:t>
      </w:r>
    </w:p>
    <w:p w14:paraId="1F01AE62" w14:textId="13D94B81" w:rsidR="00FA66E4" w:rsidRPr="002A7531" w:rsidRDefault="00FA66E4" w:rsidP="002A7531">
      <w:pPr>
        <w:ind w:left="851" w:hanging="851"/>
        <w:rPr>
          <w:sz w:val="24"/>
          <w:szCs w:val="24"/>
        </w:rPr>
      </w:pPr>
      <w:r w:rsidRPr="002A7531">
        <w:rPr>
          <w:sz w:val="24"/>
          <w:szCs w:val="24"/>
        </w:rPr>
        <w:tab/>
      </w:r>
      <w:r w:rsidR="00403127" w:rsidRPr="002A7531">
        <w:rPr>
          <w:sz w:val="24"/>
          <w:szCs w:val="24"/>
        </w:rPr>
        <w:t>55012</w:t>
      </w:r>
    </w:p>
    <w:p w14:paraId="1E8B9D6D" w14:textId="77777777" w:rsidR="00FA66E4" w:rsidRPr="002A7531" w:rsidRDefault="00FA66E4" w:rsidP="002A7531">
      <w:pPr>
        <w:ind w:left="851" w:hanging="851"/>
        <w:rPr>
          <w:sz w:val="24"/>
          <w:szCs w:val="24"/>
        </w:rPr>
      </w:pPr>
    </w:p>
    <w:p w14:paraId="6D231E6F" w14:textId="77777777" w:rsidR="00FA66E4" w:rsidRPr="002A7531" w:rsidRDefault="00FA66E4" w:rsidP="002A7531">
      <w:pPr>
        <w:ind w:left="851" w:hanging="851"/>
        <w:rPr>
          <w:b/>
          <w:sz w:val="24"/>
          <w:szCs w:val="24"/>
        </w:rPr>
      </w:pPr>
      <w:r w:rsidRPr="002A7531">
        <w:rPr>
          <w:b/>
          <w:sz w:val="24"/>
          <w:szCs w:val="24"/>
        </w:rPr>
        <w:t>9.</w:t>
      </w:r>
      <w:r w:rsidRPr="002A7531">
        <w:rPr>
          <w:b/>
          <w:sz w:val="24"/>
          <w:szCs w:val="24"/>
        </w:rPr>
        <w:tab/>
        <w:t>DATO FOR FØRSTE MARKEDSFØRINGSTILLADELSE</w:t>
      </w:r>
    </w:p>
    <w:p w14:paraId="77537F3B" w14:textId="673FD85A" w:rsidR="00FA66E4" w:rsidRPr="002A7531" w:rsidRDefault="00FA66E4" w:rsidP="002A7531">
      <w:pPr>
        <w:ind w:left="851" w:hanging="851"/>
        <w:rPr>
          <w:sz w:val="24"/>
          <w:szCs w:val="24"/>
        </w:rPr>
      </w:pPr>
      <w:r w:rsidRPr="002A7531">
        <w:rPr>
          <w:sz w:val="24"/>
          <w:szCs w:val="24"/>
        </w:rPr>
        <w:tab/>
      </w:r>
      <w:r w:rsidR="00403127" w:rsidRPr="002A7531">
        <w:rPr>
          <w:sz w:val="24"/>
          <w:szCs w:val="24"/>
        </w:rPr>
        <w:t>6. marts 2002 (tabletter)</w:t>
      </w:r>
    </w:p>
    <w:p w14:paraId="594504D3" w14:textId="77777777" w:rsidR="00FA66E4" w:rsidRPr="002A7531" w:rsidRDefault="00FA66E4" w:rsidP="002A7531">
      <w:pPr>
        <w:ind w:left="851" w:hanging="851"/>
        <w:rPr>
          <w:sz w:val="24"/>
          <w:szCs w:val="24"/>
        </w:rPr>
      </w:pPr>
    </w:p>
    <w:p w14:paraId="47D6FF60" w14:textId="77777777" w:rsidR="00FA66E4" w:rsidRPr="002A7531" w:rsidRDefault="00FA66E4" w:rsidP="002A7531">
      <w:pPr>
        <w:ind w:left="851" w:hanging="851"/>
        <w:rPr>
          <w:b/>
          <w:sz w:val="24"/>
          <w:szCs w:val="24"/>
        </w:rPr>
      </w:pPr>
      <w:r w:rsidRPr="002A7531">
        <w:rPr>
          <w:b/>
          <w:sz w:val="24"/>
          <w:szCs w:val="24"/>
        </w:rPr>
        <w:t>10.</w:t>
      </w:r>
      <w:r w:rsidRPr="002A7531">
        <w:rPr>
          <w:b/>
          <w:sz w:val="24"/>
          <w:szCs w:val="24"/>
        </w:rPr>
        <w:tab/>
        <w:t>DATO FOR ÆNDRING AF TEKSTEN</w:t>
      </w:r>
    </w:p>
    <w:p w14:paraId="1E0FCEDC" w14:textId="6D85019E" w:rsidR="00FA66E4" w:rsidRPr="002A7531" w:rsidRDefault="00FA66E4" w:rsidP="002A7531">
      <w:pPr>
        <w:ind w:left="851" w:hanging="851"/>
        <w:rPr>
          <w:sz w:val="24"/>
          <w:szCs w:val="24"/>
        </w:rPr>
      </w:pPr>
      <w:r w:rsidRPr="002A7531">
        <w:rPr>
          <w:sz w:val="24"/>
          <w:szCs w:val="24"/>
        </w:rPr>
        <w:tab/>
      </w:r>
      <w:r w:rsidR="00F74B76">
        <w:rPr>
          <w:sz w:val="24"/>
          <w:szCs w:val="24"/>
        </w:rPr>
        <w:t>4. oktober 2019</w:t>
      </w:r>
    </w:p>
    <w:p w14:paraId="5F7F7E40" w14:textId="77777777" w:rsidR="00FA66E4" w:rsidRPr="002A7531" w:rsidRDefault="00FA66E4" w:rsidP="002A7531">
      <w:pPr>
        <w:ind w:left="851" w:hanging="851"/>
        <w:rPr>
          <w:sz w:val="24"/>
          <w:szCs w:val="24"/>
        </w:rPr>
      </w:pPr>
    </w:p>
    <w:p w14:paraId="391B3D29" w14:textId="77777777" w:rsidR="00FA66E4" w:rsidRPr="002A7531" w:rsidRDefault="00FA66E4" w:rsidP="002A7531">
      <w:pPr>
        <w:ind w:left="851" w:hanging="851"/>
        <w:rPr>
          <w:b/>
          <w:sz w:val="24"/>
          <w:szCs w:val="24"/>
        </w:rPr>
      </w:pPr>
      <w:r w:rsidRPr="002A7531">
        <w:rPr>
          <w:b/>
          <w:sz w:val="24"/>
          <w:szCs w:val="24"/>
        </w:rPr>
        <w:t>11.</w:t>
      </w:r>
      <w:r w:rsidRPr="002A7531">
        <w:rPr>
          <w:b/>
          <w:sz w:val="24"/>
          <w:szCs w:val="24"/>
        </w:rPr>
        <w:tab/>
        <w:t>UDLEVERINGSBESTEMMELSE</w:t>
      </w:r>
    </w:p>
    <w:p w14:paraId="354F4A14" w14:textId="28D05AEA" w:rsidR="0003527F" w:rsidRPr="002A7531" w:rsidRDefault="00FA66E4" w:rsidP="00E02E43">
      <w:pPr>
        <w:pStyle w:val="Sidehoved"/>
        <w:tabs>
          <w:tab w:val="clear" w:pos="4819"/>
          <w:tab w:val="clear" w:pos="9638"/>
        </w:tabs>
        <w:ind w:left="851" w:hanging="851"/>
        <w:rPr>
          <w:szCs w:val="24"/>
        </w:rPr>
      </w:pPr>
      <w:r w:rsidRPr="002A7531">
        <w:rPr>
          <w:szCs w:val="24"/>
        </w:rPr>
        <w:tab/>
      </w:r>
      <w:r w:rsidR="00403127" w:rsidRPr="002A7531">
        <w:rPr>
          <w:szCs w:val="24"/>
        </w:rPr>
        <w:t>B</w:t>
      </w:r>
    </w:p>
    <w:sectPr w:rsidR="0003527F" w:rsidRPr="002A7531" w:rsidSect="00407013">
      <w:headerReference w:type="default" r:id="rId8"/>
      <w:footerReference w:type="default" r:id="rId9"/>
      <w:headerReference w:type="first" r:id="rId10"/>
      <w:footerReference w:type="first" r:id="rId11"/>
      <w:pgSz w:w="11906" w:h="16838" w:code="9"/>
      <w:pgMar w:top="709" w:right="1134" w:bottom="170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F42B77" w14:textId="77777777" w:rsidR="00224199" w:rsidRDefault="00224199">
      <w:r>
        <w:separator/>
      </w:r>
    </w:p>
  </w:endnote>
  <w:endnote w:type="continuationSeparator" w:id="0">
    <w:p w14:paraId="3628EDD0" w14:textId="77777777" w:rsidR="00224199" w:rsidRDefault="00224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72BFF" w14:textId="77777777" w:rsidR="004A62CC" w:rsidRDefault="004A62CC">
    <w:pPr>
      <w:pStyle w:val="Sidefod"/>
      <w:pBdr>
        <w:bottom w:val="single" w:sz="6" w:space="1" w:color="auto"/>
      </w:pBdr>
      <w:tabs>
        <w:tab w:val="clear" w:pos="4819"/>
        <w:tab w:val="left" w:pos="8647"/>
      </w:tabs>
      <w:rPr>
        <w:i/>
        <w:snapToGrid w:val="0"/>
        <w:sz w:val="18"/>
      </w:rPr>
    </w:pPr>
  </w:p>
  <w:p w14:paraId="575FCA60" w14:textId="77777777" w:rsidR="004A62CC" w:rsidRDefault="004A62CC">
    <w:pPr>
      <w:pStyle w:val="Sidefod"/>
      <w:tabs>
        <w:tab w:val="clear" w:pos="4819"/>
        <w:tab w:val="left" w:pos="8647"/>
      </w:tabs>
      <w:rPr>
        <w:i/>
        <w:snapToGrid w:val="0"/>
        <w:sz w:val="18"/>
      </w:rPr>
    </w:pPr>
  </w:p>
  <w:p w14:paraId="10E39E91" w14:textId="7777777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223966">
      <w:rPr>
        <w:i/>
        <w:noProof/>
        <w:snapToGrid w:val="0"/>
        <w:sz w:val="18"/>
      </w:rPr>
      <w:t>Clinacin Vet., hårde kapsler 25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F74B76">
      <w:rPr>
        <w:i/>
        <w:noProof/>
        <w:snapToGrid w:val="0"/>
        <w:sz w:val="18"/>
      </w:rPr>
      <w:t>5</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F74B76">
      <w:rPr>
        <w:i/>
        <w:noProof/>
        <w:snapToGrid w:val="0"/>
        <w:sz w:val="18"/>
      </w:rPr>
      <w:t>5</w:t>
    </w:r>
    <w:r>
      <w:rPr>
        <w:i/>
        <w:snapToGrid w:val="0"/>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2D45D" w14:textId="77777777" w:rsidR="004A62CC" w:rsidRDefault="004A62CC">
    <w:pPr>
      <w:pStyle w:val="Sidefod"/>
      <w:pBdr>
        <w:bottom w:val="single" w:sz="6" w:space="1" w:color="auto"/>
      </w:pBdr>
      <w:tabs>
        <w:tab w:val="clear" w:pos="4819"/>
        <w:tab w:val="left" w:pos="8647"/>
      </w:tabs>
      <w:rPr>
        <w:i/>
        <w:snapToGrid w:val="0"/>
        <w:sz w:val="18"/>
      </w:rPr>
    </w:pPr>
  </w:p>
  <w:p w14:paraId="6F39C29B" w14:textId="77777777" w:rsidR="004A62CC" w:rsidRDefault="004A62CC">
    <w:pPr>
      <w:pStyle w:val="Sidefod"/>
      <w:tabs>
        <w:tab w:val="clear" w:pos="4819"/>
        <w:tab w:val="left" w:pos="8647"/>
      </w:tabs>
      <w:rPr>
        <w:i/>
        <w:snapToGrid w:val="0"/>
        <w:sz w:val="18"/>
      </w:rPr>
    </w:pPr>
  </w:p>
  <w:p w14:paraId="15EBB7D0" w14:textId="7777777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223966">
      <w:rPr>
        <w:i/>
        <w:noProof/>
        <w:snapToGrid w:val="0"/>
        <w:sz w:val="18"/>
      </w:rPr>
      <w:t>Clinacin Vet., hårde kapsler 25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F74B76">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F74B76">
      <w:rPr>
        <w:i/>
        <w:noProof/>
        <w:snapToGrid w:val="0"/>
        <w:sz w:val="18"/>
      </w:rPr>
      <w:t>1</w:t>
    </w:r>
    <w:r>
      <w:rPr>
        <w:i/>
        <w:snapToGrid w:val="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52E295" w14:textId="77777777" w:rsidR="00224199" w:rsidRDefault="00224199">
      <w:r>
        <w:separator/>
      </w:r>
    </w:p>
  </w:footnote>
  <w:footnote w:type="continuationSeparator" w:id="0">
    <w:p w14:paraId="349854AD" w14:textId="77777777" w:rsidR="00224199" w:rsidRDefault="002241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5D10D" w14:textId="77777777" w:rsidR="004A62CC" w:rsidRDefault="004A62CC">
    <w:pPr>
      <w:pStyle w:val="Sidehoved"/>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571C7" w14:textId="77777777" w:rsidR="004A62CC" w:rsidRDefault="004A62CC">
    <w:pPr>
      <w:pStyle w:val="Sidehove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F3CA1"/>
    <w:multiLevelType w:val="hybridMultilevel"/>
    <w:tmpl w:val="5978AD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79F5425"/>
    <w:multiLevelType w:val="hybridMultilevel"/>
    <w:tmpl w:val="AB56AE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6257996"/>
    <w:multiLevelType w:val="hybridMultilevel"/>
    <w:tmpl w:val="628C2C28"/>
    <w:lvl w:ilvl="0" w:tplc="D2EC3B30">
      <w:start w:val="1"/>
      <w:numFmt w:val="bullet"/>
      <w:lvlText w:val=""/>
      <w:lvlJc w:val="left"/>
      <w:pPr>
        <w:tabs>
          <w:tab w:val="num" w:pos="1701"/>
        </w:tabs>
        <w:ind w:left="1701" w:hanging="1134"/>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5"/>
  </w:num>
  <w:num w:numId="2">
    <w:abstractNumId w:val="3"/>
  </w:num>
  <w:num w:numId="3">
    <w:abstractNumId w:val="4"/>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199"/>
    <w:rsid w:val="0003527F"/>
    <w:rsid w:val="000C6CD4"/>
    <w:rsid w:val="001577E4"/>
    <w:rsid w:val="001858CA"/>
    <w:rsid w:val="001C4AEF"/>
    <w:rsid w:val="001D3CC5"/>
    <w:rsid w:val="001D49DE"/>
    <w:rsid w:val="00223966"/>
    <w:rsid w:val="00224199"/>
    <w:rsid w:val="002A7531"/>
    <w:rsid w:val="002C3A45"/>
    <w:rsid w:val="00322BDE"/>
    <w:rsid w:val="00403127"/>
    <w:rsid w:val="00406EE7"/>
    <w:rsid w:val="00407013"/>
    <w:rsid w:val="004A62CC"/>
    <w:rsid w:val="00612D98"/>
    <w:rsid w:val="00662012"/>
    <w:rsid w:val="00666B01"/>
    <w:rsid w:val="006B1539"/>
    <w:rsid w:val="006F5621"/>
    <w:rsid w:val="0074257D"/>
    <w:rsid w:val="007E2A00"/>
    <w:rsid w:val="009202AE"/>
    <w:rsid w:val="009D66C6"/>
    <w:rsid w:val="00A96525"/>
    <w:rsid w:val="00AE29E5"/>
    <w:rsid w:val="00AE5757"/>
    <w:rsid w:val="00AF17E5"/>
    <w:rsid w:val="00BC634B"/>
    <w:rsid w:val="00BF2AE0"/>
    <w:rsid w:val="00D61ED2"/>
    <w:rsid w:val="00DD6D71"/>
    <w:rsid w:val="00DF32BE"/>
    <w:rsid w:val="00E02E43"/>
    <w:rsid w:val="00E14F0A"/>
    <w:rsid w:val="00E36C22"/>
    <w:rsid w:val="00EE5253"/>
    <w:rsid w:val="00F34496"/>
    <w:rsid w:val="00F74B76"/>
    <w:rsid w:val="00FA66E4"/>
    <w:rsid w:val="00FD6433"/>
    <w:rsid w:val="00FD787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34B717"/>
  <w15:chartTrackingRefBased/>
  <w15:docId w15:val="{6749C899-55BF-4944-B1AA-81C542FE4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basedOn w:val="Standardskrifttypeiafsnit"/>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basedOn w:val="Standardskrifttypeiafsnit"/>
    <w:link w:val="Sidehoved"/>
    <w:rsid w:val="00FA66E4"/>
    <w:rPr>
      <w:sz w:val="24"/>
    </w:rPr>
  </w:style>
  <w:style w:type="paragraph" w:styleId="Listeafsnit">
    <w:name w:val="List Paragraph"/>
    <w:basedOn w:val="Normal"/>
    <w:uiPriority w:val="34"/>
    <w:qFormat/>
    <w:rsid w:val="00D61ED2"/>
    <w:pPr>
      <w:ind w:left="720"/>
      <w:contextualSpacing/>
    </w:pPr>
  </w:style>
  <w:style w:type="character" w:styleId="Hyperlink">
    <w:name w:val="Hyperlink"/>
    <w:basedOn w:val="Standardskrifttypeiafsnit"/>
    <w:semiHidden/>
    <w:unhideWhenUsed/>
    <w:rsid w:val="00F74B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65146">
      <w:bodyDiv w:val="1"/>
      <w:marLeft w:val="0"/>
      <w:marRight w:val="0"/>
      <w:marTop w:val="0"/>
      <w:marBottom w:val="0"/>
      <w:divBdr>
        <w:top w:val="none" w:sz="0" w:space="0" w:color="auto"/>
        <w:left w:val="none" w:sz="0" w:space="0" w:color="auto"/>
        <w:bottom w:val="none" w:sz="0" w:space="0" w:color="auto"/>
        <w:right w:val="none" w:sz="0" w:space="0" w:color="auto"/>
      </w:divBdr>
    </w:div>
    <w:div w:id="130829369">
      <w:bodyDiv w:val="1"/>
      <w:marLeft w:val="0"/>
      <w:marRight w:val="0"/>
      <w:marTop w:val="0"/>
      <w:marBottom w:val="0"/>
      <w:divBdr>
        <w:top w:val="none" w:sz="0" w:space="0" w:color="auto"/>
        <w:left w:val="none" w:sz="0" w:space="0" w:color="auto"/>
        <w:bottom w:val="none" w:sz="0" w:space="0" w:color="auto"/>
        <w:right w:val="none" w:sz="0" w:space="0" w:color="auto"/>
      </w:divBdr>
    </w:div>
    <w:div w:id="131875065">
      <w:bodyDiv w:val="1"/>
      <w:marLeft w:val="0"/>
      <w:marRight w:val="0"/>
      <w:marTop w:val="0"/>
      <w:marBottom w:val="0"/>
      <w:divBdr>
        <w:top w:val="none" w:sz="0" w:space="0" w:color="auto"/>
        <w:left w:val="none" w:sz="0" w:space="0" w:color="auto"/>
        <w:bottom w:val="none" w:sz="0" w:space="0" w:color="auto"/>
        <w:right w:val="none" w:sz="0" w:space="0" w:color="auto"/>
      </w:divBdr>
    </w:div>
    <w:div w:id="161286926">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269550284">
      <w:bodyDiv w:val="1"/>
      <w:marLeft w:val="0"/>
      <w:marRight w:val="0"/>
      <w:marTop w:val="0"/>
      <w:marBottom w:val="0"/>
      <w:divBdr>
        <w:top w:val="none" w:sz="0" w:space="0" w:color="auto"/>
        <w:left w:val="none" w:sz="0" w:space="0" w:color="auto"/>
        <w:bottom w:val="none" w:sz="0" w:space="0" w:color="auto"/>
        <w:right w:val="none" w:sz="0" w:space="0" w:color="auto"/>
      </w:divBdr>
    </w:div>
    <w:div w:id="376466473">
      <w:bodyDiv w:val="1"/>
      <w:marLeft w:val="0"/>
      <w:marRight w:val="0"/>
      <w:marTop w:val="0"/>
      <w:marBottom w:val="0"/>
      <w:divBdr>
        <w:top w:val="none" w:sz="0" w:space="0" w:color="auto"/>
        <w:left w:val="none" w:sz="0" w:space="0" w:color="auto"/>
        <w:bottom w:val="none" w:sz="0" w:space="0" w:color="auto"/>
        <w:right w:val="none" w:sz="0" w:space="0" w:color="auto"/>
      </w:divBdr>
    </w:div>
    <w:div w:id="378434303">
      <w:bodyDiv w:val="1"/>
      <w:marLeft w:val="0"/>
      <w:marRight w:val="0"/>
      <w:marTop w:val="0"/>
      <w:marBottom w:val="0"/>
      <w:divBdr>
        <w:top w:val="none" w:sz="0" w:space="0" w:color="auto"/>
        <w:left w:val="none" w:sz="0" w:space="0" w:color="auto"/>
        <w:bottom w:val="none" w:sz="0" w:space="0" w:color="auto"/>
        <w:right w:val="none" w:sz="0" w:space="0" w:color="auto"/>
      </w:divBdr>
    </w:div>
    <w:div w:id="387725186">
      <w:bodyDiv w:val="1"/>
      <w:marLeft w:val="0"/>
      <w:marRight w:val="0"/>
      <w:marTop w:val="0"/>
      <w:marBottom w:val="0"/>
      <w:divBdr>
        <w:top w:val="none" w:sz="0" w:space="0" w:color="auto"/>
        <w:left w:val="none" w:sz="0" w:space="0" w:color="auto"/>
        <w:bottom w:val="none" w:sz="0" w:space="0" w:color="auto"/>
        <w:right w:val="none" w:sz="0" w:space="0" w:color="auto"/>
      </w:divBdr>
    </w:div>
    <w:div w:id="472911355">
      <w:bodyDiv w:val="1"/>
      <w:marLeft w:val="0"/>
      <w:marRight w:val="0"/>
      <w:marTop w:val="0"/>
      <w:marBottom w:val="0"/>
      <w:divBdr>
        <w:top w:val="none" w:sz="0" w:space="0" w:color="auto"/>
        <w:left w:val="none" w:sz="0" w:space="0" w:color="auto"/>
        <w:bottom w:val="none" w:sz="0" w:space="0" w:color="auto"/>
        <w:right w:val="none" w:sz="0" w:space="0" w:color="auto"/>
      </w:divBdr>
    </w:div>
    <w:div w:id="482160060">
      <w:bodyDiv w:val="1"/>
      <w:marLeft w:val="0"/>
      <w:marRight w:val="0"/>
      <w:marTop w:val="0"/>
      <w:marBottom w:val="0"/>
      <w:divBdr>
        <w:top w:val="none" w:sz="0" w:space="0" w:color="auto"/>
        <w:left w:val="none" w:sz="0" w:space="0" w:color="auto"/>
        <w:bottom w:val="none" w:sz="0" w:space="0" w:color="auto"/>
        <w:right w:val="none" w:sz="0" w:space="0" w:color="auto"/>
      </w:divBdr>
    </w:div>
    <w:div w:id="505292970">
      <w:bodyDiv w:val="1"/>
      <w:marLeft w:val="0"/>
      <w:marRight w:val="0"/>
      <w:marTop w:val="0"/>
      <w:marBottom w:val="0"/>
      <w:divBdr>
        <w:top w:val="none" w:sz="0" w:space="0" w:color="auto"/>
        <w:left w:val="none" w:sz="0" w:space="0" w:color="auto"/>
        <w:bottom w:val="none" w:sz="0" w:space="0" w:color="auto"/>
        <w:right w:val="none" w:sz="0" w:space="0" w:color="auto"/>
      </w:divBdr>
    </w:div>
    <w:div w:id="534733602">
      <w:bodyDiv w:val="1"/>
      <w:marLeft w:val="0"/>
      <w:marRight w:val="0"/>
      <w:marTop w:val="0"/>
      <w:marBottom w:val="0"/>
      <w:divBdr>
        <w:top w:val="none" w:sz="0" w:space="0" w:color="auto"/>
        <w:left w:val="none" w:sz="0" w:space="0" w:color="auto"/>
        <w:bottom w:val="none" w:sz="0" w:space="0" w:color="auto"/>
        <w:right w:val="none" w:sz="0" w:space="0" w:color="auto"/>
      </w:divBdr>
    </w:div>
    <w:div w:id="613950629">
      <w:bodyDiv w:val="1"/>
      <w:marLeft w:val="0"/>
      <w:marRight w:val="0"/>
      <w:marTop w:val="0"/>
      <w:marBottom w:val="0"/>
      <w:divBdr>
        <w:top w:val="none" w:sz="0" w:space="0" w:color="auto"/>
        <w:left w:val="none" w:sz="0" w:space="0" w:color="auto"/>
        <w:bottom w:val="none" w:sz="0" w:space="0" w:color="auto"/>
        <w:right w:val="none" w:sz="0" w:space="0" w:color="auto"/>
      </w:divBdr>
    </w:div>
    <w:div w:id="735935226">
      <w:bodyDiv w:val="1"/>
      <w:marLeft w:val="0"/>
      <w:marRight w:val="0"/>
      <w:marTop w:val="0"/>
      <w:marBottom w:val="0"/>
      <w:divBdr>
        <w:top w:val="none" w:sz="0" w:space="0" w:color="auto"/>
        <w:left w:val="none" w:sz="0" w:space="0" w:color="auto"/>
        <w:bottom w:val="none" w:sz="0" w:space="0" w:color="auto"/>
        <w:right w:val="none" w:sz="0" w:space="0" w:color="auto"/>
      </w:divBdr>
    </w:div>
    <w:div w:id="737750264">
      <w:bodyDiv w:val="1"/>
      <w:marLeft w:val="0"/>
      <w:marRight w:val="0"/>
      <w:marTop w:val="0"/>
      <w:marBottom w:val="0"/>
      <w:divBdr>
        <w:top w:val="none" w:sz="0" w:space="0" w:color="auto"/>
        <w:left w:val="none" w:sz="0" w:space="0" w:color="auto"/>
        <w:bottom w:val="none" w:sz="0" w:space="0" w:color="auto"/>
        <w:right w:val="none" w:sz="0" w:space="0" w:color="auto"/>
      </w:divBdr>
    </w:div>
    <w:div w:id="805002174">
      <w:bodyDiv w:val="1"/>
      <w:marLeft w:val="0"/>
      <w:marRight w:val="0"/>
      <w:marTop w:val="0"/>
      <w:marBottom w:val="0"/>
      <w:divBdr>
        <w:top w:val="none" w:sz="0" w:space="0" w:color="auto"/>
        <w:left w:val="none" w:sz="0" w:space="0" w:color="auto"/>
        <w:bottom w:val="none" w:sz="0" w:space="0" w:color="auto"/>
        <w:right w:val="none" w:sz="0" w:space="0" w:color="auto"/>
      </w:divBdr>
    </w:div>
    <w:div w:id="969673461">
      <w:bodyDiv w:val="1"/>
      <w:marLeft w:val="0"/>
      <w:marRight w:val="0"/>
      <w:marTop w:val="0"/>
      <w:marBottom w:val="0"/>
      <w:divBdr>
        <w:top w:val="none" w:sz="0" w:space="0" w:color="auto"/>
        <w:left w:val="none" w:sz="0" w:space="0" w:color="auto"/>
        <w:bottom w:val="none" w:sz="0" w:space="0" w:color="auto"/>
        <w:right w:val="none" w:sz="0" w:space="0" w:color="auto"/>
      </w:divBdr>
    </w:div>
    <w:div w:id="1013266857">
      <w:bodyDiv w:val="1"/>
      <w:marLeft w:val="0"/>
      <w:marRight w:val="0"/>
      <w:marTop w:val="0"/>
      <w:marBottom w:val="0"/>
      <w:divBdr>
        <w:top w:val="none" w:sz="0" w:space="0" w:color="auto"/>
        <w:left w:val="none" w:sz="0" w:space="0" w:color="auto"/>
        <w:bottom w:val="none" w:sz="0" w:space="0" w:color="auto"/>
        <w:right w:val="none" w:sz="0" w:space="0" w:color="auto"/>
      </w:divBdr>
    </w:div>
    <w:div w:id="1035734524">
      <w:bodyDiv w:val="1"/>
      <w:marLeft w:val="0"/>
      <w:marRight w:val="0"/>
      <w:marTop w:val="0"/>
      <w:marBottom w:val="0"/>
      <w:divBdr>
        <w:top w:val="none" w:sz="0" w:space="0" w:color="auto"/>
        <w:left w:val="none" w:sz="0" w:space="0" w:color="auto"/>
        <w:bottom w:val="none" w:sz="0" w:space="0" w:color="auto"/>
        <w:right w:val="none" w:sz="0" w:space="0" w:color="auto"/>
      </w:divBdr>
    </w:div>
    <w:div w:id="1152869634">
      <w:bodyDiv w:val="1"/>
      <w:marLeft w:val="0"/>
      <w:marRight w:val="0"/>
      <w:marTop w:val="0"/>
      <w:marBottom w:val="0"/>
      <w:divBdr>
        <w:top w:val="none" w:sz="0" w:space="0" w:color="auto"/>
        <w:left w:val="none" w:sz="0" w:space="0" w:color="auto"/>
        <w:bottom w:val="none" w:sz="0" w:space="0" w:color="auto"/>
        <w:right w:val="none" w:sz="0" w:space="0" w:color="auto"/>
      </w:divBdr>
    </w:div>
    <w:div w:id="1223754168">
      <w:bodyDiv w:val="1"/>
      <w:marLeft w:val="0"/>
      <w:marRight w:val="0"/>
      <w:marTop w:val="0"/>
      <w:marBottom w:val="0"/>
      <w:divBdr>
        <w:top w:val="none" w:sz="0" w:space="0" w:color="auto"/>
        <w:left w:val="none" w:sz="0" w:space="0" w:color="auto"/>
        <w:bottom w:val="none" w:sz="0" w:space="0" w:color="auto"/>
        <w:right w:val="none" w:sz="0" w:space="0" w:color="auto"/>
      </w:divBdr>
    </w:div>
    <w:div w:id="1251887945">
      <w:bodyDiv w:val="1"/>
      <w:marLeft w:val="0"/>
      <w:marRight w:val="0"/>
      <w:marTop w:val="0"/>
      <w:marBottom w:val="0"/>
      <w:divBdr>
        <w:top w:val="none" w:sz="0" w:space="0" w:color="auto"/>
        <w:left w:val="none" w:sz="0" w:space="0" w:color="auto"/>
        <w:bottom w:val="none" w:sz="0" w:space="0" w:color="auto"/>
        <w:right w:val="none" w:sz="0" w:space="0" w:color="auto"/>
      </w:divBdr>
    </w:div>
    <w:div w:id="1444807421">
      <w:bodyDiv w:val="1"/>
      <w:marLeft w:val="0"/>
      <w:marRight w:val="0"/>
      <w:marTop w:val="0"/>
      <w:marBottom w:val="0"/>
      <w:divBdr>
        <w:top w:val="none" w:sz="0" w:space="0" w:color="auto"/>
        <w:left w:val="none" w:sz="0" w:space="0" w:color="auto"/>
        <w:bottom w:val="none" w:sz="0" w:space="0" w:color="auto"/>
        <w:right w:val="none" w:sz="0" w:space="0" w:color="auto"/>
      </w:divBdr>
    </w:div>
    <w:div w:id="1489322402">
      <w:bodyDiv w:val="1"/>
      <w:marLeft w:val="0"/>
      <w:marRight w:val="0"/>
      <w:marTop w:val="0"/>
      <w:marBottom w:val="0"/>
      <w:divBdr>
        <w:top w:val="none" w:sz="0" w:space="0" w:color="auto"/>
        <w:left w:val="none" w:sz="0" w:space="0" w:color="auto"/>
        <w:bottom w:val="none" w:sz="0" w:space="0" w:color="auto"/>
        <w:right w:val="none" w:sz="0" w:space="0" w:color="auto"/>
      </w:divBdr>
    </w:div>
    <w:div w:id="1616206804">
      <w:bodyDiv w:val="1"/>
      <w:marLeft w:val="0"/>
      <w:marRight w:val="0"/>
      <w:marTop w:val="0"/>
      <w:marBottom w:val="0"/>
      <w:divBdr>
        <w:top w:val="none" w:sz="0" w:space="0" w:color="auto"/>
        <w:left w:val="none" w:sz="0" w:space="0" w:color="auto"/>
        <w:bottom w:val="none" w:sz="0" w:space="0" w:color="auto"/>
        <w:right w:val="none" w:sz="0" w:space="0" w:color="auto"/>
      </w:divBdr>
    </w:div>
    <w:div w:id="1645966302">
      <w:bodyDiv w:val="1"/>
      <w:marLeft w:val="0"/>
      <w:marRight w:val="0"/>
      <w:marTop w:val="0"/>
      <w:marBottom w:val="0"/>
      <w:divBdr>
        <w:top w:val="none" w:sz="0" w:space="0" w:color="auto"/>
        <w:left w:val="none" w:sz="0" w:space="0" w:color="auto"/>
        <w:bottom w:val="none" w:sz="0" w:space="0" w:color="auto"/>
        <w:right w:val="none" w:sz="0" w:space="0" w:color="auto"/>
      </w:divBdr>
    </w:div>
    <w:div w:id="1744258853">
      <w:bodyDiv w:val="1"/>
      <w:marLeft w:val="0"/>
      <w:marRight w:val="0"/>
      <w:marTop w:val="0"/>
      <w:marBottom w:val="0"/>
      <w:divBdr>
        <w:top w:val="none" w:sz="0" w:space="0" w:color="auto"/>
        <w:left w:val="none" w:sz="0" w:space="0" w:color="auto"/>
        <w:bottom w:val="none" w:sz="0" w:space="0" w:color="auto"/>
        <w:right w:val="none" w:sz="0" w:space="0" w:color="auto"/>
      </w:divBdr>
    </w:div>
    <w:div w:id="1972242264">
      <w:bodyDiv w:val="1"/>
      <w:marLeft w:val="0"/>
      <w:marRight w:val="0"/>
      <w:marTop w:val="0"/>
      <w:marBottom w:val="0"/>
      <w:divBdr>
        <w:top w:val="none" w:sz="0" w:space="0" w:color="auto"/>
        <w:left w:val="none" w:sz="0" w:space="0" w:color="auto"/>
        <w:bottom w:val="none" w:sz="0" w:space="0" w:color="auto"/>
        <w:right w:val="none" w:sz="0" w:space="0" w:color="auto"/>
      </w:divBdr>
    </w:div>
    <w:div w:id="1974478779">
      <w:bodyDiv w:val="1"/>
      <w:marLeft w:val="0"/>
      <w:marRight w:val="0"/>
      <w:marTop w:val="0"/>
      <w:marBottom w:val="0"/>
      <w:divBdr>
        <w:top w:val="none" w:sz="0" w:space="0" w:color="auto"/>
        <w:left w:val="none" w:sz="0" w:space="0" w:color="auto"/>
        <w:bottom w:val="none" w:sz="0" w:space="0" w:color="auto"/>
        <w:right w:val="none" w:sz="0" w:space="0" w:color="auto"/>
      </w:divBdr>
    </w:div>
    <w:div w:id="203758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1281</Words>
  <Characters>8334</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9596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Venn </dc:creator>
  <cp:keywords/>
  <dc:description>2019100745 - MT forlængelse</dc:description>
  <cp:lastModifiedBy>Helle Venn</cp:lastModifiedBy>
  <cp:revision>4</cp:revision>
  <cp:lastPrinted>2019-03-27T10:00:00Z</cp:lastPrinted>
  <dcterms:created xsi:type="dcterms:W3CDTF">2019-10-04T08:54:00Z</dcterms:created>
  <dcterms:modified xsi:type="dcterms:W3CDTF">2019-10-04T09:46:00Z</dcterms:modified>
</cp:coreProperties>
</file>