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B69" w:rsidRPr="008F49E1" w:rsidRDefault="00740B69" w:rsidP="00740B69">
      <w:pPr>
        <w:rPr>
          <w:sz w:val="24"/>
          <w:szCs w:val="24"/>
        </w:rPr>
      </w:pPr>
      <w:r w:rsidRPr="005B0036">
        <w:rPr>
          <w:noProof/>
          <w:sz w:val="24"/>
          <w:szCs w:val="24"/>
          <w:lang w:eastAsia="da-DK"/>
        </w:rPr>
        <w:drawing>
          <wp:inline distT="0" distB="0" distL="0" distR="0" wp14:anchorId="75F7146D" wp14:editId="22D78D8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40B69" w:rsidRDefault="00740B69" w:rsidP="00740B69">
      <w:pPr>
        <w:rPr>
          <w:sz w:val="24"/>
          <w:szCs w:val="24"/>
        </w:rPr>
      </w:pPr>
    </w:p>
    <w:p w:rsidR="00740B69" w:rsidRPr="00406EE7" w:rsidRDefault="00740B69" w:rsidP="00740B69">
      <w:pPr>
        <w:tabs>
          <w:tab w:val="right" w:pos="9356"/>
        </w:tabs>
        <w:rPr>
          <w:b/>
          <w:sz w:val="24"/>
          <w:szCs w:val="24"/>
        </w:rPr>
      </w:pPr>
      <w:r>
        <w:rPr>
          <w:b/>
          <w:sz w:val="24"/>
          <w:szCs w:val="24"/>
        </w:rPr>
        <w:tab/>
      </w:r>
      <w:r w:rsidR="004552CB">
        <w:rPr>
          <w:b/>
          <w:sz w:val="24"/>
          <w:szCs w:val="24"/>
        </w:rPr>
        <w:t>31. marts 2025</w:t>
      </w:r>
    </w:p>
    <w:p w:rsidR="00740B69" w:rsidRPr="00406EE7" w:rsidRDefault="00740B69" w:rsidP="00740B69">
      <w:pPr>
        <w:rPr>
          <w:sz w:val="24"/>
          <w:szCs w:val="24"/>
        </w:rPr>
      </w:pPr>
    </w:p>
    <w:p w:rsidR="00740B69" w:rsidRDefault="00740B69" w:rsidP="00740B69">
      <w:pPr>
        <w:rPr>
          <w:sz w:val="24"/>
          <w:szCs w:val="24"/>
        </w:rPr>
      </w:pPr>
    </w:p>
    <w:p w:rsidR="00740B69" w:rsidRPr="00406EE7" w:rsidRDefault="00740B69" w:rsidP="00740B69">
      <w:pPr>
        <w:rPr>
          <w:sz w:val="24"/>
          <w:szCs w:val="24"/>
        </w:rPr>
      </w:pPr>
    </w:p>
    <w:p w:rsidR="00740B69" w:rsidRPr="00D33D69" w:rsidRDefault="00740B69" w:rsidP="00740B69">
      <w:pPr>
        <w:tabs>
          <w:tab w:val="left" w:pos="8222"/>
        </w:tabs>
        <w:jc w:val="center"/>
        <w:rPr>
          <w:b/>
          <w:sz w:val="24"/>
          <w:szCs w:val="24"/>
        </w:rPr>
      </w:pPr>
      <w:r w:rsidRPr="00D33D69">
        <w:rPr>
          <w:b/>
          <w:sz w:val="24"/>
          <w:szCs w:val="24"/>
        </w:rPr>
        <w:t>PRODUKTRESUMÉ</w:t>
      </w:r>
    </w:p>
    <w:p w:rsidR="00740B69" w:rsidRPr="00D33D69" w:rsidRDefault="00740B69" w:rsidP="00740B69">
      <w:pPr>
        <w:tabs>
          <w:tab w:val="left" w:pos="8222"/>
        </w:tabs>
        <w:jc w:val="center"/>
        <w:rPr>
          <w:b/>
          <w:sz w:val="24"/>
          <w:szCs w:val="24"/>
        </w:rPr>
      </w:pPr>
    </w:p>
    <w:p w:rsidR="00740B69" w:rsidRPr="00D33D69" w:rsidRDefault="00740B69" w:rsidP="00740B69">
      <w:pPr>
        <w:tabs>
          <w:tab w:val="left" w:pos="8222"/>
        </w:tabs>
        <w:jc w:val="center"/>
        <w:rPr>
          <w:b/>
          <w:sz w:val="24"/>
          <w:szCs w:val="24"/>
        </w:rPr>
      </w:pPr>
      <w:r w:rsidRPr="00D33D69">
        <w:rPr>
          <w:b/>
          <w:sz w:val="24"/>
          <w:szCs w:val="24"/>
        </w:rPr>
        <w:t>for</w:t>
      </w:r>
    </w:p>
    <w:p w:rsidR="00740B69" w:rsidRPr="00D33D69" w:rsidRDefault="00740B69" w:rsidP="00740B69">
      <w:pPr>
        <w:tabs>
          <w:tab w:val="left" w:pos="8222"/>
        </w:tabs>
        <w:jc w:val="center"/>
        <w:rPr>
          <w:b/>
          <w:sz w:val="24"/>
          <w:szCs w:val="24"/>
        </w:rPr>
      </w:pPr>
    </w:p>
    <w:p w:rsidR="00740B69" w:rsidRPr="00D33D69" w:rsidRDefault="00740B69" w:rsidP="00740B69">
      <w:pPr>
        <w:tabs>
          <w:tab w:val="left" w:pos="8222"/>
        </w:tabs>
        <w:jc w:val="center"/>
        <w:rPr>
          <w:b/>
          <w:sz w:val="24"/>
          <w:szCs w:val="24"/>
        </w:rPr>
      </w:pPr>
      <w:proofErr w:type="spellStart"/>
      <w:r w:rsidRPr="00D33D69">
        <w:rPr>
          <w:b/>
          <w:sz w:val="24"/>
          <w:szCs w:val="24"/>
        </w:rPr>
        <w:t>Clindabactin</w:t>
      </w:r>
      <w:proofErr w:type="spellEnd"/>
      <w:r w:rsidRPr="00D33D69">
        <w:rPr>
          <w:b/>
          <w:sz w:val="24"/>
          <w:szCs w:val="24"/>
        </w:rPr>
        <w:t>, tyggetabletter</w:t>
      </w:r>
    </w:p>
    <w:p w:rsidR="00740B69" w:rsidRPr="00D33D69" w:rsidRDefault="00740B69" w:rsidP="00740B69">
      <w:pPr>
        <w:tabs>
          <w:tab w:val="left" w:pos="8222"/>
        </w:tabs>
        <w:jc w:val="both"/>
        <w:rPr>
          <w:sz w:val="24"/>
          <w:szCs w:val="24"/>
        </w:rPr>
      </w:pPr>
    </w:p>
    <w:p w:rsidR="00740B69" w:rsidRPr="00D33D69" w:rsidRDefault="00740B69" w:rsidP="00740B69">
      <w:pPr>
        <w:tabs>
          <w:tab w:val="left" w:pos="8222"/>
        </w:tabs>
        <w:jc w:val="both"/>
        <w:rPr>
          <w:sz w:val="24"/>
          <w:szCs w:val="24"/>
        </w:rPr>
      </w:pPr>
    </w:p>
    <w:p w:rsidR="00740B69" w:rsidRPr="00D33D69" w:rsidRDefault="00740B69" w:rsidP="00D33D69">
      <w:pPr>
        <w:tabs>
          <w:tab w:val="left" w:pos="8222"/>
        </w:tabs>
        <w:ind w:left="851" w:hanging="851"/>
        <w:rPr>
          <w:b/>
          <w:sz w:val="24"/>
          <w:szCs w:val="24"/>
        </w:rPr>
      </w:pPr>
      <w:r w:rsidRPr="00D33D69">
        <w:rPr>
          <w:b/>
          <w:sz w:val="24"/>
          <w:szCs w:val="24"/>
        </w:rPr>
        <w:t>0.</w:t>
      </w:r>
      <w:r w:rsidRPr="00D33D69">
        <w:rPr>
          <w:b/>
          <w:sz w:val="24"/>
          <w:szCs w:val="24"/>
        </w:rPr>
        <w:tab/>
        <w:t>D.SP.NR.</w:t>
      </w:r>
    </w:p>
    <w:p w:rsidR="00D33D69" w:rsidRPr="00D33D69" w:rsidRDefault="00D33D69" w:rsidP="00740B69">
      <w:pPr>
        <w:tabs>
          <w:tab w:val="left" w:pos="8222"/>
        </w:tabs>
        <w:ind w:left="851"/>
        <w:rPr>
          <w:sz w:val="24"/>
          <w:szCs w:val="24"/>
        </w:rPr>
      </w:pPr>
    </w:p>
    <w:p w:rsidR="00740B69" w:rsidRPr="00D33D69" w:rsidRDefault="00740B69" w:rsidP="00740B69">
      <w:pPr>
        <w:tabs>
          <w:tab w:val="left" w:pos="8222"/>
        </w:tabs>
        <w:ind w:left="851"/>
        <w:rPr>
          <w:sz w:val="24"/>
          <w:szCs w:val="24"/>
        </w:rPr>
      </w:pPr>
      <w:r w:rsidRPr="00D33D69">
        <w:rPr>
          <w:sz w:val="24"/>
          <w:szCs w:val="24"/>
        </w:rPr>
        <w:t>31066</w:t>
      </w:r>
    </w:p>
    <w:p w:rsidR="00740B69" w:rsidRPr="00D33D69" w:rsidRDefault="00740B69" w:rsidP="00740B69">
      <w:pPr>
        <w:tabs>
          <w:tab w:val="left" w:pos="8222"/>
        </w:tabs>
        <w:ind w:left="851"/>
        <w:rPr>
          <w:sz w:val="24"/>
          <w:szCs w:val="24"/>
        </w:rPr>
      </w:pPr>
    </w:p>
    <w:p w:rsidR="00D33D69" w:rsidRPr="00D33D69" w:rsidRDefault="00D33D69" w:rsidP="00740B69">
      <w:pPr>
        <w:tabs>
          <w:tab w:val="left" w:pos="8222"/>
        </w:tabs>
        <w:ind w:left="851"/>
        <w:rPr>
          <w:sz w:val="24"/>
          <w:szCs w:val="24"/>
        </w:rPr>
      </w:pPr>
    </w:p>
    <w:p w:rsidR="00740B69" w:rsidRPr="00D33D69" w:rsidRDefault="00740B69" w:rsidP="00740B69">
      <w:pPr>
        <w:tabs>
          <w:tab w:val="left" w:pos="8222"/>
        </w:tabs>
        <w:ind w:left="851" w:hanging="851"/>
        <w:rPr>
          <w:b/>
          <w:sz w:val="24"/>
          <w:szCs w:val="24"/>
        </w:rPr>
      </w:pPr>
      <w:r w:rsidRPr="00D33D69">
        <w:rPr>
          <w:b/>
          <w:sz w:val="24"/>
          <w:szCs w:val="24"/>
        </w:rPr>
        <w:t>1.</w:t>
      </w:r>
      <w:r w:rsidRPr="00D33D69">
        <w:rPr>
          <w:b/>
          <w:sz w:val="24"/>
          <w:szCs w:val="24"/>
        </w:rPr>
        <w:tab/>
        <w:t>VETERINÆRLÆGEMIDLETS NAVN</w:t>
      </w:r>
    </w:p>
    <w:p w:rsidR="00D33D69" w:rsidRPr="00D33D69" w:rsidRDefault="00D33D69" w:rsidP="00740B69">
      <w:pPr>
        <w:tabs>
          <w:tab w:val="left" w:pos="8222"/>
        </w:tabs>
        <w:ind w:left="851"/>
        <w:rPr>
          <w:sz w:val="24"/>
          <w:szCs w:val="24"/>
        </w:rPr>
      </w:pPr>
    </w:p>
    <w:p w:rsidR="00D33D69" w:rsidRPr="00D33D69" w:rsidRDefault="00D33D69" w:rsidP="00D33D69">
      <w:pPr>
        <w:tabs>
          <w:tab w:val="left" w:pos="8222"/>
        </w:tabs>
        <w:ind w:firstLine="851"/>
        <w:rPr>
          <w:sz w:val="24"/>
          <w:szCs w:val="24"/>
        </w:rPr>
      </w:pPr>
      <w:proofErr w:type="spellStart"/>
      <w:r w:rsidRPr="00D33D69">
        <w:rPr>
          <w:sz w:val="24"/>
          <w:szCs w:val="24"/>
        </w:rPr>
        <w:t>Clindabactin</w:t>
      </w:r>
      <w:proofErr w:type="spellEnd"/>
    </w:p>
    <w:p w:rsidR="00D33D69" w:rsidRPr="00D33D69" w:rsidRDefault="00D33D69" w:rsidP="00D33D69">
      <w:pPr>
        <w:tabs>
          <w:tab w:val="left" w:pos="1304"/>
        </w:tabs>
        <w:ind w:firstLine="851"/>
        <w:rPr>
          <w:sz w:val="24"/>
          <w:szCs w:val="24"/>
        </w:rPr>
      </w:pPr>
      <w:r w:rsidRPr="00D33D69">
        <w:rPr>
          <w:sz w:val="24"/>
          <w:szCs w:val="24"/>
        </w:rPr>
        <w:t>Lægemiddelform: Tyggetablet</w:t>
      </w:r>
    </w:p>
    <w:p w:rsidR="00D33D69" w:rsidRPr="00D33D69" w:rsidRDefault="00D33D69" w:rsidP="00D33D69">
      <w:pPr>
        <w:tabs>
          <w:tab w:val="left" w:pos="1304"/>
        </w:tabs>
        <w:ind w:firstLine="851"/>
        <w:rPr>
          <w:sz w:val="24"/>
          <w:szCs w:val="24"/>
        </w:rPr>
      </w:pPr>
      <w:r w:rsidRPr="00D33D69">
        <w:rPr>
          <w:sz w:val="24"/>
          <w:szCs w:val="24"/>
        </w:rPr>
        <w:t>Styrke: 55 mg</w:t>
      </w:r>
    </w:p>
    <w:p w:rsidR="00D33D69" w:rsidRPr="00D33D69" w:rsidRDefault="00D33D69" w:rsidP="00D33D69">
      <w:pPr>
        <w:tabs>
          <w:tab w:val="left" w:pos="1304"/>
        </w:tabs>
        <w:ind w:firstLine="851"/>
        <w:rPr>
          <w:sz w:val="24"/>
          <w:szCs w:val="24"/>
        </w:rPr>
      </w:pPr>
    </w:p>
    <w:p w:rsidR="00D33D69" w:rsidRPr="00D33D69" w:rsidRDefault="00D33D69" w:rsidP="00D33D69">
      <w:pPr>
        <w:tabs>
          <w:tab w:val="left" w:pos="8222"/>
        </w:tabs>
        <w:ind w:firstLine="851"/>
        <w:rPr>
          <w:sz w:val="24"/>
          <w:szCs w:val="24"/>
        </w:rPr>
      </w:pPr>
      <w:proofErr w:type="spellStart"/>
      <w:r w:rsidRPr="00D33D69">
        <w:rPr>
          <w:sz w:val="24"/>
          <w:szCs w:val="24"/>
        </w:rPr>
        <w:t>Clindabactin</w:t>
      </w:r>
      <w:proofErr w:type="spellEnd"/>
    </w:p>
    <w:p w:rsidR="00D33D69" w:rsidRPr="00D33D69" w:rsidRDefault="00D33D69" w:rsidP="00D33D69">
      <w:pPr>
        <w:tabs>
          <w:tab w:val="left" w:pos="1304"/>
        </w:tabs>
        <w:ind w:firstLine="851"/>
        <w:rPr>
          <w:sz w:val="24"/>
          <w:szCs w:val="24"/>
        </w:rPr>
      </w:pPr>
      <w:r w:rsidRPr="00D33D69">
        <w:rPr>
          <w:sz w:val="24"/>
          <w:szCs w:val="24"/>
        </w:rPr>
        <w:t>Lægemiddelform: Tyggetablet</w:t>
      </w:r>
    </w:p>
    <w:p w:rsidR="00D33D69" w:rsidRPr="00D33D69" w:rsidRDefault="00D33D69" w:rsidP="00D33D69">
      <w:pPr>
        <w:tabs>
          <w:tab w:val="left" w:pos="1304"/>
        </w:tabs>
        <w:ind w:firstLine="851"/>
        <w:rPr>
          <w:sz w:val="24"/>
          <w:szCs w:val="24"/>
        </w:rPr>
      </w:pPr>
      <w:r w:rsidRPr="00D33D69">
        <w:rPr>
          <w:sz w:val="24"/>
          <w:szCs w:val="24"/>
        </w:rPr>
        <w:t>Styrke: 220 mg</w:t>
      </w:r>
    </w:p>
    <w:p w:rsidR="00D33D69" w:rsidRPr="00D33D69" w:rsidRDefault="00D33D69" w:rsidP="00D33D69">
      <w:pPr>
        <w:tabs>
          <w:tab w:val="left" w:pos="1304"/>
        </w:tabs>
        <w:ind w:firstLine="851"/>
        <w:rPr>
          <w:sz w:val="24"/>
          <w:szCs w:val="24"/>
        </w:rPr>
      </w:pPr>
    </w:p>
    <w:p w:rsidR="00D33D69" w:rsidRPr="00D33D69" w:rsidRDefault="00D33D69" w:rsidP="00D33D69">
      <w:pPr>
        <w:tabs>
          <w:tab w:val="left" w:pos="8222"/>
        </w:tabs>
        <w:ind w:firstLine="851"/>
        <w:rPr>
          <w:sz w:val="24"/>
          <w:szCs w:val="24"/>
        </w:rPr>
      </w:pPr>
      <w:proofErr w:type="spellStart"/>
      <w:r w:rsidRPr="00D33D69">
        <w:rPr>
          <w:sz w:val="24"/>
          <w:szCs w:val="24"/>
        </w:rPr>
        <w:t>Clindabactin</w:t>
      </w:r>
      <w:proofErr w:type="spellEnd"/>
    </w:p>
    <w:p w:rsidR="00D33D69" w:rsidRPr="00D33D69" w:rsidRDefault="00D33D69" w:rsidP="00D33D69">
      <w:pPr>
        <w:tabs>
          <w:tab w:val="left" w:pos="1304"/>
        </w:tabs>
        <w:ind w:firstLine="851"/>
        <w:rPr>
          <w:sz w:val="24"/>
          <w:szCs w:val="24"/>
        </w:rPr>
      </w:pPr>
      <w:r w:rsidRPr="00D33D69">
        <w:rPr>
          <w:sz w:val="24"/>
          <w:szCs w:val="24"/>
        </w:rPr>
        <w:t>Lægemiddelform: Tyggetablet</w:t>
      </w:r>
    </w:p>
    <w:p w:rsidR="00D33D69" w:rsidRPr="00D33D69" w:rsidRDefault="00D33D69" w:rsidP="00D33D69">
      <w:pPr>
        <w:tabs>
          <w:tab w:val="left" w:pos="1304"/>
        </w:tabs>
        <w:ind w:firstLine="851"/>
        <w:rPr>
          <w:sz w:val="24"/>
          <w:szCs w:val="24"/>
        </w:rPr>
      </w:pPr>
      <w:r w:rsidRPr="00D33D69">
        <w:rPr>
          <w:sz w:val="24"/>
          <w:szCs w:val="24"/>
        </w:rPr>
        <w:t>Styrke: 440 mg</w:t>
      </w:r>
    </w:p>
    <w:p w:rsidR="00D33D69" w:rsidRPr="00D33D69" w:rsidRDefault="00D33D69" w:rsidP="00D33D69">
      <w:pPr>
        <w:tabs>
          <w:tab w:val="left" w:pos="1304"/>
        </w:tabs>
        <w:rPr>
          <w:sz w:val="24"/>
          <w:szCs w:val="24"/>
        </w:rPr>
      </w:pP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2.</w:t>
      </w:r>
      <w:r w:rsidRPr="00D33D69">
        <w:rPr>
          <w:sz w:val="24"/>
          <w:szCs w:val="24"/>
        </w:rPr>
        <w:tab/>
        <w:t>KVALITATIV OG KVANTITATIV SAMMENSÆTNING</w:t>
      </w:r>
    </w:p>
    <w:p w:rsidR="00D33D69" w:rsidRPr="00D33D69" w:rsidRDefault="00D33D69" w:rsidP="00D33D69">
      <w:pPr>
        <w:tabs>
          <w:tab w:val="left" w:pos="1304"/>
        </w:tabs>
        <w:rPr>
          <w:sz w:val="24"/>
          <w:szCs w:val="24"/>
        </w:rPr>
      </w:pPr>
    </w:p>
    <w:p w:rsidR="00D33D69" w:rsidRPr="00D33D69" w:rsidRDefault="00D33D69" w:rsidP="00D33D69">
      <w:pPr>
        <w:ind w:firstLine="851"/>
        <w:rPr>
          <w:sz w:val="24"/>
          <w:szCs w:val="24"/>
          <w:lang w:eastAsia="da-DK"/>
        </w:rPr>
      </w:pPr>
      <w:r w:rsidRPr="00D33D69">
        <w:rPr>
          <w:sz w:val="24"/>
          <w:szCs w:val="24"/>
        </w:rPr>
        <w:t>Hver tablet indeholder:</w:t>
      </w:r>
    </w:p>
    <w:p w:rsidR="00D33D69" w:rsidRPr="00D33D69" w:rsidRDefault="00D33D69" w:rsidP="00D33D69">
      <w:pPr>
        <w:ind w:firstLine="851"/>
        <w:rPr>
          <w:sz w:val="24"/>
          <w:szCs w:val="24"/>
        </w:rPr>
      </w:pPr>
    </w:p>
    <w:p w:rsidR="00D33D69" w:rsidRPr="00D33D69" w:rsidRDefault="00D33D69" w:rsidP="00D33D69">
      <w:pPr>
        <w:ind w:firstLine="851"/>
        <w:rPr>
          <w:b/>
          <w:sz w:val="24"/>
          <w:szCs w:val="24"/>
          <w:lang w:val="sv-SE"/>
        </w:rPr>
      </w:pPr>
      <w:r w:rsidRPr="00D33D69">
        <w:rPr>
          <w:b/>
          <w:sz w:val="24"/>
          <w:szCs w:val="24"/>
          <w:lang w:val="sv-SE"/>
        </w:rPr>
        <w:t xml:space="preserve">Aktivt </w:t>
      </w:r>
      <w:proofErr w:type="spellStart"/>
      <w:r w:rsidRPr="00D33D69">
        <w:rPr>
          <w:b/>
          <w:sz w:val="24"/>
          <w:szCs w:val="24"/>
          <w:lang w:val="sv-SE"/>
        </w:rPr>
        <w:t>stof</w:t>
      </w:r>
      <w:proofErr w:type="spellEnd"/>
      <w:r w:rsidRPr="00D33D69">
        <w:rPr>
          <w:b/>
          <w:sz w:val="24"/>
          <w:szCs w:val="24"/>
          <w:lang w:val="sv-SE"/>
        </w:rPr>
        <w:t xml:space="preserve">: </w:t>
      </w:r>
    </w:p>
    <w:p w:rsidR="00D33D69" w:rsidRPr="00D33D69" w:rsidRDefault="00D33D69" w:rsidP="00D33D69">
      <w:pPr>
        <w:ind w:firstLine="851"/>
        <w:rPr>
          <w:sz w:val="24"/>
          <w:szCs w:val="24"/>
          <w:lang w:val="sv-SE"/>
        </w:rPr>
      </w:pPr>
      <w:proofErr w:type="spellStart"/>
      <w:r w:rsidRPr="00D33D69">
        <w:rPr>
          <w:sz w:val="24"/>
          <w:szCs w:val="24"/>
          <w:lang w:val="sv-SE"/>
        </w:rPr>
        <w:t>Clindamycin</w:t>
      </w:r>
      <w:proofErr w:type="spellEnd"/>
      <w:r w:rsidRPr="00D33D69">
        <w:rPr>
          <w:sz w:val="24"/>
          <w:szCs w:val="24"/>
          <w:lang w:val="sv-SE"/>
        </w:rPr>
        <w:t xml:space="preserve"> (som </w:t>
      </w:r>
      <w:proofErr w:type="spellStart"/>
      <w:r w:rsidRPr="00D33D69">
        <w:rPr>
          <w:sz w:val="24"/>
          <w:szCs w:val="24"/>
          <w:lang w:val="sv-SE"/>
        </w:rPr>
        <w:t>clindamycinhydrochlorid</w:t>
      </w:r>
      <w:proofErr w:type="spellEnd"/>
      <w:r w:rsidRPr="00D33D69">
        <w:rPr>
          <w:sz w:val="24"/>
          <w:szCs w:val="24"/>
          <w:lang w:val="sv-SE"/>
        </w:rPr>
        <w:t>)</w:t>
      </w:r>
    </w:p>
    <w:p w:rsidR="00D33D69" w:rsidRPr="00D33D69" w:rsidRDefault="00D33D69" w:rsidP="00D33D69">
      <w:pPr>
        <w:tabs>
          <w:tab w:val="left" w:pos="1276"/>
        </w:tabs>
        <w:ind w:firstLine="851"/>
        <w:rPr>
          <w:sz w:val="24"/>
          <w:szCs w:val="24"/>
          <w:lang w:val="sv-SE"/>
        </w:rPr>
      </w:pPr>
      <w:r w:rsidRPr="00D33D69">
        <w:rPr>
          <w:sz w:val="24"/>
          <w:szCs w:val="24"/>
          <w:lang w:val="sv-SE"/>
        </w:rPr>
        <w:t xml:space="preserve">55 mg: </w:t>
      </w:r>
      <w:r w:rsidRPr="00D33D69">
        <w:rPr>
          <w:sz w:val="24"/>
          <w:szCs w:val="24"/>
          <w:lang w:val="sv-SE"/>
        </w:rPr>
        <w:tab/>
        <w:t xml:space="preserve">1 </w:t>
      </w:r>
      <w:proofErr w:type="spellStart"/>
      <w:r w:rsidRPr="00D33D69">
        <w:rPr>
          <w:sz w:val="24"/>
          <w:szCs w:val="24"/>
          <w:lang w:val="sv-SE"/>
        </w:rPr>
        <w:t>tablet</w:t>
      </w:r>
      <w:proofErr w:type="spellEnd"/>
      <w:r w:rsidRPr="00D33D69">
        <w:rPr>
          <w:sz w:val="24"/>
          <w:szCs w:val="24"/>
          <w:lang w:val="sv-SE"/>
        </w:rPr>
        <w:t xml:space="preserve"> </w:t>
      </w:r>
      <w:proofErr w:type="spellStart"/>
      <w:r w:rsidRPr="00D33D69">
        <w:rPr>
          <w:sz w:val="24"/>
          <w:szCs w:val="24"/>
          <w:lang w:val="sv-SE"/>
        </w:rPr>
        <w:t>indeholder</w:t>
      </w:r>
      <w:proofErr w:type="spellEnd"/>
      <w:r w:rsidRPr="00D33D69">
        <w:rPr>
          <w:sz w:val="24"/>
          <w:szCs w:val="24"/>
          <w:lang w:val="sv-SE"/>
        </w:rPr>
        <w:t xml:space="preserve"> 55 mg </w:t>
      </w:r>
      <w:proofErr w:type="spellStart"/>
      <w:r w:rsidRPr="00D33D69">
        <w:rPr>
          <w:sz w:val="24"/>
          <w:szCs w:val="24"/>
          <w:lang w:val="sv-SE"/>
        </w:rPr>
        <w:t>clindamycin</w:t>
      </w:r>
      <w:proofErr w:type="spellEnd"/>
      <w:r w:rsidRPr="00D33D69">
        <w:rPr>
          <w:sz w:val="24"/>
          <w:szCs w:val="24"/>
          <w:lang w:val="sv-SE"/>
        </w:rPr>
        <w:t xml:space="preserve"> (som </w:t>
      </w:r>
      <w:proofErr w:type="spellStart"/>
      <w:r w:rsidRPr="00D33D69">
        <w:rPr>
          <w:sz w:val="24"/>
          <w:szCs w:val="24"/>
          <w:lang w:val="sv-SE"/>
        </w:rPr>
        <w:t>clindamycinhydrochlorid</w:t>
      </w:r>
      <w:proofErr w:type="spellEnd"/>
      <w:r w:rsidRPr="00D33D69">
        <w:rPr>
          <w:sz w:val="24"/>
          <w:szCs w:val="24"/>
          <w:lang w:val="sv-SE"/>
        </w:rPr>
        <w:t>)</w:t>
      </w:r>
    </w:p>
    <w:p w:rsidR="00D33D69" w:rsidRPr="00D33D69" w:rsidRDefault="00D33D69" w:rsidP="00D33D69">
      <w:pPr>
        <w:tabs>
          <w:tab w:val="left" w:pos="1276"/>
          <w:tab w:val="left" w:pos="1985"/>
        </w:tabs>
        <w:ind w:firstLine="851"/>
        <w:rPr>
          <w:sz w:val="24"/>
          <w:szCs w:val="24"/>
          <w:lang w:val="sv-SE"/>
        </w:rPr>
      </w:pPr>
      <w:r w:rsidRPr="00D33D69">
        <w:rPr>
          <w:sz w:val="24"/>
          <w:szCs w:val="24"/>
          <w:lang w:val="sv-SE"/>
        </w:rPr>
        <w:t>220 mg:</w:t>
      </w:r>
      <w:r w:rsidRPr="00D33D69">
        <w:rPr>
          <w:sz w:val="24"/>
          <w:szCs w:val="24"/>
          <w:lang w:val="sv-SE"/>
        </w:rPr>
        <w:tab/>
        <w:t xml:space="preserve">1 </w:t>
      </w:r>
      <w:proofErr w:type="spellStart"/>
      <w:r w:rsidRPr="00D33D69">
        <w:rPr>
          <w:sz w:val="24"/>
          <w:szCs w:val="24"/>
          <w:lang w:val="sv-SE"/>
        </w:rPr>
        <w:t>tablet</w:t>
      </w:r>
      <w:proofErr w:type="spellEnd"/>
      <w:r w:rsidRPr="00D33D69">
        <w:rPr>
          <w:sz w:val="24"/>
          <w:szCs w:val="24"/>
          <w:lang w:val="sv-SE"/>
        </w:rPr>
        <w:t xml:space="preserve"> </w:t>
      </w:r>
      <w:proofErr w:type="spellStart"/>
      <w:r w:rsidRPr="00D33D69">
        <w:rPr>
          <w:sz w:val="24"/>
          <w:szCs w:val="24"/>
          <w:lang w:val="sv-SE"/>
        </w:rPr>
        <w:t>indeholder</w:t>
      </w:r>
      <w:proofErr w:type="spellEnd"/>
      <w:r w:rsidRPr="00D33D69">
        <w:rPr>
          <w:sz w:val="24"/>
          <w:szCs w:val="24"/>
          <w:lang w:val="sv-SE"/>
        </w:rPr>
        <w:t xml:space="preserve"> 220 mg </w:t>
      </w:r>
      <w:proofErr w:type="spellStart"/>
      <w:r w:rsidRPr="00D33D69">
        <w:rPr>
          <w:sz w:val="24"/>
          <w:szCs w:val="24"/>
          <w:lang w:val="sv-SE"/>
        </w:rPr>
        <w:t>clindamycin</w:t>
      </w:r>
      <w:proofErr w:type="spellEnd"/>
      <w:r w:rsidRPr="00D33D69">
        <w:rPr>
          <w:sz w:val="24"/>
          <w:szCs w:val="24"/>
          <w:lang w:val="sv-SE"/>
        </w:rPr>
        <w:t xml:space="preserve"> (som </w:t>
      </w:r>
      <w:proofErr w:type="spellStart"/>
      <w:r w:rsidRPr="00D33D69">
        <w:rPr>
          <w:sz w:val="24"/>
          <w:szCs w:val="24"/>
          <w:lang w:val="sv-SE"/>
        </w:rPr>
        <w:t>clindamycinhydrochlorid</w:t>
      </w:r>
      <w:proofErr w:type="spellEnd"/>
      <w:r w:rsidRPr="00D33D69">
        <w:rPr>
          <w:sz w:val="24"/>
          <w:szCs w:val="24"/>
          <w:lang w:val="sv-SE"/>
        </w:rPr>
        <w:t>)</w:t>
      </w:r>
    </w:p>
    <w:p w:rsidR="00D33D69" w:rsidRPr="00D33D69" w:rsidRDefault="00D33D69" w:rsidP="00D33D69">
      <w:pPr>
        <w:tabs>
          <w:tab w:val="left" w:pos="1276"/>
          <w:tab w:val="left" w:pos="1985"/>
        </w:tabs>
        <w:ind w:firstLine="851"/>
        <w:rPr>
          <w:sz w:val="24"/>
          <w:szCs w:val="24"/>
        </w:rPr>
      </w:pPr>
      <w:r w:rsidRPr="00D33D69">
        <w:rPr>
          <w:sz w:val="24"/>
          <w:szCs w:val="24"/>
        </w:rPr>
        <w:t>440 mg:</w:t>
      </w:r>
      <w:r w:rsidRPr="00D33D69">
        <w:rPr>
          <w:sz w:val="24"/>
          <w:szCs w:val="24"/>
        </w:rPr>
        <w:tab/>
        <w:t xml:space="preserve">1 tablet indeholder 440 mg </w:t>
      </w:r>
      <w:proofErr w:type="spellStart"/>
      <w:r w:rsidRPr="00D33D69">
        <w:rPr>
          <w:sz w:val="24"/>
          <w:szCs w:val="24"/>
        </w:rPr>
        <w:t>clindamycin</w:t>
      </w:r>
      <w:proofErr w:type="spellEnd"/>
      <w:r w:rsidRPr="00D33D69">
        <w:rPr>
          <w:sz w:val="24"/>
          <w:szCs w:val="24"/>
        </w:rPr>
        <w:t xml:space="preserve"> (som </w:t>
      </w:r>
      <w:proofErr w:type="spellStart"/>
      <w:r w:rsidRPr="00D33D69">
        <w:rPr>
          <w:sz w:val="24"/>
          <w:szCs w:val="24"/>
        </w:rPr>
        <w:t>clindamycinhydrochlorid</w:t>
      </w:r>
      <w:proofErr w:type="spellEnd"/>
      <w:r w:rsidRPr="00D33D69">
        <w:rPr>
          <w:sz w:val="24"/>
          <w:szCs w:val="24"/>
        </w:rPr>
        <w:t>)</w:t>
      </w:r>
    </w:p>
    <w:p w:rsidR="00D33D69" w:rsidRPr="00D33D69" w:rsidRDefault="00D33D69" w:rsidP="00D33D69">
      <w:pPr>
        <w:ind w:firstLine="851"/>
        <w:rPr>
          <w:sz w:val="24"/>
          <w:szCs w:val="24"/>
        </w:rPr>
      </w:pPr>
    </w:p>
    <w:p w:rsidR="00D33D69" w:rsidRPr="00D33D69" w:rsidRDefault="00D33D69" w:rsidP="00D33D69">
      <w:pPr>
        <w:ind w:firstLine="851"/>
        <w:rPr>
          <w:sz w:val="24"/>
          <w:szCs w:val="24"/>
        </w:rPr>
      </w:pPr>
      <w:r w:rsidRPr="00D33D69">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tblGrid>
      <w:tr w:rsidR="00D33D69" w:rsidRPr="00D33D69" w:rsidTr="00D33D69">
        <w:tc>
          <w:tcPr>
            <w:tcW w:w="4252" w:type="dxa"/>
            <w:tcBorders>
              <w:top w:val="single" w:sz="4" w:space="0" w:color="000000"/>
              <w:left w:val="single" w:sz="4" w:space="0" w:color="000000"/>
              <w:bottom w:val="single" w:sz="4" w:space="0" w:color="000000"/>
              <w:right w:val="single" w:sz="4" w:space="0" w:color="000000"/>
            </w:tcBorders>
            <w:vAlign w:val="center"/>
            <w:hideMark/>
          </w:tcPr>
          <w:p w:rsidR="00D33D69" w:rsidRPr="00D33D69" w:rsidRDefault="00D33D69">
            <w:pPr>
              <w:spacing w:before="60" w:after="60"/>
              <w:rPr>
                <w:b/>
                <w:bCs/>
                <w:iCs/>
                <w:sz w:val="24"/>
                <w:szCs w:val="24"/>
              </w:rPr>
            </w:pPr>
            <w:r w:rsidRPr="00D33D69">
              <w:rPr>
                <w:b/>
                <w:bCs/>
                <w:iCs/>
                <w:sz w:val="24"/>
                <w:szCs w:val="24"/>
              </w:rPr>
              <w:t>Kvalitativ sammensætning af hjælpestoffer og andre bestanddele</w:t>
            </w:r>
          </w:p>
        </w:tc>
      </w:tr>
      <w:tr w:rsidR="00D33D69" w:rsidRPr="00D33D69" w:rsidTr="00D33D69">
        <w:tc>
          <w:tcPr>
            <w:tcW w:w="4252" w:type="dxa"/>
            <w:tcBorders>
              <w:top w:val="single" w:sz="4" w:space="0" w:color="000000"/>
              <w:left w:val="single" w:sz="4" w:space="0" w:color="000000"/>
              <w:bottom w:val="single" w:sz="4" w:space="0" w:color="000000"/>
              <w:right w:val="single" w:sz="4" w:space="0" w:color="000000"/>
            </w:tcBorders>
            <w:vAlign w:val="center"/>
            <w:hideMark/>
          </w:tcPr>
          <w:p w:rsidR="00D33D69" w:rsidRPr="00D33D69" w:rsidRDefault="00D33D69">
            <w:pPr>
              <w:spacing w:before="60" w:after="60"/>
              <w:ind w:left="567" w:hanging="567"/>
              <w:rPr>
                <w:iCs/>
                <w:sz w:val="24"/>
                <w:szCs w:val="24"/>
              </w:rPr>
            </w:pPr>
            <w:proofErr w:type="spellStart"/>
            <w:r w:rsidRPr="00D33D69">
              <w:rPr>
                <w:sz w:val="24"/>
                <w:szCs w:val="24"/>
              </w:rPr>
              <w:t>Croscarmellosenatrium</w:t>
            </w:r>
            <w:proofErr w:type="spellEnd"/>
          </w:p>
        </w:tc>
      </w:tr>
      <w:tr w:rsidR="00D33D69" w:rsidRPr="00D33D69" w:rsidTr="00D33D69">
        <w:tc>
          <w:tcPr>
            <w:tcW w:w="4252" w:type="dxa"/>
            <w:tcBorders>
              <w:top w:val="single" w:sz="4" w:space="0" w:color="000000"/>
              <w:left w:val="single" w:sz="4" w:space="0" w:color="000000"/>
              <w:bottom w:val="single" w:sz="4" w:space="0" w:color="000000"/>
              <w:right w:val="single" w:sz="4" w:space="0" w:color="000000"/>
            </w:tcBorders>
            <w:vAlign w:val="center"/>
            <w:hideMark/>
          </w:tcPr>
          <w:p w:rsidR="00D33D69" w:rsidRPr="00D33D69" w:rsidRDefault="00D33D69">
            <w:pPr>
              <w:spacing w:before="60" w:after="60"/>
              <w:rPr>
                <w:iCs/>
                <w:sz w:val="24"/>
                <w:szCs w:val="24"/>
              </w:rPr>
            </w:pPr>
            <w:r w:rsidRPr="00D33D69">
              <w:rPr>
                <w:sz w:val="24"/>
                <w:szCs w:val="24"/>
              </w:rPr>
              <w:lastRenderedPageBreak/>
              <w:t xml:space="preserve">Stivelse, </w:t>
            </w:r>
            <w:proofErr w:type="spellStart"/>
            <w:r w:rsidRPr="00D33D69">
              <w:rPr>
                <w:sz w:val="24"/>
                <w:szCs w:val="24"/>
              </w:rPr>
              <w:t>pregelatineret</w:t>
            </w:r>
            <w:proofErr w:type="spellEnd"/>
            <w:r w:rsidRPr="00D33D69">
              <w:rPr>
                <w:sz w:val="24"/>
                <w:szCs w:val="24"/>
              </w:rPr>
              <w:t xml:space="preserve"> (majs)</w:t>
            </w:r>
          </w:p>
        </w:tc>
      </w:tr>
      <w:tr w:rsidR="00D33D69" w:rsidRPr="00D33D69" w:rsidTr="00D33D69">
        <w:tc>
          <w:tcPr>
            <w:tcW w:w="4252" w:type="dxa"/>
            <w:tcBorders>
              <w:top w:val="single" w:sz="4" w:space="0" w:color="000000"/>
              <w:left w:val="single" w:sz="4" w:space="0" w:color="000000"/>
              <w:bottom w:val="single" w:sz="4" w:space="0" w:color="000000"/>
              <w:right w:val="single" w:sz="4" w:space="0" w:color="000000"/>
            </w:tcBorders>
            <w:vAlign w:val="center"/>
            <w:hideMark/>
          </w:tcPr>
          <w:p w:rsidR="00D33D69" w:rsidRPr="00D33D69" w:rsidRDefault="00D33D69">
            <w:pPr>
              <w:spacing w:before="60" w:after="60"/>
              <w:rPr>
                <w:iCs/>
                <w:sz w:val="24"/>
                <w:szCs w:val="24"/>
              </w:rPr>
            </w:pPr>
            <w:r w:rsidRPr="00D33D69">
              <w:rPr>
                <w:sz w:val="24"/>
                <w:szCs w:val="24"/>
              </w:rPr>
              <w:t>Cellulose, mikrokrystallinsk</w:t>
            </w:r>
          </w:p>
        </w:tc>
      </w:tr>
      <w:tr w:rsidR="00D33D69" w:rsidRPr="00D33D69" w:rsidTr="00D33D69">
        <w:tc>
          <w:tcPr>
            <w:tcW w:w="4252" w:type="dxa"/>
            <w:tcBorders>
              <w:top w:val="single" w:sz="4" w:space="0" w:color="000000"/>
              <w:left w:val="single" w:sz="4" w:space="0" w:color="000000"/>
              <w:bottom w:val="single" w:sz="4" w:space="0" w:color="000000"/>
              <w:right w:val="single" w:sz="4" w:space="0" w:color="000000"/>
            </w:tcBorders>
            <w:vAlign w:val="center"/>
            <w:hideMark/>
          </w:tcPr>
          <w:p w:rsidR="00D33D69" w:rsidRPr="00D33D69" w:rsidRDefault="00D33D69">
            <w:pPr>
              <w:spacing w:before="60" w:after="60"/>
              <w:rPr>
                <w:iCs/>
                <w:sz w:val="24"/>
                <w:szCs w:val="24"/>
              </w:rPr>
            </w:pPr>
            <w:proofErr w:type="spellStart"/>
            <w:r w:rsidRPr="00D33D69">
              <w:rPr>
                <w:sz w:val="24"/>
                <w:szCs w:val="24"/>
              </w:rPr>
              <w:t>Silica</w:t>
            </w:r>
            <w:proofErr w:type="spellEnd"/>
            <w:r w:rsidRPr="00D33D69">
              <w:rPr>
                <w:sz w:val="24"/>
                <w:szCs w:val="24"/>
              </w:rPr>
              <w:t>, kolloid</w:t>
            </w:r>
          </w:p>
        </w:tc>
      </w:tr>
      <w:tr w:rsidR="00D33D69" w:rsidRPr="00D33D69" w:rsidTr="00D33D69">
        <w:tc>
          <w:tcPr>
            <w:tcW w:w="4252" w:type="dxa"/>
            <w:tcBorders>
              <w:top w:val="single" w:sz="4" w:space="0" w:color="000000"/>
              <w:left w:val="single" w:sz="4" w:space="0" w:color="000000"/>
              <w:bottom w:val="single" w:sz="4" w:space="0" w:color="000000"/>
              <w:right w:val="single" w:sz="4" w:space="0" w:color="000000"/>
            </w:tcBorders>
            <w:vAlign w:val="center"/>
            <w:hideMark/>
          </w:tcPr>
          <w:p w:rsidR="00D33D69" w:rsidRPr="00D33D69" w:rsidRDefault="00D33D69">
            <w:pPr>
              <w:spacing w:before="60" w:after="60"/>
              <w:rPr>
                <w:iCs/>
                <w:sz w:val="24"/>
                <w:szCs w:val="24"/>
              </w:rPr>
            </w:pPr>
            <w:r w:rsidRPr="00D33D69">
              <w:rPr>
                <w:sz w:val="24"/>
                <w:szCs w:val="24"/>
              </w:rPr>
              <w:t>Gær (tørt)</w:t>
            </w:r>
          </w:p>
        </w:tc>
      </w:tr>
      <w:tr w:rsidR="00D33D69" w:rsidRPr="00D33D69" w:rsidTr="00D33D69">
        <w:tc>
          <w:tcPr>
            <w:tcW w:w="4252" w:type="dxa"/>
            <w:tcBorders>
              <w:top w:val="single" w:sz="4" w:space="0" w:color="000000"/>
              <w:left w:val="single" w:sz="4" w:space="0" w:color="000000"/>
              <w:bottom w:val="single" w:sz="4" w:space="0" w:color="000000"/>
              <w:right w:val="single" w:sz="4" w:space="0" w:color="000000"/>
            </w:tcBorders>
            <w:vAlign w:val="center"/>
            <w:hideMark/>
          </w:tcPr>
          <w:p w:rsidR="00D33D69" w:rsidRPr="00D33D69" w:rsidRDefault="00D33D69">
            <w:pPr>
              <w:spacing w:before="60" w:after="60"/>
              <w:ind w:left="567" w:hanging="567"/>
              <w:rPr>
                <w:b/>
                <w:bCs/>
                <w:iCs/>
                <w:sz w:val="24"/>
                <w:szCs w:val="24"/>
              </w:rPr>
            </w:pPr>
            <w:r w:rsidRPr="00D33D69">
              <w:rPr>
                <w:sz w:val="24"/>
                <w:szCs w:val="24"/>
              </w:rPr>
              <w:t>Kyllingesmag</w:t>
            </w:r>
          </w:p>
        </w:tc>
      </w:tr>
      <w:tr w:rsidR="00D33D69" w:rsidRPr="00D33D69" w:rsidTr="00D33D69">
        <w:tc>
          <w:tcPr>
            <w:tcW w:w="4252" w:type="dxa"/>
            <w:tcBorders>
              <w:top w:val="single" w:sz="4" w:space="0" w:color="000000"/>
              <w:left w:val="single" w:sz="4" w:space="0" w:color="000000"/>
              <w:bottom w:val="single" w:sz="4" w:space="0" w:color="000000"/>
              <w:right w:val="single" w:sz="4" w:space="0" w:color="000000"/>
            </w:tcBorders>
            <w:vAlign w:val="center"/>
            <w:hideMark/>
          </w:tcPr>
          <w:p w:rsidR="00D33D69" w:rsidRPr="00D33D69" w:rsidRDefault="00D33D69">
            <w:pPr>
              <w:spacing w:before="60" w:after="60"/>
              <w:rPr>
                <w:iCs/>
                <w:sz w:val="24"/>
                <w:szCs w:val="24"/>
              </w:rPr>
            </w:pPr>
            <w:proofErr w:type="spellStart"/>
            <w:r w:rsidRPr="00D33D69">
              <w:rPr>
                <w:sz w:val="24"/>
                <w:szCs w:val="24"/>
              </w:rPr>
              <w:t>Magnesiumstearat</w:t>
            </w:r>
            <w:proofErr w:type="spellEnd"/>
          </w:p>
        </w:tc>
      </w:tr>
    </w:tbl>
    <w:p w:rsidR="00D33D69" w:rsidRPr="00D33D69" w:rsidRDefault="00D33D69" w:rsidP="00D33D69">
      <w:pPr>
        <w:tabs>
          <w:tab w:val="left" w:pos="1304"/>
        </w:tabs>
        <w:rPr>
          <w:sz w:val="24"/>
          <w:szCs w:val="24"/>
        </w:rPr>
      </w:pPr>
    </w:p>
    <w:p w:rsidR="00D33D69" w:rsidRPr="00D33D69" w:rsidRDefault="00D33D69" w:rsidP="00D33D69">
      <w:pPr>
        <w:ind w:left="851"/>
        <w:rPr>
          <w:sz w:val="24"/>
          <w:szCs w:val="24"/>
          <w:u w:val="single"/>
          <w:lang w:eastAsia="da-DK"/>
        </w:rPr>
      </w:pPr>
      <w:r w:rsidRPr="00D33D69">
        <w:rPr>
          <w:sz w:val="24"/>
          <w:szCs w:val="24"/>
          <w:u w:val="single"/>
        </w:rPr>
        <w:t>55 mg</w:t>
      </w:r>
    </w:p>
    <w:p w:rsidR="00D33D69" w:rsidRPr="00D33D69" w:rsidRDefault="00D33D69" w:rsidP="00D33D69">
      <w:pPr>
        <w:ind w:left="851"/>
        <w:rPr>
          <w:sz w:val="24"/>
          <w:szCs w:val="24"/>
        </w:rPr>
      </w:pPr>
      <w:r w:rsidRPr="00D33D69">
        <w:rPr>
          <w:sz w:val="24"/>
          <w:szCs w:val="24"/>
        </w:rPr>
        <w:t xml:space="preserve">Lysebrun med brune prikker, rund og konveks 9 mm tyggetablet med smag og en </w:t>
      </w:r>
      <w:proofErr w:type="spellStart"/>
      <w:r w:rsidRPr="00D33D69">
        <w:rPr>
          <w:sz w:val="24"/>
          <w:szCs w:val="24"/>
        </w:rPr>
        <w:t>krydsformet</w:t>
      </w:r>
      <w:proofErr w:type="spellEnd"/>
      <w:r w:rsidRPr="00D33D69">
        <w:rPr>
          <w:sz w:val="24"/>
          <w:szCs w:val="24"/>
        </w:rPr>
        <w:t xml:space="preserve"> delekærv på den ene side.</w:t>
      </w:r>
    </w:p>
    <w:p w:rsidR="00D33D69" w:rsidRPr="00D33D69" w:rsidRDefault="00D33D69" w:rsidP="00D33D69">
      <w:pPr>
        <w:ind w:left="851"/>
        <w:rPr>
          <w:sz w:val="24"/>
          <w:szCs w:val="24"/>
        </w:rPr>
      </w:pPr>
    </w:p>
    <w:p w:rsidR="00D33D69" w:rsidRPr="00D33D69" w:rsidRDefault="00D33D69" w:rsidP="00D33D69">
      <w:pPr>
        <w:ind w:left="851"/>
        <w:rPr>
          <w:sz w:val="24"/>
          <w:szCs w:val="24"/>
          <w:u w:val="single"/>
        </w:rPr>
      </w:pPr>
      <w:r w:rsidRPr="00D33D69">
        <w:rPr>
          <w:sz w:val="24"/>
          <w:szCs w:val="24"/>
          <w:u w:val="single"/>
        </w:rPr>
        <w:t>220 mg</w:t>
      </w:r>
    </w:p>
    <w:p w:rsidR="00D33D69" w:rsidRPr="00D33D69" w:rsidRDefault="00D33D69" w:rsidP="00D33D69">
      <w:pPr>
        <w:ind w:left="851"/>
        <w:rPr>
          <w:sz w:val="24"/>
          <w:szCs w:val="24"/>
        </w:rPr>
      </w:pPr>
      <w:r w:rsidRPr="00D33D69">
        <w:rPr>
          <w:sz w:val="24"/>
          <w:szCs w:val="24"/>
        </w:rPr>
        <w:t xml:space="preserve">Lysebrun med brune prikker, rund og konveks 13 mm tyggetablet med smag og en </w:t>
      </w:r>
      <w:proofErr w:type="spellStart"/>
      <w:r w:rsidRPr="00D33D69">
        <w:rPr>
          <w:sz w:val="24"/>
          <w:szCs w:val="24"/>
        </w:rPr>
        <w:t>krydsformet</w:t>
      </w:r>
      <w:proofErr w:type="spellEnd"/>
      <w:r w:rsidRPr="00D33D69">
        <w:rPr>
          <w:sz w:val="24"/>
          <w:szCs w:val="24"/>
        </w:rPr>
        <w:t xml:space="preserve"> delekærv på den ene side.</w:t>
      </w:r>
    </w:p>
    <w:p w:rsidR="00D33D69" w:rsidRPr="00D33D69" w:rsidRDefault="00D33D69" w:rsidP="00D33D69">
      <w:pPr>
        <w:ind w:left="851"/>
        <w:rPr>
          <w:sz w:val="24"/>
          <w:szCs w:val="24"/>
        </w:rPr>
      </w:pPr>
    </w:p>
    <w:p w:rsidR="00D33D69" w:rsidRPr="00D33D69" w:rsidRDefault="00D33D69" w:rsidP="00D33D69">
      <w:pPr>
        <w:ind w:left="851"/>
        <w:rPr>
          <w:sz w:val="24"/>
          <w:szCs w:val="24"/>
          <w:u w:val="single"/>
        </w:rPr>
      </w:pPr>
      <w:r w:rsidRPr="00D33D69">
        <w:rPr>
          <w:sz w:val="24"/>
          <w:szCs w:val="24"/>
          <w:u w:val="single"/>
        </w:rPr>
        <w:t>440 mg</w:t>
      </w:r>
    </w:p>
    <w:p w:rsidR="00D33D69" w:rsidRPr="00D33D69" w:rsidRDefault="00D33D69" w:rsidP="00D33D69">
      <w:pPr>
        <w:ind w:left="851"/>
        <w:rPr>
          <w:sz w:val="24"/>
          <w:szCs w:val="24"/>
        </w:rPr>
      </w:pPr>
      <w:r w:rsidRPr="00D33D69">
        <w:rPr>
          <w:sz w:val="24"/>
          <w:szCs w:val="24"/>
        </w:rPr>
        <w:t xml:space="preserve">Lysebrun med brune prikker, rund og konveks 18 mm tyggetablet med smag og en </w:t>
      </w:r>
      <w:proofErr w:type="spellStart"/>
      <w:r w:rsidRPr="00D33D69">
        <w:rPr>
          <w:sz w:val="24"/>
          <w:szCs w:val="24"/>
        </w:rPr>
        <w:t>krydsformet</w:t>
      </w:r>
      <w:proofErr w:type="spellEnd"/>
      <w:r w:rsidRPr="00D33D69">
        <w:rPr>
          <w:sz w:val="24"/>
          <w:szCs w:val="24"/>
        </w:rPr>
        <w:t xml:space="preserve"> delekærv på den ene side.</w:t>
      </w:r>
    </w:p>
    <w:p w:rsidR="00D33D69" w:rsidRPr="00D33D69" w:rsidRDefault="00D33D69" w:rsidP="00D33D69">
      <w:pPr>
        <w:ind w:left="851"/>
        <w:rPr>
          <w:sz w:val="24"/>
          <w:szCs w:val="24"/>
        </w:rPr>
      </w:pPr>
    </w:p>
    <w:p w:rsidR="00D33D69" w:rsidRPr="00D33D69" w:rsidRDefault="00D33D69" w:rsidP="00D33D69">
      <w:pPr>
        <w:ind w:left="851"/>
        <w:rPr>
          <w:sz w:val="24"/>
          <w:szCs w:val="24"/>
        </w:rPr>
      </w:pPr>
      <w:r w:rsidRPr="00D33D69">
        <w:rPr>
          <w:sz w:val="24"/>
          <w:szCs w:val="24"/>
        </w:rPr>
        <w:t>Tabletterne kan deles i to eller fire lige store dele.</w:t>
      </w:r>
    </w:p>
    <w:p w:rsidR="00D33D69" w:rsidRPr="00D33D69" w:rsidRDefault="00D33D69" w:rsidP="00D33D69">
      <w:pPr>
        <w:tabs>
          <w:tab w:val="left" w:pos="1304"/>
        </w:tabs>
        <w:ind w:left="851"/>
        <w:rPr>
          <w:sz w:val="24"/>
          <w:szCs w:val="24"/>
        </w:rPr>
      </w:pP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w:t>
      </w:r>
      <w:r w:rsidRPr="00D33D69">
        <w:rPr>
          <w:sz w:val="24"/>
          <w:szCs w:val="24"/>
        </w:rPr>
        <w:tab/>
        <w:t>KLINISKE OPLYSNINGER</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3.1</w:t>
      </w:r>
      <w:r w:rsidRPr="00D33D69">
        <w:rPr>
          <w:sz w:val="24"/>
          <w:szCs w:val="24"/>
        </w:rPr>
        <w:tab/>
        <w:t>Dyrearter, som lægemidlet er beregnet til</w:t>
      </w:r>
    </w:p>
    <w:p w:rsidR="00D33D69" w:rsidRPr="00D33D69" w:rsidRDefault="00D33D69" w:rsidP="00D33D69">
      <w:pPr>
        <w:tabs>
          <w:tab w:val="left" w:pos="1304"/>
        </w:tabs>
        <w:rPr>
          <w:sz w:val="24"/>
          <w:szCs w:val="24"/>
        </w:rPr>
      </w:pPr>
    </w:p>
    <w:p w:rsidR="00D33D69" w:rsidRPr="00D33D69" w:rsidRDefault="00D33D69" w:rsidP="00D33D69">
      <w:pPr>
        <w:ind w:firstLine="851"/>
        <w:rPr>
          <w:sz w:val="24"/>
          <w:szCs w:val="24"/>
          <w:u w:val="single"/>
        </w:rPr>
      </w:pPr>
      <w:r w:rsidRPr="00D33D69">
        <w:rPr>
          <w:sz w:val="24"/>
          <w:szCs w:val="24"/>
          <w:u w:val="single"/>
        </w:rPr>
        <w:t>55 mg</w:t>
      </w:r>
    </w:p>
    <w:p w:rsidR="00D33D69" w:rsidRPr="00D33D69" w:rsidRDefault="00D33D69" w:rsidP="00D33D69">
      <w:pPr>
        <w:ind w:firstLine="851"/>
        <w:rPr>
          <w:sz w:val="24"/>
          <w:szCs w:val="24"/>
          <w:lang w:eastAsia="da-DK"/>
        </w:rPr>
      </w:pPr>
      <w:r w:rsidRPr="00D33D69">
        <w:rPr>
          <w:sz w:val="24"/>
          <w:szCs w:val="24"/>
        </w:rPr>
        <w:t>Hund og kat.</w:t>
      </w:r>
    </w:p>
    <w:p w:rsidR="00D33D69" w:rsidRPr="00D33D69" w:rsidRDefault="00D33D69" w:rsidP="00D33D69">
      <w:pPr>
        <w:tabs>
          <w:tab w:val="left" w:pos="8222"/>
        </w:tabs>
        <w:ind w:firstLine="851"/>
        <w:rPr>
          <w:sz w:val="24"/>
          <w:szCs w:val="24"/>
        </w:rPr>
      </w:pPr>
    </w:p>
    <w:p w:rsidR="00D33D69" w:rsidRPr="00D33D69" w:rsidRDefault="00D33D69" w:rsidP="00D33D69">
      <w:pPr>
        <w:tabs>
          <w:tab w:val="left" w:pos="8222"/>
        </w:tabs>
        <w:ind w:firstLine="851"/>
        <w:rPr>
          <w:sz w:val="24"/>
          <w:szCs w:val="24"/>
          <w:u w:val="single"/>
        </w:rPr>
      </w:pPr>
      <w:r w:rsidRPr="00D33D69">
        <w:rPr>
          <w:sz w:val="24"/>
          <w:szCs w:val="24"/>
          <w:u w:val="single"/>
        </w:rPr>
        <w:t>220 mg og 440 mg</w:t>
      </w:r>
    </w:p>
    <w:p w:rsidR="00D33D69" w:rsidRPr="00D33D69" w:rsidRDefault="00D33D69" w:rsidP="00D33D69">
      <w:pPr>
        <w:tabs>
          <w:tab w:val="left" w:pos="8222"/>
        </w:tabs>
        <w:ind w:firstLine="851"/>
        <w:rPr>
          <w:sz w:val="24"/>
          <w:szCs w:val="24"/>
        </w:rPr>
      </w:pPr>
      <w:r w:rsidRPr="00D33D69">
        <w:rPr>
          <w:sz w:val="24"/>
          <w:szCs w:val="24"/>
        </w:rPr>
        <w:t>Hund.</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3.2</w:t>
      </w:r>
      <w:r w:rsidRPr="00D33D69">
        <w:rPr>
          <w:sz w:val="24"/>
          <w:szCs w:val="24"/>
        </w:rPr>
        <w:tab/>
        <w:t>Terapeutiske indikationer for hver dyreart, som lægemidlet er beregnet til</w:t>
      </w:r>
    </w:p>
    <w:p w:rsidR="00D33D69" w:rsidRPr="00D33D69" w:rsidRDefault="00D33D69" w:rsidP="00D33D69">
      <w:pPr>
        <w:tabs>
          <w:tab w:val="left" w:pos="1304"/>
        </w:tabs>
        <w:rPr>
          <w:sz w:val="24"/>
          <w:szCs w:val="24"/>
        </w:rPr>
      </w:pPr>
    </w:p>
    <w:p w:rsidR="00D33D69" w:rsidRPr="00D33D69" w:rsidRDefault="00D33D69" w:rsidP="00D33D69">
      <w:pPr>
        <w:ind w:left="851"/>
        <w:rPr>
          <w:sz w:val="24"/>
          <w:szCs w:val="24"/>
          <w:u w:val="single"/>
          <w:lang w:eastAsia="da-DK"/>
        </w:rPr>
      </w:pPr>
      <w:r w:rsidRPr="00D33D69">
        <w:rPr>
          <w:sz w:val="24"/>
          <w:szCs w:val="24"/>
          <w:u w:val="single"/>
        </w:rPr>
        <w:t>Hunde:</w:t>
      </w:r>
    </w:p>
    <w:p w:rsidR="00D33D69" w:rsidRPr="00D33D69" w:rsidRDefault="00D33D69" w:rsidP="00D33D69">
      <w:pPr>
        <w:ind w:left="851"/>
        <w:rPr>
          <w:sz w:val="24"/>
          <w:szCs w:val="24"/>
        </w:rPr>
      </w:pPr>
      <w:r w:rsidRPr="00D33D69">
        <w:rPr>
          <w:sz w:val="24"/>
          <w:szCs w:val="24"/>
        </w:rPr>
        <w:t xml:space="preserve">Til behandling af betændte sår og bylder, og infektioner i mundhulen, herunder parodontose, </w:t>
      </w:r>
      <w:bookmarkStart w:id="0" w:name="_Hlk518546775"/>
      <w:r w:rsidRPr="00D33D69">
        <w:rPr>
          <w:sz w:val="24"/>
          <w:szCs w:val="24"/>
        </w:rPr>
        <w:t xml:space="preserve">forårsaget af eller forbundet med </w:t>
      </w:r>
      <w:proofErr w:type="spellStart"/>
      <w:r w:rsidRPr="00D33D69">
        <w:rPr>
          <w:i/>
          <w:sz w:val="24"/>
          <w:szCs w:val="24"/>
        </w:rPr>
        <w:t>Staphylococcus</w:t>
      </w:r>
      <w:proofErr w:type="spellEnd"/>
      <w:r w:rsidRPr="00D33D69">
        <w:rPr>
          <w:sz w:val="24"/>
          <w:szCs w:val="24"/>
        </w:rPr>
        <w:t xml:space="preserve"> </w:t>
      </w:r>
      <w:proofErr w:type="spellStart"/>
      <w:r w:rsidRPr="00D33D69">
        <w:rPr>
          <w:sz w:val="24"/>
          <w:szCs w:val="24"/>
        </w:rPr>
        <w:t>spp</w:t>
      </w:r>
      <w:proofErr w:type="spellEnd"/>
      <w:r w:rsidRPr="00D33D69">
        <w:rPr>
          <w:sz w:val="24"/>
          <w:szCs w:val="24"/>
        </w:rPr>
        <w:t xml:space="preserve">., </w:t>
      </w:r>
      <w:proofErr w:type="spellStart"/>
      <w:r w:rsidRPr="00D33D69">
        <w:rPr>
          <w:i/>
          <w:sz w:val="24"/>
          <w:szCs w:val="24"/>
        </w:rPr>
        <w:t>Streptococcus</w:t>
      </w:r>
      <w:proofErr w:type="spellEnd"/>
      <w:r w:rsidRPr="00D33D69">
        <w:rPr>
          <w:sz w:val="24"/>
          <w:szCs w:val="24"/>
        </w:rPr>
        <w:t xml:space="preserve"> </w:t>
      </w:r>
      <w:proofErr w:type="spellStart"/>
      <w:r w:rsidRPr="00D33D69">
        <w:rPr>
          <w:sz w:val="24"/>
          <w:szCs w:val="24"/>
        </w:rPr>
        <w:t>spp</w:t>
      </w:r>
      <w:proofErr w:type="spellEnd"/>
      <w:r w:rsidRPr="00D33D69">
        <w:rPr>
          <w:sz w:val="24"/>
          <w:szCs w:val="24"/>
        </w:rPr>
        <w:t xml:space="preserve">. (undtagen </w:t>
      </w:r>
      <w:proofErr w:type="spellStart"/>
      <w:r w:rsidRPr="00D33D69">
        <w:rPr>
          <w:i/>
          <w:sz w:val="24"/>
          <w:szCs w:val="24"/>
        </w:rPr>
        <w:t>Streptococcus</w:t>
      </w:r>
      <w:proofErr w:type="spellEnd"/>
      <w:r w:rsidRPr="00D33D69">
        <w:rPr>
          <w:i/>
          <w:sz w:val="24"/>
          <w:szCs w:val="24"/>
        </w:rPr>
        <w:t xml:space="preserve"> </w:t>
      </w:r>
      <w:proofErr w:type="spellStart"/>
      <w:r w:rsidRPr="00D33D69">
        <w:rPr>
          <w:i/>
          <w:sz w:val="24"/>
          <w:szCs w:val="24"/>
        </w:rPr>
        <w:t>faecalis</w:t>
      </w:r>
      <w:proofErr w:type="spellEnd"/>
      <w:r w:rsidRPr="00D33D69">
        <w:rPr>
          <w:sz w:val="24"/>
          <w:szCs w:val="24"/>
        </w:rPr>
        <w:t xml:space="preserve">), </w:t>
      </w:r>
      <w:proofErr w:type="spellStart"/>
      <w:r w:rsidRPr="00D33D69">
        <w:rPr>
          <w:i/>
          <w:sz w:val="24"/>
          <w:szCs w:val="24"/>
        </w:rPr>
        <w:t>Bacteroides</w:t>
      </w:r>
      <w:proofErr w:type="spellEnd"/>
      <w:r w:rsidRPr="00D33D69">
        <w:rPr>
          <w:sz w:val="24"/>
          <w:szCs w:val="24"/>
        </w:rPr>
        <w:t xml:space="preserve"> </w:t>
      </w:r>
      <w:proofErr w:type="spellStart"/>
      <w:r w:rsidRPr="00D33D69">
        <w:rPr>
          <w:sz w:val="24"/>
          <w:szCs w:val="24"/>
        </w:rPr>
        <w:t>spp</w:t>
      </w:r>
      <w:proofErr w:type="spellEnd"/>
      <w:r w:rsidRPr="00D33D69">
        <w:rPr>
          <w:sz w:val="24"/>
          <w:szCs w:val="24"/>
        </w:rPr>
        <w:t xml:space="preserve">., </w:t>
      </w:r>
      <w:proofErr w:type="spellStart"/>
      <w:r w:rsidRPr="00D33D69">
        <w:rPr>
          <w:i/>
          <w:sz w:val="24"/>
          <w:szCs w:val="24"/>
        </w:rPr>
        <w:t>Fusobacterium</w:t>
      </w:r>
      <w:proofErr w:type="spellEnd"/>
      <w:r w:rsidRPr="00D33D69">
        <w:rPr>
          <w:i/>
          <w:sz w:val="24"/>
          <w:szCs w:val="24"/>
        </w:rPr>
        <w:t xml:space="preserve"> </w:t>
      </w:r>
      <w:proofErr w:type="spellStart"/>
      <w:r w:rsidRPr="00D33D69">
        <w:rPr>
          <w:i/>
          <w:sz w:val="24"/>
          <w:szCs w:val="24"/>
        </w:rPr>
        <w:t>necrophorum</w:t>
      </w:r>
      <w:proofErr w:type="spellEnd"/>
      <w:r w:rsidRPr="00D33D69">
        <w:rPr>
          <w:sz w:val="24"/>
          <w:szCs w:val="24"/>
        </w:rPr>
        <w:t xml:space="preserve"> og </w:t>
      </w:r>
      <w:proofErr w:type="spellStart"/>
      <w:r w:rsidRPr="00D33D69">
        <w:rPr>
          <w:i/>
          <w:sz w:val="24"/>
          <w:szCs w:val="24"/>
        </w:rPr>
        <w:t>Clostridium</w:t>
      </w:r>
      <w:proofErr w:type="spellEnd"/>
      <w:r w:rsidRPr="00D33D69">
        <w:rPr>
          <w:i/>
          <w:sz w:val="24"/>
          <w:szCs w:val="24"/>
        </w:rPr>
        <w:t xml:space="preserve"> </w:t>
      </w:r>
      <w:proofErr w:type="spellStart"/>
      <w:r w:rsidRPr="00D33D69">
        <w:rPr>
          <w:i/>
          <w:sz w:val="24"/>
          <w:szCs w:val="24"/>
        </w:rPr>
        <w:t>perfringens</w:t>
      </w:r>
      <w:proofErr w:type="spellEnd"/>
      <w:r w:rsidRPr="00D33D69">
        <w:rPr>
          <w:i/>
          <w:sz w:val="24"/>
          <w:szCs w:val="24"/>
        </w:rPr>
        <w:t>,</w:t>
      </w:r>
      <w:r w:rsidRPr="00D33D69">
        <w:rPr>
          <w:sz w:val="24"/>
          <w:szCs w:val="24"/>
        </w:rPr>
        <w:t xml:space="preserve"> som er følsomme over for </w:t>
      </w:r>
      <w:proofErr w:type="spellStart"/>
      <w:r w:rsidRPr="00D33D69">
        <w:rPr>
          <w:sz w:val="24"/>
          <w:szCs w:val="24"/>
        </w:rPr>
        <w:t>clindamycin</w:t>
      </w:r>
      <w:proofErr w:type="spellEnd"/>
      <w:r w:rsidRPr="00D33D69">
        <w:rPr>
          <w:sz w:val="24"/>
          <w:szCs w:val="24"/>
        </w:rPr>
        <w:t>.</w:t>
      </w:r>
      <w:bookmarkEnd w:id="0"/>
    </w:p>
    <w:p w:rsidR="00D33D69" w:rsidRPr="00D33D69" w:rsidRDefault="00D33D69" w:rsidP="00D33D69">
      <w:pPr>
        <w:ind w:left="851"/>
        <w:rPr>
          <w:sz w:val="24"/>
          <w:szCs w:val="24"/>
        </w:rPr>
      </w:pPr>
      <w:r w:rsidRPr="00D33D69">
        <w:rPr>
          <w:sz w:val="24"/>
          <w:szCs w:val="24"/>
        </w:rPr>
        <w:t xml:space="preserve">Til behandling af overfladisk </w:t>
      </w:r>
      <w:proofErr w:type="spellStart"/>
      <w:r w:rsidRPr="00D33D69">
        <w:rPr>
          <w:sz w:val="24"/>
          <w:szCs w:val="24"/>
        </w:rPr>
        <w:t>pyoderma</w:t>
      </w:r>
      <w:proofErr w:type="spellEnd"/>
      <w:r w:rsidRPr="00D33D69">
        <w:rPr>
          <w:sz w:val="24"/>
          <w:szCs w:val="24"/>
        </w:rPr>
        <w:t xml:space="preserve"> forbundet med </w:t>
      </w:r>
      <w:proofErr w:type="spellStart"/>
      <w:r w:rsidRPr="00D33D69">
        <w:rPr>
          <w:i/>
          <w:sz w:val="24"/>
          <w:szCs w:val="24"/>
        </w:rPr>
        <w:t>Staphylococcus</w:t>
      </w:r>
      <w:proofErr w:type="spellEnd"/>
      <w:r w:rsidRPr="00D33D69">
        <w:rPr>
          <w:i/>
          <w:sz w:val="24"/>
          <w:szCs w:val="24"/>
        </w:rPr>
        <w:t xml:space="preserve"> </w:t>
      </w:r>
      <w:proofErr w:type="spellStart"/>
      <w:r w:rsidRPr="00D33D69">
        <w:rPr>
          <w:i/>
          <w:sz w:val="24"/>
          <w:szCs w:val="24"/>
        </w:rPr>
        <w:t>pseudintermedius</w:t>
      </w:r>
      <w:proofErr w:type="spellEnd"/>
      <w:r w:rsidRPr="00D33D69">
        <w:rPr>
          <w:i/>
          <w:sz w:val="24"/>
          <w:szCs w:val="24"/>
        </w:rPr>
        <w:t xml:space="preserve">, </w:t>
      </w:r>
      <w:r w:rsidRPr="00D33D69">
        <w:rPr>
          <w:sz w:val="24"/>
          <w:szCs w:val="24"/>
        </w:rPr>
        <w:t xml:space="preserve">følsom over for </w:t>
      </w:r>
      <w:proofErr w:type="spellStart"/>
      <w:r w:rsidRPr="00D33D69">
        <w:rPr>
          <w:sz w:val="24"/>
          <w:szCs w:val="24"/>
        </w:rPr>
        <w:t>clindamycin</w:t>
      </w:r>
      <w:proofErr w:type="spellEnd"/>
      <w:r w:rsidRPr="00D33D69">
        <w:rPr>
          <w:sz w:val="24"/>
          <w:szCs w:val="24"/>
        </w:rPr>
        <w:t>.</w:t>
      </w:r>
    </w:p>
    <w:p w:rsidR="00D33D69" w:rsidRPr="00D33D69" w:rsidRDefault="00D33D69" w:rsidP="00D33D69">
      <w:pPr>
        <w:ind w:left="851"/>
        <w:rPr>
          <w:sz w:val="24"/>
          <w:szCs w:val="24"/>
        </w:rPr>
      </w:pPr>
      <w:r w:rsidRPr="00D33D69">
        <w:rPr>
          <w:sz w:val="24"/>
          <w:szCs w:val="24"/>
        </w:rPr>
        <w:t xml:space="preserve">Til behandling af </w:t>
      </w:r>
      <w:proofErr w:type="spellStart"/>
      <w:r w:rsidRPr="00D33D69">
        <w:rPr>
          <w:sz w:val="24"/>
          <w:szCs w:val="24"/>
        </w:rPr>
        <w:t>osteomyelitis</w:t>
      </w:r>
      <w:proofErr w:type="spellEnd"/>
      <w:r w:rsidRPr="00D33D69">
        <w:rPr>
          <w:sz w:val="24"/>
          <w:szCs w:val="24"/>
        </w:rPr>
        <w:t xml:space="preserve">, forårsaget af </w:t>
      </w:r>
      <w:proofErr w:type="spellStart"/>
      <w:r w:rsidRPr="00D33D69">
        <w:rPr>
          <w:i/>
          <w:sz w:val="24"/>
          <w:szCs w:val="24"/>
        </w:rPr>
        <w:t>Staphylococcus</w:t>
      </w:r>
      <w:proofErr w:type="spellEnd"/>
      <w:r w:rsidRPr="00D33D69">
        <w:rPr>
          <w:i/>
          <w:sz w:val="24"/>
          <w:szCs w:val="24"/>
        </w:rPr>
        <w:t xml:space="preserve"> aureus, </w:t>
      </w:r>
      <w:r w:rsidRPr="00D33D69">
        <w:rPr>
          <w:sz w:val="24"/>
          <w:szCs w:val="24"/>
        </w:rPr>
        <w:t xml:space="preserve">følsom over for </w:t>
      </w:r>
      <w:proofErr w:type="spellStart"/>
      <w:r w:rsidRPr="00D33D69">
        <w:rPr>
          <w:sz w:val="24"/>
          <w:szCs w:val="24"/>
        </w:rPr>
        <w:t>clindamycin</w:t>
      </w:r>
      <w:proofErr w:type="spellEnd"/>
      <w:r w:rsidRPr="00D33D69">
        <w:rPr>
          <w:sz w:val="24"/>
          <w:szCs w:val="24"/>
        </w:rPr>
        <w:t>.</w:t>
      </w:r>
    </w:p>
    <w:p w:rsidR="00D33D69" w:rsidRPr="00D33D69" w:rsidRDefault="00D33D69" w:rsidP="00D33D69">
      <w:pPr>
        <w:ind w:left="851"/>
        <w:rPr>
          <w:sz w:val="24"/>
          <w:szCs w:val="24"/>
        </w:rPr>
      </w:pPr>
    </w:p>
    <w:p w:rsidR="00D33D69" w:rsidRPr="00D33D69" w:rsidRDefault="00D33D69" w:rsidP="00D33D69">
      <w:pPr>
        <w:ind w:left="851"/>
        <w:rPr>
          <w:sz w:val="24"/>
          <w:szCs w:val="24"/>
          <w:u w:val="single"/>
        </w:rPr>
      </w:pPr>
      <w:r w:rsidRPr="00D33D69">
        <w:rPr>
          <w:sz w:val="24"/>
          <w:szCs w:val="24"/>
          <w:u w:val="single"/>
        </w:rPr>
        <w:t>Katte:</w:t>
      </w:r>
    </w:p>
    <w:p w:rsidR="00D33D69" w:rsidRPr="00D33D69" w:rsidRDefault="00D33D69" w:rsidP="00D33D69">
      <w:pPr>
        <w:ind w:left="851"/>
        <w:rPr>
          <w:sz w:val="24"/>
          <w:szCs w:val="24"/>
        </w:rPr>
      </w:pPr>
      <w:r w:rsidRPr="00D33D69">
        <w:rPr>
          <w:sz w:val="24"/>
          <w:szCs w:val="24"/>
        </w:rPr>
        <w:t xml:space="preserve">Til behandling af betændte sår og bylder, og infektioner i mundhulen, herunder parodontose, forårsaget af bakterier, der er følsomme over for </w:t>
      </w:r>
      <w:proofErr w:type="spellStart"/>
      <w:r w:rsidRPr="00D33D69">
        <w:rPr>
          <w:sz w:val="24"/>
          <w:szCs w:val="24"/>
        </w:rPr>
        <w:t>clindamycin</w:t>
      </w:r>
      <w:proofErr w:type="spellEnd"/>
      <w:r w:rsidRPr="00D33D69">
        <w:rPr>
          <w:sz w:val="24"/>
          <w:szCs w:val="24"/>
        </w:rPr>
        <w:t>.</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lastRenderedPageBreak/>
        <w:t>3.3</w:t>
      </w:r>
      <w:r w:rsidRPr="00D33D69">
        <w:rPr>
          <w:sz w:val="24"/>
          <w:szCs w:val="24"/>
        </w:rPr>
        <w:tab/>
        <w:t>Kontraindikationer</w:t>
      </w:r>
    </w:p>
    <w:p w:rsidR="00D33D69" w:rsidRPr="00D33D69" w:rsidRDefault="00D33D69" w:rsidP="00D33D69">
      <w:pPr>
        <w:tabs>
          <w:tab w:val="left" w:pos="1304"/>
        </w:tabs>
        <w:rPr>
          <w:sz w:val="24"/>
          <w:szCs w:val="24"/>
        </w:rPr>
      </w:pPr>
    </w:p>
    <w:p w:rsidR="00D33D69" w:rsidRPr="00D33D69" w:rsidRDefault="00D33D69" w:rsidP="00D33D69">
      <w:pPr>
        <w:ind w:left="851"/>
        <w:rPr>
          <w:sz w:val="24"/>
          <w:szCs w:val="24"/>
        </w:rPr>
      </w:pPr>
      <w:r w:rsidRPr="00D33D69">
        <w:rPr>
          <w:sz w:val="24"/>
          <w:szCs w:val="24"/>
        </w:rPr>
        <w:t xml:space="preserve">Må ikke anvendes i tilfælde af overfølsomhed over for det aktive stof eller over for et eller flere af hjælpestofferne, eller over for </w:t>
      </w:r>
      <w:proofErr w:type="spellStart"/>
      <w:r w:rsidRPr="00D33D69">
        <w:rPr>
          <w:sz w:val="24"/>
          <w:szCs w:val="24"/>
        </w:rPr>
        <w:t>lincomycin</w:t>
      </w:r>
      <w:proofErr w:type="spellEnd"/>
      <w:r w:rsidRPr="00D33D69">
        <w:rPr>
          <w:sz w:val="24"/>
          <w:szCs w:val="24"/>
        </w:rPr>
        <w:t xml:space="preserve">. </w:t>
      </w:r>
    </w:p>
    <w:p w:rsidR="00D33D69" w:rsidRPr="00D33D69" w:rsidRDefault="00D33D69" w:rsidP="00D33D69">
      <w:pPr>
        <w:ind w:left="851"/>
        <w:rPr>
          <w:sz w:val="24"/>
          <w:szCs w:val="24"/>
          <w:lang w:eastAsia="da-DK"/>
        </w:rPr>
      </w:pPr>
      <w:r w:rsidRPr="00D33D69">
        <w:rPr>
          <w:sz w:val="24"/>
          <w:szCs w:val="24"/>
        </w:rPr>
        <w:t xml:space="preserve">Må ikke administreres til kaniner, hamstere, marsvin, chinchillas, heste og drøvtyggere, da indtagelsen af </w:t>
      </w:r>
      <w:proofErr w:type="spellStart"/>
      <w:r w:rsidRPr="00D33D69">
        <w:rPr>
          <w:sz w:val="24"/>
          <w:szCs w:val="24"/>
        </w:rPr>
        <w:t>clindamycin</w:t>
      </w:r>
      <w:proofErr w:type="spellEnd"/>
      <w:r w:rsidRPr="00D33D69">
        <w:rPr>
          <w:sz w:val="24"/>
          <w:szCs w:val="24"/>
        </w:rPr>
        <w:t xml:space="preserve"> af disse arter kan forårsage svære mave-tarm-problemer, der kan føre til døden.</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3.4</w:t>
      </w:r>
      <w:r w:rsidRPr="00D33D69">
        <w:rPr>
          <w:sz w:val="24"/>
          <w:szCs w:val="24"/>
        </w:rPr>
        <w:tab/>
        <w:t>Særlige advarsler</w:t>
      </w:r>
    </w:p>
    <w:p w:rsidR="00D33D69" w:rsidRPr="00D33D69" w:rsidRDefault="00D33D69" w:rsidP="00D33D69">
      <w:pPr>
        <w:tabs>
          <w:tab w:val="left" w:pos="1304"/>
        </w:tabs>
        <w:rPr>
          <w:sz w:val="24"/>
          <w:szCs w:val="24"/>
        </w:rPr>
      </w:pPr>
    </w:p>
    <w:p w:rsidR="00D33D69" w:rsidRPr="00D33D69" w:rsidRDefault="00D33D69" w:rsidP="00D33D69">
      <w:pPr>
        <w:ind w:firstLine="851"/>
        <w:rPr>
          <w:sz w:val="24"/>
          <w:szCs w:val="24"/>
          <w:lang w:eastAsia="da-DK"/>
        </w:rPr>
      </w:pPr>
      <w:r w:rsidRPr="00D33D69">
        <w:rPr>
          <w:sz w:val="24"/>
          <w:szCs w:val="24"/>
        </w:rPr>
        <w:t>Ingen.</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3.5</w:t>
      </w:r>
      <w:r w:rsidRPr="00D33D69">
        <w:rPr>
          <w:sz w:val="24"/>
          <w:szCs w:val="24"/>
        </w:rPr>
        <w:tab/>
        <w:t>Særlige forholdsregler vedrørende brugen</w:t>
      </w:r>
    </w:p>
    <w:p w:rsidR="00D33D69" w:rsidRPr="00D33D69" w:rsidRDefault="00D33D69" w:rsidP="00D33D69">
      <w:pPr>
        <w:tabs>
          <w:tab w:val="left" w:pos="1304"/>
        </w:tabs>
        <w:rPr>
          <w:sz w:val="24"/>
          <w:szCs w:val="24"/>
        </w:rPr>
      </w:pPr>
    </w:p>
    <w:p w:rsidR="00D33D69" w:rsidRPr="00D33D69" w:rsidRDefault="00D33D69" w:rsidP="00D33D69">
      <w:pPr>
        <w:tabs>
          <w:tab w:val="left" w:pos="1304"/>
        </w:tabs>
        <w:ind w:left="851"/>
        <w:rPr>
          <w:sz w:val="24"/>
          <w:szCs w:val="24"/>
          <w:u w:val="single"/>
        </w:rPr>
      </w:pPr>
      <w:r w:rsidRPr="00D33D69">
        <w:rPr>
          <w:sz w:val="24"/>
          <w:szCs w:val="24"/>
          <w:u w:val="single"/>
        </w:rPr>
        <w:t>Særlige forholdsregler vedrørende sikker brug hos de dyrearter, som lægemidlet er beregnet til:</w:t>
      </w:r>
    </w:p>
    <w:p w:rsidR="00D33D69" w:rsidRPr="00D33D69" w:rsidRDefault="00D33D69" w:rsidP="00D33D69">
      <w:pPr>
        <w:tabs>
          <w:tab w:val="left" w:pos="1304"/>
        </w:tabs>
        <w:ind w:left="851"/>
        <w:rPr>
          <w:sz w:val="24"/>
          <w:szCs w:val="24"/>
        </w:rPr>
      </w:pPr>
    </w:p>
    <w:p w:rsidR="00D33D69" w:rsidRPr="00D33D69" w:rsidRDefault="00D33D69" w:rsidP="00D33D69">
      <w:pPr>
        <w:ind w:left="851"/>
        <w:rPr>
          <w:sz w:val="24"/>
          <w:szCs w:val="24"/>
          <w:lang w:eastAsia="da-DK"/>
        </w:rPr>
      </w:pPr>
      <w:r w:rsidRPr="00D33D69">
        <w:rPr>
          <w:sz w:val="24"/>
          <w:szCs w:val="24"/>
        </w:rPr>
        <w:t>Tyggetabletterne er tilsat smag. For at undgå indgift ved hændeligt uheld skal tabletterne opbevares utilgængeligt for dyr.</w:t>
      </w:r>
    </w:p>
    <w:p w:rsidR="00D33D69" w:rsidRPr="00D33D69" w:rsidRDefault="00D33D69" w:rsidP="00D33D69">
      <w:pPr>
        <w:ind w:left="851"/>
        <w:rPr>
          <w:sz w:val="24"/>
          <w:szCs w:val="24"/>
        </w:rPr>
      </w:pPr>
    </w:p>
    <w:p w:rsidR="00D33D69" w:rsidRPr="00D33D69" w:rsidRDefault="00D33D69" w:rsidP="00D33D69">
      <w:pPr>
        <w:ind w:left="851"/>
        <w:rPr>
          <w:sz w:val="24"/>
          <w:szCs w:val="24"/>
        </w:rPr>
      </w:pPr>
      <w:r w:rsidRPr="00D33D69">
        <w:rPr>
          <w:sz w:val="24"/>
          <w:szCs w:val="24"/>
        </w:rPr>
        <w:t xml:space="preserve">Brugen af dette veterinærlægemiddel skal baseres på </w:t>
      </w:r>
      <w:proofErr w:type="spellStart"/>
      <w:r w:rsidRPr="00D33D69">
        <w:rPr>
          <w:sz w:val="24"/>
          <w:szCs w:val="24"/>
        </w:rPr>
        <w:t>følsomhedstesting</w:t>
      </w:r>
      <w:proofErr w:type="spellEnd"/>
      <w:r w:rsidRPr="00D33D69">
        <w:rPr>
          <w:sz w:val="24"/>
          <w:szCs w:val="24"/>
        </w:rPr>
        <w:t xml:space="preserve"> af målbakterier, som isoleres fra dyret. Hvis dette ikke er muligt, skal behandlingen baseres på lokal epidemiologisk information og kendskab til følsomheden af </w:t>
      </w:r>
      <w:proofErr w:type="spellStart"/>
      <w:r w:rsidRPr="00D33D69">
        <w:rPr>
          <w:sz w:val="24"/>
          <w:szCs w:val="24"/>
        </w:rPr>
        <w:t>målpatogenerne</w:t>
      </w:r>
      <w:proofErr w:type="spellEnd"/>
      <w:r w:rsidRPr="00D33D69">
        <w:rPr>
          <w:sz w:val="24"/>
          <w:szCs w:val="24"/>
        </w:rPr>
        <w:t xml:space="preserve"> på lokalt/regionalt niveau.</w:t>
      </w:r>
    </w:p>
    <w:p w:rsidR="00D33D69" w:rsidRPr="00D33D69" w:rsidRDefault="00D33D69" w:rsidP="00D33D69">
      <w:pPr>
        <w:ind w:left="851"/>
        <w:rPr>
          <w:sz w:val="24"/>
          <w:szCs w:val="24"/>
        </w:rPr>
      </w:pPr>
    </w:p>
    <w:p w:rsidR="00D33D69" w:rsidRPr="00D33D69" w:rsidRDefault="00D33D69" w:rsidP="00D33D69">
      <w:pPr>
        <w:ind w:left="851"/>
        <w:rPr>
          <w:sz w:val="24"/>
          <w:szCs w:val="24"/>
        </w:rPr>
      </w:pPr>
      <w:r w:rsidRPr="00D33D69">
        <w:rPr>
          <w:sz w:val="24"/>
          <w:szCs w:val="24"/>
        </w:rPr>
        <w:t>Brugen af veterinærlægemidlet skal finde sted i henhold til officielle, nationale og regionale retningslinjer for anvendelse af antimikrobielle præparater.</w:t>
      </w:r>
    </w:p>
    <w:p w:rsidR="00D33D69" w:rsidRPr="00D33D69" w:rsidRDefault="00D33D69" w:rsidP="00D33D69">
      <w:pPr>
        <w:ind w:left="851"/>
        <w:rPr>
          <w:sz w:val="24"/>
          <w:szCs w:val="24"/>
        </w:rPr>
      </w:pPr>
    </w:p>
    <w:p w:rsidR="00D33D69" w:rsidRPr="00D33D69" w:rsidRDefault="00D33D69" w:rsidP="00D33D69">
      <w:pPr>
        <w:ind w:left="851"/>
        <w:rPr>
          <w:sz w:val="24"/>
          <w:szCs w:val="24"/>
        </w:rPr>
      </w:pPr>
      <w:bookmarkStart w:id="1" w:name="_Hlk518550958"/>
      <w:r w:rsidRPr="00D33D69">
        <w:rPr>
          <w:sz w:val="24"/>
          <w:szCs w:val="24"/>
        </w:rPr>
        <w:t xml:space="preserve">En anvendelse af dette veterinærlægemiddel, der afviger fra anvisningerne i produktresumeet, kan øge prævalensen af bakterier, der er resistente over for </w:t>
      </w:r>
      <w:proofErr w:type="spellStart"/>
      <w:r w:rsidRPr="00D33D69">
        <w:rPr>
          <w:sz w:val="24"/>
          <w:szCs w:val="24"/>
        </w:rPr>
        <w:t>clindamycin</w:t>
      </w:r>
      <w:proofErr w:type="spellEnd"/>
      <w:r w:rsidRPr="00D33D69">
        <w:rPr>
          <w:sz w:val="24"/>
          <w:szCs w:val="24"/>
        </w:rPr>
        <w:t xml:space="preserve">, og det kan nedsætte virkningen af behandling med </w:t>
      </w:r>
      <w:proofErr w:type="spellStart"/>
      <w:r w:rsidRPr="00D33D69">
        <w:rPr>
          <w:sz w:val="24"/>
          <w:szCs w:val="24"/>
        </w:rPr>
        <w:t>lincomycin</w:t>
      </w:r>
      <w:proofErr w:type="spellEnd"/>
      <w:r w:rsidRPr="00D33D69">
        <w:rPr>
          <w:sz w:val="24"/>
          <w:szCs w:val="24"/>
        </w:rPr>
        <w:t xml:space="preserve"> eller makrolid-antibakterielle midler, på grund af muligheden for krydsresistens.</w:t>
      </w:r>
    </w:p>
    <w:p w:rsidR="00D33D69" w:rsidRPr="00D33D69" w:rsidRDefault="00D33D69" w:rsidP="00D33D69">
      <w:pPr>
        <w:ind w:left="851"/>
        <w:rPr>
          <w:color w:val="000000"/>
          <w:sz w:val="24"/>
          <w:szCs w:val="24"/>
        </w:rPr>
      </w:pPr>
    </w:p>
    <w:p w:rsidR="00D33D69" w:rsidRPr="00D33D69" w:rsidRDefault="00D33D69" w:rsidP="00D33D69">
      <w:pPr>
        <w:ind w:left="851"/>
        <w:rPr>
          <w:color w:val="000000"/>
          <w:sz w:val="24"/>
          <w:szCs w:val="24"/>
        </w:rPr>
      </w:pPr>
      <w:bookmarkStart w:id="2" w:name="_Hlk518554495"/>
      <w:r w:rsidRPr="00D33D69">
        <w:rPr>
          <w:color w:val="000000"/>
          <w:sz w:val="24"/>
          <w:szCs w:val="24"/>
        </w:rPr>
        <w:t xml:space="preserve">Der er blevet vist krydsresistens blandt lincosamider (herunder </w:t>
      </w:r>
      <w:proofErr w:type="spellStart"/>
      <w:r w:rsidRPr="00D33D69">
        <w:rPr>
          <w:color w:val="000000"/>
          <w:sz w:val="24"/>
          <w:szCs w:val="24"/>
        </w:rPr>
        <w:t>clindamycin</w:t>
      </w:r>
      <w:proofErr w:type="spellEnd"/>
      <w:r w:rsidRPr="00D33D69">
        <w:rPr>
          <w:color w:val="000000"/>
          <w:sz w:val="24"/>
          <w:szCs w:val="24"/>
        </w:rPr>
        <w:t xml:space="preserve">), </w:t>
      </w:r>
      <w:proofErr w:type="spellStart"/>
      <w:r w:rsidRPr="00D33D69">
        <w:rPr>
          <w:color w:val="000000"/>
          <w:sz w:val="24"/>
          <w:szCs w:val="24"/>
        </w:rPr>
        <w:t>erythromycin</w:t>
      </w:r>
      <w:proofErr w:type="spellEnd"/>
      <w:r w:rsidRPr="00D33D69">
        <w:rPr>
          <w:color w:val="000000"/>
          <w:sz w:val="24"/>
          <w:szCs w:val="24"/>
        </w:rPr>
        <w:t xml:space="preserve"> og andre makrolider.</w:t>
      </w:r>
      <w:bookmarkEnd w:id="2"/>
    </w:p>
    <w:bookmarkEnd w:id="1"/>
    <w:p w:rsidR="00D33D69" w:rsidRPr="00D33D69" w:rsidRDefault="00D33D69" w:rsidP="00D33D69">
      <w:pPr>
        <w:rPr>
          <w:color w:val="000000"/>
          <w:sz w:val="24"/>
          <w:szCs w:val="24"/>
        </w:rPr>
      </w:pPr>
    </w:p>
    <w:p w:rsidR="00D33D69" w:rsidRPr="00D33D69" w:rsidRDefault="00D33D69" w:rsidP="00D33D69">
      <w:pPr>
        <w:ind w:left="851"/>
        <w:rPr>
          <w:color w:val="000000"/>
          <w:sz w:val="24"/>
          <w:szCs w:val="24"/>
        </w:rPr>
      </w:pPr>
      <w:r w:rsidRPr="00D33D69">
        <w:rPr>
          <w:color w:val="000000"/>
          <w:sz w:val="24"/>
          <w:szCs w:val="24"/>
        </w:rPr>
        <w:t xml:space="preserve">I nogle tilfælde (lokaliserede eller milde læsioner, for at undgå at de vender tilbage), kan overfladisk </w:t>
      </w:r>
      <w:proofErr w:type="spellStart"/>
      <w:r w:rsidRPr="00D33D69">
        <w:rPr>
          <w:color w:val="000000"/>
          <w:sz w:val="24"/>
          <w:szCs w:val="24"/>
        </w:rPr>
        <w:t>pyoderma</w:t>
      </w:r>
      <w:proofErr w:type="spellEnd"/>
      <w:r w:rsidRPr="00D33D69">
        <w:rPr>
          <w:color w:val="000000"/>
          <w:sz w:val="24"/>
          <w:szCs w:val="24"/>
        </w:rPr>
        <w:t xml:space="preserve"> blive behandlet </w:t>
      </w:r>
      <w:proofErr w:type="spellStart"/>
      <w:r w:rsidRPr="00D33D69">
        <w:rPr>
          <w:color w:val="000000"/>
          <w:sz w:val="24"/>
          <w:szCs w:val="24"/>
        </w:rPr>
        <w:t>topikalt</w:t>
      </w:r>
      <w:proofErr w:type="spellEnd"/>
      <w:r w:rsidRPr="00D33D69">
        <w:rPr>
          <w:color w:val="000000"/>
          <w:sz w:val="24"/>
          <w:szCs w:val="24"/>
        </w:rPr>
        <w:t>. Behovet for og varigheden af systemisk antimikrobiel behandling skal baseres på en nøje overvejelse af det enkelte tilfælde.</w:t>
      </w:r>
    </w:p>
    <w:p w:rsidR="00D33D69" w:rsidRPr="00D33D69" w:rsidRDefault="00D33D69" w:rsidP="00D33D69">
      <w:pPr>
        <w:ind w:left="851"/>
        <w:rPr>
          <w:color w:val="000000"/>
          <w:sz w:val="24"/>
          <w:szCs w:val="24"/>
        </w:rPr>
      </w:pPr>
    </w:p>
    <w:p w:rsidR="00D33D69" w:rsidRPr="00D33D69" w:rsidRDefault="00D33D69" w:rsidP="00D33D69">
      <w:pPr>
        <w:ind w:left="851"/>
        <w:rPr>
          <w:sz w:val="24"/>
          <w:szCs w:val="24"/>
        </w:rPr>
      </w:pPr>
      <w:r w:rsidRPr="00D33D69">
        <w:rPr>
          <w:sz w:val="24"/>
          <w:szCs w:val="24"/>
        </w:rPr>
        <w:t>Ved langvarig behandling på en måned eller længere, skal der udføres periodiske lever- og nyrefunktionstests og blodbilleder.</w:t>
      </w:r>
    </w:p>
    <w:p w:rsidR="00D33D69" w:rsidRPr="00D33D69" w:rsidRDefault="00D33D69" w:rsidP="00D33D69">
      <w:pPr>
        <w:ind w:left="851"/>
        <w:rPr>
          <w:sz w:val="24"/>
          <w:szCs w:val="24"/>
        </w:rPr>
      </w:pPr>
    </w:p>
    <w:p w:rsidR="00D33D69" w:rsidRPr="00D33D69" w:rsidRDefault="00D33D69" w:rsidP="00D33D69">
      <w:pPr>
        <w:ind w:left="851"/>
        <w:rPr>
          <w:sz w:val="24"/>
          <w:szCs w:val="24"/>
        </w:rPr>
      </w:pPr>
      <w:r w:rsidRPr="00D33D69">
        <w:rPr>
          <w:sz w:val="24"/>
          <w:szCs w:val="24"/>
        </w:rPr>
        <w:t xml:space="preserve">Dyr med svære nyre- og/eller meget svære leverforstyrrelser forbundet med svære metaboliske afvigelser skal doseres med forsigtighed, og de skal overvåges med undersøgelse af serum under højdosis </w:t>
      </w:r>
      <w:proofErr w:type="spellStart"/>
      <w:r w:rsidRPr="00D33D69">
        <w:rPr>
          <w:sz w:val="24"/>
          <w:szCs w:val="24"/>
        </w:rPr>
        <w:t>clindamycinbehandling</w:t>
      </w:r>
      <w:proofErr w:type="spellEnd"/>
      <w:r w:rsidRPr="00D33D69">
        <w:rPr>
          <w:sz w:val="24"/>
          <w:szCs w:val="24"/>
        </w:rPr>
        <w:t>.</w:t>
      </w:r>
    </w:p>
    <w:p w:rsidR="00D33D69" w:rsidRPr="00D33D69" w:rsidRDefault="00D33D69" w:rsidP="00D33D69">
      <w:pPr>
        <w:ind w:left="851"/>
        <w:rPr>
          <w:sz w:val="24"/>
          <w:szCs w:val="24"/>
        </w:rPr>
      </w:pPr>
    </w:p>
    <w:p w:rsidR="00D33D69" w:rsidRPr="00D33D69" w:rsidRDefault="00D33D69" w:rsidP="00D33D69">
      <w:pPr>
        <w:ind w:left="851"/>
        <w:rPr>
          <w:sz w:val="24"/>
          <w:szCs w:val="24"/>
        </w:rPr>
      </w:pPr>
      <w:bookmarkStart w:id="3" w:name="_Hlk518289648"/>
      <w:r w:rsidRPr="00D33D69">
        <w:rPr>
          <w:sz w:val="24"/>
          <w:szCs w:val="24"/>
        </w:rPr>
        <w:t xml:space="preserve">Brugen af veterinærlægemidlet anbefales ikke hos </w:t>
      </w:r>
      <w:proofErr w:type="spellStart"/>
      <w:r w:rsidRPr="00D33D69">
        <w:rPr>
          <w:sz w:val="24"/>
          <w:szCs w:val="24"/>
        </w:rPr>
        <w:t>neonater</w:t>
      </w:r>
      <w:proofErr w:type="spellEnd"/>
      <w:r w:rsidRPr="00D33D69">
        <w:rPr>
          <w:sz w:val="24"/>
          <w:szCs w:val="24"/>
        </w:rPr>
        <w:t>.</w:t>
      </w:r>
      <w:bookmarkEnd w:id="3"/>
    </w:p>
    <w:p w:rsidR="00D33D69" w:rsidRPr="00D33D69" w:rsidRDefault="00D33D69" w:rsidP="00D33D69">
      <w:pPr>
        <w:tabs>
          <w:tab w:val="left" w:pos="1304"/>
        </w:tabs>
        <w:ind w:left="851"/>
        <w:rPr>
          <w:sz w:val="24"/>
          <w:szCs w:val="24"/>
        </w:rPr>
      </w:pPr>
    </w:p>
    <w:p w:rsidR="00D33D69" w:rsidRPr="00D33D69" w:rsidRDefault="00D33D69" w:rsidP="00D33D69">
      <w:pPr>
        <w:tabs>
          <w:tab w:val="left" w:pos="1304"/>
        </w:tabs>
        <w:ind w:left="851"/>
        <w:rPr>
          <w:sz w:val="24"/>
          <w:szCs w:val="24"/>
          <w:u w:val="single"/>
        </w:rPr>
      </w:pPr>
      <w:r w:rsidRPr="00D33D69">
        <w:rPr>
          <w:sz w:val="24"/>
          <w:szCs w:val="24"/>
          <w:u w:val="single"/>
        </w:rPr>
        <w:t>Særlige forholdsregler for personer, der administrerer veterinærlægemidlet til dyr:</w:t>
      </w:r>
    </w:p>
    <w:p w:rsidR="00D33D69" w:rsidRPr="00D33D69" w:rsidRDefault="00D33D69" w:rsidP="00D33D69">
      <w:pPr>
        <w:tabs>
          <w:tab w:val="left" w:pos="1304"/>
        </w:tabs>
        <w:ind w:left="851"/>
        <w:rPr>
          <w:sz w:val="24"/>
          <w:szCs w:val="24"/>
        </w:rPr>
      </w:pPr>
    </w:p>
    <w:p w:rsidR="00D33D69" w:rsidRPr="00D33D69" w:rsidRDefault="00D33D69" w:rsidP="00D33D69">
      <w:pPr>
        <w:ind w:left="851"/>
        <w:rPr>
          <w:sz w:val="24"/>
          <w:szCs w:val="24"/>
          <w:lang w:eastAsia="da-DK"/>
        </w:rPr>
      </w:pPr>
      <w:bookmarkStart w:id="4" w:name="_Hlk518559648"/>
      <w:r w:rsidRPr="00D33D69">
        <w:rPr>
          <w:sz w:val="24"/>
          <w:szCs w:val="24"/>
        </w:rPr>
        <w:lastRenderedPageBreak/>
        <w:t>Lincosamider (</w:t>
      </w:r>
      <w:proofErr w:type="spellStart"/>
      <w:r w:rsidRPr="00D33D69">
        <w:rPr>
          <w:sz w:val="24"/>
          <w:szCs w:val="24"/>
        </w:rPr>
        <w:t>lincomycin</w:t>
      </w:r>
      <w:proofErr w:type="spellEnd"/>
      <w:r w:rsidRPr="00D33D69">
        <w:rPr>
          <w:sz w:val="24"/>
          <w:szCs w:val="24"/>
        </w:rPr>
        <w:t xml:space="preserve">, </w:t>
      </w:r>
      <w:proofErr w:type="spellStart"/>
      <w:r w:rsidRPr="00D33D69">
        <w:rPr>
          <w:sz w:val="24"/>
          <w:szCs w:val="24"/>
        </w:rPr>
        <w:t>clindamycin</w:t>
      </w:r>
      <w:proofErr w:type="spellEnd"/>
      <w:r w:rsidRPr="00D33D69">
        <w:rPr>
          <w:sz w:val="24"/>
          <w:szCs w:val="24"/>
        </w:rPr>
        <w:t xml:space="preserve">, </w:t>
      </w:r>
      <w:proofErr w:type="spellStart"/>
      <w:r w:rsidRPr="00D33D69">
        <w:rPr>
          <w:sz w:val="24"/>
          <w:szCs w:val="24"/>
        </w:rPr>
        <w:t>pirlimycin</w:t>
      </w:r>
      <w:proofErr w:type="spellEnd"/>
      <w:r w:rsidRPr="00D33D69">
        <w:rPr>
          <w:sz w:val="24"/>
          <w:szCs w:val="24"/>
        </w:rPr>
        <w:t>) kan forårsage overfølsomheds</w:t>
      </w:r>
      <w:r w:rsidRPr="00D33D69">
        <w:rPr>
          <w:sz w:val="24"/>
          <w:szCs w:val="24"/>
        </w:rPr>
        <w:softHyphen/>
        <w:t>reaktioner (allergi). Ved overfølsomhed over for lincosamider bør kontakt med veterinærlægemidlet undgås.</w:t>
      </w:r>
      <w:bookmarkEnd w:id="4"/>
    </w:p>
    <w:p w:rsidR="00D33D69" w:rsidRPr="00D33D69" w:rsidRDefault="00D33D69" w:rsidP="00D33D69">
      <w:pPr>
        <w:ind w:left="851"/>
        <w:rPr>
          <w:sz w:val="24"/>
          <w:szCs w:val="24"/>
        </w:rPr>
      </w:pPr>
      <w:r w:rsidRPr="00D33D69">
        <w:rPr>
          <w:sz w:val="24"/>
          <w:szCs w:val="24"/>
        </w:rPr>
        <w:t>Vask hænder efter håndtering af tabletterne.</w:t>
      </w:r>
    </w:p>
    <w:p w:rsidR="00D33D69" w:rsidRPr="00D33D69" w:rsidRDefault="00D33D69" w:rsidP="00D33D69">
      <w:pPr>
        <w:ind w:left="851"/>
        <w:rPr>
          <w:sz w:val="24"/>
          <w:szCs w:val="24"/>
        </w:rPr>
      </w:pPr>
      <w:r w:rsidRPr="00D33D69">
        <w:rPr>
          <w:sz w:val="24"/>
          <w:szCs w:val="24"/>
        </w:rPr>
        <w:t xml:space="preserve">Utilsigtet indtagelse ved hændeligt uheld kan føre til mave-tarm-påvirkninger, såsom </w:t>
      </w:r>
      <w:proofErr w:type="spellStart"/>
      <w:r w:rsidRPr="00D33D69">
        <w:rPr>
          <w:sz w:val="24"/>
          <w:szCs w:val="24"/>
        </w:rPr>
        <w:t>abdominalsmerter</w:t>
      </w:r>
      <w:proofErr w:type="spellEnd"/>
      <w:r w:rsidRPr="00D33D69">
        <w:rPr>
          <w:sz w:val="24"/>
          <w:szCs w:val="24"/>
        </w:rPr>
        <w:t xml:space="preserve"> og diarré. Der bør udvises forsigtighed for at undgå utilsigtet indtagelse ved hændeligt uheld.</w:t>
      </w:r>
    </w:p>
    <w:p w:rsidR="00D33D69" w:rsidRPr="00D33D69" w:rsidRDefault="00D33D69" w:rsidP="00D33D69">
      <w:pPr>
        <w:ind w:left="851"/>
        <w:rPr>
          <w:sz w:val="24"/>
          <w:szCs w:val="24"/>
        </w:rPr>
      </w:pPr>
      <w:bookmarkStart w:id="5" w:name="_Hlk518559664"/>
      <w:r w:rsidRPr="00D33D69">
        <w:rPr>
          <w:sz w:val="24"/>
          <w:szCs w:val="24"/>
        </w:rPr>
        <w:t xml:space="preserve">For at nedsætte risikoen for børns utilsigtede indtagelse ved hændeligt uheld, bør tabletterne ikke tages ud af blisterkortet, før man er klar til at administrere det til dyret. Sæt delvist brugte tabletter tilbage i blisterkortet og </w:t>
      </w:r>
      <w:bookmarkStart w:id="6" w:name="_Hlk522180554"/>
      <w:r w:rsidRPr="00D33D69">
        <w:rPr>
          <w:sz w:val="24"/>
          <w:szCs w:val="24"/>
        </w:rPr>
        <w:t xml:space="preserve">papæsken, </w:t>
      </w:r>
      <w:bookmarkStart w:id="7" w:name="_Hlk522182410"/>
      <w:r w:rsidRPr="00D33D69">
        <w:rPr>
          <w:sz w:val="24"/>
          <w:szCs w:val="24"/>
        </w:rPr>
        <w:t>og brug den ved den efterfølgende administration</w:t>
      </w:r>
      <w:bookmarkEnd w:id="6"/>
      <w:bookmarkEnd w:id="7"/>
      <w:r w:rsidRPr="00D33D69">
        <w:rPr>
          <w:sz w:val="24"/>
          <w:szCs w:val="24"/>
        </w:rPr>
        <w:t>.</w:t>
      </w:r>
    </w:p>
    <w:bookmarkEnd w:id="5"/>
    <w:p w:rsidR="00D33D69" w:rsidRPr="00D33D69" w:rsidRDefault="00D33D69" w:rsidP="00D33D69">
      <w:pPr>
        <w:ind w:left="851"/>
        <w:rPr>
          <w:sz w:val="24"/>
          <w:szCs w:val="24"/>
        </w:rPr>
      </w:pPr>
      <w:r w:rsidRPr="00D33D69">
        <w:rPr>
          <w:sz w:val="24"/>
          <w:szCs w:val="24"/>
        </w:rPr>
        <w:t>I tilfælde af utilsigtet indtagelse ved hændeligt uheld, især af børn, skal der straks søges lægehjælp, og indlægssedlen eller etiketten bør vises til lægen.</w:t>
      </w:r>
    </w:p>
    <w:p w:rsidR="00D33D69" w:rsidRPr="00D33D69" w:rsidRDefault="00D33D69" w:rsidP="00D33D69">
      <w:pPr>
        <w:tabs>
          <w:tab w:val="left" w:pos="1304"/>
        </w:tabs>
        <w:rPr>
          <w:sz w:val="24"/>
          <w:szCs w:val="24"/>
        </w:rPr>
      </w:pPr>
    </w:p>
    <w:p w:rsidR="00D33D69" w:rsidRPr="00D33D69" w:rsidRDefault="00D33D69" w:rsidP="00D33D69">
      <w:pPr>
        <w:tabs>
          <w:tab w:val="left" w:pos="1304"/>
        </w:tabs>
        <w:ind w:firstLine="851"/>
        <w:rPr>
          <w:sz w:val="24"/>
          <w:szCs w:val="24"/>
          <w:u w:val="single"/>
        </w:rPr>
      </w:pPr>
      <w:r w:rsidRPr="00D33D69">
        <w:rPr>
          <w:sz w:val="24"/>
          <w:szCs w:val="24"/>
          <w:u w:val="single"/>
        </w:rPr>
        <w:t>Særlige forholdsregler vedrørende beskyttelse af miljøet:</w:t>
      </w:r>
    </w:p>
    <w:p w:rsidR="00D33D69" w:rsidRPr="00D33D69" w:rsidRDefault="00D33D69" w:rsidP="00D33D69">
      <w:pPr>
        <w:tabs>
          <w:tab w:val="left" w:pos="1304"/>
        </w:tabs>
        <w:ind w:firstLine="851"/>
        <w:rPr>
          <w:sz w:val="24"/>
          <w:szCs w:val="24"/>
        </w:rPr>
      </w:pPr>
    </w:p>
    <w:p w:rsidR="00D33D69" w:rsidRPr="00D33D69" w:rsidRDefault="00D33D69" w:rsidP="00D33D69">
      <w:pPr>
        <w:tabs>
          <w:tab w:val="left" w:pos="1304"/>
        </w:tabs>
        <w:ind w:firstLine="851"/>
        <w:jc w:val="both"/>
        <w:rPr>
          <w:sz w:val="24"/>
          <w:szCs w:val="24"/>
        </w:rPr>
      </w:pPr>
      <w:r w:rsidRPr="00D33D69">
        <w:rPr>
          <w:sz w:val="24"/>
          <w:szCs w:val="24"/>
        </w:rPr>
        <w:t>Ikke relevant.</w:t>
      </w:r>
    </w:p>
    <w:p w:rsidR="00D33D69" w:rsidRPr="00D33D69" w:rsidRDefault="00D33D69" w:rsidP="00D33D69">
      <w:pPr>
        <w:tabs>
          <w:tab w:val="left" w:pos="1304"/>
        </w:tabs>
        <w:jc w:val="both"/>
        <w:rPr>
          <w:sz w:val="24"/>
          <w:szCs w:val="24"/>
        </w:rPr>
      </w:pPr>
    </w:p>
    <w:p w:rsidR="00D33D69" w:rsidRPr="00D33D69" w:rsidRDefault="00D33D69" w:rsidP="00D33D69">
      <w:pPr>
        <w:pStyle w:val="Style1"/>
        <w:ind w:left="851" w:hanging="851"/>
        <w:rPr>
          <w:sz w:val="24"/>
          <w:szCs w:val="24"/>
        </w:rPr>
      </w:pPr>
      <w:r w:rsidRPr="00D33D69">
        <w:rPr>
          <w:sz w:val="24"/>
          <w:szCs w:val="24"/>
        </w:rPr>
        <w:t>3.6</w:t>
      </w:r>
      <w:r w:rsidRPr="00D33D69">
        <w:rPr>
          <w:sz w:val="24"/>
          <w:szCs w:val="24"/>
        </w:rPr>
        <w:tab/>
        <w:t>Bivirkninger</w:t>
      </w:r>
    </w:p>
    <w:p w:rsidR="00D33D69" w:rsidRPr="00D33D69" w:rsidRDefault="00D33D69" w:rsidP="00D33D69">
      <w:pPr>
        <w:tabs>
          <w:tab w:val="left" w:pos="1304"/>
        </w:tabs>
        <w:rPr>
          <w:sz w:val="24"/>
          <w:szCs w:val="24"/>
        </w:rPr>
      </w:pPr>
    </w:p>
    <w:p w:rsidR="00D33D69" w:rsidRPr="00D33D69" w:rsidRDefault="00D33D69" w:rsidP="00D33D69">
      <w:pPr>
        <w:tabs>
          <w:tab w:val="left" w:pos="1304"/>
        </w:tabs>
        <w:ind w:firstLine="851"/>
        <w:rPr>
          <w:sz w:val="24"/>
          <w:szCs w:val="24"/>
        </w:rPr>
      </w:pPr>
      <w:r w:rsidRPr="00D33D69">
        <w:rPr>
          <w:sz w:val="24"/>
          <w:szCs w:val="24"/>
        </w:rPr>
        <w:t>Hunde, katte:</w:t>
      </w:r>
    </w:p>
    <w:p w:rsidR="00D33D69" w:rsidRPr="00D33D69" w:rsidRDefault="00D33D69" w:rsidP="00D33D69">
      <w:pPr>
        <w:tabs>
          <w:tab w:val="left" w:pos="1304"/>
        </w:tabs>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238"/>
      </w:tblGrid>
      <w:tr w:rsidR="00D33D69" w:rsidRPr="00D33D69" w:rsidTr="00D33D69">
        <w:tc>
          <w:tcPr>
            <w:tcW w:w="2018" w:type="pct"/>
            <w:tcBorders>
              <w:top w:val="single" w:sz="4" w:space="0" w:color="auto"/>
              <w:left w:val="single" w:sz="4" w:space="0" w:color="auto"/>
              <w:bottom w:val="single" w:sz="4" w:space="0" w:color="auto"/>
              <w:right w:val="single" w:sz="4" w:space="0" w:color="auto"/>
            </w:tcBorders>
            <w:hideMark/>
          </w:tcPr>
          <w:p w:rsidR="00D33D69" w:rsidRPr="00D33D69" w:rsidRDefault="00D33D69">
            <w:pPr>
              <w:spacing w:before="60" w:after="60"/>
              <w:rPr>
                <w:sz w:val="24"/>
                <w:szCs w:val="24"/>
              </w:rPr>
            </w:pPr>
            <w:r w:rsidRPr="00D33D69">
              <w:rPr>
                <w:sz w:val="24"/>
                <w:szCs w:val="24"/>
              </w:rPr>
              <w:t>Ikke almindelig</w:t>
            </w:r>
          </w:p>
          <w:p w:rsidR="00D33D69" w:rsidRPr="00D33D69" w:rsidRDefault="00D33D69">
            <w:pPr>
              <w:spacing w:before="60" w:after="60"/>
              <w:rPr>
                <w:sz w:val="24"/>
                <w:szCs w:val="24"/>
              </w:rPr>
            </w:pPr>
            <w:r w:rsidRPr="00D33D69">
              <w:rPr>
                <w:sz w:val="24"/>
                <w:szCs w:val="24"/>
              </w:rPr>
              <w:t>(1 til 10 dyr ud af 1.000 behandlede dyr):</w:t>
            </w:r>
          </w:p>
        </w:tc>
        <w:tc>
          <w:tcPr>
            <w:tcW w:w="2982" w:type="pct"/>
            <w:tcBorders>
              <w:top w:val="single" w:sz="4" w:space="0" w:color="auto"/>
              <w:left w:val="single" w:sz="4" w:space="0" w:color="auto"/>
              <w:bottom w:val="single" w:sz="4" w:space="0" w:color="auto"/>
              <w:right w:val="single" w:sz="4" w:space="0" w:color="auto"/>
            </w:tcBorders>
            <w:hideMark/>
          </w:tcPr>
          <w:p w:rsidR="00D33D69" w:rsidRPr="00D33D69" w:rsidRDefault="00D33D69">
            <w:pPr>
              <w:spacing w:before="60" w:after="60"/>
              <w:rPr>
                <w:iCs/>
                <w:sz w:val="24"/>
                <w:szCs w:val="24"/>
              </w:rPr>
            </w:pPr>
            <w:r w:rsidRPr="00D33D69">
              <w:rPr>
                <w:iCs/>
                <w:sz w:val="24"/>
                <w:szCs w:val="24"/>
              </w:rPr>
              <w:t>Opkastning, diarré, forstyrrelser af mave-tarm-</w:t>
            </w:r>
            <w:proofErr w:type="spellStart"/>
            <w:r w:rsidRPr="00D33D69">
              <w:rPr>
                <w:iCs/>
                <w:sz w:val="24"/>
                <w:szCs w:val="24"/>
              </w:rPr>
              <w:t>floraen</w:t>
            </w:r>
            <w:r w:rsidRPr="00D33D69">
              <w:rPr>
                <w:iCs/>
                <w:sz w:val="24"/>
                <w:szCs w:val="24"/>
                <w:vertAlign w:val="superscript"/>
              </w:rPr>
              <w:t>a</w:t>
            </w:r>
            <w:proofErr w:type="spellEnd"/>
          </w:p>
        </w:tc>
      </w:tr>
    </w:tbl>
    <w:p w:rsidR="00D33D69" w:rsidRPr="00D33D69" w:rsidRDefault="00D33D69" w:rsidP="00D33D69">
      <w:pPr>
        <w:tabs>
          <w:tab w:val="left" w:pos="1304"/>
        </w:tabs>
        <w:rPr>
          <w:sz w:val="24"/>
          <w:szCs w:val="24"/>
        </w:rPr>
      </w:pPr>
    </w:p>
    <w:p w:rsidR="00D33D69" w:rsidRPr="00D33D69" w:rsidRDefault="00D33D69" w:rsidP="00D33D69">
      <w:pPr>
        <w:ind w:left="851"/>
        <w:rPr>
          <w:iCs/>
          <w:sz w:val="24"/>
          <w:szCs w:val="24"/>
        </w:rPr>
      </w:pPr>
      <w:r w:rsidRPr="00D33D69">
        <w:rPr>
          <w:iCs/>
          <w:sz w:val="24"/>
          <w:szCs w:val="24"/>
          <w:vertAlign w:val="superscript"/>
        </w:rPr>
        <w:t xml:space="preserve">a </w:t>
      </w:r>
      <w:proofErr w:type="spellStart"/>
      <w:r w:rsidRPr="00D33D69">
        <w:rPr>
          <w:iCs/>
          <w:sz w:val="24"/>
          <w:szCs w:val="24"/>
        </w:rPr>
        <w:t>Clindamycin</w:t>
      </w:r>
      <w:proofErr w:type="spellEnd"/>
      <w:r w:rsidRPr="00D33D69">
        <w:rPr>
          <w:iCs/>
          <w:sz w:val="24"/>
          <w:szCs w:val="24"/>
        </w:rPr>
        <w:t xml:space="preserve"> forårsager overvækst af ikke-følsomme organismer såsom resistente </w:t>
      </w:r>
      <w:proofErr w:type="spellStart"/>
      <w:r w:rsidRPr="00D33D69">
        <w:rPr>
          <w:iCs/>
          <w:sz w:val="24"/>
          <w:szCs w:val="24"/>
        </w:rPr>
        <w:t>clostridier</w:t>
      </w:r>
      <w:proofErr w:type="spellEnd"/>
    </w:p>
    <w:p w:rsidR="00D33D69" w:rsidRPr="00D33D69" w:rsidRDefault="00D33D69" w:rsidP="00D33D69">
      <w:pPr>
        <w:ind w:left="851"/>
        <w:rPr>
          <w:sz w:val="24"/>
          <w:szCs w:val="24"/>
        </w:rPr>
      </w:pPr>
      <w:r w:rsidRPr="00D33D69">
        <w:rPr>
          <w:iCs/>
          <w:sz w:val="24"/>
          <w:szCs w:val="24"/>
        </w:rPr>
        <w:t>og gær. I tilfælde af superinfektion skal der træffes passende foranstaltninger i henhold til den kliniske situation.</w:t>
      </w:r>
    </w:p>
    <w:p w:rsidR="00D33D69" w:rsidRPr="00D33D69" w:rsidRDefault="00D33D69" w:rsidP="00D33D69">
      <w:pPr>
        <w:tabs>
          <w:tab w:val="left" w:pos="1304"/>
        </w:tabs>
        <w:ind w:left="851"/>
        <w:rPr>
          <w:sz w:val="24"/>
          <w:szCs w:val="24"/>
        </w:rPr>
      </w:pPr>
    </w:p>
    <w:p w:rsidR="00D33D69" w:rsidRPr="00D33D69" w:rsidRDefault="00D33D69" w:rsidP="00D33D69">
      <w:pPr>
        <w:ind w:left="851"/>
        <w:rPr>
          <w:sz w:val="24"/>
          <w:szCs w:val="24"/>
        </w:rPr>
      </w:pPr>
      <w:bookmarkStart w:id="8" w:name="_Hlk66891708"/>
      <w:r w:rsidRPr="00D33D6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8"/>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3.7</w:t>
      </w:r>
      <w:r w:rsidRPr="00D33D69">
        <w:rPr>
          <w:sz w:val="24"/>
          <w:szCs w:val="24"/>
        </w:rPr>
        <w:tab/>
        <w:t>Anvendelse under drægtighed, laktation eller æglægning</w:t>
      </w:r>
    </w:p>
    <w:p w:rsidR="00D33D69" w:rsidRPr="00D33D69" w:rsidRDefault="00D33D69" w:rsidP="00D33D69">
      <w:pPr>
        <w:tabs>
          <w:tab w:val="left" w:pos="1304"/>
        </w:tabs>
        <w:rPr>
          <w:sz w:val="24"/>
          <w:szCs w:val="24"/>
        </w:rPr>
      </w:pPr>
    </w:p>
    <w:p w:rsidR="00D33D69" w:rsidRPr="00D33D69" w:rsidRDefault="00D33D69" w:rsidP="00D33D69">
      <w:pPr>
        <w:tabs>
          <w:tab w:val="left" w:pos="1304"/>
        </w:tabs>
        <w:ind w:left="851"/>
        <w:rPr>
          <w:sz w:val="24"/>
          <w:szCs w:val="24"/>
        </w:rPr>
      </w:pPr>
      <w:r w:rsidRPr="00D33D69">
        <w:rPr>
          <w:sz w:val="24"/>
          <w:szCs w:val="24"/>
          <w:u w:val="single"/>
        </w:rPr>
        <w:t>Drægtighed og diegivning</w:t>
      </w:r>
      <w:r w:rsidRPr="00D33D69">
        <w:rPr>
          <w:sz w:val="24"/>
          <w:szCs w:val="24"/>
        </w:rPr>
        <w:t>:</w:t>
      </w:r>
    </w:p>
    <w:p w:rsidR="00D33D69" w:rsidRPr="00D33D69" w:rsidRDefault="00D33D69" w:rsidP="00D33D69">
      <w:pPr>
        <w:ind w:left="851"/>
        <w:rPr>
          <w:sz w:val="24"/>
          <w:szCs w:val="24"/>
          <w:lang w:eastAsia="da-DK"/>
        </w:rPr>
      </w:pPr>
      <w:r w:rsidRPr="00D33D69">
        <w:rPr>
          <w:sz w:val="24"/>
          <w:szCs w:val="24"/>
        </w:rPr>
        <w:t xml:space="preserve">Selvom højdosisstudier hos rotter tyder på, at </w:t>
      </w:r>
      <w:proofErr w:type="spellStart"/>
      <w:r w:rsidRPr="00D33D69">
        <w:rPr>
          <w:sz w:val="24"/>
          <w:szCs w:val="24"/>
        </w:rPr>
        <w:t>clindamycin</w:t>
      </w:r>
      <w:proofErr w:type="spellEnd"/>
      <w:r w:rsidRPr="00D33D69">
        <w:rPr>
          <w:sz w:val="24"/>
          <w:szCs w:val="24"/>
        </w:rPr>
        <w:t xml:space="preserve"> ikke er </w:t>
      </w:r>
      <w:proofErr w:type="spellStart"/>
      <w:r w:rsidRPr="00D33D69">
        <w:rPr>
          <w:sz w:val="24"/>
          <w:szCs w:val="24"/>
        </w:rPr>
        <w:t>teratogent</w:t>
      </w:r>
      <w:proofErr w:type="spellEnd"/>
      <w:r w:rsidRPr="00D33D69">
        <w:rPr>
          <w:sz w:val="24"/>
          <w:szCs w:val="24"/>
        </w:rPr>
        <w:t>, og ikke påvirker reproduktionsevnen hos hanner og hunner, er sikkerheden hos hunhunde/hunkatte eller hos hanhunde/hankatte, som er avlsdyr ikke blevet klarlagt.</w:t>
      </w:r>
    </w:p>
    <w:p w:rsidR="00D33D69" w:rsidRPr="00D33D69" w:rsidRDefault="00D33D69" w:rsidP="00D33D69">
      <w:pPr>
        <w:ind w:left="851"/>
        <w:rPr>
          <w:sz w:val="24"/>
          <w:szCs w:val="24"/>
        </w:rPr>
      </w:pPr>
      <w:proofErr w:type="spellStart"/>
      <w:r w:rsidRPr="00D33D69">
        <w:rPr>
          <w:sz w:val="24"/>
          <w:szCs w:val="24"/>
        </w:rPr>
        <w:t>Clindamycin</w:t>
      </w:r>
      <w:proofErr w:type="spellEnd"/>
      <w:r w:rsidRPr="00D33D69">
        <w:rPr>
          <w:sz w:val="24"/>
          <w:szCs w:val="24"/>
        </w:rPr>
        <w:t xml:space="preserve"> krydser placenta og udskilles fra blodet i mælken.</w:t>
      </w:r>
    </w:p>
    <w:p w:rsidR="00D33D69" w:rsidRPr="00D33D69" w:rsidRDefault="00D33D69" w:rsidP="00D33D69">
      <w:pPr>
        <w:ind w:left="851"/>
        <w:rPr>
          <w:sz w:val="24"/>
          <w:szCs w:val="24"/>
        </w:rPr>
      </w:pPr>
      <w:r w:rsidRPr="00D33D69">
        <w:rPr>
          <w:sz w:val="24"/>
          <w:szCs w:val="24"/>
        </w:rPr>
        <w:t>Behandling af diegivende hunner kan forårsage diarré hos hvalpe og killinger.</w:t>
      </w:r>
    </w:p>
    <w:p w:rsidR="00D33D69" w:rsidRPr="00D33D69" w:rsidRDefault="00D33D69" w:rsidP="00D33D69">
      <w:pPr>
        <w:ind w:left="851"/>
        <w:rPr>
          <w:sz w:val="24"/>
          <w:szCs w:val="24"/>
        </w:rPr>
      </w:pPr>
      <w:r w:rsidRPr="00D33D69">
        <w:rPr>
          <w:sz w:val="24"/>
          <w:szCs w:val="24"/>
        </w:rPr>
        <w:t>Må kun anvendes i overensstemmelse med den ansvarlige dyrlæges vurdering af benefit/</w:t>
      </w:r>
      <w:proofErr w:type="spellStart"/>
      <w:r w:rsidRPr="00D33D69">
        <w:rPr>
          <w:sz w:val="24"/>
          <w:szCs w:val="24"/>
        </w:rPr>
        <w:t>risk</w:t>
      </w:r>
      <w:proofErr w:type="spellEnd"/>
      <w:r w:rsidRPr="00D33D69">
        <w:rPr>
          <w:sz w:val="24"/>
          <w:szCs w:val="24"/>
        </w:rPr>
        <w:t>-forholdet.</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3.8</w:t>
      </w:r>
      <w:r w:rsidRPr="00D33D69">
        <w:rPr>
          <w:sz w:val="24"/>
          <w:szCs w:val="24"/>
        </w:rPr>
        <w:tab/>
        <w:t>Interaktion med andre lægemidler og andre former for interaktion</w:t>
      </w:r>
    </w:p>
    <w:p w:rsidR="00D33D69" w:rsidRPr="00D33D69" w:rsidRDefault="00D33D69" w:rsidP="00D33D69">
      <w:pPr>
        <w:tabs>
          <w:tab w:val="left" w:pos="1304"/>
        </w:tabs>
        <w:rPr>
          <w:sz w:val="24"/>
          <w:szCs w:val="24"/>
        </w:rPr>
      </w:pPr>
    </w:p>
    <w:p w:rsidR="00D33D69" w:rsidRPr="00D33D69" w:rsidRDefault="00D33D69" w:rsidP="00D33D69">
      <w:pPr>
        <w:ind w:left="851"/>
        <w:rPr>
          <w:sz w:val="24"/>
          <w:szCs w:val="24"/>
          <w:lang w:eastAsia="da-DK"/>
        </w:rPr>
      </w:pPr>
      <w:bookmarkStart w:id="9" w:name="_Hlk518636595"/>
      <w:proofErr w:type="spellStart"/>
      <w:r w:rsidRPr="00D33D69">
        <w:rPr>
          <w:sz w:val="24"/>
          <w:szCs w:val="24"/>
        </w:rPr>
        <w:lastRenderedPageBreak/>
        <w:t>Clindamycinhydrochlorid</w:t>
      </w:r>
      <w:proofErr w:type="spellEnd"/>
      <w:r w:rsidRPr="00D33D69">
        <w:rPr>
          <w:sz w:val="24"/>
          <w:szCs w:val="24"/>
        </w:rPr>
        <w:t xml:space="preserve"> har vist sig at have </w:t>
      </w:r>
      <w:proofErr w:type="spellStart"/>
      <w:r w:rsidRPr="00D33D69">
        <w:rPr>
          <w:sz w:val="24"/>
          <w:szCs w:val="24"/>
        </w:rPr>
        <w:t>neuromuskulære</w:t>
      </w:r>
      <w:proofErr w:type="spellEnd"/>
      <w:r w:rsidRPr="00D33D69">
        <w:rPr>
          <w:sz w:val="24"/>
          <w:szCs w:val="24"/>
        </w:rPr>
        <w:t xml:space="preserve"> blokerende egenskaber, der kan forstærke virkningen af andre </w:t>
      </w:r>
      <w:proofErr w:type="spellStart"/>
      <w:r w:rsidRPr="00D33D69">
        <w:rPr>
          <w:sz w:val="24"/>
          <w:szCs w:val="24"/>
        </w:rPr>
        <w:t>neuromuskulære</w:t>
      </w:r>
      <w:proofErr w:type="spellEnd"/>
      <w:r w:rsidRPr="00D33D69">
        <w:rPr>
          <w:sz w:val="24"/>
          <w:szCs w:val="24"/>
        </w:rPr>
        <w:t xml:space="preserve"> blokerende stoffer. Veterinærlægemidlet skal anvendes med forsigtighed hos dyr, der får sådanne stoffer.</w:t>
      </w:r>
    </w:p>
    <w:p w:rsidR="00D33D69" w:rsidRPr="00D33D69" w:rsidRDefault="00D33D69" w:rsidP="00D33D69">
      <w:pPr>
        <w:ind w:left="851"/>
        <w:rPr>
          <w:sz w:val="24"/>
          <w:szCs w:val="24"/>
        </w:rPr>
      </w:pPr>
      <w:r w:rsidRPr="00D33D69">
        <w:rPr>
          <w:sz w:val="24"/>
          <w:szCs w:val="24"/>
        </w:rPr>
        <w:t xml:space="preserve">Aluminiumsalte og hydroxider, kaolin og aluminium-magnesium-silikatkompleks kan reducere absorptionen af lincosamider. Disse fordøjelsesstoffer bør administreres mindst 2 timer før </w:t>
      </w:r>
      <w:proofErr w:type="spellStart"/>
      <w:r w:rsidRPr="00D33D69">
        <w:rPr>
          <w:sz w:val="24"/>
          <w:szCs w:val="24"/>
        </w:rPr>
        <w:t>clindamycin</w:t>
      </w:r>
      <w:proofErr w:type="spellEnd"/>
      <w:r w:rsidRPr="00D33D69">
        <w:rPr>
          <w:sz w:val="24"/>
          <w:szCs w:val="24"/>
        </w:rPr>
        <w:t>.</w:t>
      </w:r>
    </w:p>
    <w:p w:rsidR="00D33D69" w:rsidRPr="00D33D69" w:rsidRDefault="00D33D69" w:rsidP="00D33D69">
      <w:pPr>
        <w:ind w:left="851"/>
        <w:rPr>
          <w:sz w:val="24"/>
          <w:szCs w:val="24"/>
        </w:rPr>
      </w:pPr>
      <w:proofErr w:type="spellStart"/>
      <w:r w:rsidRPr="00D33D69">
        <w:rPr>
          <w:sz w:val="24"/>
          <w:szCs w:val="24"/>
        </w:rPr>
        <w:t>Clindamycin</w:t>
      </w:r>
      <w:proofErr w:type="spellEnd"/>
      <w:r w:rsidRPr="00D33D69">
        <w:rPr>
          <w:sz w:val="24"/>
          <w:szCs w:val="24"/>
        </w:rPr>
        <w:t xml:space="preserve"> bør ikke bruges samtidigt med eller umiddelbart efter </w:t>
      </w:r>
      <w:proofErr w:type="spellStart"/>
      <w:r w:rsidRPr="00D33D69">
        <w:rPr>
          <w:sz w:val="24"/>
          <w:szCs w:val="24"/>
        </w:rPr>
        <w:t>erythromycin</w:t>
      </w:r>
      <w:proofErr w:type="spellEnd"/>
      <w:r w:rsidRPr="00D33D69">
        <w:rPr>
          <w:sz w:val="24"/>
          <w:szCs w:val="24"/>
        </w:rPr>
        <w:t xml:space="preserve"> eller andre makrolider, for at forhindre makrolid-induceret resistans over for </w:t>
      </w:r>
      <w:proofErr w:type="spellStart"/>
      <w:r w:rsidRPr="00D33D69">
        <w:rPr>
          <w:sz w:val="24"/>
          <w:szCs w:val="24"/>
        </w:rPr>
        <w:t>clindamycin</w:t>
      </w:r>
      <w:proofErr w:type="spellEnd"/>
      <w:r w:rsidRPr="00D33D69">
        <w:rPr>
          <w:sz w:val="24"/>
          <w:szCs w:val="24"/>
        </w:rPr>
        <w:t xml:space="preserve">. </w:t>
      </w:r>
    </w:p>
    <w:p w:rsidR="00D33D69" w:rsidRPr="00D33D69" w:rsidRDefault="00D33D69" w:rsidP="00D33D69">
      <w:pPr>
        <w:ind w:left="851"/>
        <w:rPr>
          <w:sz w:val="24"/>
          <w:szCs w:val="24"/>
        </w:rPr>
      </w:pPr>
      <w:bookmarkStart w:id="10" w:name="_Hlk518646944"/>
      <w:proofErr w:type="spellStart"/>
      <w:r w:rsidRPr="00D33D69">
        <w:rPr>
          <w:sz w:val="24"/>
          <w:szCs w:val="24"/>
        </w:rPr>
        <w:t>Clindamycin</w:t>
      </w:r>
      <w:proofErr w:type="spellEnd"/>
      <w:r w:rsidRPr="00D33D69">
        <w:rPr>
          <w:sz w:val="24"/>
          <w:szCs w:val="24"/>
        </w:rPr>
        <w:t xml:space="preserve"> kan reducere plasmaniveauerne af </w:t>
      </w:r>
      <w:proofErr w:type="spellStart"/>
      <w:r w:rsidRPr="00D33D69">
        <w:rPr>
          <w:sz w:val="24"/>
          <w:szCs w:val="24"/>
        </w:rPr>
        <w:t>ciclosporin</w:t>
      </w:r>
      <w:proofErr w:type="spellEnd"/>
      <w:r w:rsidRPr="00D33D69">
        <w:rPr>
          <w:sz w:val="24"/>
          <w:szCs w:val="24"/>
        </w:rPr>
        <w:t xml:space="preserve"> med en risiko for manglende aktivitet.</w:t>
      </w:r>
      <w:bookmarkEnd w:id="10"/>
    </w:p>
    <w:p w:rsidR="00D33D69" w:rsidRPr="00D33D69" w:rsidRDefault="00D33D69" w:rsidP="00D33D69">
      <w:pPr>
        <w:ind w:left="851"/>
        <w:rPr>
          <w:sz w:val="24"/>
          <w:szCs w:val="24"/>
        </w:rPr>
      </w:pPr>
      <w:r w:rsidRPr="00D33D69">
        <w:rPr>
          <w:sz w:val="24"/>
          <w:szCs w:val="24"/>
        </w:rPr>
        <w:t xml:space="preserve">Under den samtidige brug af </w:t>
      </w:r>
      <w:proofErr w:type="spellStart"/>
      <w:r w:rsidRPr="00D33D69">
        <w:rPr>
          <w:sz w:val="24"/>
          <w:szCs w:val="24"/>
        </w:rPr>
        <w:t>clindamycin</w:t>
      </w:r>
      <w:proofErr w:type="spellEnd"/>
      <w:r w:rsidRPr="00D33D69">
        <w:rPr>
          <w:sz w:val="24"/>
          <w:szCs w:val="24"/>
        </w:rPr>
        <w:t xml:space="preserve"> og aminoglykosider (</w:t>
      </w:r>
      <w:bookmarkStart w:id="11" w:name="_Hlk518634335"/>
      <w:r w:rsidRPr="00D33D69">
        <w:rPr>
          <w:sz w:val="24"/>
          <w:szCs w:val="24"/>
        </w:rPr>
        <w:t>f.eks.</w:t>
      </w:r>
      <w:bookmarkEnd w:id="11"/>
      <w:r w:rsidRPr="00D33D69">
        <w:rPr>
          <w:sz w:val="24"/>
          <w:szCs w:val="24"/>
        </w:rPr>
        <w:t xml:space="preserve"> gentamicin), kan risikoen for uønskede interaktioner (akut nyresvigt) ikke udelukkes.</w:t>
      </w:r>
      <w:bookmarkEnd w:id="9"/>
    </w:p>
    <w:p w:rsidR="00D33D69" w:rsidRPr="00D33D69" w:rsidRDefault="00D33D69" w:rsidP="00D33D69">
      <w:pPr>
        <w:ind w:left="851"/>
        <w:rPr>
          <w:sz w:val="24"/>
          <w:szCs w:val="24"/>
        </w:rPr>
      </w:pPr>
      <w:proofErr w:type="spellStart"/>
      <w:r w:rsidRPr="00D33D69">
        <w:rPr>
          <w:sz w:val="24"/>
          <w:szCs w:val="24"/>
        </w:rPr>
        <w:t>Clindamycin</w:t>
      </w:r>
      <w:proofErr w:type="spellEnd"/>
      <w:r w:rsidRPr="00D33D69">
        <w:rPr>
          <w:sz w:val="24"/>
          <w:szCs w:val="24"/>
        </w:rPr>
        <w:t xml:space="preserve"> bør ikke bruges samtidigt med </w:t>
      </w:r>
      <w:proofErr w:type="spellStart"/>
      <w:r w:rsidRPr="00D33D69">
        <w:rPr>
          <w:sz w:val="24"/>
          <w:szCs w:val="24"/>
        </w:rPr>
        <w:t>chloramphenicol</w:t>
      </w:r>
      <w:proofErr w:type="spellEnd"/>
      <w:r w:rsidRPr="00D33D69">
        <w:rPr>
          <w:sz w:val="24"/>
          <w:szCs w:val="24"/>
        </w:rPr>
        <w:t xml:space="preserve"> eller makrolider, da de </w:t>
      </w:r>
      <w:proofErr w:type="spellStart"/>
      <w:r w:rsidRPr="00D33D69">
        <w:rPr>
          <w:sz w:val="24"/>
          <w:szCs w:val="24"/>
        </w:rPr>
        <w:t>antagoniserer</w:t>
      </w:r>
      <w:proofErr w:type="spellEnd"/>
      <w:r w:rsidRPr="00D33D69">
        <w:rPr>
          <w:sz w:val="24"/>
          <w:szCs w:val="24"/>
        </w:rPr>
        <w:t xml:space="preserve"> hinanden på deres virkningssted på den 50S ribosomale delenhed.</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3.9</w:t>
      </w:r>
      <w:r w:rsidRPr="00D33D69">
        <w:rPr>
          <w:sz w:val="24"/>
          <w:szCs w:val="24"/>
        </w:rPr>
        <w:tab/>
        <w:t>Administrationsveje og dosering</w:t>
      </w:r>
    </w:p>
    <w:p w:rsidR="00D33D69" w:rsidRPr="00D33D69" w:rsidRDefault="00D33D69" w:rsidP="00D33D69">
      <w:pPr>
        <w:tabs>
          <w:tab w:val="left" w:pos="1304"/>
        </w:tabs>
        <w:rPr>
          <w:sz w:val="24"/>
          <w:szCs w:val="24"/>
        </w:rPr>
      </w:pPr>
    </w:p>
    <w:p w:rsidR="00D33D69" w:rsidRPr="00D33D69" w:rsidRDefault="00D33D69" w:rsidP="00D33D69">
      <w:pPr>
        <w:ind w:left="851"/>
        <w:rPr>
          <w:sz w:val="24"/>
          <w:szCs w:val="24"/>
          <w:lang w:eastAsia="da-DK"/>
        </w:rPr>
      </w:pPr>
      <w:r w:rsidRPr="00D33D69">
        <w:rPr>
          <w:sz w:val="24"/>
          <w:szCs w:val="24"/>
        </w:rPr>
        <w:t>Oral anvendelse.</w:t>
      </w:r>
    </w:p>
    <w:p w:rsidR="00D33D69" w:rsidRPr="00D33D69" w:rsidRDefault="00D33D69" w:rsidP="00D33D69">
      <w:pPr>
        <w:ind w:left="851"/>
        <w:rPr>
          <w:sz w:val="24"/>
          <w:szCs w:val="24"/>
        </w:rPr>
      </w:pPr>
      <w:r w:rsidRPr="00D33D69">
        <w:rPr>
          <w:sz w:val="24"/>
          <w:szCs w:val="24"/>
        </w:rPr>
        <w:t>1.</w:t>
      </w:r>
      <w:r w:rsidRPr="00D33D69">
        <w:rPr>
          <w:sz w:val="24"/>
          <w:szCs w:val="24"/>
        </w:rPr>
        <w:tab/>
        <w:t>Til behandling af betændte sår og bylder, og infektioner i mundhulen, herunder parodontose hos hunde og katte, skal der enten administreres:</w:t>
      </w:r>
    </w:p>
    <w:p w:rsidR="00D33D69" w:rsidRPr="00D33D69" w:rsidRDefault="00D33D69" w:rsidP="00D33D69">
      <w:pPr>
        <w:pStyle w:val="Listeafsnit"/>
        <w:numPr>
          <w:ilvl w:val="0"/>
          <w:numId w:val="7"/>
        </w:numPr>
        <w:tabs>
          <w:tab w:val="left" w:pos="567"/>
        </w:tabs>
        <w:ind w:left="851" w:firstLine="0"/>
        <w:rPr>
          <w:sz w:val="24"/>
          <w:szCs w:val="24"/>
        </w:rPr>
      </w:pPr>
      <w:r w:rsidRPr="00D33D69">
        <w:rPr>
          <w:sz w:val="24"/>
          <w:szCs w:val="24"/>
        </w:rPr>
        <w:t xml:space="preserve">5,5 mg </w:t>
      </w:r>
      <w:proofErr w:type="spellStart"/>
      <w:r w:rsidRPr="00D33D69">
        <w:rPr>
          <w:sz w:val="24"/>
          <w:szCs w:val="24"/>
        </w:rPr>
        <w:t>clindamycin</w:t>
      </w:r>
      <w:proofErr w:type="spellEnd"/>
      <w:r w:rsidRPr="00D33D69">
        <w:rPr>
          <w:sz w:val="24"/>
          <w:szCs w:val="24"/>
        </w:rPr>
        <w:t>/kg legemsvægt hver 12. time i 7</w:t>
      </w:r>
      <w:r w:rsidRPr="00D33D69">
        <w:rPr>
          <w:sz w:val="24"/>
          <w:szCs w:val="24"/>
        </w:rPr>
        <w:noBreakHyphen/>
        <w:t>10 dage, eller</w:t>
      </w:r>
    </w:p>
    <w:p w:rsidR="00D33D69" w:rsidRPr="00D33D69" w:rsidRDefault="00D33D69" w:rsidP="00D33D69">
      <w:pPr>
        <w:pStyle w:val="Listeafsnit"/>
        <w:numPr>
          <w:ilvl w:val="0"/>
          <w:numId w:val="7"/>
        </w:numPr>
        <w:tabs>
          <w:tab w:val="left" w:pos="567"/>
        </w:tabs>
        <w:ind w:left="851" w:firstLine="0"/>
        <w:rPr>
          <w:sz w:val="24"/>
          <w:szCs w:val="24"/>
        </w:rPr>
      </w:pPr>
      <w:r w:rsidRPr="00D33D69">
        <w:rPr>
          <w:sz w:val="24"/>
          <w:szCs w:val="24"/>
        </w:rPr>
        <w:t xml:space="preserve">11 mg </w:t>
      </w:r>
      <w:proofErr w:type="spellStart"/>
      <w:r w:rsidRPr="00D33D69">
        <w:rPr>
          <w:sz w:val="24"/>
          <w:szCs w:val="24"/>
        </w:rPr>
        <w:t>clindamycin</w:t>
      </w:r>
      <w:proofErr w:type="spellEnd"/>
      <w:r w:rsidRPr="00D33D69">
        <w:rPr>
          <w:sz w:val="24"/>
          <w:szCs w:val="24"/>
        </w:rPr>
        <w:t>/kg legemsvægt hver 24. time i 7</w:t>
      </w:r>
      <w:r w:rsidRPr="00D33D69">
        <w:rPr>
          <w:sz w:val="24"/>
          <w:szCs w:val="24"/>
        </w:rPr>
        <w:noBreakHyphen/>
        <w:t>10 dage</w:t>
      </w:r>
    </w:p>
    <w:p w:rsidR="00D33D69" w:rsidRPr="00D33D69" w:rsidRDefault="00D33D69" w:rsidP="00D33D69">
      <w:pPr>
        <w:ind w:left="851"/>
        <w:rPr>
          <w:sz w:val="24"/>
          <w:szCs w:val="24"/>
        </w:rPr>
      </w:pPr>
      <w:r w:rsidRPr="00D33D69">
        <w:rPr>
          <w:sz w:val="24"/>
          <w:szCs w:val="24"/>
        </w:rPr>
        <w:t>Hvis der ikke observeres noget klinisk respons inden for 4 dage, skal diagnosen bestemmes igen.</w:t>
      </w:r>
    </w:p>
    <w:p w:rsidR="00D33D69" w:rsidRPr="00D33D69" w:rsidRDefault="00D33D69" w:rsidP="00D33D69">
      <w:pPr>
        <w:ind w:left="851"/>
        <w:rPr>
          <w:sz w:val="24"/>
          <w:szCs w:val="24"/>
        </w:rPr>
      </w:pPr>
    </w:p>
    <w:p w:rsidR="00D33D69" w:rsidRPr="00D33D69" w:rsidRDefault="00D33D69" w:rsidP="00D33D69">
      <w:pPr>
        <w:ind w:left="851"/>
        <w:rPr>
          <w:sz w:val="24"/>
          <w:szCs w:val="24"/>
        </w:rPr>
      </w:pPr>
      <w:r w:rsidRPr="00D33D69">
        <w:rPr>
          <w:sz w:val="24"/>
          <w:szCs w:val="24"/>
        </w:rPr>
        <w:t>2.</w:t>
      </w:r>
      <w:r w:rsidRPr="00D33D69">
        <w:rPr>
          <w:sz w:val="24"/>
          <w:szCs w:val="24"/>
        </w:rPr>
        <w:tab/>
        <w:t xml:space="preserve">Til behandling af overfladisk </w:t>
      </w:r>
      <w:proofErr w:type="spellStart"/>
      <w:r w:rsidRPr="00D33D69">
        <w:rPr>
          <w:sz w:val="24"/>
          <w:szCs w:val="24"/>
        </w:rPr>
        <w:t>pyoderma</w:t>
      </w:r>
      <w:proofErr w:type="spellEnd"/>
      <w:r w:rsidRPr="00D33D69">
        <w:rPr>
          <w:sz w:val="24"/>
          <w:szCs w:val="24"/>
        </w:rPr>
        <w:t xml:space="preserve"> hos hunde skal der enten administreres:</w:t>
      </w:r>
    </w:p>
    <w:p w:rsidR="00D33D69" w:rsidRPr="00D33D69" w:rsidRDefault="00D33D69" w:rsidP="00D33D69">
      <w:pPr>
        <w:pStyle w:val="Listeafsnit"/>
        <w:numPr>
          <w:ilvl w:val="0"/>
          <w:numId w:val="8"/>
        </w:numPr>
        <w:tabs>
          <w:tab w:val="left" w:pos="1134"/>
        </w:tabs>
        <w:ind w:left="851" w:firstLine="0"/>
        <w:rPr>
          <w:sz w:val="24"/>
          <w:szCs w:val="24"/>
        </w:rPr>
      </w:pPr>
      <w:r w:rsidRPr="00D33D69">
        <w:rPr>
          <w:sz w:val="24"/>
          <w:szCs w:val="24"/>
        </w:rPr>
        <w:t xml:space="preserve">5,5 mg </w:t>
      </w:r>
      <w:proofErr w:type="spellStart"/>
      <w:r w:rsidRPr="00D33D69">
        <w:rPr>
          <w:sz w:val="24"/>
          <w:szCs w:val="24"/>
        </w:rPr>
        <w:t>clindamycin</w:t>
      </w:r>
      <w:proofErr w:type="spellEnd"/>
      <w:r w:rsidRPr="00D33D69">
        <w:rPr>
          <w:sz w:val="24"/>
          <w:szCs w:val="24"/>
        </w:rPr>
        <w:t>/kg legemsvægt hver 12. time, eller</w:t>
      </w:r>
    </w:p>
    <w:p w:rsidR="00D33D69" w:rsidRPr="00D33D69" w:rsidRDefault="00D33D69" w:rsidP="00D33D69">
      <w:pPr>
        <w:pStyle w:val="Listeafsnit"/>
        <w:numPr>
          <w:ilvl w:val="0"/>
          <w:numId w:val="8"/>
        </w:numPr>
        <w:tabs>
          <w:tab w:val="left" w:pos="1134"/>
        </w:tabs>
        <w:ind w:left="851" w:firstLine="0"/>
        <w:rPr>
          <w:sz w:val="24"/>
          <w:szCs w:val="24"/>
        </w:rPr>
      </w:pPr>
      <w:r w:rsidRPr="00D33D69">
        <w:rPr>
          <w:sz w:val="24"/>
          <w:szCs w:val="24"/>
        </w:rPr>
        <w:t xml:space="preserve">11 mg </w:t>
      </w:r>
      <w:proofErr w:type="spellStart"/>
      <w:r w:rsidRPr="00D33D69">
        <w:rPr>
          <w:sz w:val="24"/>
          <w:szCs w:val="24"/>
        </w:rPr>
        <w:t>clindamycin</w:t>
      </w:r>
      <w:proofErr w:type="spellEnd"/>
      <w:r w:rsidRPr="00D33D69">
        <w:rPr>
          <w:sz w:val="24"/>
          <w:szCs w:val="24"/>
        </w:rPr>
        <w:t>/kg legemsvægt hver 24. time</w:t>
      </w:r>
    </w:p>
    <w:p w:rsidR="00D33D69" w:rsidRPr="00D33D69" w:rsidRDefault="00D33D69" w:rsidP="00D33D69">
      <w:pPr>
        <w:ind w:left="851"/>
        <w:rPr>
          <w:sz w:val="24"/>
          <w:szCs w:val="24"/>
        </w:rPr>
      </w:pPr>
      <w:bookmarkStart w:id="12" w:name="_Hlk535224001"/>
      <w:r w:rsidRPr="00D33D69">
        <w:rPr>
          <w:sz w:val="24"/>
          <w:szCs w:val="24"/>
        </w:rPr>
        <w:t xml:space="preserve">Behandlingen af overfladisk </w:t>
      </w:r>
      <w:proofErr w:type="spellStart"/>
      <w:r w:rsidRPr="00D33D69">
        <w:rPr>
          <w:sz w:val="24"/>
          <w:szCs w:val="24"/>
        </w:rPr>
        <w:t>pyoderma</w:t>
      </w:r>
      <w:proofErr w:type="spellEnd"/>
      <w:r w:rsidRPr="00D33D69">
        <w:rPr>
          <w:sz w:val="24"/>
          <w:szCs w:val="24"/>
        </w:rPr>
        <w:t xml:space="preserve"> hos hunde anbefales normalt i 21 dage, med en kortere eller længere behandling baseret på den kliniske bedømmelse.</w:t>
      </w:r>
    </w:p>
    <w:bookmarkEnd w:id="12"/>
    <w:p w:rsidR="00D33D69" w:rsidRPr="00D33D69" w:rsidRDefault="00D33D69" w:rsidP="00D33D69">
      <w:pPr>
        <w:ind w:left="851"/>
        <w:rPr>
          <w:sz w:val="24"/>
          <w:szCs w:val="24"/>
        </w:rPr>
      </w:pPr>
    </w:p>
    <w:p w:rsidR="00D33D69" w:rsidRPr="00D33D69" w:rsidRDefault="00D33D69" w:rsidP="00D33D69">
      <w:pPr>
        <w:ind w:left="851"/>
        <w:rPr>
          <w:sz w:val="24"/>
          <w:szCs w:val="24"/>
        </w:rPr>
      </w:pPr>
      <w:r w:rsidRPr="00D33D69">
        <w:rPr>
          <w:sz w:val="24"/>
          <w:szCs w:val="24"/>
        </w:rPr>
        <w:t>3.</w:t>
      </w:r>
      <w:r w:rsidRPr="00D33D69">
        <w:rPr>
          <w:sz w:val="24"/>
          <w:szCs w:val="24"/>
        </w:rPr>
        <w:tab/>
        <w:t xml:space="preserve">Til behandling af </w:t>
      </w:r>
      <w:proofErr w:type="spellStart"/>
      <w:r w:rsidRPr="00D33D69">
        <w:rPr>
          <w:sz w:val="24"/>
          <w:szCs w:val="24"/>
        </w:rPr>
        <w:t>osteomyelitis</w:t>
      </w:r>
      <w:proofErr w:type="spellEnd"/>
      <w:r w:rsidRPr="00D33D69">
        <w:rPr>
          <w:sz w:val="24"/>
          <w:szCs w:val="24"/>
        </w:rPr>
        <w:t xml:space="preserve"> hos hunde skal der administreres: </w:t>
      </w:r>
    </w:p>
    <w:p w:rsidR="00D33D69" w:rsidRPr="00D33D69" w:rsidRDefault="00D33D69" w:rsidP="00D33D69">
      <w:pPr>
        <w:pStyle w:val="Listeafsnit"/>
        <w:numPr>
          <w:ilvl w:val="0"/>
          <w:numId w:val="8"/>
        </w:numPr>
        <w:tabs>
          <w:tab w:val="left" w:pos="567"/>
        </w:tabs>
        <w:ind w:left="851" w:firstLine="0"/>
        <w:rPr>
          <w:sz w:val="24"/>
          <w:szCs w:val="24"/>
        </w:rPr>
      </w:pPr>
      <w:r w:rsidRPr="00D33D69">
        <w:rPr>
          <w:sz w:val="24"/>
          <w:szCs w:val="24"/>
        </w:rPr>
        <w:t xml:space="preserve">11 mg </w:t>
      </w:r>
      <w:proofErr w:type="spellStart"/>
      <w:r w:rsidRPr="00D33D69">
        <w:rPr>
          <w:sz w:val="24"/>
          <w:szCs w:val="24"/>
        </w:rPr>
        <w:t>clindamycin</w:t>
      </w:r>
      <w:proofErr w:type="spellEnd"/>
      <w:r w:rsidRPr="00D33D69">
        <w:rPr>
          <w:sz w:val="24"/>
          <w:szCs w:val="24"/>
        </w:rPr>
        <w:t>/kg legemsvægt hver 12. time i mindst 28 dage</w:t>
      </w:r>
    </w:p>
    <w:p w:rsidR="00D33D69" w:rsidRPr="00D33D69" w:rsidRDefault="00D33D69" w:rsidP="00D33D69">
      <w:pPr>
        <w:ind w:left="851"/>
        <w:rPr>
          <w:sz w:val="24"/>
          <w:szCs w:val="24"/>
        </w:rPr>
      </w:pPr>
      <w:r w:rsidRPr="00D33D69">
        <w:rPr>
          <w:sz w:val="24"/>
          <w:szCs w:val="24"/>
        </w:rPr>
        <w:t>Hvis der ikke observeres noget klinisk respons i løbet af 14 dage, skal behandlingen stoppes og diagnosen skal bestemmes igen.</w:t>
      </w:r>
    </w:p>
    <w:p w:rsidR="00D33D69" w:rsidRPr="00D33D69" w:rsidRDefault="00D33D69" w:rsidP="00D33D69">
      <w:pPr>
        <w:tabs>
          <w:tab w:val="left" w:pos="1304"/>
        </w:tabs>
        <w:ind w:left="851"/>
        <w:rPr>
          <w:sz w:val="24"/>
          <w:szCs w:val="24"/>
        </w:rPr>
      </w:pPr>
    </w:p>
    <w:p w:rsidR="00D33D69" w:rsidRPr="00D33D69" w:rsidRDefault="00D33D69" w:rsidP="00D33D69">
      <w:pPr>
        <w:ind w:left="851"/>
        <w:rPr>
          <w:sz w:val="24"/>
          <w:szCs w:val="24"/>
        </w:rPr>
      </w:pPr>
      <w:r w:rsidRPr="00D33D69">
        <w:rPr>
          <w:sz w:val="24"/>
          <w:szCs w:val="24"/>
        </w:rPr>
        <w:t>For at sikre en korrekt dosering bør legemsvægten beregnes så nøjagtigt som muligt for at undgå underdosering.</w:t>
      </w:r>
    </w:p>
    <w:p w:rsidR="00D33D69" w:rsidRPr="00D33D69" w:rsidRDefault="00D33D69" w:rsidP="00D33D69">
      <w:pPr>
        <w:ind w:left="851"/>
        <w:rPr>
          <w:sz w:val="24"/>
          <w:szCs w:val="24"/>
        </w:rPr>
      </w:pPr>
      <w:r w:rsidRPr="00D33D69">
        <w:rPr>
          <w:sz w:val="24"/>
          <w:szCs w:val="24"/>
        </w:rPr>
        <w:t>Tabletterne kan deles i to eller fire lige store dele for at sikre en akkurat dosering. Placer tabletten på en flad overflade med delekærven opad og den konvekse (afrundede) side mod overfladen.</w:t>
      </w:r>
    </w:p>
    <w:p w:rsidR="00D33D69" w:rsidRPr="00D33D69" w:rsidRDefault="00D33D69" w:rsidP="00D33D69">
      <w:pPr>
        <w:rPr>
          <w:sz w:val="24"/>
          <w:szCs w:val="24"/>
        </w:rPr>
      </w:pPr>
      <w:r w:rsidRPr="00D33D69">
        <w:rPr>
          <w:noProof/>
          <w:sz w:val="24"/>
          <w:szCs w:val="24"/>
        </w:rPr>
        <w:drawing>
          <wp:anchor distT="0" distB="0" distL="114300" distR="114300" simplePos="0" relativeHeight="251658240" behindDoc="0" locked="0" layoutInCell="1" allowOverlap="1">
            <wp:simplePos x="0" y="0"/>
            <wp:positionH relativeFrom="column">
              <wp:posOffset>545770</wp:posOffset>
            </wp:positionH>
            <wp:positionV relativeFrom="paragraph">
              <wp:posOffset>115545</wp:posOffset>
            </wp:positionV>
            <wp:extent cx="2308860" cy="195072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8860" cy="1950720"/>
                    </a:xfrm>
                    <a:prstGeom prst="rect">
                      <a:avLst/>
                    </a:prstGeom>
                    <a:noFill/>
                  </pic:spPr>
                </pic:pic>
              </a:graphicData>
            </a:graphic>
            <wp14:sizeRelH relativeFrom="page">
              <wp14:pctWidth>0</wp14:pctWidth>
            </wp14:sizeRelH>
            <wp14:sizeRelV relativeFrom="page">
              <wp14:pctHeight>0</wp14:pctHeight>
            </wp14:sizeRelV>
          </wp:anchor>
        </w:drawing>
      </w: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rPr>
          <w:sz w:val="24"/>
          <w:szCs w:val="24"/>
        </w:rPr>
      </w:pPr>
    </w:p>
    <w:p w:rsidR="00D33D69" w:rsidRPr="00D33D69" w:rsidRDefault="00D33D69" w:rsidP="00D33D69">
      <w:pPr>
        <w:ind w:firstLine="851"/>
        <w:rPr>
          <w:sz w:val="24"/>
          <w:szCs w:val="24"/>
        </w:rPr>
      </w:pPr>
      <w:r w:rsidRPr="00D33D69">
        <w:rPr>
          <w:sz w:val="24"/>
          <w:szCs w:val="24"/>
        </w:rPr>
        <w:t>To lige store dele: Tryk ned med tommelfingrene på begge sider af tabletten.</w:t>
      </w:r>
    </w:p>
    <w:p w:rsidR="00D33D69" w:rsidRPr="00D33D69" w:rsidRDefault="00D33D69" w:rsidP="00D33D69">
      <w:pPr>
        <w:ind w:firstLine="851"/>
        <w:rPr>
          <w:snapToGrid w:val="0"/>
          <w:sz w:val="24"/>
          <w:szCs w:val="24"/>
        </w:rPr>
      </w:pPr>
      <w:r w:rsidRPr="00D33D69">
        <w:rPr>
          <w:sz w:val="24"/>
          <w:szCs w:val="24"/>
        </w:rPr>
        <w:t>Fire lige store dele: Tryk ned med tommelfingrene i midten af tabletten.</w:t>
      </w:r>
    </w:p>
    <w:p w:rsidR="00D33D69" w:rsidRPr="00D33D69" w:rsidRDefault="00D33D69" w:rsidP="00D33D69">
      <w:pPr>
        <w:tabs>
          <w:tab w:val="left" w:pos="1304"/>
        </w:tabs>
        <w:rPr>
          <w:b/>
          <w:sz w:val="24"/>
          <w:szCs w:val="24"/>
        </w:rPr>
      </w:pPr>
    </w:p>
    <w:p w:rsidR="00D33D69" w:rsidRPr="00D33D69" w:rsidRDefault="00D33D69" w:rsidP="00D33D69">
      <w:pPr>
        <w:pStyle w:val="Style1"/>
        <w:ind w:left="851" w:hanging="851"/>
        <w:rPr>
          <w:sz w:val="24"/>
          <w:szCs w:val="24"/>
        </w:rPr>
      </w:pPr>
      <w:r w:rsidRPr="00D33D69">
        <w:rPr>
          <w:sz w:val="24"/>
          <w:szCs w:val="24"/>
        </w:rPr>
        <w:t>3.10</w:t>
      </w:r>
      <w:r w:rsidRPr="00D33D69">
        <w:rPr>
          <w:sz w:val="24"/>
          <w:szCs w:val="24"/>
        </w:rPr>
        <w:tab/>
        <w:t>Symptomer på overdosering (og, hvis relevant, nødforanstaltninger og modgift)</w:t>
      </w:r>
    </w:p>
    <w:p w:rsidR="00D33D69" w:rsidRPr="00D33D69" w:rsidRDefault="00D33D69" w:rsidP="00D33D69">
      <w:pPr>
        <w:tabs>
          <w:tab w:val="left" w:pos="1304"/>
        </w:tabs>
        <w:rPr>
          <w:sz w:val="24"/>
          <w:szCs w:val="24"/>
        </w:rPr>
      </w:pPr>
    </w:p>
    <w:p w:rsidR="00D33D69" w:rsidRPr="00D33D69" w:rsidRDefault="00D33D69" w:rsidP="00D33D69">
      <w:pPr>
        <w:ind w:left="851"/>
        <w:rPr>
          <w:sz w:val="24"/>
          <w:szCs w:val="24"/>
          <w:lang w:eastAsia="da-DK"/>
        </w:rPr>
      </w:pPr>
      <w:r w:rsidRPr="00D33D69">
        <w:rPr>
          <w:sz w:val="24"/>
          <w:szCs w:val="24"/>
        </w:rPr>
        <w:t xml:space="preserve">Hos hunde førte orale doser af </w:t>
      </w:r>
      <w:proofErr w:type="spellStart"/>
      <w:r w:rsidRPr="00D33D69">
        <w:rPr>
          <w:sz w:val="24"/>
          <w:szCs w:val="24"/>
        </w:rPr>
        <w:t>clindamycin</w:t>
      </w:r>
      <w:proofErr w:type="spellEnd"/>
      <w:r w:rsidRPr="00D33D69">
        <w:rPr>
          <w:sz w:val="24"/>
          <w:szCs w:val="24"/>
        </w:rPr>
        <w:t xml:space="preserve"> op til 300 mg/kg/dag ikke til toksicitet. Hundene, der fik 600 mg/kg/dag </w:t>
      </w:r>
      <w:proofErr w:type="spellStart"/>
      <w:r w:rsidRPr="00D33D69">
        <w:rPr>
          <w:sz w:val="24"/>
          <w:szCs w:val="24"/>
        </w:rPr>
        <w:t>clindamycin</w:t>
      </w:r>
      <w:proofErr w:type="spellEnd"/>
      <w:r w:rsidRPr="00D33D69">
        <w:rPr>
          <w:sz w:val="24"/>
          <w:szCs w:val="24"/>
        </w:rPr>
        <w:t xml:space="preserve"> udviklede anoreksi, opkastning og vægttab. Opkastning blev også registreret hos katte, der blev doseret med 25 eller 50 mg/kg/dag. I tilfælde af overdosering, skal behandlingen straks seponeres, og der skal fastlægges symptomatisk behandling.</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3.11</w:t>
      </w:r>
      <w:r w:rsidRPr="00D33D69">
        <w:rPr>
          <w:sz w:val="24"/>
          <w:szCs w:val="24"/>
        </w:rPr>
        <w:tab/>
        <w:t>Særlige begrænsninger og betingelser for anvendelse, herunder begrænsninger for anvendelsen af antimikrobielle og antiparasitære veterinærlægemidler for at begrænse risikoen for udvikling af resistens</w:t>
      </w:r>
    </w:p>
    <w:p w:rsidR="00D33D69" w:rsidRPr="00D33D69" w:rsidRDefault="00D33D69" w:rsidP="00D33D69">
      <w:pPr>
        <w:tabs>
          <w:tab w:val="left" w:pos="1304"/>
        </w:tabs>
        <w:rPr>
          <w:sz w:val="24"/>
          <w:szCs w:val="24"/>
        </w:rPr>
      </w:pPr>
    </w:p>
    <w:p w:rsidR="00D33D69" w:rsidRPr="00D33D69" w:rsidRDefault="00D33D69" w:rsidP="00D33D69">
      <w:pPr>
        <w:tabs>
          <w:tab w:val="left" w:pos="1304"/>
        </w:tabs>
        <w:ind w:firstLine="851"/>
        <w:rPr>
          <w:sz w:val="24"/>
          <w:szCs w:val="24"/>
        </w:rPr>
      </w:pPr>
      <w:r w:rsidRPr="00D33D69">
        <w:rPr>
          <w:sz w:val="24"/>
          <w:szCs w:val="24"/>
        </w:rPr>
        <w:t>Ikke relevant.</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3.12</w:t>
      </w:r>
      <w:r w:rsidRPr="00D33D69">
        <w:rPr>
          <w:sz w:val="24"/>
          <w:szCs w:val="24"/>
        </w:rPr>
        <w:tab/>
        <w:t>Tilbageholdelsestid(er)</w:t>
      </w:r>
    </w:p>
    <w:p w:rsidR="00D33D69" w:rsidRPr="00D33D69" w:rsidRDefault="00D33D69" w:rsidP="00D33D69">
      <w:pPr>
        <w:tabs>
          <w:tab w:val="left" w:pos="1304"/>
        </w:tabs>
        <w:rPr>
          <w:sz w:val="24"/>
          <w:szCs w:val="24"/>
        </w:rPr>
      </w:pPr>
    </w:p>
    <w:p w:rsidR="00D33D69" w:rsidRPr="00D33D69" w:rsidRDefault="00D33D69" w:rsidP="00D33D69">
      <w:pPr>
        <w:ind w:firstLine="851"/>
        <w:rPr>
          <w:sz w:val="24"/>
          <w:szCs w:val="24"/>
          <w:lang w:eastAsia="da-DK"/>
        </w:rPr>
      </w:pPr>
      <w:r w:rsidRPr="00D33D69">
        <w:rPr>
          <w:sz w:val="24"/>
          <w:szCs w:val="24"/>
        </w:rPr>
        <w:t>Ikke relevant.</w:t>
      </w:r>
    </w:p>
    <w:p w:rsidR="00D33D69" w:rsidRPr="00D33D69" w:rsidRDefault="00D33D69" w:rsidP="00D33D69">
      <w:pPr>
        <w:tabs>
          <w:tab w:val="left" w:pos="1304"/>
        </w:tabs>
        <w:rPr>
          <w:sz w:val="24"/>
          <w:szCs w:val="24"/>
        </w:rPr>
      </w:pP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4.</w:t>
      </w:r>
      <w:r w:rsidRPr="00D33D69">
        <w:rPr>
          <w:sz w:val="24"/>
          <w:szCs w:val="24"/>
        </w:rPr>
        <w:tab/>
        <w:t>FARMAKOLOGISKE OPLYSNINGER</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b w:val="0"/>
          <w:bCs/>
          <w:sz w:val="24"/>
          <w:szCs w:val="24"/>
        </w:rPr>
      </w:pPr>
      <w:r w:rsidRPr="00D33D69">
        <w:rPr>
          <w:sz w:val="24"/>
          <w:szCs w:val="24"/>
        </w:rPr>
        <w:t>4.1</w:t>
      </w:r>
      <w:r w:rsidRPr="00D33D69">
        <w:rPr>
          <w:sz w:val="24"/>
          <w:szCs w:val="24"/>
        </w:rPr>
        <w:tab/>
      </w:r>
      <w:proofErr w:type="spellStart"/>
      <w:r w:rsidRPr="00D33D69">
        <w:rPr>
          <w:sz w:val="24"/>
          <w:szCs w:val="24"/>
        </w:rPr>
        <w:t>ATCvet</w:t>
      </w:r>
      <w:proofErr w:type="spellEnd"/>
      <w:r w:rsidRPr="00D33D69">
        <w:rPr>
          <w:sz w:val="24"/>
          <w:szCs w:val="24"/>
        </w:rPr>
        <w:t xml:space="preserve">-kode: </w:t>
      </w:r>
      <w:r w:rsidRPr="00D33D69">
        <w:rPr>
          <w:b w:val="0"/>
          <w:bCs/>
          <w:sz w:val="24"/>
          <w:szCs w:val="24"/>
        </w:rPr>
        <w:t>QJ 01 FF 01</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4.2</w:t>
      </w:r>
      <w:r w:rsidRPr="00D33D69">
        <w:rPr>
          <w:sz w:val="24"/>
          <w:szCs w:val="24"/>
        </w:rPr>
        <w:tab/>
      </w:r>
      <w:proofErr w:type="spellStart"/>
      <w:r w:rsidRPr="00D33D69">
        <w:rPr>
          <w:sz w:val="24"/>
          <w:szCs w:val="24"/>
        </w:rPr>
        <w:t>Farmakodynamiske</w:t>
      </w:r>
      <w:proofErr w:type="spellEnd"/>
      <w:r w:rsidRPr="00D33D69">
        <w:rPr>
          <w:sz w:val="24"/>
          <w:szCs w:val="24"/>
        </w:rPr>
        <w:t xml:space="preserve"> oplysninger</w:t>
      </w:r>
    </w:p>
    <w:p w:rsidR="00D33D69" w:rsidRPr="00D33D69" w:rsidRDefault="00D33D69" w:rsidP="00D33D69">
      <w:pPr>
        <w:tabs>
          <w:tab w:val="left" w:pos="1304"/>
        </w:tabs>
        <w:rPr>
          <w:sz w:val="24"/>
          <w:szCs w:val="24"/>
        </w:rPr>
      </w:pPr>
    </w:p>
    <w:p w:rsidR="00D33D69" w:rsidRPr="00D33D69" w:rsidRDefault="00D33D69" w:rsidP="00D33D69">
      <w:pPr>
        <w:ind w:left="851"/>
        <w:rPr>
          <w:snapToGrid w:val="0"/>
          <w:sz w:val="24"/>
          <w:szCs w:val="24"/>
          <w:u w:val="single"/>
          <w:lang w:eastAsia="da-DK"/>
        </w:rPr>
      </w:pPr>
      <w:r w:rsidRPr="00D33D69">
        <w:rPr>
          <w:sz w:val="24"/>
          <w:szCs w:val="24"/>
          <w:u w:val="single"/>
        </w:rPr>
        <w:t>Virkningsmekanisme</w:t>
      </w:r>
    </w:p>
    <w:p w:rsidR="00D33D69" w:rsidRPr="00D33D69" w:rsidRDefault="00D33D69" w:rsidP="00D33D69">
      <w:pPr>
        <w:ind w:left="851"/>
        <w:rPr>
          <w:snapToGrid w:val="0"/>
          <w:sz w:val="24"/>
          <w:szCs w:val="24"/>
        </w:rPr>
      </w:pPr>
      <w:proofErr w:type="spellStart"/>
      <w:r w:rsidRPr="00D33D69">
        <w:rPr>
          <w:sz w:val="24"/>
          <w:szCs w:val="24"/>
        </w:rPr>
        <w:t>Clindamycin</w:t>
      </w:r>
      <w:proofErr w:type="spellEnd"/>
      <w:r w:rsidRPr="00D33D69">
        <w:rPr>
          <w:sz w:val="24"/>
          <w:szCs w:val="24"/>
        </w:rPr>
        <w:t xml:space="preserve"> er et semisyntetisk antibiotikum, der fremstilles ved 7(S)</w:t>
      </w:r>
      <w:r w:rsidRPr="00D33D69">
        <w:rPr>
          <w:sz w:val="24"/>
          <w:szCs w:val="24"/>
        </w:rPr>
        <w:noBreakHyphen/>
      </w:r>
      <w:proofErr w:type="spellStart"/>
      <w:r w:rsidRPr="00D33D69">
        <w:rPr>
          <w:sz w:val="24"/>
          <w:szCs w:val="24"/>
        </w:rPr>
        <w:t>chlorsubstitution</w:t>
      </w:r>
      <w:proofErr w:type="spellEnd"/>
      <w:r w:rsidRPr="00D33D69">
        <w:rPr>
          <w:sz w:val="24"/>
          <w:szCs w:val="24"/>
        </w:rPr>
        <w:t xml:space="preserve"> af 7(R)</w:t>
      </w:r>
      <w:r w:rsidRPr="00D33D69">
        <w:rPr>
          <w:sz w:val="24"/>
          <w:szCs w:val="24"/>
        </w:rPr>
        <w:noBreakHyphen/>
      </w:r>
      <w:proofErr w:type="spellStart"/>
      <w:r w:rsidRPr="00D33D69">
        <w:rPr>
          <w:sz w:val="24"/>
          <w:szCs w:val="24"/>
        </w:rPr>
        <w:t>hydroxygruppen</w:t>
      </w:r>
      <w:proofErr w:type="spellEnd"/>
      <w:r w:rsidRPr="00D33D69">
        <w:rPr>
          <w:sz w:val="24"/>
          <w:szCs w:val="24"/>
        </w:rPr>
        <w:t xml:space="preserve"> af det naturlige antibiotikum fremstillet af </w:t>
      </w:r>
      <w:proofErr w:type="spellStart"/>
      <w:r w:rsidRPr="00D33D69">
        <w:rPr>
          <w:i/>
          <w:sz w:val="24"/>
          <w:szCs w:val="24"/>
        </w:rPr>
        <w:t>Streptomyces</w:t>
      </w:r>
      <w:proofErr w:type="spellEnd"/>
      <w:r w:rsidRPr="00D33D69">
        <w:rPr>
          <w:i/>
          <w:sz w:val="24"/>
          <w:szCs w:val="24"/>
        </w:rPr>
        <w:t xml:space="preserve"> </w:t>
      </w:r>
      <w:proofErr w:type="spellStart"/>
      <w:r w:rsidRPr="00D33D69">
        <w:rPr>
          <w:i/>
          <w:sz w:val="24"/>
          <w:szCs w:val="24"/>
        </w:rPr>
        <w:t>lincolnensis</w:t>
      </w:r>
      <w:proofErr w:type="spellEnd"/>
      <w:r w:rsidRPr="00D33D69">
        <w:rPr>
          <w:i/>
          <w:sz w:val="24"/>
          <w:szCs w:val="24"/>
        </w:rPr>
        <w:t xml:space="preserve"> var. </w:t>
      </w:r>
      <w:proofErr w:type="spellStart"/>
      <w:r w:rsidRPr="00D33D69">
        <w:rPr>
          <w:i/>
          <w:sz w:val="24"/>
          <w:szCs w:val="24"/>
        </w:rPr>
        <w:t>lincolnensis</w:t>
      </w:r>
      <w:proofErr w:type="spellEnd"/>
      <w:r w:rsidRPr="00D33D69">
        <w:rPr>
          <w:sz w:val="24"/>
          <w:szCs w:val="24"/>
        </w:rPr>
        <w:t>.</w:t>
      </w:r>
    </w:p>
    <w:p w:rsidR="00D33D69" w:rsidRPr="00D33D69" w:rsidRDefault="00D33D69" w:rsidP="00D33D69">
      <w:pPr>
        <w:ind w:left="851"/>
        <w:rPr>
          <w:snapToGrid w:val="0"/>
          <w:sz w:val="24"/>
          <w:szCs w:val="24"/>
        </w:rPr>
      </w:pPr>
      <w:proofErr w:type="spellStart"/>
      <w:r w:rsidRPr="00D33D69">
        <w:rPr>
          <w:sz w:val="24"/>
          <w:szCs w:val="24"/>
        </w:rPr>
        <w:t>Clindamycin</w:t>
      </w:r>
      <w:proofErr w:type="spellEnd"/>
      <w:r w:rsidRPr="00D33D69">
        <w:rPr>
          <w:sz w:val="24"/>
          <w:szCs w:val="24"/>
        </w:rPr>
        <w:t xml:space="preserve">, et antibiotikum primært med tidsafhængig virkning, virker ved en </w:t>
      </w:r>
      <w:proofErr w:type="spellStart"/>
      <w:r w:rsidRPr="00D33D69">
        <w:rPr>
          <w:sz w:val="24"/>
          <w:szCs w:val="24"/>
        </w:rPr>
        <w:t>bakteriostatisk</w:t>
      </w:r>
      <w:proofErr w:type="spellEnd"/>
      <w:r w:rsidRPr="00D33D69">
        <w:rPr>
          <w:sz w:val="24"/>
          <w:szCs w:val="24"/>
        </w:rPr>
        <w:t xml:space="preserve"> mekanisme, hvor lægemidlet påvirker proteinsyntesen i bakteriecellen, og derved hæmmer vækst og multiplikation af bakterierne.</w:t>
      </w:r>
    </w:p>
    <w:p w:rsidR="00D33D69" w:rsidRPr="00D33D69" w:rsidRDefault="00D33D69" w:rsidP="00D33D69">
      <w:pPr>
        <w:ind w:left="851"/>
        <w:rPr>
          <w:snapToGrid w:val="0"/>
          <w:sz w:val="24"/>
          <w:szCs w:val="24"/>
        </w:rPr>
      </w:pPr>
      <w:proofErr w:type="spellStart"/>
      <w:r w:rsidRPr="00D33D69">
        <w:rPr>
          <w:sz w:val="24"/>
          <w:szCs w:val="24"/>
        </w:rPr>
        <w:t>Clindamycin</w:t>
      </w:r>
      <w:proofErr w:type="spellEnd"/>
      <w:r w:rsidRPr="00D33D69">
        <w:rPr>
          <w:sz w:val="24"/>
          <w:szCs w:val="24"/>
        </w:rPr>
        <w:t xml:space="preserve"> binder til den 23S ribosomale </w:t>
      </w:r>
      <w:proofErr w:type="spellStart"/>
      <w:r w:rsidRPr="00D33D69">
        <w:rPr>
          <w:sz w:val="24"/>
          <w:szCs w:val="24"/>
        </w:rPr>
        <w:t>rna</w:t>
      </w:r>
      <w:proofErr w:type="spellEnd"/>
      <w:r w:rsidRPr="00D33D69">
        <w:rPr>
          <w:sz w:val="24"/>
          <w:szCs w:val="24"/>
        </w:rPr>
        <w:t>-komponent af 50S</w:t>
      </w:r>
      <w:r w:rsidRPr="00D33D69">
        <w:rPr>
          <w:sz w:val="24"/>
          <w:szCs w:val="24"/>
        </w:rPr>
        <w:noBreakHyphen/>
        <w:t xml:space="preserve">delenheden. Dette forhindrer aminosyrerne i at binde på disse ribosomer, og hæmmer derfor dannelsen af peptidbindinger. De ribosomale steder er nær ved dem, der er bundet af makrolider, </w:t>
      </w:r>
      <w:proofErr w:type="spellStart"/>
      <w:r w:rsidRPr="00D33D69">
        <w:rPr>
          <w:sz w:val="24"/>
          <w:szCs w:val="24"/>
        </w:rPr>
        <w:t>streptograminer</w:t>
      </w:r>
      <w:proofErr w:type="spellEnd"/>
      <w:r w:rsidRPr="00D33D69">
        <w:rPr>
          <w:sz w:val="24"/>
          <w:szCs w:val="24"/>
        </w:rPr>
        <w:t xml:space="preserve"> eller </w:t>
      </w:r>
      <w:proofErr w:type="spellStart"/>
      <w:r w:rsidRPr="00D33D69">
        <w:rPr>
          <w:sz w:val="24"/>
          <w:szCs w:val="24"/>
        </w:rPr>
        <w:t>chloramphenicol</w:t>
      </w:r>
      <w:proofErr w:type="spellEnd"/>
      <w:r w:rsidRPr="00D33D69">
        <w:rPr>
          <w:sz w:val="24"/>
          <w:szCs w:val="24"/>
        </w:rPr>
        <w:t>.</w:t>
      </w:r>
    </w:p>
    <w:p w:rsidR="00D33D69" w:rsidRPr="00D33D69" w:rsidRDefault="00D33D69" w:rsidP="00D33D69">
      <w:pPr>
        <w:ind w:left="851"/>
        <w:rPr>
          <w:snapToGrid w:val="0"/>
          <w:sz w:val="24"/>
          <w:szCs w:val="24"/>
        </w:rPr>
      </w:pPr>
    </w:p>
    <w:p w:rsidR="00D33D69" w:rsidRPr="00D33D69" w:rsidRDefault="00D33D69" w:rsidP="00D33D69">
      <w:pPr>
        <w:ind w:left="851"/>
        <w:rPr>
          <w:snapToGrid w:val="0"/>
          <w:sz w:val="24"/>
          <w:szCs w:val="24"/>
          <w:u w:val="single"/>
        </w:rPr>
      </w:pPr>
      <w:r w:rsidRPr="00D33D69">
        <w:rPr>
          <w:sz w:val="24"/>
          <w:szCs w:val="24"/>
          <w:u w:val="single"/>
        </w:rPr>
        <w:t>Antibakterielle spektrum</w:t>
      </w:r>
    </w:p>
    <w:p w:rsidR="00D33D69" w:rsidRPr="00D33D69" w:rsidRDefault="00D33D69" w:rsidP="00D33D69">
      <w:pPr>
        <w:ind w:left="851"/>
        <w:rPr>
          <w:snapToGrid w:val="0"/>
          <w:sz w:val="24"/>
          <w:szCs w:val="24"/>
        </w:rPr>
      </w:pPr>
      <w:proofErr w:type="spellStart"/>
      <w:r w:rsidRPr="00D33D69">
        <w:rPr>
          <w:sz w:val="24"/>
          <w:szCs w:val="24"/>
        </w:rPr>
        <w:t>Clindamycin</w:t>
      </w:r>
      <w:proofErr w:type="spellEnd"/>
      <w:r w:rsidRPr="00D33D69">
        <w:rPr>
          <w:sz w:val="24"/>
          <w:szCs w:val="24"/>
        </w:rPr>
        <w:t xml:space="preserve"> er et antimikrobielt lægemiddel med et moderat spektrum.</w:t>
      </w:r>
    </w:p>
    <w:p w:rsidR="00D33D69" w:rsidRPr="00D33D69" w:rsidRDefault="00D33D69" w:rsidP="00D33D69">
      <w:pPr>
        <w:ind w:left="851"/>
        <w:rPr>
          <w:iCs/>
          <w:sz w:val="24"/>
          <w:szCs w:val="24"/>
        </w:rPr>
      </w:pPr>
      <w:proofErr w:type="spellStart"/>
      <w:r w:rsidRPr="00D33D69">
        <w:rPr>
          <w:sz w:val="24"/>
          <w:szCs w:val="24"/>
        </w:rPr>
        <w:t>Clindamycin</w:t>
      </w:r>
      <w:proofErr w:type="spellEnd"/>
      <w:r w:rsidRPr="00D33D69">
        <w:rPr>
          <w:sz w:val="24"/>
          <w:szCs w:val="24"/>
        </w:rPr>
        <w:t xml:space="preserve"> har </w:t>
      </w:r>
      <w:r w:rsidRPr="00D33D69">
        <w:rPr>
          <w:i/>
          <w:sz w:val="24"/>
          <w:szCs w:val="24"/>
        </w:rPr>
        <w:t>in</w:t>
      </w:r>
      <w:r w:rsidRPr="00D33D69">
        <w:rPr>
          <w:i/>
          <w:sz w:val="24"/>
          <w:szCs w:val="24"/>
        </w:rPr>
        <w:noBreakHyphen/>
      </w:r>
      <w:proofErr w:type="spellStart"/>
      <w:r w:rsidRPr="00D33D69">
        <w:rPr>
          <w:i/>
          <w:sz w:val="24"/>
          <w:szCs w:val="24"/>
        </w:rPr>
        <w:t>vitro</w:t>
      </w:r>
      <w:proofErr w:type="spellEnd"/>
      <w:r w:rsidRPr="00D33D69">
        <w:rPr>
          <w:sz w:val="24"/>
          <w:szCs w:val="24"/>
        </w:rPr>
        <w:t>-aktivitet mod de følgende mikroorganismer:</w:t>
      </w:r>
    </w:p>
    <w:p w:rsidR="00D33D69" w:rsidRPr="00D33D69" w:rsidRDefault="00D33D69" w:rsidP="00D33D69">
      <w:pPr>
        <w:pStyle w:val="Listeafsnit"/>
        <w:numPr>
          <w:ilvl w:val="0"/>
          <w:numId w:val="8"/>
        </w:numPr>
        <w:ind w:left="851" w:firstLine="0"/>
        <w:rPr>
          <w:iCs/>
          <w:spacing w:val="-2"/>
          <w:sz w:val="24"/>
          <w:szCs w:val="24"/>
        </w:rPr>
      </w:pPr>
      <w:r w:rsidRPr="00D33D69">
        <w:rPr>
          <w:spacing w:val="-2"/>
          <w:sz w:val="24"/>
          <w:szCs w:val="24"/>
        </w:rPr>
        <w:t xml:space="preserve">Aerobe </w:t>
      </w:r>
      <w:proofErr w:type="spellStart"/>
      <w:r w:rsidRPr="00D33D69">
        <w:rPr>
          <w:spacing w:val="-2"/>
          <w:sz w:val="24"/>
          <w:szCs w:val="24"/>
        </w:rPr>
        <w:t>Gram</w:t>
      </w:r>
      <w:r w:rsidRPr="00D33D69">
        <w:rPr>
          <w:spacing w:val="-2"/>
          <w:sz w:val="24"/>
          <w:szCs w:val="24"/>
        </w:rPr>
        <w:noBreakHyphen/>
        <w:t>positive</w:t>
      </w:r>
      <w:proofErr w:type="spellEnd"/>
      <w:r w:rsidRPr="00D33D69">
        <w:rPr>
          <w:spacing w:val="-2"/>
          <w:sz w:val="24"/>
          <w:szCs w:val="24"/>
        </w:rPr>
        <w:t xml:space="preserve"> </w:t>
      </w:r>
      <w:proofErr w:type="spellStart"/>
      <w:r w:rsidRPr="00D33D69">
        <w:rPr>
          <w:spacing w:val="-2"/>
          <w:sz w:val="24"/>
          <w:szCs w:val="24"/>
        </w:rPr>
        <w:t>cocci</w:t>
      </w:r>
      <w:proofErr w:type="spellEnd"/>
      <w:r w:rsidRPr="00D33D69">
        <w:rPr>
          <w:spacing w:val="-2"/>
          <w:sz w:val="24"/>
          <w:szCs w:val="24"/>
        </w:rPr>
        <w:t xml:space="preserve">, herunder: </w:t>
      </w:r>
      <w:proofErr w:type="spellStart"/>
      <w:r w:rsidRPr="00D33D69">
        <w:rPr>
          <w:i/>
          <w:spacing w:val="-2"/>
          <w:sz w:val="24"/>
          <w:szCs w:val="24"/>
        </w:rPr>
        <w:t>Staphylococcus</w:t>
      </w:r>
      <w:proofErr w:type="spellEnd"/>
      <w:r w:rsidRPr="00D33D69">
        <w:rPr>
          <w:i/>
          <w:spacing w:val="-2"/>
          <w:sz w:val="24"/>
          <w:szCs w:val="24"/>
        </w:rPr>
        <w:t xml:space="preserve"> </w:t>
      </w:r>
      <w:proofErr w:type="spellStart"/>
      <w:r w:rsidRPr="00D33D69">
        <w:rPr>
          <w:i/>
          <w:spacing w:val="-2"/>
          <w:sz w:val="24"/>
          <w:szCs w:val="24"/>
        </w:rPr>
        <w:t>pseudintermedius</w:t>
      </w:r>
      <w:proofErr w:type="spellEnd"/>
      <w:r w:rsidRPr="00D33D69">
        <w:rPr>
          <w:spacing w:val="-2"/>
          <w:sz w:val="24"/>
          <w:szCs w:val="24"/>
        </w:rPr>
        <w:t xml:space="preserve"> og </w:t>
      </w:r>
      <w:proofErr w:type="spellStart"/>
      <w:r w:rsidRPr="00D33D69">
        <w:rPr>
          <w:i/>
          <w:spacing w:val="-2"/>
          <w:sz w:val="24"/>
          <w:szCs w:val="24"/>
        </w:rPr>
        <w:t>Staphylococcus</w:t>
      </w:r>
      <w:proofErr w:type="spellEnd"/>
      <w:r w:rsidRPr="00D33D69">
        <w:rPr>
          <w:i/>
          <w:spacing w:val="-2"/>
          <w:sz w:val="24"/>
          <w:szCs w:val="24"/>
        </w:rPr>
        <w:t xml:space="preserve"> aureus</w:t>
      </w:r>
      <w:r w:rsidRPr="00D33D69">
        <w:rPr>
          <w:spacing w:val="-2"/>
          <w:sz w:val="24"/>
          <w:szCs w:val="24"/>
        </w:rPr>
        <w:t xml:space="preserve"> (penicillinase- og non-penicillinase-producerende stammer), </w:t>
      </w:r>
      <w:proofErr w:type="spellStart"/>
      <w:r w:rsidRPr="00D33D69">
        <w:rPr>
          <w:i/>
          <w:spacing w:val="-2"/>
          <w:sz w:val="24"/>
          <w:szCs w:val="24"/>
        </w:rPr>
        <w:t>Streptococcus</w:t>
      </w:r>
      <w:proofErr w:type="spellEnd"/>
      <w:r w:rsidRPr="00D33D69">
        <w:rPr>
          <w:i/>
          <w:spacing w:val="-2"/>
          <w:sz w:val="24"/>
          <w:szCs w:val="24"/>
        </w:rPr>
        <w:t xml:space="preserve"> </w:t>
      </w:r>
      <w:proofErr w:type="spellStart"/>
      <w:r w:rsidRPr="00D33D69">
        <w:rPr>
          <w:spacing w:val="-2"/>
          <w:sz w:val="24"/>
          <w:szCs w:val="24"/>
        </w:rPr>
        <w:t>spp</w:t>
      </w:r>
      <w:proofErr w:type="spellEnd"/>
      <w:r w:rsidRPr="00D33D69">
        <w:rPr>
          <w:spacing w:val="-2"/>
          <w:sz w:val="24"/>
          <w:szCs w:val="24"/>
        </w:rPr>
        <w:t xml:space="preserve">. (undtagen </w:t>
      </w:r>
      <w:proofErr w:type="spellStart"/>
      <w:r w:rsidRPr="00D33D69">
        <w:rPr>
          <w:i/>
          <w:spacing w:val="-2"/>
          <w:sz w:val="24"/>
          <w:szCs w:val="24"/>
        </w:rPr>
        <w:t>Streptococcus</w:t>
      </w:r>
      <w:proofErr w:type="spellEnd"/>
      <w:r w:rsidRPr="00D33D69">
        <w:rPr>
          <w:i/>
          <w:spacing w:val="-2"/>
          <w:sz w:val="24"/>
          <w:szCs w:val="24"/>
        </w:rPr>
        <w:t xml:space="preserve"> </w:t>
      </w:r>
      <w:proofErr w:type="spellStart"/>
      <w:r w:rsidRPr="00D33D69">
        <w:rPr>
          <w:i/>
          <w:spacing w:val="-2"/>
          <w:sz w:val="24"/>
          <w:szCs w:val="24"/>
        </w:rPr>
        <w:t>faecalis</w:t>
      </w:r>
      <w:proofErr w:type="spellEnd"/>
      <w:r w:rsidRPr="00D33D69">
        <w:rPr>
          <w:spacing w:val="-2"/>
          <w:sz w:val="24"/>
          <w:szCs w:val="24"/>
        </w:rPr>
        <w:t>).</w:t>
      </w:r>
    </w:p>
    <w:p w:rsidR="00D33D69" w:rsidRPr="00D33D69" w:rsidRDefault="00D33D69" w:rsidP="00D33D69">
      <w:pPr>
        <w:pStyle w:val="Listeafsnit"/>
        <w:numPr>
          <w:ilvl w:val="0"/>
          <w:numId w:val="8"/>
        </w:numPr>
        <w:tabs>
          <w:tab w:val="left" w:pos="1304"/>
        </w:tabs>
        <w:ind w:left="851" w:firstLine="0"/>
        <w:rPr>
          <w:iCs/>
          <w:spacing w:val="-2"/>
          <w:sz w:val="24"/>
          <w:szCs w:val="24"/>
        </w:rPr>
      </w:pPr>
      <w:r w:rsidRPr="00D33D69">
        <w:rPr>
          <w:spacing w:val="-2"/>
          <w:sz w:val="24"/>
          <w:szCs w:val="24"/>
        </w:rPr>
        <w:t xml:space="preserve">Anaerobe </w:t>
      </w:r>
      <w:proofErr w:type="spellStart"/>
      <w:r w:rsidRPr="00D33D69">
        <w:rPr>
          <w:spacing w:val="-2"/>
          <w:sz w:val="24"/>
          <w:szCs w:val="24"/>
        </w:rPr>
        <w:t>Gram</w:t>
      </w:r>
      <w:r w:rsidRPr="00D33D69">
        <w:rPr>
          <w:spacing w:val="-2"/>
          <w:sz w:val="24"/>
          <w:szCs w:val="24"/>
        </w:rPr>
        <w:noBreakHyphen/>
        <w:t>negative</w:t>
      </w:r>
      <w:proofErr w:type="spellEnd"/>
      <w:r w:rsidRPr="00D33D69">
        <w:rPr>
          <w:spacing w:val="-2"/>
          <w:sz w:val="24"/>
          <w:szCs w:val="24"/>
        </w:rPr>
        <w:t xml:space="preserve"> baciller, herunder: </w:t>
      </w:r>
      <w:proofErr w:type="spellStart"/>
      <w:r w:rsidRPr="00D33D69">
        <w:rPr>
          <w:i/>
          <w:spacing w:val="-2"/>
          <w:sz w:val="24"/>
          <w:szCs w:val="24"/>
        </w:rPr>
        <w:t>Bacteroides</w:t>
      </w:r>
      <w:proofErr w:type="spellEnd"/>
      <w:r w:rsidRPr="00D33D69">
        <w:rPr>
          <w:i/>
          <w:spacing w:val="-2"/>
          <w:sz w:val="24"/>
          <w:szCs w:val="24"/>
        </w:rPr>
        <w:t xml:space="preserve"> </w:t>
      </w:r>
      <w:proofErr w:type="spellStart"/>
      <w:r w:rsidRPr="00D33D69">
        <w:rPr>
          <w:spacing w:val="-2"/>
          <w:sz w:val="24"/>
          <w:szCs w:val="24"/>
        </w:rPr>
        <w:t>spp</w:t>
      </w:r>
      <w:proofErr w:type="spellEnd"/>
      <w:r w:rsidRPr="00D33D69">
        <w:rPr>
          <w:i/>
          <w:spacing w:val="-2"/>
          <w:sz w:val="24"/>
          <w:szCs w:val="24"/>
        </w:rPr>
        <w:t xml:space="preserve">., </w:t>
      </w:r>
      <w:proofErr w:type="spellStart"/>
      <w:r w:rsidRPr="00D33D69">
        <w:rPr>
          <w:i/>
          <w:spacing w:val="-2"/>
          <w:sz w:val="24"/>
          <w:szCs w:val="24"/>
        </w:rPr>
        <w:t>Fusobacterium</w:t>
      </w:r>
      <w:proofErr w:type="spellEnd"/>
      <w:r w:rsidRPr="00D33D69">
        <w:rPr>
          <w:i/>
          <w:spacing w:val="-2"/>
          <w:sz w:val="24"/>
          <w:szCs w:val="24"/>
        </w:rPr>
        <w:t xml:space="preserve"> </w:t>
      </w:r>
      <w:proofErr w:type="spellStart"/>
      <w:r w:rsidRPr="00D33D69">
        <w:rPr>
          <w:i/>
          <w:spacing w:val="-2"/>
          <w:sz w:val="24"/>
          <w:szCs w:val="24"/>
        </w:rPr>
        <w:t>necrophorum</w:t>
      </w:r>
      <w:proofErr w:type="spellEnd"/>
      <w:r w:rsidRPr="00D33D69">
        <w:rPr>
          <w:spacing w:val="-2"/>
          <w:sz w:val="24"/>
          <w:szCs w:val="24"/>
        </w:rPr>
        <w:t>.</w:t>
      </w:r>
    </w:p>
    <w:p w:rsidR="00D33D69" w:rsidRPr="00D33D69" w:rsidRDefault="00D33D69" w:rsidP="00D33D69">
      <w:pPr>
        <w:pStyle w:val="Listeafsnit"/>
        <w:numPr>
          <w:ilvl w:val="0"/>
          <w:numId w:val="8"/>
        </w:numPr>
        <w:tabs>
          <w:tab w:val="left" w:pos="1304"/>
        </w:tabs>
        <w:ind w:left="851" w:firstLine="0"/>
        <w:rPr>
          <w:iCs/>
          <w:spacing w:val="-2"/>
          <w:sz w:val="24"/>
          <w:szCs w:val="24"/>
        </w:rPr>
      </w:pPr>
      <w:proofErr w:type="spellStart"/>
      <w:r w:rsidRPr="00D33D69">
        <w:rPr>
          <w:spacing w:val="-2"/>
          <w:sz w:val="24"/>
          <w:szCs w:val="24"/>
        </w:rPr>
        <w:t>Clostridia</w:t>
      </w:r>
      <w:proofErr w:type="spellEnd"/>
      <w:r w:rsidRPr="00D33D69">
        <w:rPr>
          <w:spacing w:val="-2"/>
          <w:sz w:val="24"/>
          <w:szCs w:val="24"/>
        </w:rPr>
        <w:t xml:space="preserve">: De fleste </w:t>
      </w:r>
      <w:r w:rsidRPr="00D33D69">
        <w:rPr>
          <w:i/>
          <w:spacing w:val="-2"/>
          <w:sz w:val="24"/>
          <w:szCs w:val="24"/>
        </w:rPr>
        <w:t>C. </w:t>
      </w:r>
      <w:proofErr w:type="spellStart"/>
      <w:r w:rsidRPr="00D33D69">
        <w:rPr>
          <w:i/>
          <w:spacing w:val="-2"/>
          <w:sz w:val="24"/>
          <w:szCs w:val="24"/>
        </w:rPr>
        <w:t>perfringens</w:t>
      </w:r>
      <w:proofErr w:type="spellEnd"/>
      <w:r w:rsidRPr="00D33D69">
        <w:rPr>
          <w:spacing w:val="-2"/>
          <w:sz w:val="24"/>
          <w:szCs w:val="24"/>
        </w:rPr>
        <w:t xml:space="preserve"> er følsomme.</w:t>
      </w:r>
    </w:p>
    <w:p w:rsidR="00D33D69" w:rsidRPr="00D33D69" w:rsidRDefault="00D33D69" w:rsidP="00D33D69">
      <w:pPr>
        <w:ind w:left="851"/>
        <w:rPr>
          <w:snapToGrid w:val="0"/>
          <w:sz w:val="24"/>
          <w:szCs w:val="24"/>
        </w:rPr>
      </w:pPr>
    </w:p>
    <w:p w:rsidR="00D33D69" w:rsidRPr="00D33D69" w:rsidRDefault="00D33D69" w:rsidP="00D33D69">
      <w:pPr>
        <w:ind w:left="851"/>
        <w:rPr>
          <w:snapToGrid w:val="0"/>
          <w:sz w:val="24"/>
          <w:szCs w:val="24"/>
          <w:u w:val="single"/>
        </w:rPr>
      </w:pPr>
      <w:r w:rsidRPr="00D33D69">
        <w:rPr>
          <w:sz w:val="24"/>
          <w:szCs w:val="24"/>
          <w:u w:val="single"/>
        </w:rPr>
        <w:t>MIC-data</w:t>
      </w:r>
    </w:p>
    <w:p w:rsidR="00D33D69" w:rsidRPr="00D33D69" w:rsidRDefault="00D33D69" w:rsidP="00D33D69">
      <w:pPr>
        <w:ind w:left="851"/>
        <w:rPr>
          <w:snapToGrid w:val="0"/>
          <w:sz w:val="24"/>
          <w:szCs w:val="24"/>
        </w:rPr>
      </w:pPr>
      <w:r w:rsidRPr="00D33D69">
        <w:rPr>
          <w:sz w:val="24"/>
          <w:szCs w:val="24"/>
        </w:rPr>
        <w:t xml:space="preserve">CLSI </w:t>
      </w:r>
      <w:proofErr w:type="spellStart"/>
      <w:r w:rsidRPr="00D33D69">
        <w:rPr>
          <w:sz w:val="24"/>
          <w:szCs w:val="24"/>
        </w:rPr>
        <w:t>clindamycin</w:t>
      </w:r>
      <w:proofErr w:type="spellEnd"/>
      <w:r w:rsidRPr="00D33D69">
        <w:rPr>
          <w:sz w:val="24"/>
          <w:szCs w:val="24"/>
        </w:rPr>
        <w:t xml:space="preserve"> veterinære </w:t>
      </w:r>
      <w:proofErr w:type="spellStart"/>
      <w:r w:rsidRPr="00D33D69">
        <w:rPr>
          <w:sz w:val="24"/>
          <w:szCs w:val="24"/>
        </w:rPr>
        <w:t>breakpoints</w:t>
      </w:r>
      <w:proofErr w:type="spellEnd"/>
      <w:r w:rsidRPr="00D33D69">
        <w:rPr>
          <w:sz w:val="24"/>
          <w:szCs w:val="24"/>
        </w:rPr>
        <w:t xml:space="preserve"> er tilgængelige for hunde i </w:t>
      </w:r>
      <w:proofErr w:type="spellStart"/>
      <w:r w:rsidRPr="00D33D69">
        <w:rPr>
          <w:i/>
          <w:sz w:val="24"/>
          <w:szCs w:val="24"/>
        </w:rPr>
        <w:t>Staphylococcus</w:t>
      </w:r>
      <w:proofErr w:type="spellEnd"/>
      <w:r w:rsidRPr="00D33D69">
        <w:rPr>
          <w:sz w:val="24"/>
          <w:szCs w:val="24"/>
        </w:rPr>
        <w:t xml:space="preserve"> </w:t>
      </w:r>
      <w:proofErr w:type="spellStart"/>
      <w:r w:rsidRPr="00D33D69">
        <w:rPr>
          <w:sz w:val="24"/>
          <w:szCs w:val="24"/>
        </w:rPr>
        <w:t>spp</w:t>
      </w:r>
      <w:bookmarkStart w:id="13" w:name="_Hlk535498928"/>
      <w:proofErr w:type="spellEnd"/>
      <w:r w:rsidRPr="00D33D69">
        <w:rPr>
          <w:sz w:val="24"/>
          <w:szCs w:val="24"/>
        </w:rPr>
        <w:t xml:space="preserve">. og </w:t>
      </w:r>
      <w:proofErr w:type="spellStart"/>
      <w:r w:rsidRPr="00D33D69">
        <w:rPr>
          <w:i/>
          <w:sz w:val="24"/>
          <w:szCs w:val="24"/>
        </w:rPr>
        <w:t>Streptococci</w:t>
      </w:r>
      <w:proofErr w:type="spellEnd"/>
      <w:r w:rsidRPr="00D33D69">
        <w:rPr>
          <w:sz w:val="24"/>
          <w:szCs w:val="24"/>
        </w:rPr>
        <w:noBreakHyphen/>
        <w:t>β</w:t>
      </w:r>
      <w:r w:rsidRPr="00D33D69">
        <w:rPr>
          <w:sz w:val="24"/>
          <w:szCs w:val="24"/>
        </w:rPr>
        <w:noBreakHyphen/>
      </w:r>
      <w:proofErr w:type="spellStart"/>
      <w:r w:rsidRPr="00D33D69">
        <w:rPr>
          <w:sz w:val="24"/>
          <w:szCs w:val="24"/>
        </w:rPr>
        <w:t>hæmolytisk</w:t>
      </w:r>
      <w:proofErr w:type="spellEnd"/>
      <w:r w:rsidRPr="00D33D69">
        <w:rPr>
          <w:sz w:val="24"/>
          <w:szCs w:val="24"/>
        </w:rPr>
        <w:t xml:space="preserve"> gruppe ved hud og bløddelsinfektioner</w:t>
      </w:r>
      <w:bookmarkEnd w:id="13"/>
      <w:r w:rsidRPr="00D33D69">
        <w:rPr>
          <w:sz w:val="24"/>
          <w:szCs w:val="24"/>
        </w:rPr>
        <w:t>: S≤ 0,5 </w:t>
      </w:r>
      <w:proofErr w:type="spellStart"/>
      <w:r w:rsidRPr="00D33D69">
        <w:rPr>
          <w:sz w:val="24"/>
          <w:szCs w:val="24"/>
        </w:rPr>
        <w:t>μg</w:t>
      </w:r>
      <w:proofErr w:type="spellEnd"/>
      <w:r w:rsidRPr="00D33D69">
        <w:rPr>
          <w:sz w:val="24"/>
          <w:szCs w:val="24"/>
        </w:rPr>
        <w:t xml:space="preserve">/ml, </w:t>
      </w:r>
      <w:bookmarkStart w:id="14" w:name="_Hlk535498960"/>
      <w:r w:rsidRPr="00D33D69">
        <w:rPr>
          <w:sz w:val="24"/>
          <w:szCs w:val="24"/>
        </w:rPr>
        <w:t>I=1</w:t>
      </w:r>
      <w:r w:rsidRPr="00D33D69">
        <w:rPr>
          <w:sz w:val="24"/>
          <w:szCs w:val="24"/>
        </w:rPr>
        <w:noBreakHyphen/>
        <w:t>2 µg/ml; R≥ 4 </w:t>
      </w:r>
      <w:proofErr w:type="spellStart"/>
      <w:r w:rsidRPr="00D33D69">
        <w:rPr>
          <w:sz w:val="24"/>
          <w:szCs w:val="24"/>
        </w:rPr>
        <w:t>μg</w:t>
      </w:r>
      <w:proofErr w:type="spellEnd"/>
      <w:r w:rsidRPr="00D33D69">
        <w:rPr>
          <w:sz w:val="24"/>
          <w:szCs w:val="24"/>
        </w:rPr>
        <w:t>/ml (CLSI februar 2018)</w:t>
      </w:r>
      <w:bookmarkEnd w:id="14"/>
      <w:r w:rsidRPr="00D33D69">
        <w:rPr>
          <w:sz w:val="24"/>
          <w:szCs w:val="24"/>
        </w:rPr>
        <w:t>.</w:t>
      </w:r>
    </w:p>
    <w:p w:rsidR="00D33D69" w:rsidRPr="00D33D69" w:rsidRDefault="00D33D69" w:rsidP="00D33D69">
      <w:pPr>
        <w:rPr>
          <w:snapToGrid w:val="0"/>
          <w:sz w:val="24"/>
          <w:szCs w:val="24"/>
        </w:rPr>
      </w:pPr>
    </w:p>
    <w:p w:rsidR="00D33D69" w:rsidRPr="00D33D69" w:rsidRDefault="00D33D69" w:rsidP="00D33D69">
      <w:pPr>
        <w:ind w:left="851"/>
        <w:rPr>
          <w:snapToGrid w:val="0"/>
          <w:sz w:val="24"/>
          <w:szCs w:val="24"/>
          <w:u w:val="single"/>
        </w:rPr>
      </w:pPr>
      <w:r w:rsidRPr="00D33D69">
        <w:rPr>
          <w:sz w:val="24"/>
          <w:szCs w:val="24"/>
          <w:u w:val="single"/>
        </w:rPr>
        <w:t>Type og mekanisme af resistens</w:t>
      </w:r>
    </w:p>
    <w:p w:rsidR="00D33D69" w:rsidRPr="00D33D69" w:rsidRDefault="00D33D69" w:rsidP="00D33D69">
      <w:pPr>
        <w:tabs>
          <w:tab w:val="left" w:pos="1304"/>
        </w:tabs>
        <w:autoSpaceDE w:val="0"/>
        <w:autoSpaceDN w:val="0"/>
        <w:adjustRightInd w:val="0"/>
        <w:ind w:left="851"/>
        <w:rPr>
          <w:color w:val="000000"/>
          <w:sz w:val="24"/>
          <w:szCs w:val="24"/>
        </w:rPr>
      </w:pPr>
      <w:proofErr w:type="spellStart"/>
      <w:r w:rsidRPr="00D33D69">
        <w:rPr>
          <w:color w:val="000000"/>
          <w:sz w:val="24"/>
          <w:szCs w:val="24"/>
        </w:rPr>
        <w:t>Clindamycin</w:t>
      </w:r>
      <w:proofErr w:type="spellEnd"/>
      <w:r w:rsidRPr="00D33D69">
        <w:rPr>
          <w:color w:val="000000"/>
          <w:sz w:val="24"/>
          <w:szCs w:val="24"/>
        </w:rPr>
        <w:t xml:space="preserve"> tilhører lincosamidgruppen af antibiotika. Der kan udvikles resistens over for lincosamider alene, men mere almindeligt forekommer der krydsresistens blandt makrolider, lincosamider og </w:t>
      </w:r>
      <w:proofErr w:type="spellStart"/>
      <w:r w:rsidRPr="00D33D69">
        <w:rPr>
          <w:color w:val="000000"/>
          <w:sz w:val="24"/>
          <w:szCs w:val="24"/>
        </w:rPr>
        <w:t>streptogramin</w:t>
      </w:r>
      <w:proofErr w:type="spellEnd"/>
      <w:r w:rsidRPr="00D33D69">
        <w:rPr>
          <w:color w:val="000000"/>
          <w:sz w:val="24"/>
          <w:szCs w:val="24"/>
        </w:rPr>
        <w:t xml:space="preserve"> B</w:t>
      </w:r>
      <w:r w:rsidRPr="00D33D69">
        <w:rPr>
          <w:color w:val="000000"/>
          <w:sz w:val="24"/>
          <w:szCs w:val="24"/>
        </w:rPr>
        <w:noBreakHyphen/>
        <w:t xml:space="preserve">antibiotika (MLSB-gruppe). Resistens er et resultat af </w:t>
      </w:r>
      <w:proofErr w:type="spellStart"/>
      <w:r w:rsidRPr="00D33D69">
        <w:rPr>
          <w:color w:val="000000"/>
          <w:sz w:val="24"/>
          <w:szCs w:val="24"/>
        </w:rPr>
        <w:t>methylering</w:t>
      </w:r>
      <w:proofErr w:type="spellEnd"/>
      <w:r w:rsidRPr="00D33D69">
        <w:rPr>
          <w:color w:val="000000"/>
          <w:sz w:val="24"/>
          <w:szCs w:val="24"/>
        </w:rPr>
        <w:t xml:space="preserve"> af adenindelene i 23S</w:t>
      </w:r>
      <w:r w:rsidRPr="00D33D69">
        <w:rPr>
          <w:color w:val="000000"/>
          <w:sz w:val="24"/>
          <w:szCs w:val="24"/>
        </w:rPr>
        <w:noBreakHyphen/>
        <w:t xml:space="preserve">rna i den ribosomale delenhed af 50S, hvilket forhindrer lægemiddelbinding til målstedet. </w:t>
      </w:r>
      <w:r w:rsidRPr="00D33D69">
        <w:rPr>
          <w:sz w:val="24"/>
          <w:szCs w:val="24"/>
        </w:rPr>
        <w:t xml:space="preserve">Forskellige bakteriearter er i stand til at syntetisere et enzym, kodet for af en serie af strukturelt relaterede </w:t>
      </w:r>
      <w:r w:rsidRPr="00D33D69">
        <w:rPr>
          <w:color w:val="000000"/>
          <w:sz w:val="24"/>
          <w:szCs w:val="24"/>
        </w:rPr>
        <w:t xml:space="preserve">ribosomale </w:t>
      </w:r>
      <w:proofErr w:type="spellStart"/>
      <w:r w:rsidRPr="00D33D69">
        <w:rPr>
          <w:color w:val="000000"/>
          <w:sz w:val="24"/>
          <w:szCs w:val="24"/>
        </w:rPr>
        <w:t>methylase</w:t>
      </w:r>
      <w:proofErr w:type="spellEnd"/>
      <w:r w:rsidRPr="00D33D69">
        <w:rPr>
          <w:color w:val="000000"/>
          <w:sz w:val="24"/>
          <w:szCs w:val="24"/>
        </w:rPr>
        <w:t xml:space="preserve"> (</w:t>
      </w:r>
      <w:r w:rsidRPr="00D33D69">
        <w:rPr>
          <w:i/>
          <w:color w:val="000000"/>
          <w:sz w:val="24"/>
          <w:szCs w:val="24"/>
        </w:rPr>
        <w:t>erm</w:t>
      </w:r>
      <w:r w:rsidRPr="00D33D69">
        <w:rPr>
          <w:color w:val="000000"/>
          <w:sz w:val="24"/>
          <w:szCs w:val="24"/>
        </w:rPr>
        <w:t xml:space="preserve">)-gener. Hos patogene bakterier bæres disse determinanter primært af plasmider og </w:t>
      </w:r>
      <w:proofErr w:type="spellStart"/>
      <w:r w:rsidRPr="00D33D69">
        <w:rPr>
          <w:color w:val="000000"/>
          <w:sz w:val="24"/>
          <w:szCs w:val="24"/>
        </w:rPr>
        <w:t>transposoner</w:t>
      </w:r>
      <w:proofErr w:type="spellEnd"/>
      <w:r w:rsidRPr="00D33D69">
        <w:rPr>
          <w:color w:val="000000"/>
          <w:sz w:val="24"/>
          <w:szCs w:val="24"/>
        </w:rPr>
        <w:t xml:space="preserve">, der kan selvoverføres. Erm-generne forekommer hovedsageligt som varianterne erm(A) og erm(C) i </w:t>
      </w:r>
      <w:proofErr w:type="spellStart"/>
      <w:r w:rsidRPr="00D33D69">
        <w:rPr>
          <w:i/>
          <w:color w:val="000000"/>
          <w:sz w:val="24"/>
          <w:szCs w:val="24"/>
        </w:rPr>
        <w:t>Staphylococcus</w:t>
      </w:r>
      <w:proofErr w:type="spellEnd"/>
      <w:r w:rsidRPr="00D33D69">
        <w:rPr>
          <w:i/>
          <w:color w:val="000000"/>
          <w:sz w:val="24"/>
          <w:szCs w:val="24"/>
        </w:rPr>
        <w:t xml:space="preserve"> aureus, </w:t>
      </w:r>
      <w:r w:rsidRPr="00D33D69">
        <w:rPr>
          <w:color w:val="000000"/>
          <w:sz w:val="24"/>
          <w:szCs w:val="24"/>
        </w:rPr>
        <w:t xml:space="preserve">og som variant erm(B) i </w:t>
      </w:r>
      <w:proofErr w:type="spellStart"/>
      <w:r w:rsidRPr="00D33D69">
        <w:rPr>
          <w:i/>
          <w:color w:val="000000"/>
          <w:sz w:val="24"/>
          <w:szCs w:val="24"/>
        </w:rPr>
        <w:t>Staphylococcus</w:t>
      </w:r>
      <w:proofErr w:type="spellEnd"/>
      <w:r w:rsidRPr="00D33D69">
        <w:rPr>
          <w:i/>
          <w:color w:val="000000"/>
          <w:sz w:val="24"/>
          <w:szCs w:val="24"/>
        </w:rPr>
        <w:t xml:space="preserve"> </w:t>
      </w:r>
      <w:proofErr w:type="spellStart"/>
      <w:r w:rsidRPr="00D33D69">
        <w:rPr>
          <w:i/>
          <w:color w:val="000000"/>
          <w:sz w:val="24"/>
          <w:szCs w:val="24"/>
        </w:rPr>
        <w:t>pseudintermedius</w:t>
      </w:r>
      <w:proofErr w:type="spellEnd"/>
      <w:r w:rsidRPr="00D33D69">
        <w:rPr>
          <w:color w:val="000000"/>
          <w:sz w:val="24"/>
          <w:szCs w:val="24"/>
        </w:rPr>
        <w:t xml:space="preserve">, </w:t>
      </w:r>
      <w:proofErr w:type="spellStart"/>
      <w:r w:rsidRPr="00D33D69">
        <w:rPr>
          <w:color w:val="000000"/>
          <w:sz w:val="24"/>
          <w:szCs w:val="24"/>
        </w:rPr>
        <w:t>streptococci</w:t>
      </w:r>
      <w:proofErr w:type="spellEnd"/>
      <w:r w:rsidRPr="00D33D69">
        <w:rPr>
          <w:color w:val="000000"/>
          <w:sz w:val="24"/>
          <w:szCs w:val="24"/>
        </w:rPr>
        <w:t xml:space="preserve"> og </w:t>
      </w:r>
      <w:proofErr w:type="spellStart"/>
      <w:r w:rsidRPr="00D33D69">
        <w:rPr>
          <w:color w:val="000000"/>
          <w:sz w:val="24"/>
          <w:szCs w:val="24"/>
        </w:rPr>
        <w:t>enterococci</w:t>
      </w:r>
      <w:proofErr w:type="spellEnd"/>
      <w:r w:rsidRPr="00D33D69">
        <w:rPr>
          <w:color w:val="000000"/>
          <w:sz w:val="24"/>
          <w:szCs w:val="24"/>
        </w:rPr>
        <w:t xml:space="preserve">. Bakterier, som er resistente mod makrolider, men initialt følsomme for </w:t>
      </w:r>
      <w:proofErr w:type="spellStart"/>
      <w:r w:rsidRPr="00D33D69">
        <w:rPr>
          <w:color w:val="000000"/>
          <w:sz w:val="24"/>
          <w:szCs w:val="24"/>
        </w:rPr>
        <w:t>clindamycin</w:t>
      </w:r>
      <w:proofErr w:type="spellEnd"/>
      <w:r w:rsidRPr="00D33D69">
        <w:rPr>
          <w:color w:val="000000"/>
          <w:sz w:val="24"/>
          <w:szCs w:val="24"/>
        </w:rPr>
        <w:t xml:space="preserve">, udvikler hurtigt resistens mod </w:t>
      </w:r>
      <w:proofErr w:type="spellStart"/>
      <w:r w:rsidRPr="00D33D69">
        <w:rPr>
          <w:color w:val="000000"/>
          <w:sz w:val="24"/>
          <w:szCs w:val="24"/>
        </w:rPr>
        <w:t>clindamycin</w:t>
      </w:r>
      <w:proofErr w:type="spellEnd"/>
      <w:r w:rsidRPr="00D33D69">
        <w:rPr>
          <w:color w:val="000000"/>
          <w:sz w:val="24"/>
          <w:szCs w:val="24"/>
        </w:rPr>
        <w:t xml:space="preserve">, når de eksponeres for makrolider. </w:t>
      </w:r>
      <w:r w:rsidRPr="00D33D69">
        <w:rPr>
          <w:sz w:val="24"/>
          <w:szCs w:val="24"/>
        </w:rPr>
        <w:t xml:space="preserve">Disse bakterier udgør en risiko for </w:t>
      </w:r>
      <w:r w:rsidRPr="00D33D69">
        <w:rPr>
          <w:i/>
          <w:color w:val="000000"/>
          <w:sz w:val="24"/>
          <w:szCs w:val="24"/>
        </w:rPr>
        <w:t>in</w:t>
      </w:r>
      <w:r w:rsidRPr="00D33D69">
        <w:rPr>
          <w:i/>
          <w:color w:val="000000"/>
          <w:sz w:val="24"/>
          <w:szCs w:val="24"/>
        </w:rPr>
        <w:noBreakHyphen/>
      </w:r>
      <w:proofErr w:type="spellStart"/>
      <w:r w:rsidRPr="00D33D69">
        <w:rPr>
          <w:i/>
          <w:color w:val="000000"/>
          <w:sz w:val="24"/>
          <w:szCs w:val="24"/>
        </w:rPr>
        <w:t>vivo</w:t>
      </w:r>
      <w:proofErr w:type="spellEnd"/>
      <w:r w:rsidRPr="00D33D69">
        <w:rPr>
          <w:i/>
          <w:color w:val="000000"/>
          <w:sz w:val="24"/>
          <w:szCs w:val="24"/>
        </w:rPr>
        <w:t>-</w:t>
      </w:r>
      <w:r w:rsidRPr="00D33D69">
        <w:rPr>
          <w:color w:val="000000"/>
          <w:sz w:val="24"/>
          <w:szCs w:val="24"/>
        </w:rPr>
        <w:t xml:space="preserve">udvælgelse af konstitutive mutanter. </w:t>
      </w:r>
    </w:p>
    <w:p w:rsidR="00D33D69" w:rsidRPr="00D33D69" w:rsidRDefault="00D33D69" w:rsidP="00D33D69">
      <w:pPr>
        <w:tabs>
          <w:tab w:val="left" w:pos="1304"/>
        </w:tabs>
        <w:autoSpaceDE w:val="0"/>
        <w:autoSpaceDN w:val="0"/>
        <w:adjustRightInd w:val="0"/>
        <w:ind w:left="851"/>
        <w:rPr>
          <w:color w:val="000000"/>
          <w:sz w:val="24"/>
          <w:szCs w:val="24"/>
        </w:rPr>
      </w:pPr>
      <w:r w:rsidRPr="00D33D69">
        <w:rPr>
          <w:color w:val="000000"/>
          <w:sz w:val="24"/>
          <w:szCs w:val="24"/>
        </w:rPr>
        <w:t>MLSB-</w:t>
      </w:r>
      <w:proofErr w:type="spellStart"/>
      <w:r w:rsidRPr="00D33D69">
        <w:rPr>
          <w:color w:val="000000"/>
          <w:sz w:val="24"/>
          <w:szCs w:val="24"/>
        </w:rPr>
        <w:t>inducerbar</w:t>
      </w:r>
      <w:proofErr w:type="spellEnd"/>
      <w:r w:rsidRPr="00D33D69">
        <w:rPr>
          <w:color w:val="000000"/>
          <w:sz w:val="24"/>
          <w:szCs w:val="24"/>
        </w:rPr>
        <w:t xml:space="preserve"> resistens detekteres ikke af standardmetoder til </w:t>
      </w:r>
      <w:r w:rsidRPr="00D33D69">
        <w:rPr>
          <w:i/>
          <w:color w:val="000000"/>
          <w:sz w:val="24"/>
          <w:szCs w:val="24"/>
        </w:rPr>
        <w:t>in</w:t>
      </w:r>
      <w:r w:rsidRPr="00D33D69">
        <w:rPr>
          <w:i/>
          <w:color w:val="000000"/>
          <w:sz w:val="24"/>
          <w:szCs w:val="24"/>
        </w:rPr>
        <w:noBreakHyphen/>
      </w:r>
      <w:proofErr w:type="spellStart"/>
      <w:r w:rsidRPr="00D33D69">
        <w:rPr>
          <w:i/>
          <w:color w:val="000000"/>
          <w:sz w:val="24"/>
          <w:szCs w:val="24"/>
        </w:rPr>
        <w:t>vitro</w:t>
      </w:r>
      <w:proofErr w:type="spellEnd"/>
      <w:r w:rsidRPr="00D33D69">
        <w:rPr>
          <w:color w:val="000000"/>
          <w:sz w:val="24"/>
          <w:szCs w:val="24"/>
        </w:rPr>
        <w:t>-</w:t>
      </w:r>
      <w:proofErr w:type="spellStart"/>
      <w:r w:rsidRPr="00D33D69">
        <w:rPr>
          <w:color w:val="000000"/>
          <w:sz w:val="24"/>
          <w:szCs w:val="24"/>
        </w:rPr>
        <w:t>følsomhedstesting</w:t>
      </w:r>
      <w:proofErr w:type="spellEnd"/>
      <w:r w:rsidRPr="00D33D69">
        <w:rPr>
          <w:color w:val="000000"/>
          <w:sz w:val="24"/>
          <w:szCs w:val="24"/>
        </w:rPr>
        <w:t>. CLSI anbefaler, at der rutinemæssigt udføres D</w:t>
      </w:r>
      <w:r w:rsidRPr="00D33D69">
        <w:rPr>
          <w:color w:val="000000"/>
          <w:sz w:val="24"/>
          <w:szCs w:val="24"/>
        </w:rPr>
        <w:noBreakHyphen/>
        <w:t xml:space="preserve">zonetests i veterinære diagnostiske laboratorier for at detektere kliniske </w:t>
      </w:r>
      <w:proofErr w:type="spellStart"/>
      <w:r w:rsidRPr="00D33D69">
        <w:rPr>
          <w:color w:val="000000"/>
          <w:sz w:val="24"/>
          <w:szCs w:val="24"/>
        </w:rPr>
        <w:t>isolater</w:t>
      </w:r>
      <w:proofErr w:type="spellEnd"/>
      <w:r w:rsidRPr="00D33D69">
        <w:rPr>
          <w:color w:val="000000"/>
          <w:sz w:val="24"/>
          <w:szCs w:val="24"/>
        </w:rPr>
        <w:t xml:space="preserve"> med </w:t>
      </w:r>
      <w:proofErr w:type="spellStart"/>
      <w:r w:rsidRPr="00D33D69">
        <w:rPr>
          <w:color w:val="000000"/>
          <w:sz w:val="24"/>
          <w:szCs w:val="24"/>
        </w:rPr>
        <w:t>inducerbar</w:t>
      </w:r>
      <w:proofErr w:type="spellEnd"/>
      <w:r w:rsidRPr="00D33D69">
        <w:rPr>
          <w:color w:val="000000"/>
          <w:sz w:val="24"/>
          <w:szCs w:val="24"/>
        </w:rPr>
        <w:t xml:space="preserve"> resistens-fænotype. Anvendelsen af </w:t>
      </w:r>
      <w:proofErr w:type="spellStart"/>
      <w:r w:rsidRPr="00D33D69">
        <w:rPr>
          <w:color w:val="000000"/>
          <w:sz w:val="24"/>
          <w:szCs w:val="24"/>
        </w:rPr>
        <w:t>clindamycin</w:t>
      </w:r>
      <w:proofErr w:type="spellEnd"/>
      <w:r w:rsidRPr="00D33D69">
        <w:rPr>
          <w:color w:val="000000"/>
          <w:sz w:val="24"/>
          <w:szCs w:val="24"/>
        </w:rPr>
        <w:t xml:space="preserve"> bør frarådes hos disse patienter. </w:t>
      </w:r>
    </w:p>
    <w:p w:rsidR="00D33D69" w:rsidRPr="00D33D69" w:rsidRDefault="00D33D69" w:rsidP="00D33D69">
      <w:pPr>
        <w:ind w:left="851"/>
        <w:rPr>
          <w:color w:val="000000"/>
          <w:sz w:val="24"/>
          <w:szCs w:val="24"/>
        </w:rPr>
      </w:pPr>
      <w:r w:rsidRPr="00D33D69">
        <w:rPr>
          <w:sz w:val="24"/>
          <w:szCs w:val="24"/>
        </w:rPr>
        <w:t xml:space="preserve">Forekomsten af resistens mod </w:t>
      </w:r>
      <w:r w:rsidRPr="00D33D69">
        <w:rPr>
          <w:color w:val="000000"/>
          <w:sz w:val="24"/>
          <w:szCs w:val="24"/>
        </w:rPr>
        <w:t xml:space="preserve">lincosamider hos </w:t>
      </w:r>
      <w:proofErr w:type="spellStart"/>
      <w:r w:rsidRPr="00D33D69">
        <w:rPr>
          <w:i/>
          <w:color w:val="000000"/>
          <w:sz w:val="24"/>
          <w:szCs w:val="24"/>
        </w:rPr>
        <w:t>Staphylococcus</w:t>
      </w:r>
      <w:proofErr w:type="spellEnd"/>
      <w:r w:rsidRPr="00D33D69">
        <w:rPr>
          <w:i/>
          <w:color w:val="000000"/>
          <w:sz w:val="24"/>
          <w:szCs w:val="24"/>
        </w:rPr>
        <w:t xml:space="preserve"> </w:t>
      </w:r>
      <w:proofErr w:type="spellStart"/>
      <w:r w:rsidRPr="00D33D69">
        <w:rPr>
          <w:color w:val="000000"/>
          <w:sz w:val="24"/>
          <w:szCs w:val="24"/>
        </w:rPr>
        <w:t>spp</w:t>
      </w:r>
      <w:proofErr w:type="spellEnd"/>
      <w:r w:rsidRPr="00D33D69">
        <w:rPr>
          <w:color w:val="000000"/>
          <w:sz w:val="24"/>
          <w:szCs w:val="24"/>
        </w:rPr>
        <w:t>. forekommer at være vidtrækkende i Europa. Studier (2010) rapporterer om en forekomst fra 25 til 40 %.</w:t>
      </w:r>
    </w:p>
    <w:p w:rsidR="00D33D69" w:rsidRPr="00D33D69" w:rsidRDefault="00D33D69" w:rsidP="00D33D69">
      <w:pPr>
        <w:tabs>
          <w:tab w:val="left" w:pos="1304"/>
        </w:tabs>
        <w:ind w:left="851"/>
        <w:rPr>
          <w:sz w:val="24"/>
          <w:szCs w:val="24"/>
        </w:rPr>
      </w:pPr>
    </w:p>
    <w:p w:rsidR="00D33D69" w:rsidRPr="00D33D69" w:rsidRDefault="00D33D69" w:rsidP="00D33D69">
      <w:pPr>
        <w:pStyle w:val="Style1"/>
        <w:ind w:left="851" w:hanging="851"/>
        <w:rPr>
          <w:sz w:val="24"/>
          <w:szCs w:val="24"/>
        </w:rPr>
      </w:pPr>
      <w:r w:rsidRPr="00D33D69">
        <w:rPr>
          <w:sz w:val="24"/>
          <w:szCs w:val="24"/>
        </w:rPr>
        <w:t>4.3</w:t>
      </w:r>
      <w:r w:rsidRPr="00D33D69">
        <w:rPr>
          <w:sz w:val="24"/>
          <w:szCs w:val="24"/>
        </w:rPr>
        <w:tab/>
      </w:r>
      <w:proofErr w:type="spellStart"/>
      <w:r w:rsidRPr="00D33D69">
        <w:rPr>
          <w:sz w:val="24"/>
          <w:szCs w:val="24"/>
        </w:rPr>
        <w:t>Farmakokinetiske</w:t>
      </w:r>
      <w:proofErr w:type="spellEnd"/>
      <w:r w:rsidRPr="00D33D69">
        <w:rPr>
          <w:sz w:val="24"/>
          <w:szCs w:val="24"/>
        </w:rPr>
        <w:t xml:space="preserve"> oplysninger</w:t>
      </w:r>
    </w:p>
    <w:p w:rsidR="00D33D69" w:rsidRPr="00D33D69" w:rsidRDefault="00D33D69" w:rsidP="00D33D69">
      <w:pPr>
        <w:tabs>
          <w:tab w:val="left" w:pos="1304"/>
        </w:tabs>
        <w:rPr>
          <w:sz w:val="24"/>
          <w:szCs w:val="24"/>
        </w:rPr>
      </w:pPr>
    </w:p>
    <w:p w:rsidR="00D33D69" w:rsidRPr="00D33D69" w:rsidRDefault="00D33D69" w:rsidP="00D33D69">
      <w:pPr>
        <w:ind w:left="851"/>
        <w:rPr>
          <w:sz w:val="24"/>
          <w:szCs w:val="24"/>
          <w:u w:val="single"/>
          <w:lang w:eastAsia="da-DK"/>
        </w:rPr>
      </w:pPr>
      <w:r w:rsidRPr="00D33D69">
        <w:rPr>
          <w:sz w:val="24"/>
          <w:szCs w:val="24"/>
          <w:u w:val="single"/>
        </w:rPr>
        <w:t>Absorption</w:t>
      </w:r>
    </w:p>
    <w:p w:rsidR="00D33D69" w:rsidRPr="00D33D69" w:rsidRDefault="00D33D69" w:rsidP="00D33D69">
      <w:pPr>
        <w:ind w:left="851"/>
        <w:rPr>
          <w:sz w:val="24"/>
          <w:szCs w:val="24"/>
        </w:rPr>
      </w:pPr>
      <w:proofErr w:type="spellStart"/>
      <w:r w:rsidRPr="00D33D69">
        <w:rPr>
          <w:sz w:val="24"/>
          <w:szCs w:val="24"/>
        </w:rPr>
        <w:t>Clindamycinhydrochlorid</w:t>
      </w:r>
      <w:proofErr w:type="spellEnd"/>
      <w:r w:rsidRPr="00D33D69">
        <w:rPr>
          <w:sz w:val="24"/>
          <w:szCs w:val="24"/>
        </w:rPr>
        <w:t xml:space="preserve"> absorberes hurtigt fra mave-tarm-kanalen hos hunde og katte efter oral administration. Efter oral administration af veterinærlægemidlet til hunde (10,8 mg/kg) var biotilgængeligheden 63 %.</w:t>
      </w:r>
    </w:p>
    <w:p w:rsidR="00D33D69" w:rsidRPr="00D33D69" w:rsidRDefault="00D33D69" w:rsidP="00D33D69">
      <w:pPr>
        <w:ind w:left="851"/>
        <w:rPr>
          <w:sz w:val="24"/>
          <w:szCs w:val="24"/>
          <w:u w:val="single"/>
        </w:rPr>
      </w:pPr>
    </w:p>
    <w:p w:rsidR="00D33D69" w:rsidRPr="00D33D69" w:rsidRDefault="00D33D69" w:rsidP="00D33D69">
      <w:pPr>
        <w:ind w:left="851"/>
        <w:rPr>
          <w:sz w:val="24"/>
          <w:szCs w:val="24"/>
          <w:u w:val="single"/>
        </w:rPr>
      </w:pPr>
      <w:r w:rsidRPr="00D33D69">
        <w:rPr>
          <w:sz w:val="24"/>
          <w:szCs w:val="24"/>
          <w:u w:val="single"/>
        </w:rPr>
        <w:t>Serumværdier</w:t>
      </w:r>
    </w:p>
    <w:p w:rsidR="00D33D69" w:rsidRPr="00D33D69" w:rsidRDefault="00D33D69" w:rsidP="00D33D69">
      <w:pPr>
        <w:ind w:left="851"/>
        <w:rPr>
          <w:sz w:val="24"/>
          <w:szCs w:val="24"/>
        </w:rPr>
      </w:pPr>
      <w:r w:rsidRPr="00D33D69">
        <w:rPr>
          <w:sz w:val="24"/>
          <w:szCs w:val="24"/>
        </w:rPr>
        <w:t xml:space="preserve">Efter oral administration af 10,6 mg/kg legemsvægt til katte, blev den maksimale koncentration af 7,2 µg/ml (gennemsnitlig </w:t>
      </w:r>
      <w:proofErr w:type="spellStart"/>
      <w:r w:rsidRPr="00D33D69">
        <w:rPr>
          <w:sz w:val="24"/>
          <w:szCs w:val="24"/>
        </w:rPr>
        <w:t>C</w:t>
      </w:r>
      <w:r w:rsidRPr="00D33D69">
        <w:rPr>
          <w:sz w:val="24"/>
          <w:szCs w:val="24"/>
          <w:vertAlign w:val="subscript"/>
        </w:rPr>
        <w:t>max</w:t>
      </w:r>
      <w:proofErr w:type="spellEnd"/>
      <w:r w:rsidRPr="00D33D69">
        <w:rPr>
          <w:sz w:val="24"/>
          <w:szCs w:val="24"/>
        </w:rPr>
        <w:t xml:space="preserve">) nået inden for 40 minutter (median </w:t>
      </w:r>
      <w:proofErr w:type="spellStart"/>
      <w:r w:rsidRPr="00D33D69">
        <w:rPr>
          <w:sz w:val="24"/>
          <w:szCs w:val="24"/>
        </w:rPr>
        <w:t>T</w:t>
      </w:r>
      <w:r w:rsidRPr="00D33D69">
        <w:rPr>
          <w:sz w:val="24"/>
          <w:szCs w:val="24"/>
          <w:vertAlign w:val="subscript"/>
        </w:rPr>
        <w:t>max</w:t>
      </w:r>
      <w:proofErr w:type="spellEnd"/>
      <w:r w:rsidRPr="00D33D69">
        <w:rPr>
          <w:sz w:val="24"/>
          <w:szCs w:val="24"/>
        </w:rPr>
        <w:t xml:space="preserve">). Hos hunde nås den maksimale koncentration på 6,1 µg/ml (gennemsnitlig </w:t>
      </w:r>
      <w:proofErr w:type="spellStart"/>
      <w:r w:rsidRPr="00D33D69">
        <w:rPr>
          <w:sz w:val="24"/>
          <w:szCs w:val="24"/>
        </w:rPr>
        <w:t>C</w:t>
      </w:r>
      <w:r w:rsidRPr="00D33D69">
        <w:rPr>
          <w:sz w:val="24"/>
          <w:szCs w:val="24"/>
          <w:vertAlign w:val="subscript"/>
        </w:rPr>
        <w:t>max</w:t>
      </w:r>
      <w:proofErr w:type="spellEnd"/>
      <w:r w:rsidRPr="00D33D69">
        <w:rPr>
          <w:sz w:val="24"/>
          <w:szCs w:val="24"/>
        </w:rPr>
        <w:t xml:space="preserve">) inden for 1 time (median </w:t>
      </w:r>
      <w:proofErr w:type="spellStart"/>
      <w:r w:rsidRPr="00D33D69">
        <w:rPr>
          <w:sz w:val="24"/>
          <w:szCs w:val="24"/>
        </w:rPr>
        <w:t>T</w:t>
      </w:r>
      <w:r w:rsidRPr="00D33D69">
        <w:rPr>
          <w:sz w:val="24"/>
          <w:szCs w:val="24"/>
          <w:vertAlign w:val="subscript"/>
        </w:rPr>
        <w:t>max</w:t>
      </w:r>
      <w:proofErr w:type="spellEnd"/>
      <w:r w:rsidRPr="00D33D69">
        <w:rPr>
          <w:sz w:val="24"/>
          <w:szCs w:val="24"/>
        </w:rPr>
        <w:t xml:space="preserve">) efter oral administration af 10,8 mg/kg legemsvægt. Eliminationshalveringstiden i plasma for </w:t>
      </w:r>
      <w:proofErr w:type="spellStart"/>
      <w:r w:rsidRPr="00D33D69">
        <w:rPr>
          <w:sz w:val="24"/>
          <w:szCs w:val="24"/>
        </w:rPr>
        <w:t>clindamycin</w:t>
      </w:r>
      <w:proofErr w:type="spellEnd"/>
      <w:r w:rsidRPr="00D33D69">
        <w:rPr>
          <w:sz w:val="24"/>
          <w:szCs w:val="24"/>
        </w:rPr>
        <w:t xml:space="preserve"> er ca. 5 timer hos katte, og 3,5 timer hos hunde. Der er ikke observeret nogen akkumulering af bioaktivitet hos hunde eller katte efter flere orale administrationer.</w:t>
      </w:r>
    </w:p>
    <w:p w:rsidR="00D33D69" w:rsidRPr="00D33D69" w:rsidRDefault="00D33D69" w:rsidP="00D33D69">
      <w:pPr>
        <w:tabs>
          <w:tab w:val="left" w:pos="1304"/>
        </w:tabs>
        <w:rPr>
          <w:sz w:val="24"/>
          <w:szCs w:val="24"/>
        </w:rPr>
      </w:pPr>
    </w:p>
    <w:p w:rsidR="00D33D69" w:rsidRPr="00D33D69" w:rsidRDefault="00D33D69" w:rsidP="00D33D69">
      <w:pPr>
        <w:ind w:left="851"/>
        <w:rPr>
          <w:sz w:val="24"/>
          <w:szCs w:val="24"/>
          <w:u w:val="single"/>
        </w:rPr>
      </w:pPr>
      <w:r w:rsidRPr="00D33D69">
        <w:rPr>
          <w:sz w:val="24"/>
          <w:szCs w:val="24"/>
          <w:u w:val="single"/>
        </w:rPr>
        <w:t>Metabolisme og udskillelse</w:t>
      </w:r>
    </w:p>
    <w:p w:rsidR="00D33D69" w:rsidRPr="00D33D69" w:rsidRDefault="00D33D69" w:rsidP="00D33D69">
      <w:pPr>
        <w:ind w:left="851"/>
        <w:rPr>
          <w:sz w:val="24"/>
          <w:szCs w:val="24"/>
        </w:rPr>
      </w:pPr>
      <w:r w:rsidRPr="00D33D69">
        <w:rPr>
          <w:sz w:val="24"/>
          <w:szCs w:val="24"/>
        </w:rPr>
        <w:t xml:space="preserve">En omfattende undersøgelse af metabolismen og udskillelsesmønstre for </w:t>
      </w:r>
      <w:proofErr w:type="spellStart"/>
      <w:r w:rsidRPr="00D33D69">
        <w:rPr>
          <w:sz w:val="24"/>
          <w:szCs w:val="24"/>
        </w:rPr>
        <w:t>clindamycin</w:t>
      </w:r>
      <w:proofErr w:type="spellEnd"/>
      <w:r w:rsidRPr="00D33D69">
        <w:rPr>
          <w:sz w:val="24"/>
          <w:szCs w:val="24"/>
        </w:rPr>
        <w:t xml:space="preserve"> viser at udgangsmolekylet samt bioaktive og bioinaktive metabolitter udskilles via urin og fæces.</w:t>
      </w:r>
    </w:p>
    <w:p w:rsidR="00D33D69" w:rsidRPr="00D33D69" w:rsidRDefault="00D33D69" w:rsidP="00D33D69">
      <w:pPr>
        <w:ind w:left="851"/>
        <w:rPr>
          <w:sz w:val="24"/>
          <w:szCs w:val="24"/>
        </w:rPr>
      </w:pPr>
      <w:r w:rsidRPr="00D33D69">
        <w:rPr>
          <w:sz w:val="24"/>
          <w:szCs w:val="24"/>
        </w:rPr>
        <w:t>Næsten hele bioaktiviteten i serum efter oral administration stammer fra udgangsmolekylet (</w:t>
      </w:r>
      <w:proofErr w:type="spellStart"/>
      <w:r w:rsidRPr="00D33D69">
        <w:rPr>
          <w:sz w:val="24"/>
          <w:szCs w:val="24"/>
        </w:rPr>
        <w:t>clindamycin</w:t>
      </w:r>
      <w:proofErr w:type="spellEnd"/>
      <w:r w:rsidRPr="00D33D69">
        <w:rPr>
          <w:sz w:val="24"/>
          <w:szCs w:val="24"/>
        </w:rPr>
        <w:t>).</w:t>
      </w:r>
    </w:p>
    <w:p w:rsidR="00D33D69" w:rsidRPr="00D33D69" w:rsidRDefault="00D33D69" w:rsidP="00D33D69">
      <w:pPr>
        <w:tabs>
          <w:tab w:val="left" w:pos="1304"/>
        </w:tabs>
        <w:rPr>
          <w:sz w:val="24"/>
          <w:szCs w:val="24"/>
        </w:rPr>
      </w:pP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lastRenderedPageBreak/>
        <w:t>5.</w:t>
      </w:r>
      <w:r w:rsidRPr="00D33D69">
        <w:rPr>
          <w:sz w:val="24"/>
          <w:szCs w:val="24"/>
        </w:rPr>
        <w:tab/>
        <w:t>FARMACEUTISKE OPLYSNINGER</w:t>
      </w:r>
    </w:p>
    <w:p w:rsidR="00D33D69" w:rsidRPr="00D33D69" w:rsidRDefault="00D33D69" w:rsidP="00D33D69">
      <w:pPr>
        <w:tabs>
          <w:tab w:val="left" w:pos="1304"/>
        </w:tabs>
        <w:rPr>
          <w:sz w:val="24"/>
          <w:szCs w:val="24"/>
        </w:rPr>
      </w:pPr>
    </w:p>
    <w:p w:rsidR="00D33D69" w:rsidRPr="00D33D69" w:rsidRDefault="00D33D69" w:rsidP="00D33D69">
      <w:pPr>
        <w:pStyle w:val="Style1"/>
        <w:ind w:left="851" w:hanging="851"/>
        <w:rPr>
          <w:sz w:val="24"/>
          <w:szCs w:val="24"/>
        </w:rPr>
      </w:pPr>
      <w:r w:rsidRPr="00D33D69">
        <w:rPr>
          <w:sz w:val="24"/>
          <w:szCs w:val="24"/>
        </w:rPr>
        <w:t>5.1</w:t>
      </w:r>
      <w:r w:rsidRPr="00D33D69">
        <w:rPr>
          <w:sz w:val="24"/>
          <w:szCs w:val="24"/>
        </w:rPr>
        <w:tab/>
        <w:t>Væsentlige uforligeligheder</w:t>
      </w:r>
    </w:p>
    <w:p w:rsidR="00D33D69" w:rsidRPr="00D33D69" w:rsidRDefault="00D33D69" w:rsidP="00D33D69">
      <w:pPr>
        <w:tabs>
          <w:tab w:val="left" w:pos="1304"/>
        </w:tabs>
        <w:rPr>
          <w:sz w:val="24"/>
          <w:szCs w:val="24"/>
        </w:rPr>
      </w:pPr>
    </w:p>
    <w:p w:rsidR="00D33D69" w:rsidRPr="00D33D69" w:rsidRDefault="00D33D69" w:rsidP="00D158F7">
      <w:pPr>
        <w:ind w:firstLine="851"/>
        <w:rPr>
          <w:sz w:val="24"/>
          <w:szCs w:val="24"/>
          <w:lang w:eastAsia="da-DK"/>
        </w:rPr>
      </w:pPr>
      <w:r w:rsidRPr="00D33D69">
        <w:rPr>
          <w:sz w:val="24"/>
          <w:szCs w:val="24"/>
        </w:rPr>
        <w:t>Ikke relevant.</w:t>
      </w:r>
    </w:p>
    <w:p w:rsidR="00D33D69" w:rsidRPr="00D33D69" w:rsidRDefault="00D33D69" w:rsidP="00D33D69">
      <w:pPr>
        <w:tabs>
          <w:tab w:val="left" w:pos="1304"/>
        </w:tabs>
        <w:rPr>
          <w:sz w:val="24"/>
          <w:szCs w:val="24"/>
        </w:rPr>
      </w:pPr>
    </w:p>
    <w:p w:rsidR="00D33D69" w:rsidRPr="00D33D69" w:rsidRDefault="00D33D69" w:rsidP="00D158F7">
      <w:pPr>
        <w:pStyle w:val="Style1"/>
        <w:ind w:left="851" w:hanging="851"/>
        <w:rPr>
          <w:sz w:val="24"/>
          <w:szCs w:val="24"/>
        </w:rPr>
      </w:pPr>
      <w:r w:rsidRPr="00D33D69">
        <w:rPr>
          <w:sz w:val="24"/>
          <w:szCs w:val="24"/>
        </w:rPr>
        <w:t>5.2</w:t>
      </w:r>
      <w:r w:rsidRPr="00D33D69">
        <w:rPr>
          <w:sz w:val="24"/>
          <w:szCs w:val="24"/>
        </w:rPr>
        <w:tab/>
        <w:t>Opbevaringstid</w:t>
      </w:r>
    </w:p>
    <w:p w:rsidR="00D33D69" w:rsidRPr="00D33D69" w:rsidRDefault="00D33D69" w:rsidP="00D33D69">
      <w:pPr>
        <w:tabs>
          <w:tab w:val="left" w:pos="1304"/>
        </w:tabs>
        <w:rPr>
          <w:sz w:val="24"/>
          <w:szCs w:val="24"/>
        </w:rPr>
      </w:pPr>
    </w:p>
    <w:p w:rsidR="00D33D69" w:rsidRPr="00D33D69" w:rsidRDefault="00D33D69" w:rsidP="00D158F7">
      <w:pPr>
        <w:ind w:right="-318" w:firstLine="851"/>
        <w:rPr>
          <w:sz w:val="24"/>
          <w:szCs w:val="24"/>
          <w:lang w:eastAsia="da-DK"/>
        </w:rPr>
      </w:pPr>
      <w:r w:rsidRPr="00D33D69">
        <w:rPr>
          <w:sz w:val="24"/>
          <w:szCs w:val="24"/>
        </w:rPr>
        <w:t>Opbevaringstid for veterinærlægemidlet i salgspakning: 3 år.</w:t>
      </w:r>
    </w:p>
    <w:p w:rsidR="00D33D69" w:rsidRPr="00D33D69" w:rsidRDefault="00D33D69" w:rsidP="00D158F7">
      <w:pPr>
        <w:ind w:firstLine="851"/>
        <w:rPr>
          <w:sz w:val="24"/>
          <w:szCs w:val="24"/>
        </w:rPr>
      </w:pPr>
      <w:r w:rsidRPr="00D33D69">
        <w:rPr>
          <w:sz w:val="24"/>
          <w:szCs w:val="24"/>
        </w:rPr>
        <w:t>Opbevaringstid for delte tabletter efter første åbning af den indre emballage: 3 dage.</w:t>
      </w:r>
    </w:p>
    <w:p w:rsidR="00D33D69" w:rsidRPr="00D33D69" w:rsidRDefault="00D33D69" w:rsidP="00D33D69">
      <w:pPr>
        <w:tabs>
          <w:tab w:val="left" w:pos="1304"/>
        </w:tabs>
        <w:rPr>
          <w:sz w:val="24"/>
          <w:szCs w:val="24"/>
        </w:rPr>
      </w:pPr>
    </w:p>
    <w:p w:rsidR="00D33D69" w:rsidRPr="00D33D69" w:rsidRDefault="00D33D69" w:rsidP="00D158F7">
      <w:pPr>
        <w:pStyle w:val="Style1"/>
        <w:ind w:left="851" w:hanging="851"/>
        <w:rPr>
          <w:sz w:val="24"/>
          <w:szCs w:val="24"/>
        </w:rPr>
      </w:pPr>
      <w:r w:rsidRPr="00D33D69">
        <w:rPr>
          <w:sz w:val="24"/>
          <w:szCs w:val="24"/>
        </w:rPr>
        <w:t>5.3</w:t>
      </w:r>
      <w:r w:rsidRPr="00D33D69">
        <w:rPr>
          <w:sz w:val="24"/>
          <w:szCs w:val="24"/>
        </w:rPr>
        <w:tab/>
        <w:t>Særlige forholdsregler vedrørende opbevaring</w:t>
      </w:r>
    </w:p>
    <w:p w:rsidR="00D33D69" w:rsidRPr="00D33D69" w:rsidRDefault="00D33D69" w:rsidP="00D33D69">
      <w:pPr>
        <w:tabs>
          <w:tab w:val="left" w:pos="1304"/>
        </w:tabs>
        <w:rPr>
          <w:sz w:val="24"/>
          <w:szCs w:val="24"/>
        </w:rPr>
      </w:pPr>
    </w:p>
    <w:p w:rsidR="00D33D69" w:rsidRPr="00D33D69" w:rsidRDefault="00D33D69" w:rsidP="00D158F7">
      <w:pPr>
        <w:ind w:firstLine="851"/>
        <w:rPr>
          <w:sz w:val="24"/>
          <w:szCs w:val="24"/>
          <w:lang w:eastAsia="da-DK"/>
        </w:rPr>
      </w:pPr>
      <w:r w:rsidRPr="00D33D69">
        <w:rPr>
          <w:sz w:val="24"/>
          <w:szCs w:val="24"/>
        </w:rPr>
        <w:t xml:space="preserve">Der er ingen særlige krav vedrørende opbevaringsforhold for dette veterinærlægemiddel. </w:t>
      </w:r>
    </w:p>
    <w:p w:rsidR="00D33D69" w:rsidRPr="00D33D69" w:rsidRDefault="00D33D69" w:rsidP="00D33D69">
      <w:pPr>
        <w:tabs>
          <w:tab w:val="left" w:pos="1304"/>
        </w:tabs>
        <w:rPr>
          <w:sz w:val="24"/>
          <w:szCs w:val="24"/>
        </w:rPr>
      </w:pPr>
    </w:p>
    <w:p w:rsidR="00D33D69" w:rsidRPr="00D33D69" w:rsidRDefault="00D33D69" w:rsidP="00D158F7">
      <w:pPr>
        <w:pStyle w:val="Style1"/>
        <w:ind w:left="851" w:hanging="851"/>
        <w:rPr>
          <w:sz w:val="24"/>
          <w:szCs w:val="24"/>
        </w:rPr>
      </w:pPr>
      <w:r w:rsidRPr="00D33D69">
        <w:rPr>
          <w:sz w:val="24"/>
          <w:szCs w:val="24"/>
        </w:rPr>
        <w:t>5.4</w:t>
      </w:r>
      <w:r w:rsidRPr="00D33D69">
        <w:rPr>
          <w:sz w:val="24"/>
          <w:szCs w:val="24"/>
        </w:rPr>
        <w:tab/>
        <w:t>Den indre emballages art og indhold</w:t>
      </w:r>
    </w:p>
    <w:p w:rsidR="00D33D69" w:rsidRPr="00D33D69" w:rsidRDefault="00D33D69" w:rsidP="00D33D69">
      <w:pPr>
        <w:tabs>
          <w:tab w:val="left" w:pos="1304"/>
        </w:tabs>
        <w:rPr>
          <w:sz w:val="24"/>
          <w:szCs w:val="24"/>
        </w:rPr>
      </w:pPr>
    </w:p>
    <w:p w:rsidR="00D33D69" w:rsidRPr="00D33D69" w:rsidRDefault="00D33D69" w:rsidP="00D158F7">
      <w:pPr>
        <w:ind w:firstLine="851"/>
        <w:jc w:val="both"/>
        <w:rPr>
          <w:sz w:val="24"/>
          <w:szCs w:val="24"/>
          <w:lang w:eastAsia="da-DK"/>
        </w:rPr>
      </w:pPr>
      <w:r w:rsidRPr="00D33D69">
        <w:rPr>
          <w:sz w:val="24"/>
          <w:szCs w:val="24"/>
        </w:rPr>
        <w:t xml:space="preserve">Aluminium - polyamid/aluminium/PVC-blister </w:t>
      </w:r>
    </w:p>
    <w:p w:rsidR="00D33D69" w:rsidRPr="00D33D69" w:rsidRDefault="00D33D69" w:rsidP="00D158F7">
      <w:pPr>
        <w:ind w:firstLine="851"/>
        <w:jc w:val="both"/>
        <w:rPr>
          <w:sz w:val="24"/>
          <w:szCs w:val="24"/>
        </w:rPr>
      </w:pPr>
      <w:r w:rsidRPr="00D33D69">
        <w:rPr>
          <w:sz w:val="24"/>
          <w:szCs w:val="24"/>
        </w:rPr>
        <w:t>Kartonæske med 1, 2, 3, 4, 5, 6, 7, 8, 9, 10 eller 25 blisterkort med 10 tabletter.</w:t>
      </w:r>
    </w:p>
    <w:p w:rsidR="00D33D69" w:rsidRPr="00D33D69" w:rsidRDefault="00D33D69" w:rsidP="00D158F7">
      <w:pPr>
        <w:ind w:left="851"/>
        <w:rPr>
          <w:sz w:val="24"/>
          <w:szCs w:val="24"/>
        </w:rPr>
      </w:pPr>
      <w:r w:rsidRPr="00D33D69">
        <w:rPr>
          <w:sz w:val="24"/>
          <w:szCs w:val="24"/>
        </w:rPr>
        <w:t>Kartonæske indeholdende 10 separate kartonæsker, der hver indeholder 1 blisterkort med 10 tabletter.</w:t>
      </w:r>
    </w:p>
    <w:p w:rsidR="00D33D69" w:rsidRPr="00D33D69" w:rsidRDefault="00D33D69" w:rsidP="00D158F7">
      <w:pPr>
        <w:tabs>
          <w:tab w:val="left" w:pos="1304"/>
        </w:tabs>
        <w:ind w:firstLine="851"/>
        <w:rPr>
          <w:sz w:val="24"/>
          <w:szCs w:val="24"/>
        </w:rPr>
      </w:pPr>
      <w:r w:rsidRPr="00D33D69">
        <w:rPr>
          <w:sz w:val="24"/>
          <w:szCs w:val="24"/>
        </w:rPr>
        <w:t>Ikke alle pakningsstørrelser er nødvendigvis markedsført.</w:t>
      </w:r>
    </w:p>
    <w:p w:rsidR="00D33D69" w:rsidRPr="00D33D69" w:rsidRDefault="00D33D69" w:rsidP="00D33D69">
      <w:pPr>
        <w:tabs>
          <w:tab w:val="left" w:pos="1304"/>
        </w:tabs>
        <w:rPr>
          <w:sz w:val="24"/>
          <w:szCs w:val="24"/>
        </w:rPr>
      </w:pPr>
    </w:p>
    <w:p w:rsidR="00D33D69" w:rsidRPr="00D33D69" w:rsidRDefault="00D33D69" w:rsidP="00D158F7">
      <w:pPr>
        <w:pStyle w:val="Style1"/>
        <w:ind w:left="851" w:hanging="851"/>
        <w:rPr>
          <w:sz w:val="24"/>
          <w:szCs w:val="24"/>
        </w:rPr>
      </w:pPr>
      <w:r w:rsidRPr="00D33D69">
        <w:rPr>
          <w:sz w:val="24"/>
          <w:szCs w:val="24"/>
        </w:rPr>
        <w:t>5.5</w:t>
      </w:r>
      <w:r w:rsidRPr="00D33D69">
        <w:rPr>
          <w:sz w:val="24"/>
          <w:szCs w:val="24"/>
        </w:rPr>
        <w:tab/>
        <w:t>Særlige forholdsregler vedrørende bortskaffelse af ubrugte veterinærlægemidler eller affaldsmaterialer fra brugen heraf</w:t>
      </w:r>
    </w:p>
    <w:p w:rsidR="00D33D69" w:rsidRPr="00D33D69" w:rsidRDefault="00D33D69" w:rsidP="00D33D69">
      <w:pPr>
        <w:tabs>
          <w:tab w:val="left" w:pos="1304"/>
        </w:tabs>
        <w:rPr>
          <w:sz w:val="24"/>
          <w:szCs w:val="24"/>
        </w:rPr>
      </w:pPr>
    </w:p>
    <w:p w:rsidR="00D33D69" w:rsidRPr="00D33D69" w:rsidRDefault="00D33D69" w:rsidP="00D158F7">
      <w:pPr>
        <w:ind w:left="851"/>
        <w:rPr>
          <w:sz w:val="24"/>
          <w:szCs w:val="24"/>
        </w:rPr>
      </w:pPr>
      <w:r w:rsidRPr="00D33D69">
        <w:rPr>
          <w:sz w:val="24"/>
          <w:szCs w:val="24"/>
        </w:rPr>
        <w:t>Lægemidler må ikke bortskaffes sammen med spildevand eller husholdningsaffald.</w:t>
      </w:r>
    </w:p>
    <w:p w:rsidR="00D33D69" w:rsidRPr="00D33D69" w:rsidRDefault="00D33D69" w:rsidP="00D158F7">
      <w:pPr>
        <w:tabs>
          <w:tab w:val="left" w:pos="1304"/>
        </w:tabs>
        <w:ind w:left="851"/>
        <w:rPr>
          <w:sz w:val="24"/>
          <w:szCs w:val="24"/>
        </w:rPr>
      </w:pPr>
    </w:p>
    <w:p w:rsidR="00D33D69" w:rsidRPr="00D33D69" w:rsidRDefault="00D33D69" w:rsidP="00D158F7">
      <w:pPr>
        <w:tabs>
          <w:tab w:val="left" w:pos="1304"/>
        </w:tabs>
        <w:ind w:left="851" w:right="-143"/>
        <w:rPr>
          <w:sz w:val="24"/>
          <w:szCs w:val="24"/>
        </w:rPr>
      </w:pPr>
      <w:r w:rsidRPr="00D33D6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D33D69" w:rsidRPr="00D33D69" w:rsidRDefault="00D33D69" w:rsidP="00D33D69">
      <w:pPr>
        <w:tabs>
          <w:tab w:val="left" w:pos="1304"/>
        </w:tabs>
        <w:rPr>
          <w:sz w:val="24"/>
          <w:szCs w:val="24"/>
        </w:rPr>
      </w:pPr>
    </w:p>
    <w:p w:rsidR="00D33D69" w:rsidRPr="00D33D69" w:rsidRDefault="00D33D69" w:rsidP="00D33D69">
      <w:pPr>
        <w:tabs>
          <w:tab w:val="left" w:pos="1304"/>
        </w:tabs>
        <w:rPr>
          <w:sz w:val="24"/>
          <w:szCs w:val="24"/>
        </w:rPr>
      </w:pPr>
    </w:p>
    <w:p w:rsidR="00D33D69" w:rsidRPr="00D33D69" w:rsidRDefault="00D33D69" w:rsidP="00D158F7">
      <w:pPr>
        <w:pStyle w:val="Style1"/>
        <w:ind w:left="851" w:hanging="851"/>
        <w:rPr>
          <w:sz w:val="24"/>
          <w:szCs w:val="24"/>
        </w:rPr>
      </w:pPr>
      <w:r w:rsidRPr="00D33D69">
        <w:rPr>
          <w:sz w:val="24"/>
          <w:szCs w:val="24"/>
        </w:rPr>
        <w:t>6.</w:t>
      </w:r>
      <w:r w:rsidRPr="00D33D69">
        <w:rPr>
          <w:sz w:val="24"/>
          <w:szCs w:val="24"/>
        </w:rPr>
        <w:tab/>
        <w:t>NAVN PÅ INDEHAVEREN AF MARKEDSFØRINGSTILLADELSEN</w:t>
      </w:r>
    </w:p>
    <w:p w:rsidR="00D33D69" w:rsidRPr="00D33D69" w:rsidRDefault="00D33D69" w:rsidP="00D33D69">
      <w:pPr>
        <w:rPr>
          <w:sz w:val="24"/>
          <w:szCs w:val="24"/>
        </w:rPr>
      </w:pPr>
    </w:p>
    <w:p w:rsidR="00D33D69" w:rsidRPr="00D33D69" w:rsidRDefault="00D33D69" w:rsidP="00D158F7">
      <w:pPr>
        <w:ind w:firstLine="851"/>
        <w:rPr>
          <w:sz w:val="24"/>
          <w:szCs w:val="24"/>
        </w:rPr>
      </w:pPr>
      <w:proofErr w:type="spellStart"/>
      <w:r w:rsidRPr="00D33D69">
        <w:rPr>
          <w:sz w:val="24"/>
          <w:szCs w:val="24"/>
        </w:rPr>
        <w:t>Dechra</w:t>
      </w:r>
      <w:proofErr w:type="spellEnd"/>
      <w:r w:rsidRPr="00D33D69">
        <w:rPr>
          <w:sz w:val="24"/>
          <w:szCs w:val="24"/>
        </w:rPr>
        <w:t xml:space="preserve"> Regulatory B.V.</w:t>
      </w:r>
    </w:p>
    <w:p w:rsidR="00D33D69" w:rsidRPr="00D33D69" w:rsidRDefault="00D33D69" w:rsidP="00D158F7">
      <w:pPr>
        <w:ind w:firstLine="851"/>
        <w:rPr>
          <w:sz w:val="24"/>
          <w:szCs w:val="24"/>
          <w:lang w:eastAsia="da-DK"/>
        </w:rPr>
      </w:pPr>
      <w:proofErr w:type="spellStart"/>
      <w:r w:rsidRPr="00D33D69">
        <w:rPr>
          <w:sz w:val="24"/>
          <w:szCs w:val="24"/>
          <w:lang w:eastAsia="da-DK"/>
        </w:rPr>
        <w:t>Handelsweg</w:t>
      </w:r>
      <w:proofErr w:type="spellEnd"/>
      <w:r w:rsidRPr="00D33D69">
        <w:rPr>
          <w:sz w:val="24"/>
          <w:szCs w:val="24"/>
          <w:lang w:eastAsia="da-DK"/>
        </w:rPr>
        <w:t xml:space="preserve"> 25</w:t>
      </w:r>
    </w:p>
    <w:p w:rsidR="00D33D69" w:rsidRPr="00D33D69" w:rsidRDefault="00D33D69" w:rsidP="00D158F7">
      <w:pPr>
        <w:ind w:firstLine="851"/>
        <w:rPr>
          <w:sz w:val="24"/>
          <w:szCs w:val="24"/>
          <w:lang w:eastAsia="da-DK"/>
        </w:rPr>
      </w:pPr>
      <w:r w:rsidRPr="00D33D69">
        <w:rPr>
          <w:sz w:val="24"/>
          <w:szCs w:val="24"/>
          <w:lang w:eastAsia="da-DK"/>
        </w:rPr>
        <w:t xml:space="preserve">5531 AE </w:t>
      </w:r>
      <w:proofErr w:type="spellStart"/>
      <w:r w:rsidRPr="00D33D69">
        <w:rPr>
          <w:sz w:val="24"/>
          <w:szCs w:val="24"/>
          <w:lang w:eastAsia="da-DK"/>
        </w:rPr>
        <w:t>Bladel</w:t>
      </w:r>
      <w:proofErr w:type="spellEnd"/>
    </w:p>
    <w:p w:rsidR="00D33D69" w:rsidRPr="00D33D69" w:rsidRDefault="00D33D69" w:rsidP="00D158F7">
      <w:pPr>
        <w:ind w:firstLine="851"/>
        <w:rPr>
          <w:sz w:val="24"/>
          <w:szCs w:val="24"/>
          <w:lang w:eastAsia="da-DK"/>
        </w:rPr>
      </w:pPr>
      <w:r w:rsidRPr="00D33D69">
        <w:rPr>
          <w:sz w:val="24"/>
          <w:szCs w:val="24"/>
          <w:lang w:eastAsia="da-DK"/>
        </w:rPr>
        <w:t>Holland</w:t>
      </w:r>
    </w:p>
    <w:p w:rsidR="00D33D69" w:rsidRPr="00D33D69" w:rsidRDefault="00D33D69" w:rsidP="00D158F7">
      <w:pPr>
        <w:ind w:firstLine="851"/>
        <w:rPr>
          <w:sz w:val="24"/>
          <w:szCs w:val="24"/>
          <w:lang w:eastAsia="da-DK"/>
        </w:rPr>
      </w:pPr>
      <w:r w:rsidRPr="00D33D69">
        <w:rPr>
          <w:sz w:val="24"/>
          <w:szCs w:val="24"/>
          <w:lang w:eastAsia="da-DK"/>
        </w:rPr>
        <w:t> </w:t>
      </w:r>
    </w:p>
    <w:p w:rsidR="00D33D69" w:rsidRPr="00D33D69" w:rsidRDefault="00D33D69" w:rsidP="00D158F7">
      <w:pPr>
        <w:ind w:firstLine="851"/>
        <w:rPr>
          <w:b/>
          <w:sz w:val="24"/>
          <w:szCs w:val="24"/>
          <w:lang w:val="en-US" w:eastAsia="da-DK"/>
        </w:rPr>
      </w:pPr>
      <w:proofErr w:type="spellStart"/>
      <w:r w:rsidRPr="00D33D69">
        <w:rPr>
          <w:b/>
          <w:sz w:val="24"/>
          <w:szCs w:val="24"/>
          <w:lang w:val="en-US" w:eastAsia="da-DK"/>
        </w:rPr>
        <w:t>Repræsentant</w:t>
      </w:r>
      <w:proofErr w:type="spellEnd"/>
    </w:p>
    <w:p w:rsidR="00D33D69" w:rsidRPr="00D33D69" w:rsidRDefault="00D33D69" w:rsidP="00D158F7">
      <w:pPr>
        <w:ind w:firstLine="851"/>
        <w:rPr>
          <w:sz w:val="24"/>
          <w:szCs w:val="24"/>
          <w:lang w:val="en-US" w:eastAsia="da-DK"/>
        </w:rPr>
      </w:pPr>
      <w:proofErr w:type="spellStart"/>
      <w:r w:rsidRPr="00D33D69">
        <w:rPr>
          <w:sz w:val="24"/>
          <w:szCs w:val="24"/>
          <w:lang w:val="en-US" w:eastAsia="da-DK"/>
        </w:rPr>
        <w:t>Dechra</w:t>
      </w:r>
      <w:proofErr w:type="spellEnd"/>
      <w:r w:rsidRPr="00D33D69">
        <w:rPr>
          <w:sz w:val="24"/>
          <w:szCs w:val="24"/>
          <w:lang w:val="en-US" w:eastAsia="da-DK"/>
        </w:rPr>
        <w:t xml:space="preserve"> Veterinary Products A/S</w:t>
      </w:r>
    </w:p>
    <w:p w:rsidR="00D33D69" w:rsidRPr="00D33D69" w:rsidRDefault="00D33D69" w:rsidP="00D158F7">
      <w:pPr>
        <w:ind w:firstLine="851"/>
        <w:rPr>
          <w:sz w:val="24"/>
          <w:szCs w:val="24"/>
          <w:lang w:eastAsia="da-DK"/>
        </w:rPr>
      </w:pPr>
      <w:proofErr w:type="spellStart"/>
      <w:r w:rsidRPr="00D33D69">
        <w:rPr>
          <w:sz w:val="24"/>
          <w:szCs w:val="24"/>
          <w:lang w:eastAsia="da-DK"/>
        </w:rPr>
        <w:t>Mekuvej</w:t>
      </w:r>
      <w:proofErr w:type="spellEnd"/>
      <w:r w:rsidRPr="00D33D69">
        <w:rPr>
          <w:sz w:val="24"/>
          <w:szCs w:val="24"/>
          <w:lang w:eastAsia="da-DK"/>
        </w:rPr>
        <w:t xml:space="preserve"> 9</w:t>
      </w:r>
    </w:p>
    <w:p w:rsidR="00D33D69" w:rsidRPr="00D33D69" w:rsidRDefault="00D33D69" w:rsidP="00D158F7">
      <w:pPr>
        <w:ind w:firstLine="851"/>
        <w:rPr>
          <w:sz w:val="24"/>
          <w:szCs w:val="24"/>
          <w:lang w:eastAsia="da-DK"/>
        </w:rPr>
      </w:pPr>
      <w:r w:rsidRPr="00D33D69">
        <w:rPr>
          <w:sz w:val="24"/>
          <w:szCs w:val="24"/>
          <w:lang w:eastAsia="da-DK"/>
        </w:rPr>
        <w:t>7171 Uldum</w:t>
      </w:r>
    </w:p>
    <w:p w:rsidR="00D33D69" w:rsidRPr="00D33D69" w:rsidRDefault="00D33D69" w:rsidP="00D33D69">
      <w:pPr>
        <w:rPr>
          <w:sz w:val="24"/>
          <w:szCs w:val="24"/>
        </w:rPr>
      </w:pPr>
    </w:p>
    <w:p w:rsidR="00D33D69" w:rsidRPr="00D33D69" w:rsidRDefault="00D33D69" w:rsidP="00D33D69">
      <w:pPr>
        <w:tabs>
          <w:tab w:val="left" w:pos="1304"/>
        </w:tabs>
        <w:rPr>
          <w:sz w:val="24"/>
          <w:szCs w:val="24"/>
        </w:rPr>
      </w:pPr>
    </w:p>
    <w:p w:rsidR="00D33D69" w:rsidRPr="00D33D69" w:rsidRDefault="00D33D69" w:rsidP="00D158F7">
      <w:pPr>
        <w:pStyle w:val="Style1"/>
        <w:ind w:left="851" w:hanging="851"/>
        <w:rPr>
          <w:sz w:val="24"/>
          <w:szCs w:val="24"/>
        </w:rPr>
      </w:pPr>
      <w:r w:rsidRPr="00D33D69">
        <w:rPr>
          <w:sz w:val="24"/>
          <w:szCs w:val="24"/>
        </w:rPr>
        <w:t>7.</w:t>
      </w:r>
      <w:r w:rsidRPr="00D33D69">
        <w:rPr>
          <w:sz w:val="24"/>
          <w:szCs w:val="24"/>
        </w:rPr>
        <w:tab/>
        <w:t>MARKEDSFØRINGSTILLADELSESNUMMER (-NUMRE)</w:t>
      </w:r>
    </w:p>
    <w:p w:rsidR="00D33D69" w:rsidRPr="00D33D69" w:rsidRDefault="00D33D69" w:rsidP="00D33D69">
      <w:pPr>
        <w:tabs>
          <w:tab w:val="left" w:pos="1304"/>
        </w:tabs>
        <w:rPr>
          <w:sz w:val="24"/>
          <w:szCs w:val="24"/>
        </w:rPr>
      </w:pPr>
    </w:p>
    <w:p w:rsidR="00D33D69" w:rsidRPr="00D33D69" w:rsidRDefault="00D33D69" w:rsidP="00D158F7">
      <w:pPr>
        <w:tabs>
          <w:tab w:val="left" w:pos="993"/>
          <w:tab w:val="left" w:pos="1843"/>
          <w:tab w:val="left" w:pos="8222"/>
        </w:tabs>
        <w:ind w:firstLine="851"/>
        <w:rPr>
          <w:sz w:val="24"/>
          <w:szCs w:val="24"/>
        </w:rPr>
      </w:pPr>
      <w:r w:rsidRPr="00D33D69">
        <w:rPr>
          <w:sz w:val="24"/>
          <w:szCs w:val="24"/>
        </w:rPr>
        <w:t xml:space="preserve">55 mg: </w:t>
      </w:r>
      <w:r w:rsidRPr="00D33D69">
        <w:rPr>
          <w:sz w:val="24"/>
          <w:szCs w:val="24"/>
        </w:rPr>
        <w:tab/>
        <w:t>60726</w:t>
      </w:r>
    </w:p>
    <w:p w:rsidR="00D33D69" w:rsidRPr="00D33D69" w:rsidRDefault="00D33D69" w:rsidP="00D158F7">
      <w:pPr>
        <w:tabs>
          <w:tab w:val="left" w:pos="993"/>
          <w:tab w:val="left" w:pos="1843"/>
          <w:tab w:val="left" w:pos="8222"/>
        </w:tabs>
        <w:ind w:firstLine="851"/>
        <w:rPr>
          <w:sz w:val="24"/>
          <w:szCs w:val="24"/>
        </w:rPr>
      </w:pPr>
      <w:r w:rsidRPr="00D33D69">
        <w:rPr>
          <w:sz w:val="24"/>
          <w:szCs w:val="24"/>
        </w:rPr>
        <w:t xml:space="preserve">220 mg: </w:t>
      </w:r>
      <w:r w:rsidRPr="00D33D69">
        <w:rPr>
          <w:sz w:val="24"/>
          <w:szCs w:val="24"/>
        </w:rPr>
        <w:tab/>
        <w:t>60727</w:t>
      </w:r>
    </w:p>
    <w:p w:rsidR="00D33D69" w:rsidRPr="00D33D69" w:rsidRDefault="00D33D69" w:rsidP="00D158F7">
      <w:pPr>
        <w:tabs>
          <w:tab w:val="left" w:pos="993"/>
          <w:tab w:val="left" w:pos="1843"/>
          <w:tab w:val="left" w:pos="8222"/>
        </w:tabs>
        <w:ind w:firstLine="851"/>
        <w:rPr>
          <w:sz w:val="24"/>
          <w:szCs w:val="24"/>
        </w:rPr>
      </w:pPr>
      <w:r w:rsidRPr="00D33D69">
        <w:rPr>
          <w:sz w:val="24"/>
          <w:szCs w:val="24"/>
        </w:rPr>
        <w:t xml:space="preserve">440 mg: </w:t>
      </w:r>
      <w:r w:rsidRPr="00D33D69">
        <w:rPr>
          <w:sz w:val="24"/>
          <w:szCs w:val="24"/>
        </w:rPr>
        <w:tab/>
        <w:t>60728</w:t>
      </w:r>
    </w:p>
    <w:p w:rsidR="00D33D69" w:rsidRPr="00D33D69" w:rsidRDefault="00D33D69" w:rsidP="00D33D69">
      <w:pPr>
        <w:tabs>
          <w:tab w:val="left" w:pos="1304"/>
        </w:tabs>
        <w:rPr>
          <w:sz w:val="24"/>
          <w:szCs w:val="24"/>
        </w:rPr>
      </w:pPr>
    </w:p>
    <w:p w:rsidR="00D33D69" w:rsidRPr="00D33D69" w:rsidRDefault="00D33D69" w:rsidP="00D33D69">
      <w:pPr>
        <w:tabs>
          <w:tab w:val="left" w:pos="1304"/>
        </w:tabs>
        <w:rPr>
          <w:sz w:val="24"/>
          <w:szCs w:val="24"/>
        </w:rPr>
      </w:pPr>
    </w:p>
    <w:p w:rsidR="00D33D69" w:rsidRPr="00D33D69" w:rsidRDefault="00D33D69" w:rsidP="00D158F7">
      <w:pPr>
        <w:pStyle w:val="Style1"/>
        <w:ind w:left="851" w:hanging="851"/>
        <w:rPr>
          <w:sz w:val="24"/>
          <w:szCs w:val="24"/>
        </w:rPr>
      </w:pPr>
      <w:r w:rsidRPr="00D33D69">
        <w:rPr>
          <w:sz w:val="24"/>
          <w:szCs w:val="24"/>
        </w:rPr>
        <w:t>8.</w:t>
      </w:r>
      <w:r w:rsidRPr="00D33D69">
        <w:rPr>
          <w:sz w:val="24"/>
          <w:szCs w:val="24"/>
        </w:rPr>
        <w:tab/>
        <w:t>DATO FOR FØRSTE TILLADELSE</w:t>
      </w:r>
    </w:p>
    <w:p w:rsidR="00D33D69" w:rsidRPr="00D33D69" w:rsidRDefault="00D33D69" w:rsidP="00D33D69">
      <w:pPr>
        <w:tabs>
          <w:tab w:val="left" w:pos="1304"/>
        </w:tabs>
        <w:rPr>
          <w:sz w:val="24"/>
          <w:szCs w:val="24"/>
        </w:rPr>
      </w:pPr>
    </w:p>
    <w:p w:rsidR="00D33D69" w:rsidRPr="00D33D69" w:rsidRDefault="00D33D69" w:rsidP="00D158F7">
      <w:pPr>
        <w:tabs>
          <w:tab w:val="left" w:pos="993"/>
          <w:tab w:val="left" w:pos="8222"/>
        </w:tabs>
        <w:ind w:firstLine="851"/>
        <w:rPr>
          <w:sz w:val="24"/>
          <w:szCs w:val="24"/>
        </w:rPr>
      </w:pPr>
      <w:r w:rsidRPr="00D33D69">
        <w:rPr>
          <w:sz w:val="24"/>
          <w:szCs w:val="24"/>
        </w:rPr>
        <w:t>Dato for første markedsføringstilladelse: 24. maj 2019</w:t>
      </w:r>
    </w:p>
    <w:p w:rsidR="00D33D69" w:rsidRPr="00D33D69" w:rsidRDefault="00D33D69" w:rsidP="00D33D69">
      <w:pPr>
        <w:tabs>
          <w:tab w:val="left" w:pos="1304"/>
        </w:tabs>
        <w:rPr>
          <w:sz w:val="24"/>
          <w:szCs w:val="24"/>
        </w:rPr>
      </w:pPr>
    </w:p>
    <w:p w:rsidR="00D33D69" w:rsidRPr="00D33D69" w:rsidRDefault="00D33D69" w:rsidP="00D33D69">
      <w:pPr>
        <w:tabs>
          <w:tab w:val="left" w:pos="1304"/>
        </w:tabs>
        <w:rPr>
          <w:sz w:val="24"/>
          <w:szCs w:val="24"/>
        </w:rPr>
      </w:pPr>
    </w:p>
    <w:p w:rsidR="00D33D69" w:rsidRPr="00D33D69" w:rsidRDefault="00D33D69" w:rsidP="00D158F7">
      <w:pPr>
        <w:pStyle w:val="Style1"/>
        <w:ind w:left="851" w:hanging="851"/>
        <w:rPr>
          <w:sz w:val="24"/>
          <w:szCs w:val="24"/>
        </w:rPr>
      </w:pPr>
      <w:r w:rsidRPr="00D33D69">
        <w:rPr>
          <w:sz w:val="24"/>
          <w:szCs w:val="24"/>
        </w:rPr>
        <w:t>9.</w:t>
      </w:r>
      <w:r w:rsidRPr="00D33D69">
        <w:rPr>
          <w:sz w:val="24"/>
          <w:szCs w:val="24"/>
        </w:rPr>
        <w:tab/>
        <w:t>DATO FOR SENESTE ÆNDRING AF PRODUKTRESUMÉET</w:t>
      </w:r>
    </w:p>
    <w:p w:rsidR="00D33D69" w:rsidRPr="00D33D69" w:rsidRDefault="00D33D69" w:rsidP="00D33D69">
      <w:pPr>
        <w:tabs>
          <w:tab w:val="left" w:pos="1304"/>
        </w:tabs>
        <w:rPr>
          <w:sz w:val="24"/>
          <w:szCs w:val="24"/>
        </w:rPr>
      </w:pPr>
    </w:p>
    <w:p w:rsidR="00D33D69" w:rsidRDefault="00D33D69" w:rsidP="00D33D69">
      <w:pPr>
        <w:tabs>
          <w:tab w:val="left" w:pos="851"/>
        </w:tabs>
        <w:rPr>
          <w:sz w:val="24"/>
          <w:szCs w:val="24"/>
        </w:rPr>
      </w:pPr>
      <w:r>
        <w:rPr>
          <w:sz w:val="24"/>
          <w:szCs w:val="24"/>
        </w:rPr>
        <w:tab/>
        <w:t>31. marts 2025</w:t>
      </w:r>
    </w:p>
    <w:p w:rsidR="00D33D69" w:rsidRDefault="00D33D69" w:rsidP="00D33D69">
      <w:pPr>
        <w:tabs>
          <w:tab w:val="left" w:pos="851"/>
        </w:tabs>
        <w:rPr>
          <w:sz w:val="24"/>
          <w:szCs w:val="24"/>
        </w:rPr>
      </w:pPr>
    </w:p>
    <w:p w:rsidR="00D33D69" w:rsidRPr="00D33D69" w:rsidRDefault="00D33D69" w:rsidP="00D33D69">
      <w:pPr>
        <w:tabs>
          <w:tab w:val="left" w:pos="851"/>
        </w:tabs>
        <w:rPr>
          <w:sz w:val="24"/>
          <w:szCs w:val="24"/>
        </w:rPr>
      </w:pPr>
    </w:p>
    <w:p w:rsidR="00D33D69" w:rsidRPr="00D33D69" w:rsidRDefault="00D33D69" w:rsidP="00D33D69">
      <w:pPr>
        <w:pStyle w:val="Style1"/>
        <w:ind w:left="851" w:hanging="851"/>
        <w:rPr>
          <w:sz w:val="24"/>
          <w:szCs w:val="24"/>
        </w:rPr>
      </w:pPr>
      <w:r w:rsidRPr="00D33D69">
        <w:rPr>
          <w:sz w:val="24"/>
          <w:szCs w:val="24"/>
        </w:rPr>
        <w:t>10.</w:t>
      </w:r>
      <w:r w:rsidRPr="00D33D69">
        <w:rPr>
          <w:sz w:val="24"/>
          <w:szCs w:val="24"/>
        </w:rPr>
        <w:tab/>
        <w:t>KLASSIFICERING AF VETERINÆRLÆGEMIDLER</w:t>
      </w:r>
    </w:p>
    <w:p w:rsidR="00D33D69" w:rsidRPr="00D33D69" w:rsidRDefault="00D33D69" w:rsidP="00D33D69">
      <w:pPr>
        <w:tabs>
          <w:tab w:val="left" w:pos="1304"/>
        </w:tabs>
        <w:rPr>
          <w:sz w:val="24"/>
          <w:szCs w:val="24"/>
        </w:rPr>
      </w:pPr>
    </w:p>
    <w:p w:rsidR="00D33D69" w:rsidRPr="00D33D69" w:rsidRDefault="00D33D69" w:rsidP="00D33D69">
      <w:pPr>
        <w:tabs>
          <w:tab w:val="left" w:pos="1304"/>
        </w:tabs>
        <w:ind w:firstLine="851"/>
        <w:rPr>
          <w:sz w:val="24"/>
          <w:szCs w:val="24"/>
        </w:rPr>
      </w:pPr>
      <w:r w:rsidRPr="00D33D69">
        <w:rPr>
          <w:sz w:val="24"/>
          <w:szCs w:val="24"/>
        </w:rPr>
        <w:t>B</w:t>
      </w:r>
    </w:p>
    <w:p w:rsidR="00D33D69" w:rsidRPr="00D33D69" w:rsidRDefault="00D33D69" w:rsidP="00D33D69">
      <w:pPr>
        <w:tabs>
          <w:tab w:val="left" w:pos="1304"/>
        </w:tabs>
        <w:rPr>
          <w:sz w:val="24"/>
          <w:szCs w:val="24"/>
        </w:rPr>
      </w:pPr>
    </w:p>
    <w:p w:rsidR="00D33D69" w:rsidRPr="00D33D69" w:rsidRDefault="00D33D69" w:rsidP="00D158F7">
      <w:pPr>
        <w:ind w:right="-318" w:firstLine="851"/>
        <w:rPr>
          <w:sz w:val="24"/>
          <w:szCs w:val="24"/>
        </w:rPr>
      </w:pPr>
      <w:bookmarkStart w:id="15" w:name="_Hlk73467306"/>
      <w:bookmarkStart w:id="16" w:name="_GoBack"/>
      <w:bookmarkEnd w:id="16"/>
      <w:r w:rsidRPr="00D33D69">
        <w:rPr>
          <w:sz w:val="24"/>
          <w:szCs w:val="24"/>
        </w:rPr>
        <w:t>Der findes detaljerede oplysninger om dette veterinærlægemiddel i EU-lægemiddeldatabasen.</w:t>
      </w:r>
      <w:bookmarkEnd w:id="15"/>
    </w:p>
    <w:p w:rsidR="00740B69" w:rsidRPr="00D33D69" w:rsidRDefault="00740B69" w:rsidP="00740B69">
      <w:pPr>
        <w:rPr>
          <w:sz w:val="24"/>
          <w:szCs w:val="24"/>
        </w:rPr>
      </w:pPr>
    </w:p>
    <w:p w:rsidR="0003527F" w:rsidRPr="00D33D69" w:rsidRDefault="0003527F" w:rsidP="00740B69">
      <w:pPr>
        <w:rPr>
          <w:sz w:val="24"/>
          <w:szCs w:val="24"/>
        </w:rPr>
      </w:pPr>
    </w:p>
    <w:sectPr w:rsidR="0003527F" w:rsidRPr="00D33D6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B69" w:rsidRDefault="00740B69">
      <w:r>
        <w:separator/>
      </w:r>
    </w:p>
  </w:endnote>
  <w:endnote w:type="continuationSeparator" w:id="0">
    <w:p w:rsidR="00740B69" w:rsidRDefault="0074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117F9A">
    <w:pPr>
      <w:pStyle w:val="Sidefod"/>
      <w:tabs>
        <w:tab w:val="clear" w:pos="4819"/>
        <w:tab w:val="left" w:pos="8647"/>
      </w:tabs>
      <w:rPr>
        <w:i/>
        <w:sz w:val="18"/>
      </w:rPr>
    </w:pPr>
    <w:proofErr w:type="spellStart"/>
    <w:r w:rsidRPr="00117F9A">
      <w:rPr>
        <w:i/>
        <w:snapToGrid w:val="0"/>
        <w:sz w:val="18"/>
      </w:rPr>
      <w:t>Clindabactin</w:t>
    </w:r>
    <w:proofErr w:type="spellEnd"/>
    <w:r w:rsidRPr="00117F9A">
      <w:rPr>
        <w:i/>
        <w:snapToGrid w:val="0"/>
        <w:sz w:val="18"/>
      </w:rPr>
      <w:t>, tyggetabletter 55 mg, 220 mg og 440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40B69">
      <w:rPr>
        <w:i/>
        <w:noProof/>
        <w:snapToGrid w:val="0"/>
        <w:sz w:val="18"/>
      </w:rPr>
      <w:t>Dokument180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B69" w:rsidRDefault="00740B69">
      <w:r>
        <w:separator/>
      </w:r>
    </w:p>
  </w:footnote>
  <w:footnote w:type="continuationSeparator" w:id="0">
    <w:p w:rsidR="00740B69" w:rsidRDefault="0074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C4B"/>
    <w:multiLevelType w:val="hybridMultilevel"/>
    <w:tmpl w:val="D090BFB2"/>
    <w:lvl w:ilvl="0" w:tplc="F9C21F0A">
      <w:numFmt w:val="bullet"/>
      <w:lvlText w:val="•"/>
      <w:lvlJc w:val="left"/>
      <w:pPr>
        <w:ind w:left="2329" w:hanging="420"/>
      </w:pPr>
      <w:rPr>
        <w:rFonts w:ascii="Times New Roman" w:eastAsia="Times New Roman" w:hAnsi="Times New Roman" w:cs="Times New Roman"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BC5245"/>
    <w:multiLevelType w:val="hybridMultilevel"/>
    <w:tmpl w:val="80C0E6AA"/>
    <w:lvl w:ilvl="0" w:tplc="F9C21F0A">
      <w:numFmt w:val="bullet"/>
      <w:lvlText w:val="•"/>
      <w:lvlJc w:val="left"/>
      <w:pPr>
        <w:ind w:left="1271" w:hanging="42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7A9E5974"/>
    <w:multiLevelType w:val="hybridMultilevel"/>
    <w:tmpl w:val="125234F8"/>
    <w:lvl w:ilvl="0" w:tplc="18889DC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0"/>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69"/>
    <w:rsid w:val="0003527F"/>
    <w:rsid w:val="00065C7D"/>
    <w:rsid w:val="000C6CD4"/>
    <w:rsid w:val="00117F9A"/>
    <w:rsid w:val="001577E4"/>
    <w:rsid w:val="001858CA"/>
    <w:rsid w:val="001C4AEF"/>
    <w:rsid w:val="001D3CC5"/>
    <w:rsid w:val="00224D2C"/>
    <w:rsid w:val="00322BDE"/>
    <w:rsid w:val="00406EE7"/>
    <w:rsid w:val="00407013"/>
    <w:rsid w:val="004552CB"/>
    <w:rsid w:val="004A62CC"/>
    <w:rsid w:val="00565A74"/>
    <w:rsid w:val="005B0036"/>
    <w:rsid w:val="005F5831"/>
    <w:rsid w:val="00662012"/>
    <w:rsid w:val="00666B01"/>
    <w:rsid w:val="006B1539"/>
    <w:rsid w:val="006D4B41"/>
    <w:rsid w:val="006F5621"/>
    <w:rsid w:val="00740B69"/>
    <w:rsid w:val="007E2A00"/>
    <w:rsid w:val="008010F2"/>
    <w:rsid w:val="008B5F7B"/>
    <w:rsid w:val="009202AE"/>
    <w:rsid w:val="00932676"/>
    <w:rsid w:val="009866EB"/>
    <w:rsid w:val="009D66C6"/>
    <w:rsid w:val="00A96525"/>
    <w:rsid w:val="00AE29E5"/>
    <w:rsid w:val="00AE5757"/>
    <w:rsid w:val="00B25EB8"/>
    <w:rsid w:val="00BC634B"/>
    <w:rsid w:val="00BF2AE0"/>
    <w:rsid w:val="00C479BF"/>
    <w:rsid w:val="00D158F7"/>
    <w:rsid w:val="00D33D69"/>
    <w:rsid w:val="00D567AA"/>
    <w:rsid w:val="00DD6D71"/>
    <w:rsid w:val="00DF32BE"/>
    <w:rsid w:val="00E14F0A"/>
    <w:rsid w:val="00E23580"/>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AF01A0"/>
  <w15:chartTrackingRefBased/>
  <w15:docId w15:val="{3421E2A3-6AB0-498E-82B0-AF5A8C81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BodytextAgencyChar">
    <w:name w:val="Body text (Agency) Char"/>
    <w:link w:val="BodytextAgency"/>
    <w:locked/>
    <w:rsid w:val="00740B69"/>
    <w:rPr>
      <w:rFonts w:ascii="Verdana" w:eastAsia="Verdana" w:hAnsi="Verdana" w:cs="Verdana"/>
      <w:sz w:val="18"/>
      <w:szCs w:val="18"/>
    </w:rPr>
  </w:style>
  <w:style w:type="paragraph" w:customStyle="1" w:styleId="BodytextAgency">
    <w:name w:val="Body text (Agency)"/>
    <w:basedOn w:val="Normal"/>
    <w:link w:val="BodytextAgencyChar"/>
    <w:qFormat/>
    <w:rsid w:val="00740B69"/>
    <w:pPr>
      <w:spacing w:after="140" w:line="280" w:lineRule="atLeast"/>
    </w:pPr>
    <w:rPr>
      <w:rFonts w:ascii="Verdana" w:eastAsia="Verdana" w:hAnsi="Verdana" w:cs="Verdana"/>
      <w:sz w:val="18"/>
      <w:szCs w:val="18"/>
      <w:lang w:eastAsia="da-DK"/>
    </w:rPr>
  </w:style>
  <w:style w:type="paragraph" w:styleId="Listeafsnit">
    <w:name w:val="List Paragraph"/>
    <w:basedOn w:val="Normal"/>
    <w:uiPriority w:val="34"/>
    <w:qFormat/>
    <w:rsid w:val="00740B69"/>
    <w:pPr>
      <w:ind w:left="720"/>
      <w:contextualSpacing/>
    </w:pPr>
  </w:style>
  <w:style w:type="paragraph" w:customStyle="1" w:styleId="Style1">
    <w:name w:val="Style1"/>
    <w:basedOn w:val="Normal"/>
    <w:qFormat/>
    <w:rsid w:val="00D33D69"/>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74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2069</Words>
  <Characters>13987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2024053196 QRD9 opdatering</dc:description>
  <cp:lastModifiedBy>Gitte Ronnovius</cp:lastModifiedBy>
  <cp:revision>3</cp:revision>
  <dcterms:created xsi:type="dcterms:W3CDTF">2025-03-27T08:02:00Z</dcterms:created>
  <dcterms:modified xsi:type="dcterms:W3CDTF">2025-03-27T08:14:00Z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