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32BE" w:rsidRDefault="00401287" w:rsidP="00DF32BE">
      <w:pPr>
        <w:tabs>
          <w:tab w:val="left" w:pos="6804"/>
        </w:tabs>
        <w:rPr>
          <w:b/>
          <w:noProof/>
          <w:lang w:eastAsia="da-DK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>
        <w:fldChar w:fldCharType="end"/>
      </w:r>
    </w:p>
    <w:p w:rsidR="00401287" w:rsidRDefault="00401287" w:rsidP="00DF32BE">
      <w:pPr>
        <w:tabs>
          <w:tab w:val="left" w:pos="6804"/>
        </w:tabs>
        <w:rPr>
          <w:b/>
        </w:rPr>
      </w:pPr>
    </w:p>
    <w:p w:rsidR="00DF32BE" w:rsidRPr="00DF32BE" w:rsidRDefault="00401287" w:rsidP="00DF32BE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30. januar 2017</w:t>
      </w: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for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1565AC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Clindaseptin</w:t>
      </w:r>
      <w:proofErr w:type="spellEnd"/>
      <w:r>
        <w:rPr>
          <w:b/>
          <w:sz w:val="24"/>
          <w:szCs w:val="24"/>
        </w:rPr>
        <w:t>, oral opløsning</w:t>
      </w:r>
    </w:p>
    <w:p w:rsidR="00DF32BE" w:rsidRPr="00DF32BE" w:rsidRDefault="00DF32BE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D.SP.NR</w:t>
      </w:r>
    </w:p>
    <w:p w:rsidR="00DF32BE" w:rsidRPr="001565AC" w:rsidRDefault="001565AC" w:rsidP="001565AC">
      <w:pPr>
        <w:ind w:left="851"/>
        <w:jc w:val="both"/>
        <w:rPr>
          <w:sz w:val="24"/>
          <w:szCs w:val="24"/>
        </w:rPr>
      </w:pPr>
      <w:r w:rsidRPr="001565AC">
        <w:rPr>
          <w:sz w:val="24"/>
          <w:szCs w:val="24"/>
        </w:rPr>
        <w:t>27805</w:t>
      </w: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VETERINÆRLÆGEMIDLETS NAVN</w:t>
      </w:r>
    </w:p>
    <w:p w:rsidR="00DF32BE" w:rsidRPr="001565AC" w:rsidRDefault="001565AC" w:rsidP="001565AC">
      <w:pPr>
        <w:ind w:left="851"/>
        <w:jc w:val="both"/>
        <w:rPr>
          <w:sz w:val="24"/>
          <w:szCs w:val="24"/>
        </w:rPr>
      </w:pPr>
      <w:proofErr w:type="spellStart"/>
      <w:r w:rsidRPr="001565AC">
        <w:rPr>
          <w:sz w:val="24"/>
          <w:szCs w:val="24"/>
        </w:rPr>
        <w:t>Clindaseptin</w:t>
      </w:r>
      <w:proofErr w:type="spellEnd"/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KVALITATIV OG KVANTITATIV SAMMENSÆTNING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1 ml indeholder:</w:t>
      </w:r>
    </w:p>
    <w:p w:rsidR="001565AC" w:rsidRPr="001565AC" w:rsidRDefault="001565AC" w:rsidP="001565AC">
      <w:pPr>
        <w:ind w:left="851" w:hanging="851"/>
        <w:rPr>
          <w:b/>
          <w:sz w:val="24"/>
          <w:szCs w:val="24"/>
          <w:lang w:bidi="ar-JO"/>
        </w:rPr>
      </w:pPr>
    </w:p>
    <w:p w:rsidR="001565AC" w:rsidRPr="001565AC" w:rsidRDefault="001565AC" w:rsidP="001565AC">
      <w:pPr>
        <w:ind w:left="851"/>
        <w:rPr>
          <w:b/>
          <w:sz w:val="24"/>
          <w:szCs w:val="24"/>
          <w:lang w:bidi="ar-JO"/>
        </w:rPr>
      </w:pPr>
      <w:r w:rsidRPr="001565AC">
        <w:rPr>
          <w:b/>
          <w:sz w:val="24"/>
          <w:szCs w:val="24"/>
          <w:lang w:bidi="ar-JO"/>
        </w:rPr>
        <w:t>Aktivt stof:</w:t>
      </w:r>
    </w:p>
    <w:p w:rsidR="001565AC" w:rsidRPr="001565AC" w:rsidRDefault="001565AC" w:rsidP="001565AC">
      <w:pPr>
        <w:ind w:left="851"/>
        <w:rPr>
          <w:sz w:val="24"/>
          <w:szCs w:val="24"/>
          <w:lang w:val="en-US" w:bidi="ar-JO"/>
        </w:rPr>
      </w:pPr>
      <w:r w:rsidRPr="001565AC">
        <w:rPr>
          <w:sz w:val="24"/>
          <w:szCs w:val="24"/>
          <w:lang w:val="en-US" w:bidi="ar-JO"/>
        </w:rPr>
        <w:t>Clindamycin 25 mg (</w:t>
      </w:r>
      <w:proofErr w:type="spellStart"/>
      <w:r w:rsidRPr="001565AC">
        <w:rPr>
          <w:sz w:val="24"/>
          <w:szCs w:val="24"/>
          <w:lang w:val="en-US" w:bidi="ar-JO"/>
        </w:rPr>
        <w:t>som</w:t>
      </w:r>
      <w:proofErr w:type="spellEnd"/>
      <w:r w:rsidRPr="001565AC">
        <w:rPr>
          <w:sz w:val="24"/>
          <w:szCs w:val="24"/>
          <w:lang w:val="en-US" w:bidi="ar-JO"/>
        </w:rPr>
        <w:t xml:space="preserve"> </w:t>
      </w:r>
      <w:proofErr w:type="spellStart"/>
      <w:r w:rsidRPr="001565AC">
        <w:rPr>
          <w:sz w:val="24"/>
          <w:szCs w:val="24"/>
          <w:lang w:val="en-US" w:bidi="ar-JO"/>
        </w:rPr>
        <w:t>clindamycinhydrochlorid</w:t>
      </w:r>
      <w:proofErr w:type="spellEnd"/>
      <w:r w:rsidRPr="001565AC">
        <w:rPr>
          <w:sz w:val="24"/>
          <w:szCs w:val="24"/>
          <w:lang w:val="en-US" w:bidi="ar-JO"/>
        </w:rPr>
        <w:t xml:space="preserve"> 27</w:t>
      </w:r>
      <w:proofErr w:type="gramStart"/>
      <w:r w:rsidR="00401287">
        <w:rPr>
          <w:sz w:val="24"/>
          <w:szCs w:val="24"/>
          <w:lang w:val="en-US" w:bidi="ar-JO"/>
        </w:rPr>
        <w:t>,</w:t>
      </w:r>
      <w:r w:rsidRPr="001565AC">
        <w:rPr>
          <w:sz w:val="24"/>
          <w:szCs w:val="24"/>
          <w:lang w:val="en-US" w:bidi="ar-JO"/>
        </w:rPr>
        <w:t>15</w:t>
      </w:r>
      <w:proofErr w:type="gramEnd"/>
      <w:r w:rsidRPr="001565AC">
        <w:rPr>
          <w:sz w:val="24"/>
          <w:szCs w:val="24"/>
          <w:lang w:val="en-US" w:bidi="ar-JO"/>
        </w:rPr>
        <w:t xml:space="preserve"> mg)</w:t>
      </w:r>
    </w:p>
    <w:p w:rsidR="001565AC" w:rsidRPr="001565AC" w:rsidRDefault="001565AC" w:rsidP="001565AC">
      <w:pPr>
        <w:ind w:left="851" w:hanging="851"/>
        <w:rPr>
          <w:sz w:val="24"/>
          <w:szCs w:val="24"/>
          <w:rtl/>
          <w:lang w:bidi="ar-JO"/>
        </w:rPr>
      </w:pPr>
    </w:p>
    <w:p w:rsidR="001565AC" w:rsidRPr="001565AC" w:rsidRDefault="001565AC" w:rsidP="001565AC">
      <w:pPr>
        <w:ind w:left="851"/>
        <w:rPr>
          <w:b/>
          <w:sz w:val="24"/>
          <w:szCs w:val="24"/>
          <w:lang w:bidi="ar-JO"/>
        </w:rPr>
      </w:pPr>
      <w:r w:rsidRPr="001565AC">
        <w:rPr>
          <w:b/>
          <w:sz w:val="24"/>
          <w:szCs w:val="24"/>
          <w:lang w:bidi="ar-JO"/>
        </w:rPr>
        <w:t>Hjælpestoffer:</w:t>
      </w:r>
    </w:p>
    <w:p w:rsidR="001565AC" w:rsidRPr="001565AC" w:rsidRDefault="001565AC" w:rsidP="001565AC">
      <w:pPr>
        <w:ind w:left="851"/>
        <w:rPr>
          <w:sz w:val="24"/>
          <w:szCs w:val="24"/>
          <w:rtl/>
          <w:lang w:bidi="ar-JO"/>
        </w:rPr>
      </w:pPr>
      <w:proofErr w:type="spellStart"/>
      <w:r w:rsidRPr="001565AC">
        <w:rPr>
          <w:sz w:val="24"/>
          <w:szCs w:val="24"/>
          <w:lang w:bidi="ar-JO"/>
        </w:rPr>
        <w:t>Ethanol</w:t>
      </w:r>
      <w:proofErr w:type="spellEnd"/>
      <w:r w:rsidRPr="001565AC">
        <w:rPr>
          <w:sz w:val="24"/>
          <w:szCs w:val="24"/>
          <w:lang w:bidi="ar-JO"/>
        </w:rPr>
        <w:t xml:space="preserve"> 96 %</w:t>
      </w:r>
      <w:r w:rsidRPr="001565AC">
        <w:rPr>
          <w:sz w:val="24"/>
          <w:szCs w:val="24"/>
          <w:lang w:bidi="ar-JO"/>
        </w:rPr>
        <w:tab/>
      </w:r>
      <w:r w:rsidRPr="001565AC">
        <w:rPr>
          <w:sz w:val="24"/>
          <w:szCs w:val="24"/>
          <w:lang w:bidi="ar-JO"/>
        </w:rPr>
        <w:tab/>
        <w:t>90,56 mg</w:t>
      </w:r>
    </w:p>
    <w:p w:rsidR="001565AC" w:rsidRPr="001565AC" w:rsidRDefault="001565AC" w:rsidP="001565AC">
      <w:pPr>
        <w:ind w:left="851" w:hanging="851"/>
        <w:rPr>
          <w:sz w:val="24"/>
          <w:szCs w:val="24"/>
          <w:lang w:bidi="ar-JO"/>
        </w:rPr>
      </w:pP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Alle hjælpestoffer er anført under pkt. 6.1</w:t>
      </w: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LÆGEMIDDELFORM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Oral opløsning.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Klar, farveløs opløsning.</w:t>
      </w: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KLINISKE OPLYSNINGER</w:t>
      </w: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  <w:u w:val="single"/>
        </w:rPr>
      </w:pPr>
      <w:r w:rsidRPr="001565AC">
        <w:rPr>
          <w:b/>
          <w:sz w:val="24"/>
          <w:szCs w:val="24"/>
        </w:rPr>
        <w:t>4.1</w:t>
      </w:r>
      <w:r w:rsidRPr="001565AC">
        <w:rPr>
          <w:b/>
          <w:sz w:val="24"/>
          <w:szCs w:val="24"/>
        </w:rPr>
        <w:tab/>
        <w:t>Dyrearter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>
        <w:rPr>
          <w:sz w:val="24"/>
          <w:szCs w:val="24"/>
        </w:rPr>
        <w:t>K</w:t>
      </w:r>
      <w:r w:rsidRPr="001565AC">
        <w:rPr>
          <w:sz w:val="24"/>
          <w:szCs w:val="24"/>
        </w:rPr>
        <w:t>atte og hunde.</w:t>
      </w: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pStyle w:val="Sidehoved"/>
        <w:numPr>
          <w:ilvl w:val="1"/>
          <w:numId w:val="2"/>
        </w:numPr>
        <w:tabs>
          <w:tab w:val="clear" w:pos="855"/>
          <w:tab w:val="clear" w:pos="4819"/>
          <w:tab w:val="clear" w:pos="9638"/>
        </w:tabs>
        <w:ind w:left="851" w:hanging="851"/>
        <w:rPr>
          <w:b/>
          <w:szCs w:val="24"/>
        </w:rPr>
      </w:pPr>
      <w:r w:rsidRPr="001565AC">
        <w:rPr>
          <w:b/>
          <w:szCs w:val="24"/>
        </w:rPr>
        <w:t>Terapeutiske indikationer</w:t>
      </w:r>
    </w:p>
    <w:p w:rsidR="001565AC" w:rsidRDefault="001565AC" w:rsidP="001565AC">
      <w:pPr>
        <w:ind w:left="851" w:hanging="851"/>
        <w:rPr>
          <w:b/>
          <w:sz w:val="24"/>
          <w:szCs w:val="24"/>
        </w:rPr>
      </w:pPr>
    </w:p>
    <w:p w:rsidR="001565AC" w:rsidRPr="001565AC" w:rsidRDefault="001565AC" w:rsidP="001565AC">
      <w:pPr>
        <w:ind w:left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Katte: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 xml:space="preserve">Til behandling af inficerede sår og abscesser der er forårsaget af </w:t>
      </w:r>
      <w:proofErr w:type="spellStart"/>
      <w:r w:rsidRPr="001565AC">
        <w:rPr>
          <w:sz w:val="24"/>
          <w:szCs w:val="24"/>
        </w:rPr>
        <w:t>clindamycin</w:t>
      </w:r>
      <w:proofErr w:type="spellEnd"/>
      <w:r w:rsidRPr="001565AC">
        <w:rPr>
          <w:sz w:val="24"/>
          <w:szCs w:val="24"/>
        </w:rPr>
        <w:t xml:space="preserve">-følsomme arter </w:t>
      </w:r>
      <w:r>
        <w:rPr>
          <w:sz w:val="24"/>
          <w:szCs w:val="24"/>
        </w:rPr>
        <w:t>af</w:t>
      </w:r>
      <w:r w:rsidRPr="001565AC">
        <w:rPr>
          <w:sz w:val="24"/>
          <w:szCs w:val="24"/>
        </w:rPr>
        <w:t xml:space="preserve"> </w:t>
      </w:r>
      <w:proofErr w:type="spellStart"/>
      <w:r w:rsidRPr="001565AC">
        <w:rPr>
          <w:i/>
          <w:sz w:val="24"/>
          <w:szCs w:val="24"/>
        </w:rPr>
        <w:t>Staphylococcus</w:t>
      </w:r>
      <w:proofErr w:type="spellEnd"/>
      <w:r w:rsidRPr="001565AC">
        <w:rPr>
          <w:sz w:val="24"/>
          <w:szCs w:val="24"/>
        </w:rPr>
        <w:t xml:space="preserve"> </w:t>
      </w:r>
      <w:proofErr w:type="spellStart"/>
      <w:r w:rsidRPr="00401287">
        <w:rPr>
          <w:sz w:val="24"/>
          <w:szCs w:val="24"/>
        </w:rPr>
        <w:t>spp</w:t>
      </w:r>
      <w:proofErr w:type="spellEnd"/>
      <w:r w:rsidR="00401287">
        <w:rPr>
          <w:sz w:val="24"/>
          <w:szCs w:val="24"/>
        </w:rPr>
        <w:t>.</w:t>
      </w:r>
      <w:r w:rsidRPr="001565AC">
        <w:rPr>
          <w:sz w:val="24"/>
          <w:szCs w:val="24"/>
        </w:rPr>
        <w:t xml:space="preserve"> </w:t>
      </w:r>
      <w:proofErr w:type="gramStart"/>
      <w:r w:rsidRPr="001565AC">
        <w:rPr>
          <w:sz w:val="24"/>
          <w:szCs w:val="24"/>
        </w:rPr>
        <w:t>og</w:t>
      </w:r>
      <w:proofErr w:type="gramEnd"/>
      <w:r w:rsidRPr="001565AC">
        <w:rPr>
          <w:sz w:val="24"/>
          <w:szCs w:val="24"/>
        </w:rPr>
        <w:t xml:space="preserve"> </w:t>
      </w:r>
      <w:proofErr w:type="spellStart"/>
      <w:r w:rsidRPr="001565AC">
        <w:rPr>
          <w:i/>
          <w:sz w:val="24"/>
          <w:szCs w:val="24"/>
        </w:rPr>
        <w:t>Streptococcus</w:t>
      </w:r>
      <w:proofErr w:type="spellEnd"/>
      <w:r w:rsidRPr="001565AC">
        <w:rPr>
          <w:i/>
          <w:sz w:val="24"/>
          <w:szCs w:val="24"/>
        </w:rPr>
        <w:t xml:space="preserve"> </w:t>
      </w:r>
      <w:proofErr w:type="spellStart"/>
      <w:r w:rsidRPr="00401287">
        <w:rPr>
          <w:sz w:val="24"/>
          <w:szCs w:val="24"/>
        </w:rPr>
        <w:t>spp</w:t>
      </w:r>
      <w:proofErr w:type="spellEnd"/>
      <w:r w:rsidRPr="001565AC">
        <w:rPr>
          <w:sz w:val="24"/>
          <w:szCs w:val="24"/>
        </w:rPr>
        <w:t>.</w:t>
      </w:r>
    </w:p>
    <w:p w:rsidR="001565AC" w:rsidRDefault="001565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65AC" w:rsidRPr="001565AC" w:rsidRDefault="001565AC" w:rsidP="001565AC">
      <w:pPr>
        <w:ind w:left="851" w:hanging="851"/>
        <w:rPr>
          <w:sz w:val="24"/>
          <w:szCs w:val="24"/>
        </w:rPr>
      </w:pPr>
    </w:p>
    <w:p w:rsidR="001565AC" w:rsidRPr="001565AC" w:rsidRDefault="001565AC" w:rsidP="001565AC">
      <w:pPr>
        <w:ind w:left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Hunde:</w:t>
      </w:r>
    </w:p>
    <w:p w:rsidR="001565AC" w:rsidRPr="001565AC" w:rsidRDefault="001565AC" w:rsidP="001565AC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1565AC">
        <w:rPr>
          <w:sz w:val="24"/>
          <w:szCs w:val="24"/>
        </w:rPr>
        <w:t xml:space="preserve">Til behandling af inficerede sår, abscesser og infektioner i mundhule og tænder, forårsaget af eller som forbindes med </w:t>
      </w:r>
      <w:proofErr w:type="spellStart"/>
      <w:r w:rsidRPr="001565AC">
        <w:rPr>
          <w:sz w:val="24"/>
          <w:szCs w:val="24"/>
        </w:rPr>
        <w:t>clindamycin</w:t>
      </w:r>
      <w:proofErr w:type="spellEnd"/>
      <w:r w:rsidRPr="001565AC">
        <w:rPr>
          <w:sz w:val="24"/>
          <w:szCs w:val="24"/>
        </w:rPr>
        <w:t xml:space="preserve">-følsomme arter </w:t>
      </w:r>
      <w:r>
        <w:rPr>
          <w:sz w:val="24"/>
          <w:szCs w:val="24"/>
        </w:rPr>
        <w:t>af</w:t>
      </w:r>
      <w:r w:rsidRPr="001565AC">
        <w:rPr>
          <w:sz w:val="24"/>
          <w:szCs w:val="24"/>
        </w:rPr>
        <w:t xml:space="preserve"> </w:t>
      </w:r>
      <w:proofErr w:type="spellStart"/>
      <w:r w:rsidRPr="001565AC">
        <w:rPr>
          <w:i/>
          <w:sz w:val="24"/>
          <w:szCs w:val="24"/>
        </w:rPr>
        <w:t>Staphylococcus</w:t>
      </w:r>
      <w:proofErr w:type="spellEnd"/>
      <w:r w:rsidRPr="001565AC">
        <w:rPr>
          <w:i/>
          <w:sz w:val="24"/>
          <w:szCs w:val="24"/>
        </w:rPr>
        <w:t xml:space="preserve"> </w:t>
      </w:r>
      <w:proofErr w:type="spellStart"/>
      <w:r w:rsidRPr="00401287">
        <w:rPr>
          <w:sz w:val="24"/>
          <w:szCs w:val="24"/>
        </w:rPr>
        <w:t>spp</w:t>
      </w:r>
      <w:proofErr w:type="spellEnd"/>
      <w:r w:rsidRPr="001565AC">
        <w:rPr>
          <w:i/>
          <w:sz w:val="24"/>
          <w:szCs w:val="24"/>
        </w:rPr>
        <w:t xml:space="preserve">, </w:t>
      </w:r>
      <w:proofErr w:type="spellStart"/>
      <w:r w:rsidRPr="001565AC">
        <w:rPr>
          <w:i/>
          <w:sz w:val="24"/>
          <w:szCs w:val="24"/>
        </w:rPr>
        <w:t>Streptococcus</w:t>
      </w:r>
      <w:proofErr w:type="spellEnd"/>
      <w:r w:rsidRPr="001565AC">
        <w:rPr>
          <w:i/>
          <w:sz w:val="24"/>
          <w:szCs w:val="24"/>
        </w:rPr>
        <w:t xml:space="preserve"> </w:t>
      </w:r>
      <w:proofErr w:type="spellStart"/>
      <w:r w:rsidRPr="00401287">
        <w:rPr>
          <w:sz w:val="24"/>
          <w:szCs w:val="24"/>
        </w:rPr>
        <w:t>spp</w:t>
      </w:r>
      <w:proofErr w:type="spellEnd"/>
      <w:r w:rsidRPr="001565AC">
        <w:rPr>
          <w:i/>
          <w:sz w:val="24"/>
          <w:szCs w:val="24"/>
        </w:rPr>
        <w:t xml:space="preserve">, </w:t>
      </w:r>
      <w:proofErr w:type="spellStart"/>
      <w:r w:rsidRPr="001565AC">
        <w:rPr>
          <w:i/>
          <w:sz w:val="24"/>
          <w:szCs w:val="24"/>
        </w:rPr>
        <w:t>Bacteroides</w:t>
      </w:r>
      <w:proofErr w:type="spellEnd"/>
      <w:r w:rsidRPr="001565AC">
        <w:rPr>
          <w:i/>
          <w:sz w:val="24"/>
          <w:szCs w:val="24"/>
        </w:rPr>
        <w:t xml:space="preserve"> </w:t>
      </w:r>
      <w:proofErr w:type="spellStart"/>
      <w:r w:rsidRPr="00401287">
        <w:rPr>
          <w:sz w:val="24"/>
          <w:szCs w:val="24"/>
        </w:rPr>
        <w:t>spp</w:t>
      </w:r>
      <w:proofErr w:type="spellEnd"/>
      <w:r w:rsidRPr="001565AC">
        <w:rPr>
          <w:i/>
          <w:sz w:val="24"/>
          <w:szCs w:val="24"/>
        </w:rPr>
        <w:t xml:space="preserve">, </w:t>
      </w:r>
      <w:proofErr w:type="spellStart"/>
      <w:r w:rsidR="00401287">
        <w:rPr>
          <w:i/>
          <w:sz w:val="24"/>
          <w:szCs w:val="24"/>
        </w:rPr>
        <w:t>Clostridium</w:t>
      </w:r>
      <w:proofErr w:type="spellEnd"/>
      <w:r w:rsidR="00401287">
        <w:rPr>
          <w:i/>
          <w:sz w:val="24"/>
          <w:szCs w:val="24"/>
        </w:rPr>
        <w:t xml:space="preserve"> </w:t>
      </w:r>
      <w:proofErr w:type="spellStart"/>
      <w:r w:rsidR="00401287">
        <w:rPr>
          <w:i/>
          <w:sz w:val="24"/>
          <w:szCs w:val="24"/>
        </w:rPr>
        <w:t>perfringens</w:t>
      </w:r>
      <w:proofErr w:type="spellEnd"/>
      <w:r w:rsidR="00401287">
        <w:rPr>
          <w:i/>
          <w:sz w:val="24"/>
          <w:szCs w:val="24"/>
        </w:rPr>
        <w:t xml:space="preserve">, </w:t>
      </w:r>
      <w:proofErr w:type="spellStart"/>
      <w:r w:rsidRPr="001565AC">
        <w:rPr>
          <w:i/>
          <w:sz w:val="24"/>
          <w:szCs w:val="24"/>
        </w:rPr>
        <w:t>Fusobacterium</w:t>
      </w:r>
      <w:proofErr w:type="spellEnd"/>
      <w:r w:rsidRPr="001565AC">
        <w:rPr>
          <w:i/>
          <w:sz w:val="24"/>
          <w:szCs w:val="24"/>
        </w:rPr>
        <w:t xml:space="preserve"> </w:t>
      </w:r>
      <w:proofErr w:type="spellStart"/>
      <w:r w:rsidRPr="001565AC">
        <w:rPr>
          <w:i/>
          <w:sz w:val="24"/>
          <w:szCs w:val="24"/>
        </w:rPr>
        <w:t>necrophorum</w:t>
      </w:r>
      <w:proofErr w:type="spellEnd"/>
    </w:p>
    <w:p w:rsidR="001565AC" w:rsidRPr="001565AC" w:rsidRDefault="001565AC" w:rsidP="001565AC">
      <w:pPr>
        <w:numPr>
          <w:ilvl w:val="0"/>
          <w:numId w:val="4"/>
        </w:numPr>
        <w:ind w:left="1276" w:hanging="425"/>
        <w:rPr>
          <w:rStyle w:val="hps"/>
          <w:sz w:val="24"/>
          <w:szCs w:val="24"/>
        </w:rPr>
      </w:pPr>
      <w:r w:rsidRPr="001565AC">
        <w:rPr>
          <w:rStyle w:val="hps"/>
          <w:sz w:val="24"/>
          <w:szCs w:val="24"/>
        </w:rPr>
        <w:t>Supplerende behandling</w:t>
      </w:r>
      <w:r w:rsidRPr="001565AC">
        <w:rPr>
          <w:sz w:val="24"/>
          <w:szCs w:val="24"/>
        </w:rPr>
        <w:t xml:space="preserve"> </w:t>
      </w:r>
      <w:r>
        <w:rPr>
          <w:sz w:val="24"/>
          <w:szCs w:val="24"/>
        </w:rPr>
        <w:t>ved</w:t>
      </w:r>
      <w:r w:rsidRPr="001565AC">
        <w:rPr>
          <w:rStyle w:val="hps"/>
          <w:sz w:val="24"/>
          <w:szCs w:val="24"/>
        </w:rPr>
        <w:t xml:space="preserve"> mekanisk</w:t>
      </w:r>
      <w:r w:rsidRPr="001565AC">
        <w:rPr>
          <w:sz w:val="24"/>
          <w:szCs w:val="24"/>
        </w:rPr>
        <w:t xml:space="preserve"> </w:t>
      </w:r>
      <w:r w:rsidRPr="001565AC">
        <w:rPr>
          <w:rStyle w:val="hps"/>
          <w:sz w:val="24"/>
          <w:szCs w:val="24"/>
        </w:rPr>
        <w:t>eller kirurgisk</w:t>
      </w:r>
      <w:r w:rsidRPr="001565AC">
        <w:rPr>
          <w:sz w:val="24"/>
          <w:szCs w:val="24"/>
        </w:rPr>
        <w:t xml:space="preserve"> </w:t>
      </w:r>
      <w:proofErr w:type="spellStart"/>
      <w:r w:rsidRPr="001565AC">
        <w:rPr>
          <w:rStyle w:val="hps"/>
          <w:sz w:val="24"/>
          <w:szCs w:val="24"/>
        </w:rPr>
        <w:t>periodontal</w:t>
      </w:r>
      <w:proofErr w:type="spellEnd"/>
      <w:r w:rsidRPr="001565AC">
        <w:rPr>
          <w:rStyle w:val="hps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behandling</w:t>
      </w:r>
      <w:r w:rsidRPr="001565AC">
        <w:rPr>
          <w:sz w:val="24"/>
          <w:szCs w:val="24"/>
        </w:rPr>
        <w:t xml:space="preserve"> </w:t>
      </w:r>
      <w:r w:rsidRPr="001565AC">
        <w:rPr>
          <w:rStyle w:val="hps"/>
          <w:sz w:val="24"/>
          <w:szCs w:val="24"/>
        </w:rPr>
        <w:t>i behandlingen af</w:t>
      </w:r>
      <w:r w:rsidRPr="001565AC">
        <w:rPr>
          <w:sz w:val="24"/>
          <w:szCs w:val="24"/>
        </w:rPr>
        <w:t xml:space="preserve"> </w:t>
      </w:r>
      <w:r w:rsidRPr="001565AC">
        <w:rPr>
          <w:rStyle w:val="hps"/>
          <w:sz w:val="24"/>
          <w:szCs w:val="24"/>
        </w:rPr>
        <w:t>infektioner</w:t>
      </w:r>
      <w:r w:rsidRPr="00156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1565AC">
        <w:rPr>
          <w:rStyle w:val="hps"/>
          <w:sz w:val="24"/>
          <w:szCs w:val="24"/>
        </w:rPr>
        <w:t>de</w:t>
      </w:r>
      <w:r w:rsidRPr="001565AC">
        <w:rPr>
          <w:sz w:val="24"/>
          <w:szCs w:val="24"/>
        </w:rPr>
        <w:t xml:space="preserve"> </w:t>
      </w:r>
      <w:proofErr w:type="spellStart"/>
      <w:r w:rsidRPr="001565AC">
        <w:rPr>
          <w:rStyle w:val="hps"/>
          <w:sz w:val="24"/>
          <w:szCs w:val="24"/>
        </w:rPr>
        <w:t>gingivale</w:t>
      </w:r>
      <w:proofErr w:type="spellEnd"/>
      <w:r w:rsidRPr="001565AC">
        <w:rPr>
          <w:sz w:val="24"/>
          <w:szCs w:val="24"/>
        </w:rPr>
        <w:t xml:space="preserve"> </w:t>
      </w:r>
      <w:r w:rsidRPr="001565AC">
        <w:rPr>
          <w:rStyle w:val="hps"/>
          <w:sz w:val="24"/>
          <w:szCs w:val="24"/>
        </w:rPr>
        <w:t xml:space="preserve">og </w:t>
      </w:r>
      <w:proofErr w:type="spellStart"/>
      <w:r w:rsidRPr="001565AC">
        <w:rPr>
          <w:rStyle w:val="hps"/>
          <w:sz w:val="24"/>
          <w:szCs w:val="24"/>
        </w:rPr>
        <w:t>periodontale</w:t>
      </w:r>
      <w:proofErr w:type="spellEnd"/>
      <w:r w:rsidRPr="001565AC">
        <w:rPr>
          <w:sz w:val="24"/>
          <w:szCs w:val="24"/>
        </w:rPr>
        <w:t xml:space="preserve"> </w:t>
      </w:r>
      <w:r w:rsidRPr="001565AC">
        <w:rPr>
          <w:rStyle w:val="hps"/>
          <w:sz w:val="24"/>
          <w:szCs w:val="24"/>
        </w:rPr>
        <w:t>væv</w:t>
      </w:r>
    </w:p>
    <w:p w:rsidR="001565AC" w:rsidRPr="001565AC" w:rsidRDefault="001565AC" w:rsidP="001565AC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1565AC">
        <w:rPr>
          <w:sz w:val="24"/>
          <w:szCs w:val="24"/>
        </w:rPr>
        <w:t xml:space="preserve">Til behandling af </w:t>
      </w:r>
      <w:proofErr w:type="spellStart"/>
      <w:r w:rsidRPr="001565AC">
        <w:rPr>
          <w:sz w:val="24"/>
          <w:szCs w:val="24"/>
        </w:rPr>
        <w:t>osteomyelitis</w:t>
      </w:r>
      <w:proofErr w:type="spellEnd"/>
      <w:r w:rsidRPr="001565AC">
        <w:rPr>
          <w:sz w:val="24"/>
          <w:szCs w:val="24"/>
        </w:rPr>
        <w:t xml:space="preserve">, forårsaget af </w:t>
      </w:r>
      <w:proofErr w:type="spellStart"/>
      <w:r w:rsidRPr="001565AC">
        <w:rPr>
          <w:i/>
          <w:sz w:val="24"/>
          <w:szCs w:val="24"/>
        </w:rPr>
        <w:t>Staphylococcus</w:t>
      </w:r>
      <w:proofErr w:type="spellEnd"/>
      <w:r w:rsidRPr="001565AC">
        <w:rPr>
          <w:i/>
          <w:sz w:val="24"/>
          <w:szCs w:val="24"/>
        </w:rPr>
        <w:t xml:space="preserve"> </w:t>
      </w:r>
      <w:proofErr w:type="spellStart"/>
      <w:r w:rsidRPr="001565AC">
        <w:rPr>
          <w:i/>
          <w:sz w:val="24"/>
          <w:szCs w:val="24"/>
        </w:rPr>
        <w:t>aureus</w:t>
      </w:r>
      <w:proofErr w:type="spellEnd"/>
    </w:p>
    <w:p w:rsidR="00DF32BE" w:rsidRPr="001565AC" w:rsidRDefault="00DF32BE" w:rsidP="001565AC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1565AC" w:rsidRDefault="00DF32BE" w:rsidP="001565AC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1565AC">
        <w:rPr>
          <w:b/>
          <w:szCs w:val="24"/>
        </w:rPr>
        <w:t>4.3</w:t>
      </w:r>
      <w:r w:rsidRPr="001565AC">
        <w:rPr>
          <w:b/>
          <w:szCs w:val="24"/>
        </w:rPr>
        <w:tab/>
        <w:t>Kontraindikationer</w:t>
      </w:r>
    </w:p>
    <w:p w:rsidR="00401287" w:rsidRDefault="00401287" w:rsidP="00401287">
      <w:pPr>
        <w:ind w:left="851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Bør ikke anvendes til kaniner, hamstre, marsvin, chinchillaer, heste eller drøvtyggere, da indtagelsen af </w:t>
      </w:r>
      <w:proofErr w:type="spellStart"/>
      <w:r>
        <w:rPr>
          <w:sz w:val="24"/>
          <w:szCs w:val="24"/>
          <w:lang w:bidi="ar-JO"/>
        </w:rPr>
        <w:t>clindamycin</w:t>
      </w:r>
      <w:proofErr w:type="spellEnd"/>
      <w:r>
        <w:rPr>
          <w:sz w:val="24"/>
          <w:szCs w:val="24"/>
          <w:lang w:bidi="ar-JO"/>
        </w:rPr>
        <w:t xml:space="preserve"> kan medføre alvorlige </w:t>
      </w:r>
      <w:proofErr w:type="spellStart"/>
      <w:r>
        <w:rPr>
          <w:sz w:val="24"/>
          <w:szCs w:val="24"/>
          <w:lang w:bidi="ar-JO"/>
        </w:rPr>
        <w:t>gastrointestinale</w:t>
      </w:r>
      <w:proofErr w:type="spellEnd"/>
      <w:r>
        <w:rPr>
          <w:sz w:val="24"/>
          <w:szCs w:val="24"/>
          <w:lang w:bidi="ar-JO"/>
        </w:rPr>
        <w:t xml:space="preserve"> forstyrrelser hos disse arter,</w:t>
      </w:r>
      <w:r>
        <w:rPr>
          <w:b/>
          <w:sz w:val="24"/>
          <w:szCs w:val="24"/>
          <w:lang w:bidi="ar-JO"/>
        </w:rPr>
        <w:t xml:space="preserve"> </w:t>
      </w:r>
      <w:r>
        <w:rPr>
          <w:sz w:val="24"/>
          <w:szCs w:val="24"/>
          <w:lang w:bidi="ar-JO"/>
        </w:rPr>
        <w:t xml:space="preserve">som til tider kan være fatal. </w:t>
      </w:r>
    </w:p>
    <w:p w:rsidR="001565AC" w:rsidRPr="001565AC" w:rsidRDefault="001565AC" w:rsidP="001565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rtl/>
          <w:lang w:bidi="ar-JO"/>
        </w:rPr>
      </w:pPr>
    </w:p>
    <w:p w:rsidR="001565AC" w:rsidRPr="001565AC" w:rsidRDefault="001565AC" w:rsidP="001565A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1565AC">
        <w:rPr>
          <w:szCs w:val="24"/>
        </w:rPr>
        <w:t xml:space="preserve">Bør ikke anvendes i tilfælde af overfølsomhed over for </w:t>
      </w:r>
      <w:proofErr w:type="spellStart"/>
      <w:r w:rsidRPr="001565AC">
        <w:rPr>
          <w:szCs w:val="24"/>
        </w:rPr>
        <w:t>clindamycin</w:t>
      </w:r>
      <w:proofErr w:type="spellEnd"/>
      <w:r w:rsidRPr="001565AC">
        <w:rPr>
          <w:szCs w:val="24"/>
        </w:rPr>
        <w:t xml:space="preserve"> eller </w:t>
      </w:r>
      <w:proofErr w:type="spellStart"/>
      <w:r w:rsidRPr="001565AC">
        <w:rPr>
          <w:szCs w:val="24"/>
        </w:rPr>
        <w:t>lincomycin</w:t>
      </w:r>
      <w:proofErr w:type="spellEnd"/>
      <w:r w:rsidRPr="001565AC">
        <w:rPr>
          <w:szCs w:val="24"/>
        </w:rPr>
        <w:t>, eller over for et eller flere af hjælpestofferne.</w:t>
      </w:r>
    </w:p>
    <w:p w:rsidR="00DF32BE" w:rsidRPr="001565AC" w:rsidRDefault="00DF32BE" w:rsidP="001565AC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4.4</w:t>
      </w:r>
      <w:r w:rsidRPr="001565AC">
        <w:rPr>
          <w:b/>
          <w:sz w:val="24"/>
          <w:szCs w:val="24"/>
        </w:rPr>
        <w:tab/>
        <w:t>Sæ</w:t>
      </w:r>
      <w:r w:rsidR="001577E4" w:rsidRPr="001565AC">
        <w:rPr>
          <w:b/>
          <w:sz w:val="24"/>
          <w:szCs w:val="24"/>
        </w:rPr>
        <w:t>rlige advarsler</w:t>
      </w:r>
    </w:p>
    <w:p w:rsidR="001565AC" w:rsidRPr="001565AC" w:rsidRDefault="00DF32BE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</w:rPr>
        <w:t>Ingen.</w:t>
      </w:r>
    </w:p>
    <w:p w:rsidR="00DF32BE" w:rsidRPr="001565AC" w:rsidRDefault="00DF32BE" w:rsidP="001565AC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4.5</w:t>
      </w:r>
      <w:r w:rsidRPr="001565AC">
        <w:rPr>
          <w:b/>
          <w:sz w:val="24"/>
          <w:szCs w:val="24"/>
        </w:rPr>
        <w:tab/>
        <w:t>Særlige forsigtighedsregler vedrørende brugen</w:t>
      </w: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ab/>
      </w: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ab/>
        <w:t>Særlige forsigtighedsregler for dyret</w:t>
      </w:r>
    </w:p>
    <w:p w:rsidR="001565AC" w:rsidRPr="001565AC" w:rsidRDefault="001565AC" w:rsidP="001565AC">
      <w:pPr>
        <w:ind w:left="851" w:hanging="851"/>
        <w:rPr>
          <w:bCs/>
          <w:iCs/>
          <w:sz w:val="24"/>
          <w:szCs w:val="24"/>
          <w:lang w:bidi="ar-JO"/>
        </w:rPr>
      </w:pPr>
      <w:r w:rsidRPr="001565AC">
        <w:rPr>
          <w:b/>
          <w:sz w:val="24"/>
          <w:szCs w:val="24"/>
        </w:rPr>
        <w:tab/>
      </w:r>
      <w:r w:rsidRPr="001565AC">
        <w:rPr>
          <w:bCs/>
          <w:iCs/>
          <w:sz w:val="24"/>
          <w:szCs w:val="24"/>
          <w:lang w:bidi="ar-JO"/>
        </w:rPr>
        <w:t>Uhensigtsmæssig brug af produktet kan øge prævalensen</w:t>
      </w:r>
      <w:r>
        <w:rPr>
          <w:bCs/>
          <w:iCs/>
          <w:sz w:val="24"/>
          <w:szCs w:val="24"/>
          <w:lang w:bidi="ar-JO"/>
        </w:rPr>
        <w:t xml:space="preserve"> af bakterier</w:t>
      </w:r>
      <w:r w:rsidRPr="001565AC">
        <w:rPr>
          <w:bCs/>
          <w:iCs/>
          <w:sz w:val="24"/>
          <w:szCs w:val="24"/>
          <w:lang w:bidi="ar-JO"/>
        </w:rPr>
        <w:t>, der er resistente</w:t>
      </w:r>
      <w:r>
        <w:rPr>
          <w:bCs/>
          <w:iCs/>
          <w:sz w:val="24"/>
          <w:szCs w:val="24"/>
          <w:lang w:bidi="ar-JO"/>
        </w:rPr>
        <w:t xml:space="preserve"> </w:t>
      </w:r>
      <w:r w:rsidRPr="001565AC">
        <w:rPr>
          <w:bCs/>
          <w:iCs/>
          <w:sz w:val="24"/>
          <w:szCs w:val="24"/>
          <w:lang w:bidi="ar-JO"/>
        </w:rPr>
        <w:t>over</w:t>
      </w:r>
      <w:r>
        <w:rPr>
          <w:bCs/>
          <w:iCs/>
          <w:sz w:val="24"/>
          <w:szCs w:val="24"/>
          <w:lang w:bidi="ar-JO"/>
        </w:rPr>
        <w:t xml:space="preserve"> </w:t>
      </w:r>
      <w:r w:rsidRPr="001565AC">
        <w:rPr>
          <w:bCs/>
          <w:iCs/>
          <w:sz w:val="24"/>
          <w:szCs w:val="24"/>
          <w:lang w:bidi="ar-JO"/>
        </w:rPr>
        <w:t xml:space="preserve">for </w:t>
      </w:r>
      <w:proofErr w:type="spellStart"/>
      <w:r w:rsidRPr="001565AC">
        <w:rPr>
          <w:bCs/>
          <w:iCs/>
          <w:sz w:val="24"/>
          <w:szCs w:val="24"/>
          <w:lang w:bidi="ar-JO"/>
        </w:rPr>
        <w:t>clindamycin</w:t>
      </w:r>
      <w:proofErr w:type="spellEnd"/>
      <w:r w:rsidRPr="001565AC">
        <w:rPr>
          <w:bCs/>
          <w:iCs/>
          <w:sz w:val="24"/>
          <w:szCs w:val="24"/>
          <w:lang w:bidi="ar-JO"/>
        </w:rPr>
        <w:t xml:space="preserve">. </w:t>
      </w:r>
      <w:proofErr w:type="spellStart"/>
      <w:r w:rsidRPr="001565AC">
        <w:rPr>
          <w:sz w:val="24"/>
          <w:szCs w:val="24"/>
          <w:lang w:bidi="ar-JO"/>
        </w:rPr>
        <w:t>Clindamycin</w:t>
      </w:r>
      <w:proofErr w:type="spellEnd"/>
      <w:r w:rsidRPr="001565AC">
        <w:rPr>
          <w:sz w:val="24"/>
          <w:szCs w:val="24"/>
          <w:lang w:bidi="ar-JO"/>
        </w:rPr>
        <w:t xml:space="preserve"> bør så vidt muligt kun anvendes efter følsomhedstests. Der skal tages hensyn til officielle nationale og lokale antimikrobielle </w:t>
      </w:r>
      <w:proofErr w:type="spellStart"/>
      <w:r w:rsidR="0066338F">
        <w:rPr>
          <w:sz w:val="24"/>
          <w:szCs w:val="24"/>
          <w:lang w:bidi="ar-JO"/>
        </w:rPr>
        <w:t>retningslinier</w:t>
      </w:r>
      <w:proofErr w:type="spellEnd"/>
      <w:r w:rsidRPr="001565AC">
        <w:rPr>
          <w:sz w:val="24"/>
          <w:szCs w:val="24"/>
          <w:lang w:bidi="ar-JO"/>
        </w:rPr>
        <w:t>.</w:t>
      </w:r>
    </w:p>
    <w:p w:rsidR="001565AC" w:rsidRPr="001565AC" w:rsidRDefault="001565AC" w:rsidP="001565AC">
      <w:pPr>
        <w:ind w:left="851"/>
        <w:rPr>
          <w:sz w:val="24"/>
          <w:szCs w:val="24"/>
          <w:lang w:bidi="ar-JO"/>
        </w:rPr>
      </w:pPr>
      <w:proofErr w:type="spellStart"/>
      <w:r w:rsidRPr="001565AC">
        <w:rPr>
          <w:sz w:val="24"/>
          <w:szCs w:val="24"/>
          <w:lang w:bidi="ar-JO"/>
        </w:rPr>
        <w:t>Clindamycin</w:t>
      </w:r>
      <w:proofErr w:type="spellEnd"/>
      <w:r w:rsidRPr="001565AC">
        <w:rPr>
          <w:sz w:val="24"/>
          <w:szCs w:val="24"/>
          <w:lang w:bidi="ar-JO"/>
        </w:rPr>
        <w:t xml:space="preserve"> udviser parallel-resistens med </w:t>
      </w:r>
      <w:proofErr w:type="spellStart"/>
      <w:r w:rsidRPr="001565AC">
        <w:rPr>
          <w:sz w:val="24"/>
          <w:szCs w:val="24"/>
          <w:lang w:bidi="ar-JO"/>
        </w:rPr>
        <w:t>lincomycin</w:t>
      </w:r>
      <w:proofErr w:type="spellEnd"/>
      <w:r w:rsidRPr="001565AC">
        <w:rPr>
          <w:sz w:val="24"/>
          <w:szCs w:val="24"/>
          <w:lang w:bidi="ar-JO"/>
        </w:rPr>
        <w:t xml:space="preserve"> og </w:t>
      </w:r>
      <w:proofErr w:type="spellStart"/>
      <w:r w:rsidRPr="001565AC">
        <w:rPr>
          <w:sz w:val="24"/>
          <w:szCs w:val="24"/>
          <w:lang w:bidi="ar-JO"/>
        </w:rPr>
        <w:t>co</w:t>
      </w:r>
      <w:proofErr w:type="spellEnd"/>
      <w:r w:rsidRPr="001565AC">
        <w:rPr>
          <w:sz w:val="24"/>
          <w:szCs w:val="24"/>
          <w:lang w:bidi="ar-JO"/>
        </w:rPr>
        <w:t xml:space="preserve">-resistens med </w:t>
      </w:r>
      <w:proofErr w:type="spellStart"/>
      <w:r w:rsidRPr="001565AC">
        <w:rPr>
          <w:sz w:val="24"/>
          <w:szCs w:val="24"/>
          <w:lang w:bidi="ar-JO"/>
        </w:rPr>
        <w:t>erythromycin</w:t>
      </w:r>
      <w:proofErr w:type="spellEnd"/>
      <w:r w:rsidRPr="001565AC">
        <w:rPr>
          <w:sz w:val="24"/>
          <w:szCs w:val="24"/>
          <w:lang w:bidi="ar-JO"/>
        </w:rPr>
        <w:t xml:space="preserve">. Der er delvis kryds-resistens med </w:t>
      </w:r>
      <w:proofErr w:type="spellStart"/>
      <w:r w:rsidRPr="001565AC">
        <w:rPr>
          <w:sz w:val="24"/>
          <w:szCs w:val="24"/>
          <w:lang w:bidi="ar-JO"/>
        </w:rPr>
        <w:t>erythromycin</w:t>
      </w:r>
      <w:proofErr w:type="spellEnd"/>
      <w:r w:rsidRPr="001565AC">
        <w:rPr>
          <w:sz w:val="24"/>
          <w:szCs w:val="24"/>
          <w:lang w:bidi="ar-JO"/>
        </w:rPr>
        <w:t xml:space="preserve"> og andre </w:t>
      </w:r>
      <w:proofErr w:type="spellStart"/>
      <w:r w:rsidRPr="001565AC">
        <w:rPr>
          <w:sz w:val="24"/>
          <w:szCs w:val="24"/>
          <w:lang w:bidi="ar-JO"/>
        </w:rPr>
        <w:t>macrolider</w:t>
      </w:r>
      <w:proofErr w:type="spellEnd"/>
      <w:r w:rsidRPr="001565AC">
        <w:rPr>
          <w:sz w:val="24"/>
          <w:szCs w:val="24"/>
          <w:lang w:bidi="ar-JO"/>
        </w:rPr>
        <w:t xml:space="preserve">. </w:t>
      </w:r>
    </w:p>
    <w:p w:rsidR="001565AC" w:rsidRPr="001565AC" w:rsidRDefault="001565AC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ab/>
      </w:r>
      <w:r w:rsidRPr="001565AC">
        <w:rPr>
          <w:sz w:val="24"/>
          <w:szCs w:val="24"/>
          <w:lang w:bidi="ar-JO"/>
        </w:rPr>
        <w:t xml:space="preserve">Hvis der gives høje doser </w:t>
      </w:r>
      <w:proofErr w:type="spellStart"/>
      <w:r w:rsidRPr="001565AC">
        <w:rPr>
          <w:sz w:val="24"/>
          <w:szCs w:val="24"/>
          <w:lang w:bidi="ar-JO"/>
        </w:rPr>
        <w:t>clindamycin</w:t>
      </w:r>
      <w:proofErr w:type="spellEnd"/>
      <w:r w:rsidRPr="001565AC">
        <w:rPr>
          <w:sz w:val="24"/>
          <w:szCs w:val="24"/>
          <w:lang w:bidi="ar-JO"/>
        </w:rPr>
        <w:t xml:space="preserve">, eller i tilfælde af længerevarende </w:t>
      </w:r>
      <w:r w:rsidR="0066338F">
        <w:rPr>
          <w:sz w:val="24"/>
          <w:szCs w:val="24"/>
          <w:lang w:bidi="ar-JO"/>
        </w:rPr>
        <w:t xml:space="preserve">behandling </w:t>
      </w:r>
      <w:r w:rsidRPr="001565AC">
        <w:rPr>
          <w:sz w:val="24"/>
          <w:szCs w:val="24"/>
          <w:lang w:bidi="ar-JO"/>
        </w:rPr>
        <w:t xml:space="preserve">på </w:t>
      </w:r>
      <w:r w:rsidR="0066338F">
        <w:rPr>
          <w:sz w:val="24"/>
          <w:szCs w:val="24"/>
          <w:lang w:bidi="ar-JO"/>
        </w:rPr>
        <w:t xml:space="preserve">1 </w:t>
      </w:r>
      <w:r w:rsidRPr="001565AC">
        <w:rPr>
          <w:sz w:val="24"/>
          <w:szCs w:val="24"/>
          <w:lang w:bidi="ar-JO"/>
        </w:rPr>
        <w:t>måned</w:t>
      </w:r>
      <w:r w:rsidR="0066338F">
        <w:rPr>
          <w:sz w:val="24"/>
          <w:szCs w:val="24"/>
          <w:lang w:bidi="ar-JO"/>
        </w:rPr>
        <w:t xml:space="preserve"> eller mere</w:t>
      </w:r>
      <w:r w:rsidRPr="001565AC">
        <w:rPr>
          <w:sz w:val="24"/>
          <w:szCs w:val="24"/>
          <w:lang w:bidi="ar-JO"/>
        </w:rPr>
        <w:t>, skal lever- og nyrefunktion</w:t>
      </w:r>
      <w:r w:rsidR="0066338F">
        <w:rPr>
          <w:sz w:val="24"/>
          <w:szCs w:val="24"/>
          <w:lang w:bidi="ar-JO"/>
        </w:rPr>
        <w:t xml:space="preserve"> og blodparametre</w:t>
      </w:r>
      <w:r w:rsidRPr="001565AC">
        <w:rPr>
          <w:sz w:val="24"/>
          <w:szCs w:val="24"/>
          <w:lang w:bidi="ar-JO"/>
        </w:rPr>
        <w:t xml:space="preserve"> kontrolleres regelmæssig</w:t>
      </w:r>
      <w:r w:rsidR="0066338F">
        <w:rPr>
          <w:sz w:val="24"/>
          <w:szCs w:val="24"/>
          <w:lang w:bidi="ar-JO"/>
        </w:rPr>
        <w:t>t</w:t>
      </w:r>
      <w:r w:rsidRPr="001565AC">
        <w:rPr>
          <w:sz w:val="24"/>
          <w:szCs w:val="24"/>
          <w:lang w:bidi="ar-JO"/>
        </w:rPr>
        <w:t xml:space="preserve">. </w:t>
      </w:r>
      <w:r w:rsidR="0066338F">
        <w:rPr>
          <w:sz w:val="24"/>
          <w:szCs w:val="24"/>
          <w:lang w:bidi="ar-JO"/>
        </w:rPr>
        <w:t>H</w:t>
      </w:r>
      <w:r w:rsidRPr="001565AC">
        <w:rPr>
          <w:sz w:val="24"/>
          <w:szCs w:val="24"/>
          <w:lang w:bidi="ar-JO"/>
        </w:rPr>
        <w:t>unde og katte med nyreproblemer og/eller leverproblemer, ledsaget af alvorlige metaboliske</w:t>
      </w:r>
      <w:r w:rsidRPr="001565AC">
        <w:rPr>
          <w:b/>
          <w:sz w:val="24"/>
          <w:szCs w:val="24"/>
        </w:rPr>
        <w:t xml:space="preserve"> </w:t>
      </w:r>
      <w:r w:rsidR="0066338F">
        <w:rPr>
          <w:sz w:val="24"/>
          <w:szCs w:val="24"/>
        </w:rPr>
        <w:t>afvigelser</w:t>
      </w:r>
      <w:r w:rsidRPr="001565AC">
        <w:rPr>
          <w:sz w:val="24"/>
          <w:szCs w:val="24"/>
          <w:lang w:bidi="ar-JO"/>
        </w:rPr>
        <w:t xml:space="preserve">, bør </w:t>
      </w:r>
      <w:r w:rsidR="0066338F">
        <w:rPr>
          <w:sz w:val="24"/>
          <w:szCs w:val="24"/>
          <w:lang w:bidi="ar-JO"/>
        </w:rPr>
        <w:t>doseres med forsigtighed</w:t>
      </w:r>
      <w:r w:rsidRPr="001565AC">
        <w:rPr>
          <w:sz w:val="24"/>
          <w:szCs w:val="24"/>
          <w:lang w:bidi="ar-JO"/>
        </w:rPr>
        <w:t>, og dyrets tilstand bør følges nøje ved hjælp af</w:t>
      </w:r>
      <w:r w:rsidRPr="001565AC">
        <w:rPr>
          <w:b/>
          <w:sz w:val="24"/>
          <w:szCs w:val="24"/>
        </w:rPr>
        <w:t xml:space="preserve"> </w:t>
      </w:r>
      <w:r w:rsidRPr="001565AC">
        <w:rPr>
          <w:sz w:val="24"/>
          <w:szCs w:val="24"/>
          <w:lang w:bidi="ar-JO"/>
        </w:rPr>
        <w:t xml:space="preserve">serumtests under behandlingen. </w:t>
      </w:r>
    </w:p>
    <w:p w:rsidR="00DF32BE" w:rsidRDefault="00DF32BE" w:rsidP="001565AC">
      <w:pPr>
        <w:ind w:left="851" w:hanging="851"/>
        <w:rPr>
          <w:sz w:val="24"/>
          <w:szCs w:val="24"/>
        </w:rPr>
      </w:pPr>
    </w:p>
    <w:p w:rsidR="00401287" w:rsidRDefault="00401287" w:rsidP="00401287">
      <w:pPr>
        <w:ind w:left="851" w:hanging="851"/>
      </w:pPr>
      <w:r>
        <w:t xml:space="preserve">               Det anbefales ikke at bruge produktet til nyfødte.</w:t>
      </w:r>
    </w:p>
    <w:p w:rsidR="00401287" w:rsidRPr="001565AC" w:rsidRDefault="00401287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sz w:val="24"/>
          <w:szCs w:val="24"/>
        </w:rPr>
        <w:tab/>
      </w:r>
      <w:r w:rsidRPr="001565AC">
        <w:rPr>
          <w:b/>
          <w:sz w:val="24"/>
          <w:szCs w:val="24"/>
        </w:rPr>
        <w:t>Særlige forsigtighedsregler for personer, der administrerer lægemidlet</w:t>
      </w:r>
    </w:p>
    <w:p w:rsidR="001565AC" w:rsidRPr="001565AC" w:rsidRDefault="00DF32BE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  <w:lang w:bidi="ar-JO"/>
        </w:rPr>
        <w:t>Vask hænder efter administration.</w:t>
      </w:r>
    </w:p>
    <w:p w:rsidR="001565AC" w:rsidRPr="001565AC" w:rsidRDefault="001565AC" w:rsidP="001565AC">
      <w:pPr>
        <w:ind w:left="851"/>
        <w:rPr>
          <w:sz w:val="24"/>
          <w:szCs w:val="24"/>
          <w:rtl/>
        </w:rPr>
      </w:pPr>
      <w:r w:rsidRPr="001565AC">
        <w:rPr>
          <w:sz w:val="24"/>
          <w:szCs w:val="24"/>
        </w:rPr>
        <w:t xml:space="preserve">Personer med kendt </w:t>
      </w:r>
      <w:r w:rsidR="0066338F">
        <w:rPr>
          <w:sz w:val="24"/>
          <w:szCs w:val="24"/>
        </w:rPr>
        <w:t>overfølsomhed</w:t>
      </w:r>
      <w:r w:rsidRPr="001565AC">
        <w:rPr>
          <w:sz w:val="24"/>
          <w:szCs w:val="24"/>
        </w:rPr>
        <w:t xml:space="preserve"> over</w:t>
      </w:r>
      <w:r w:rsidR="0066338F">
        <w:rPr>
          <w:sz w:val="24"/>
          <w:szCs w:val="24"/>
        </w:rPr>
        <w:t xml:space="preserve"> </w:t>
      </w:r>
      <w:r w:rsidRPr="001565AC">
        <w:rPr>
          <w:sz w:val="24"/>
          <w:szCs w:val="24"/>
        </w:rPr>
        <w:t xml:space="preserve">for </w:t>
      </w:r>
      <w:proofErr w:type="spellStart"/>
      <w:r w:rsidRPr="001565AC">
        <w:rPr>
          <w:sz w:val="24"/>
          <w:szCs w:val="24"/>
        </w:rPr>
        <w:t>lincosamider</w:t>
      </w:r>
      <w:proofErr w:type="spellEnd"/>
      <w:r w:rsidRPr="001565AC">
        <w:rPr>
          <w:sz w:val="24"/>
          <w:szCs w:val="24"/>
        </w:rPr>
        <w:t xml:space="preserve"> (</w:t>
      </w:r>
      <w:proofErr w:type="spellStart"/>
      <w:r w:rsidRPr="001565AC">
        <w:rPr>
          <w:sz w:val="24"/>
          <w:szCs w:val="24"/>
        </w:rPr>
        <w:t>lincomycin</w:t>
      </w:r>
      <w:proofErr w:type="spellEnd"/>
      <w:r w:rsidRPr="001565AC">
        <w:rPr>
          <w:sz w:val="24"/>
          <w:szCs w:val="24"/>
        </w:rPr>
        <w:t xml:space="preserve"> og </w:t>
      </w:r>
      <w:proofErr w:type="spellStart"/>
      <w:r w:rsidRPr="001565AC">
        <w:rPr>
          <w:sz w:val="24"/>
          <w:szCs w:val="24"/>
        </w:rPr>
        <w:t>clindamycin</w:t>
      </w:r>
      <w:proofErr w:type="spellEnd"/>
      <w:r w:rsidRPr="001565AC">
        <w:rPr>
          <w:sz w:val="24"/>
          <w:szCs w:val="24"/>
        </w:rPr>
        <w:t xml:space="preserve">) bør undgå kontakt med dette veterinærlægemiddel. 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I tilfælde af selvindgivelse ved hændeligt uheld skal der straks søges lægehjælp, og indlægssedlen eller etiketten bør vises til lægen.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sz w:val="24"/>
          <w:szCs w:val="24"/>
        </w:rPr>
        <w:tab/>
      </w:r>
      <w:r w:rsidRPr="001565AC">
        <w:rPr>
          <w:b/>
          <w:sz w:val="24"/>
          <w:szCs w:val="24"/>
        </w:rPr>
        <w:t>Andre forsigtighedsregler</w:t>
      </w:r>
    </w:p>
    <w:p w:rsidR="001565AC" w:rsidRPr="001565AC" w:rsidRDefault="001565AC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  <w:t>Ingen.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4.6</w:t>
      </w:r>
      <w:r w:rsidRPr="001565AC">
        <w:rPr>
          <w:b/>
          <w:sz w:val="24"/>
          <w:szCs w:val="24"/>
        </w:rPr>
        <w:tab/>
        <w:t>Bivirkninger</w:t>
      </w:r>
    </w:p>
    <w:p w:rsidR="00401287" w:rsidRDefault="00401287" w:rsidP="00401287">
      <w:pPr>
        <w:ind w:left="851"/>
        <w:rPr>
          <w:sz w:val="24"/>
          <w:szCs w:val="24"/>
        </w:rPr>
      </w:pPr>
      <w:r>
        <w:rPr>
          <w:sz w:val="24"/>
          <w:szCs w:val="24"/>
          <w:lang w:bidi="ar-JO"/>
        </w:rPr>
        <w:t>Sløvhed, opkast og diarré kan forekomme i meget sjældne tilfælde</w:t>
      </w:r>
      <w:r>
        <w:rPr>
          <w:sz w:val="24"/>
          <w:szCs w:val="24"/>
          <w:lang w:bidi="ar-JO"/>
        </w:rPr>
        <w:t>.</w:t>
      </w:r>
    </w:p>
    <w:p w:rsidR="00401287" w:rsidRDefault="00401287" w:rsidP="00401287">
      <w:pPr>
        <w:ind w:left="851"/>
        <w:rPr>
          <w:sz w:val="24"/>
          <w:szCs w:val="24"/>
          <w:lang w:bidi="ar-JO"/>
        </w:rPr>
      </w:pPr>
      <w:proofErr w:type="spellStart"/>
      <w:r>
        <w:rPr>
          <w:sz w:val="24"/>
          <w:szCs w:val="24"/>
          <w:lang w:bidi="ar-JO"/>
        </w:rPr>
        <w:lastRenderedPageBreak/>
        <w:t>Clindamycin</w:t>
      </w:r>
      <w:proofErr w:type="spellEnd"/>
      <w:r>
        <w:rPr>
          <w:sz w:val="24"/>
          <w:szCs w:val="24"/>
          <w:lang w:bidi="ar-JO"/>
        </w:rPr>
        <w:t xml:space="preserve"> kan forårsage overvækst af ikke-følsomme organismer, såsom resistente </w:t>
      </w:r>
      <w:proofErr w:type="spellStart"/>
      <w:r>
        <w:rPr>
          <w:i/>
          <w:iCs/>
          <w:sz w:val="24"/>
          <w:szCs w:val="24"/>
          <w:lang w:bidi="ar-JO"/>
        </w:rPr>
        <w:t>clostridier</w:t>
      </w:r>
      <w:proofErr w:type="spellEnd"/>
      <w:r>
        <w:rPr>
          <w:sz w:val="24"/>
          <w:szCs w:val="24"/>
          <w:lang w:bidi="ar-JO"/>
        </w:rPr>
        <w:t xml:space="preserve"> og gærsvampe. I tilfælde af sekundær infektion, bør behandlingen indstilles og passende foranstaltninger bør træffes, baseret på den kliniske situation.</w:t>
      </w:r>
    </w:p>
    <w:p w:rsidR="001565AC" w:rsidRDefault="001565AC" w:rsidP="00401287">
      <w:pPr>
        <w:ind w:left="851"/>
        <w:rPr>
          <w:sz w:val="24"/>
          <w:szCs w:val="24"/>
          <w:lang w:bidi="ar-JO"/>
        </w:rPr>
      </w:pPr>
      <w:proofErr w:type="spellStart"/>
      <w:r w:rsidRPr="001565AC">
        <w:rPr>
          <w:sz w:val="24"/>
          <w:szCs w:val="24"/>
          <w:lang w:bidi="ar-JO"/>
        </w:rPr>
        <w:t>Clindamycin</w:t>
      </w:r>
      <w:proofErr w:type="spellEnd"/>
      <w:r w:rsidRPr="001565AC">
        <w:rPr>
          <w:sz w:val="24"/>
          <w:szCs w:val="24"/>
          <w:lang w:bidi="ar-JO"/>
        </w:rPr>
        <w:t xml:space="preserve"> </w:t>
      </w:r>
      <w:r w:rsidR="0066338F">
        <w:rPr>
          <w:sz w:val="24"/>
          <w:szCs w:val="24"/>
          <w:lang w:bidi="ar-JO"/>
        </w:rPr>
        <w:t xml:space="preserve">kan </w:t>
      </w:r>
      <w:r w:rsidRPr="001565AC">
        <w:rPr>
          <w:sz w:val="24"/>
          <w:szCs w:val="24"/>
          <w:lang w:bidi="ar-JO"/>
        </w:rPr>
        <w:t xml:space="preserve">forårsage overvækst af ikke-følsomme organismer, såsom resistente </w:t>
      </w:r>
      <w:proofErr w:type="spellStart"/>
      <w:r w:rsidRPr="001565AC">
        <w:rPr>
          <w:sz w:val="24"/>
          <w:szCs w:val="24"/>
          <w:lang w:bidi="ar-JO"/>
        </w:rPr>
        <w:t>clostridier</w:t>
      </w:r>
      <w:proofErr w:type="spellEnd"/>
      <w:r w:rsidRPr="001565AC">
        <w:rPr>
          <w:sz w:val="24"/>
          <w:szCs w:val="24"/>
          <w:lang w:bidi="ar-JO"/>
        </w:rPr>
        <w:t xml:space="preserve"> og gærsvampe. Hvis der opstår superinfektion, bør behandlingen indstilles og passende foranstaltninger bør træffes, baseret på den kliniske situation. </w:t>
      </w:r>
    </w:p>
    <w:p w:rsidR="00401287" w:rsidRDefault="00401287" w:rsidP="00401287">
      <w:pPr>
        <w:ind w:left="851"/>
        <w:rPr>
          <w:sz w:val="24"/>
          <w:szCs w:val="24"/>
          <w:lang w:bidi="ar-JO"/>
        </w:rPr>
      </w:pPr>
    </w:p>
    <w:p w:rsidR="00401287" w:rsidRDefault="00401287" w:rsidP="00401287">
      <w:pPr>
        <w:ind w:left="851"/>
        <w:rPr>
          <w:bCs/>
          <w:sz w:val="22"/>
          <w:szCs w:val="22"/>
        </w:rPr>
      </w:pPr>
      <w:r>
        <w:rPr>
          <w:sz w:val="22"/>
        </w:rPr>
        <w:t>Hyppigheden af bivirkninger er defineret som:</w:t>
      </w:r>
    </w:p>
    <w:p w:rsidR="00401287" w:rsidRDefault="00401287" w:rsidP="00401287">
      <w:pPr>
        <w:numPr>
          <w:ilvl w:val="0"/>
          <w:numId w:val="5"/>
        </w:numPr>
        <w:spacing w:line="276" w:lineRule="auto"/>
        <w:ind w:left="851" w:firstLine="0"/>
        <w:contextualSpacing/>
        <w:rPr>
          <w:bCs/>
          <w:sz w:val="22"/>
          <w:szCs w:val="22"/>
        </w:rPr>
      </w:pPr>
      <w:r>
        <w:rPr>
          <w:sz w:val="22"/>
        </w:rPr>
        <w:t>Meget almindelig (mere end 1 ud af 10 dyr, der viser bivirkninger i løbet af en behandling)</w:t>
      </w:r>
    </w:p>
    <w:p w:rsidR="00401287" w:rsidRDefault="00401287" w:rsidP="00401287">
      <w:pPr>
        <w:numPr>
          <w:ilvl w:val="0"/>
          <w:numId w:val="5"/>
        </w:numPr>
        <w:spacing w:line="276" w:lineRule="auto"/>
        <w:ind w:left="851" w:firstLine="0"/>
        <w:contextualSpacing/>
        <w:rPr>
          <w:bCs/>
          <w:sz w:val="22"/>
          <w:szCs w:val="22"/>
        </w:rPr>
      </w:pPr>
      <w:r>
        <w:rPr>
          <w:sz w:val="22"/>
        </w:rPr>
        <w:t>Almindelige (mere end 1, men mindre end 10 dyr i 100 dyr)</w:t>
      </w:r>
    </w:p>
    <w:p w:rsidR="00401287" w:rsidRDefault="00401287" w:rsidP="00401287">
      <w:pPr>
        <w:numPr>
          <w:ilvl w:val="0"/>
          <w:numId w:val="5"/>
        </w:numPr>
        <w:spacing w:line="276" w:lineRule="auto"/>
        <w:ind w:left="851" w:firstLine="0"/>
        <w:contextualSpacing/>
        <w:rPr>
          <w:bCs/>
          <w:sz w:val="22"/>
          <w:szCs w:val="22"/>
        </w:rPr>
      </w:pPr>
      <w:r>
        <w:rPr>
          <w:sz w:val="22"/>
        </w:rPr>
        <w:t>Ikke almindelige (mere end 1, men mindre end 10 dyr i 1.000 dyr)</w:t>
      </w:r>
    </w:p>
    <w:p w:rsidR="00401287" w:rsidRPr="00401287" w:rsidRDefault="00401287" w:rsidP="005C1F8D">
      <w:pPr>
        <w:numPr>
          <w:ilvl w:val="0"/>
          <w:numId w:val="5"/>
        </w:numPr>
        <w:spacing w:line="276" w:lineRule="auto"/>
        <w:ind w:left="851" w:firstLine="0"/>
        <w:contextualSpacing/>
        <w:jc w:val="both"/>
        <w:rPr>
          <w:bCs/>
          <w:sz w:val="22"/>
          <w:szCs w:val="22"/>
        </w:rPr>
      </w:pPr>
      <w:r w:rsidRPr="00401287">
        <w:rPr>
          <w:sz w:val="22"/>
        </w:rPr>
        <w:t>Sjældne (mere end 1, men mindre end 10 dyr ud af 10.000 dyr)</w:t>
      </w:r>
    </w:p>
    <w:p w:rsidR="00401287" w:rsidRPr="00401287" w:rsidRDefault="00401287" w:rsidP="005C1F8D">
      <w:pPr>
        <w:numPr>
          <w:ilvl w:val="0"/>
          <w:numId w:val="5"/>
        </w:numPr>
        <w:spacing w:line="276" w:lineRule="auto"/>
        <w:ind w:left="851" w:firstLine="0"/>
        <w:contextualSpacing/>
        <w:jc w:val="both"/>
        <w:rPr>
          <w:bCs/>
          <w:sz w:val="22"/>
          <w:szCs w:val="22"/>
        </w:rPr>
      </w:pPr>
      <w:r w:rsidRPr="00401287">
        <w:rPr>
          <w:sz w:val="22"/>
        </w:rPr>
        <w:t>Meget sjælden (mindre end 1 dyr ud af 10.000 dyr, herunder isolerede rapporter).</w:t>
      </w:r>
    </w:p>
    <w:p w:rsidR="00401287" w:rsidRDefault="00401287" w:rsidP="00401287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4.7</w:t>
      </w:r>
      <w:r w:rsidRPr="001565AC">
        <w:rPr>
          <w:b/>
          <w:sz w:val="24"/>
          <w:szCs w:val="24"/>
        </w:rPr>
        <w:tab/>
        <w:t>Drægtighed, diegivning eller æglægning</w:t>
      </w:r>
    </w:p>
    <w:p w:rsidR="001565AC" w:rsidRPr="001565AC" w:rsidRDefault="00DF32BE" w:rsidP="001565AC">
      <w:pPr>
        <w:ind w:left="851" w:hanging="851"/>
        <w:rPr>
          <w:sz w:val="24"/>
          <w:szCs w:val="24"/>
          <w:lang w:bidi="ar-JO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  <w:lang w:bidi="ar-JO"/>
        </w:rPr>
        <w:t xml:space="preserve">Højdosis-studier af rotter viser, at </w:t>
      </w:r>
      <w:proofErr w:type="spellStart"/>
      <w:r w:rsidR="001565AC" w:rsidRPr="001565AC">
        <w:rPr>
          <w:sz w:val="24"/>
          <w:szCs w:val="24"/>
          <w:lang w:bidi="ar-JO"/>
        </w:rPr>
        <w:t>clindamycin</w:t>
      </w:r>
      <w:proofErr w:type="spellEnd"/>
      <w:r w:rsidR="001565AC" w:rsidRPr="001565AC">
        <w:rPr>
          <w:sz w:val="24"/>
          <w:szCs w:val="24"/>
          <w:lang w:bidi="ar-JO"/>
        </w:rPr>
        <w:t xml:space="preserve"> ikke er </w:t>
      </w:r>
      <w:proofErr w:type="spellStart"/>
      <w:r w:rsidR="001565AC" w:rsidRPr="001565AC">
        <w:rPr>
          <w:sz w:val="24"/>
          <w:szCs w:val="24"/>
          <w:lang w:bidi="ar-JO"/>
        </w:rPr>
        <w:t>teratogen</w:t>
      </w:r>
      <w:r w:rsidR="0066338F">
        <w:rPr>
          <w:sz w:val="24"/>
          <w:szCs w:val="24"/>
          <w:lang w:bidi="ar-JO"/>
        </w:rPr>
        <w:t>t</w:t>
      </w:r>
      <w:proofErr w:type="spellEnd"/>
      <w:r w:rsidR="001565AC" w:rsidRPr="001565AC">
        <w:rPr>
          <w:sz w:val="24"/>
          <w:szCs w:val="24"/>
          <w:lang w:bidi="ar-JO"/>
        </w:rPr>
        <w:t xml:space="preserve"> og ikke påvirker avlsevnen </w:t>
      </w:r>
      <w:r w:rsidR="0066338F">
        <w:rPr>
          <w:sz w:val="24"/>
          <w:szCs w:val="24"/>
          <w:lang w:bidi="ar-JO"/>
        </w:rPr>
        <w:t>hos</w:t>
      </w:r>
      <w:r w:rsidR="001565AC" w:rsidRPr="001565AC">
        <w:rPr>
          <w:sz w:val="24"/>
          <w:szCs w:val="24"/>
          <w:lang w:bidi="ar-JO"/>
        </w:rPr>
        <w:t xml:space="preserve"> hunner og hanners signifikant. Veterinærlægemidlets sikkerhed</w:t>
      </w:r>
      <w:r w:rsidR="0066338F">
        <w:rPr>
          <w:sz w:val="24"/>
          <w:szCs w:val="24"/>
          <w:lang w:bidi="ar-JO"/>
        </w:rPr>
        <w:t xml:space="preserve"> hos</w:t>
      </w:r>
      <w:r w:rsidR="001565AC" w:rsidRPr="001565AC">
        <w:rPr>
          <w:sz w:val="24"/>
          <w:szCs w:val="24"/>
          <w:lang w:bidi="ar-JO"/>
        </w:rPr>
        <w:t xml:space="preserve"> drægtige tæver/hunkatte eller avlshanhunde/-katte er ikke undersøgt.</w:t>
      </w:r>
    </w:p>
    <w:p w:rsidR="001565AC" w:rsidRPr="001565AC" w:rsidRDefault="001565AC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ab/>
      </w:r>
      <w:r w:rsidRPr="001565AC">
        <w:rPr>
          <w:sz w:val="24"/>
          <w:szCs w:val="24"/>
        </w:rPr>
        <w:t xml:space="preserve">Må kun anvendes i overensstemmelse med den ansvarlige dyrlæges vurdering af </w:t>
      </w:r>
      <w:proofErr w:type="spellStart"/>
      <w:r w:rsidRPr="001565AC"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</w:t>
      </w:r>
      <w:proofErr w:type="spellStart"/>
      <w:r w:rsidRPr="001565AC">
        <w:rPr>
          <w:sz w:val="24"/>
          <w:szCs w:val="24"/>
        </w:rPr>
        <w:t>benefit</w:t>
      </w:r>
      <w:proofErr w:type="spellEnd"/>
      <w:r w:rsidRPr="001565AC">
        <w:rPr>
          <w:sz w:val="24"/>
          <w:szCs w:val="24"/>
        </w:rPr>
        <w:t>-forholdet.</w:t>
      </w:r>
    </w:p>
    <w:p w:rsidR="00401287" w:rsidRDefault="00401287" w:rsidP="0040128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Clindamycin</w:t>
      </w:r>
      <w:proofErr w:type="spellEnd"/>
      <w:r>
        <w:rPr>
          <w:sz w:val="24"/>
          <w:szCs w:val="24"/>
        </w:rPr>
        <w:t xml:space="preserve"> kan passere blod-mælk barrieren. Som konsekvens heraf kan behandling af </w:t>
      </w:r>
      <w:proofErr w:type="spellStart"/>
      <w:r>
        <w:rPr>
          <w:sz w:val="24"/>
          <w:szCs w:val="24"/>
        </w:rPr>
        <w:t>lakterende</w:t>
      </w:r>
      <w:proofErr w:type="spellEnd"/>
      <w:r>
        <w:rPr>
          <w:sz w:val="24"/>
          <w:szCs w:val="24"/>
        </w:rPr>
        <w:t xml:space="preserve"> hunner medføre diarré hos hvalpe og killinger. 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4.8</w:t>
      </w:r>
      <w:r w:rsidRPr="001565AC">
        <w:rPr>
          <w:b/>
          <w:sz w:val="24"/>
          <w:szCs w:val="24"/>
        </w:rPr>
        <w:tab/>
        <w:t>Interaktion med andre lægemidler og andre former for interaktion</w:t>
      </w:r>
    </w:p>
    <w:p w:rsidR="0049158E" w:rsidRPr="0049158E" w:rsidRDefault="0049158E" w:rsidP="0049158E">
      <w:pPr>
        <w:numPr>
          <w:ilvl w:val="0"/>
          <w:numId w:val="6"/>
        </w:numPr>
        <w:ind w:left="1304" w:hanging="453"/>
        <w:rPr>
          <w:sz w:val="24"/>
          <w:szCs w:val="24"/>
          <w:lang w:eastAsia="da-DK" w:bidi="da-DK"/>
        </w:rPr>
      </w:pPr>
      <w:r w:rsidRPr="0049158E">
        <w:rPr>
          <w:sz w:val="24"/>
          <w:szCs w:val="24"/>
          <w:lang w:eastAsia="da-DK" w:bidi="da-DK"/>
        </w:rPr>
        <w:t xml:space="preserve">Aluminiumsalte og hydroxider, kaolin og aluminium-magnesium-silikat-kompleks kan reducere mave-tarmabsorptionen af </w:t>
      </w:r>
      <w:proofErr w:type="spellStart"/>
      <w:r w:rsidRPr="0049158E">
        <w:rPr>
          <w:sz w:val="24"/>
          <w:szCs w:val="24"/>
          <w:lang w:eastAsia="da-DK" w:bidi="da-DK"/>
        </w:rPr>
        <w:t>lincosamider</w:t>
      </w:r>
      <w:proofErr w:type="spellEnd"/>
      <w:r w:rsidRPr="0049158E">
        <w:rPr>
          <w:sz w:val="24"/>
          <w:szCs w:val="24"/>
          <w:lang w:eastAsia="da-DK" w:bidi="da-DK"/>
        </w:rPr>
        <w:t xml:space="preserve">. Disse fordøjelsesstoffer bør administreres mindst 2 timer før </w:t>
      </w:r>
      <w:proofErr w:type="spellStart"/>
      <w:r w:rsidRPr="0049158E">
        <w:rPr>
          <w:sz w:val="24"/>
          <w:szCs w:val="24"/>
          <w:lang w:eastAsia="da-DK" w:bidi="da-DK"/>
        </w:rPr>
        <w:t>clindamycin</w:t>
      </w:r>
      <w:proofErr w:type="spellEnd"/>
      <w:r w:rsidRPr="0049158E">
        <w:rPr>
          <w:sz w:val="24"/>
          <w:szCs w:val="24"/>
          <w:lang w:eastAsia="da-DK" w:bidi="da-DK"/>
        </w:rPr>
        <w:t>.</w:t>
      </w:r>
    </w:p>
    <w:p w:rsidR="0049158E" w:rsidRPr="0049158E" w:rsidRDefault="0049158E" w:rsidP="0049158E">
      <w:pPr>
        <w:numPr>
          <w:ilvl w:val="0"/>
          <w:numId w:val="6"/>
        </w:numPr>
        <w:ind w:left="1304" w:hanging="453"/>
        <w:rPr>
          <w:sz w:val="24"/>
          <w:szCs w:val="24"/>
          <w:lang w:eastAsia="da-DK" w:bidi="da-DK"/>
        </w:rPr>
      </w:pPr>
      <w:proofErr w:type="spellStart"/>
      <w:r w:rsidRPr="0049158E">
        <w:rPr>
          <w:sz w:val="24"/>
          <w:szCs w:val="24"/>
          <w:lang w:eastAsia="da-DK" w:bidi="da-DK"/>
        </w:rPr>
        <w:t>Cyclosporin</w:t>
      </w:r>
      <w:proofErr w:type="spellEnd"/>
      <w:r w:rsidRPr="0049158E">
        <w:rPr>
          <w:sz w:val="24"/>
          <w:szCs w:val="24"/>
          <w:lang w:eastAsia="da-DK" w:bidi="da-DK"/>
        </w:rPr>
        <w:t xml:space="preserve">: </w:t>
      </w:r>
      <w:proofErr w:type="spellStart"/>
      <w:r w:rsidRPr="0049158E">
        <w:rPr>
          <w:sz w:val="24"/>
          <w:szCs w:val="24"/>
          <w:lang w:eastAsia="da-DK" w:bidi="da-DK"/>
        </w:rPr>
        <w:t>clindamycin</w:t>
      </w:r>
      <w:proofErr w:type="spellEnd"/>
      <w:r w:rsidRPr="0049158E">
        <w:rPr>
          <w:sz w:val="24"/>
          <w:szCs w:val="24"/>
          <w:lang w:eastAsia="da-DK" w:bidi="da-DK"/>
        </w:rPr>
        <w:t xml:space="preserve"> kan reducere dette immunsuppressive lægemiddels niveauer med en risiko for manglende aktivitet.</w:t>
      </w:r>
    </w:p>
    <w:p w:rsidR="0049158E" w:rsidRPr="0049158E" w:rsidRDefault="0049158E" w:rsidP="0049158E">
      <w:pPr>
        <w:numPr>
          <w:ilvl w:val="0"/>
          <w:numId w:val="6"/>
        </w:numPr>
        <w:ind w:left="1304" w:hanging="453"/>
        <w:rPr>
          <w:sz w:val="24"/>
          <w:szCs w:val="24"/>
          <w:lang w:eastAsia="da-DK" w:bidi="da-DK"/>
        </w:rPr>
      </w:pPr>
      <w:proofErr w:type="spellStart"/>
      <w:r>
        <w:rPr>
          <w:sz w:val="24"/>
          <w:szCs w:val="24"/>
          <w:lang w:eastAsia="da-DK" w:bidi="da-DK"/>
        </w:rPr>
        <w:t>Clindamycin</w:t>
      </w:r>
      <w:proofErr w:type="spellEnd"/>
      <w:r>
        <w:rPr>
          <w:sz w:val="24"/>
          <w:szCs w:val="24"/>
          <w:lang w:eastAsia="da-DK" w:bidi="da-DK"/>
        </w:rPr>
        <w:t xml:space="preserve"> </w:t>
      </w:r>
      <w:r w:rsidRPr="0049158E">
        <w:rPr>
          <w:sz w:val="24"/>
          <w:szCs w:val="24"/>
          <w:lang w:eastAsia="da-DK" w:bidi="da-DK"/>
        </w:rPr>
        <w:t xml:space="preserve">har en </w:t>
      </w:r>
      <w:proofErr w:type="spellStart"/>
      <w:r w:rsidRPr="0049158E">
        <w:rPr>
          <w:sz w:val="24"/>
          <w:szCs w:val="24"/>
          <w:lang w:eastAsia="da-DK" w:bidi="da-DK"/>
        </w:rPr>
        <w:t>intrinsisk</w:t>
      </w:r>
      <w:proofErr w:type="spellEnd"/>
      <w:r w:rsidRPr="0049158E">
        <w:rPr>
          <w:sz w:val="24"/>
          <w:szCs w:val="24"/>
          <w:lang w:eastAsia="da-DK" w:bidi="da-DK"/>
        </w:rPr>
        <w:t xml:space="preserve"> </w:t>
      </w:r>
      <w:proofErr w:type="spellStart"/>
      <w:r w:rsidRPr="0049158E">
        <w:rPr>
          <w:sz w:val="24"/>
          <w:szCs w:val="24"/>
          <w:lang w:eastAsia="da-DK" w:bidi="da-DK"/>
        </w:rPr>
        <w:t>neuromuskulær</w:t>
      </w:r>
      <w:proofErr w:type="spellEnd"/>
      <w:r w:rsidRPr="0049158E">
        <w:rPr>
          <w:sz w:val="24"/>
          <w:szCs w:val="24"/>
          <w:lang w:eastAsia="da-DK" w:bidi="da-DK"/>
        </w:rPr>
        <w:t xml:space="preserve"> blokerende aktivitet og skal anvendes med forsigtighed sammen med andre </w:t>
      </w:r>
      <w:proofErr w:type="spellStart"/>
      <w:r w:rsidRPr="0049158E">
        <w:rPr>
          <w:sz w:val="24"/>
          <w:szCs w:val="24"/>
          <w:lang w:eastAsia="da-DK" w:bidi="da-DK"/>
        </w:rPr>
        <w:t>neuromuskulært</w:t>
      </w:r>
      <w:proofErr w:type="spellEnd"/>
      <w:r w:rsidRPr="0049158E">
        <w:rPr>
          <w:sz w:val="24"/>
          <w:szCs w:val="24"/>
          <w:lang w:eastAsia="da-DK" w:bidi="da-DK"/>
        </w:rPr>
        <w:t xml:space="preserve"> </w:t>
      </w:r>
      <w:proofErr w:type="spellStart"/>
      <w:r w:rsidRPr="0049158E">
        <w:rPr>
          <w:sz w:val="24"/>
          <w:szCs w:val="24"/>
          <w:lang w:eastAsia="da-DK" w:bidi="da-DK"/>
        </w:rPr>
        <w:t>blokerendemidler</w:t>
      </w:r>
      <w:proofErr w:type="spellEnd"/>
      <w:r w:rsidRPr="0049158E">
        <w:rPr>
          <w:sz w:val="24"/>
          <w:szCs w:val="24"/>
          <w:lang w:eastAsia="da-DK" w:bidi="da-DK"/>
        </w:rPr>
        <w:t xml:space="preserve"> (</w:t>
      </w:r>
      <w:proofErr w:type="spellStart"/>
      <w:r w:rsidRPr="0049158E">
        <w:rPr>
          <w:sz w:val="24"/>
          <w:szCs w:val="24"/>
          <w:lang w:eastAsia="da-DK" w:bidi="da-DK"/>
        </w:rPr>
        <w:t>curare</w:t>
      </w:r>
      <w:proofErr w:type="spellEnd"/>
      <w:r w:rsidRPr="0049158E">
        <w:rPr>
          <w:sz w:val="24"/>
          <w:szCs w:val="24"/>
          <w:lang w:eastAsia="da-DK" w:bidi="da-DK"/>
        </w:rPr>
        <w:t xml:space="preserve">). </w:t>
      </w:r>
      <w:proofErr w:type="spellStart"/>
      <w:r w:rsidRPr="0049158E">
        <w:rPr>
          <w:sz w:val="24"/>
          <w:szCs w:val="24"/>
          <w:lang w:eastAsia="da-DK" w:bidi="da-DK"/>
        </w:rPr>
        <w:t>Clindamycin</w:t>
      </w:r>
      <w:proofErr w:type="spellEnd"/>
      <w:r w:rsidRPr="0049158E">
        <w:rPr>
          <w:sz w:val="24"/>
          <w:szCs w:val="24"/>
          <w:lang w:eastAsia="da-DK" w:bidi="da-DK"/>
        </w:rPr>
        <w:t xml:space="preserve"> kan øge den </w:t>
      </w:r>
      <w:proofErr w:type="spellStart"/>
      <w:r w:rsidRPr="0049158E">
        <w:rPr>
          <w:sz w:val="24"/>
          <w:szCs w:val="24"/>
          <w:lang w:eastAsia="da-DK" w:bidi="da-DK"/>
        </w:rPr>
        <w:t>neuromuskulære</w:t>
      </w:r>
      <w:proofErr w:type="spellEnd"/>
      <w:r w:rsidRPr="0049158E">
        <w:rPr>
          <w:sz w:val="24"/>
          <w:szCs w:val="24"/>
          <w:lang w:eastAsia="da-DK" w:bidi="da-DK"/>
        </w:rPr>
        <w:t xml:space="preserve"> blokerende effekt.</w:t>
      </w:r>
    </w:p>
    <w:p w:rsidR="0049158E" w:rsidRPr="0049158E" w:rsidRDefault="0049158E" w:rsidP="0049158E">
      <w:pPr>
        <w:numPr>
          <w:ilvl w:val="0"/>
          <w:numId w:val="6"/>
        </w:numPr>
        <w:ind w:left="1304" w:hanging="453"/>
        <w:rPr>
          <w:sz w:val="24"/>
          <w:szCs w:val="24"/>
          <w:lang w:eastAsia="da-DK" w:bidi="da-DK"/>
        </w:rPr>
      </w:pPr>
      <w:r w:rsidRPr="0049158E">
        <w:rPr>
          <w:sz w:val="24"/>
          <w:szCs w:val="24"/>
          <w:lang w:eastAsia="da-DK" w:bidi="da-DK"/>
        </w:rPr>
        <w:t xml:space="preserve">Anvend ikke </w:t>
      </w:r>
      <w:proofErr w:type="spellStart"/>
      <w:r w:rsidRPr="0049158E">
        <w:rPr>
          <w:sz w:val="24"/>
          <w:szCs w:val="24"/>
          <w:lang w:eastAsia="da-DK" w:bidi="da-DK"/>
        </w:rPr>
        <w:t>clindamycin</w:t>
      </w:r>
      <w:proofErr w:type="spellEnd"/>
      <w:r w:rsidRPr="0049158E">
        <w:rPr>
          <w:sz w:val="24"/>
          <w:szCs w:val="24"/>
          <w:lang w:eastAsia="da-DK" w:bidi="da-DK"/>
        </w:rPr>
        <w:t xml:space="preserve"> samtidigt med </w:t>
      </w:r>
      <w:proofErr w:type="spellStart"/>
      <w:r w:rsidRPr="0049158E">
        <w:rPr>
          <w:sz w:val="24"/>
          <w:szCs w:val="24"/>
          <w:lang w:eastAsia="da-DK" w:bidi="da-DK"/>
        </w:rPr>
        <w:t>chloramfenicol</w:t>
      </w:r>
      <w:proofErr w:type="spellEnd"/>
      <w:r w:rsidRPr="0049158E">
        <w:rPr>
          <w:sz w:val="24"/>
          <w:szCs w:val="24"/>
          <w:lang w:eastAsia="da-DK" w:bidi="da-DK"/>
        </w:rPr>
        <w:t xml:space="preserve"> eller </w:t>
      </w:r>
      <w:proofErr w:type="spellStart"/>
      <w:r w:rsidRPr="0049158E">
        <w:rPr>
          <w:sz w:val="24"/>
          <w:szCs w:val="24"/>
          <w:lang w:eastAsia="da-DK" w:bidi="da-DK"/>
        </w:rPr>
        <w:t>macrolider</w:t>
      </w:r>
      <w:proofErr w:type="spellEnd"/>
      <w:r w:rsidRPr="0049158E">
        <w:rPr>
          <w:sz w:val="24"/>
          <w:szCs w:val="24"/>
          <w:lang w:eastAsia="da-DK" w:bidi="da-DK"/>
        </w:rPr>
        <w:t xml:space="preserve">, da de begge binder sig til </w:t>
      </w:r>
      <w:proofErr w:type="spellStart"/>
      <w:r w:rsidRPr="0049158E">
        <w:rPr>
          <w:sz w:val="24"/>
          <w:szCs w:val="24"/>
          <w:lang w:eastAsia="da-DK" w:bidi="da-DK"/>
        </w:rPr>
        <w:t>ribosomets</w:t>
      </w:r>
      <w:proofErr w:type="spellEnd"/>
      <w:r w:rsidRPr="0049158E">
        <w:rPr>
          <w:sz w:val="24"/>
          <w:szCs w:val="24"/>
          <w:lang w:eastAsia="da-DK" w:bidi="da-DK"/>
        </w:rPr>
        <w:t xml:space="preserve"> 50S underenhed, og der kan udvikles antagonistiske effekter.</w:t>
      </w:r>
    </w:p>
    <w:p w:rsidR="0049158E" w:rsidRPr="0049158E" w:rsidRDefault="0049158E" w:rsidP="0049158E">
      <w:pPr>
        <w:numPr>
          <w:ilvl w:val="0"/>
          <w:numId w:val="6"/>
        </w:numPr>
        <w:ind w:left="1304" w:hanging="453"/>
        <w:rPr>
          <w:sz w:val="24"/>
          <w:szCs w:val="24"/>
          <w:lang w:eastAsia="da-DK" w:bidi="da-DK"/>
        </w:rPr>
      </w:pPr>
      <w:r w:rsidRPr="0049158E">
        <w:rPr>
          <w:sz w:val="24"/>
          <w:szCs w:val="24"/>
          <w:lang w:eastAsia="da-DK" w:bidi="da-DK"/>
        </w:rPr>
        <w:t xml:space="preserve">Ved samtidig anvendelse af </w:t>
      </w:r>
      <w:proofErr w:type="spellStart"/>
      <w:r w:rsidRPr="0049158E">
        <w:rPr>
          <w:sz w:val="24"/>
          <w:szCs w:val="24"/>
          <w:lang w:eastAsia="da-DK" w:bidi="da-DK"/>
        </w:rPr>
        <w:t>clindamycin</w:t>
      </w:r>
      <w:proofErr w:type="spellEnd"/>
      <w:r w:rsidRPr="0049158E">
        <w:rPr>
          <w:sz w:val="24"/>
          <w:szCs w:val="24"/>
          <w:lang w:eastAsia="da-DK" w:bidi="da-DK"/>
        </w:rPr>
        <w:t xml:space="preserve"> og </w:t>
      </w:r>
      <w:proofErr w:type="spellStart"/>
      <w:r w:rsidRPr="0049158E">
        <w:rPr>
          <w:sz w:val="24"/>
          <w:szCs w:val="24"/>
          <w:lang w:eastAsia="da-DK" w:bidi="da-DK"/>
        </w:rPr>
        <w:t>aminoglycosider</w:t>
      </w:r>
      <w:proofErr w:type="spellEnd"/>
      <w:r w:rsidRPr="0049158E">
        <w:rPr>
          <w:sz w:val="24"/>
          <w:szCs w:val="24"/>
          <w:lang w:eastAsia="da-DK" w:bidi="da-DK"/>
        </w:rPr>
        <w:t xml:space="preserve"> (f.eks. </w:t>
      </w:r>
      <w:proofErr w:type="spellStart"/>
      <w:r w:rsidRPr="0049158E">
        <w:rPr>
          <w:sz w:val="24"/>
          <w:szCs w:val="24"/>
          <w:lang w:eastAsia="da-DK" w:bidi="da-DK"/>
        </w:rPr>
        <w:t>gentamicin</w:t>
      </w:r>
      <w:proofErr w:type="spellEnd"/>
      <w:r w:rsidRPr="0049158E">
        <w:rPr>
          <w:sz w:val="24"/>
          <w:szCs w:val="24"/>
          <w:lang w:eastAsia="da-DK" w:bidi="da-DK"/>
        </w:rPr>
        <w:t xml:space="preserve">) kan risikoen for ønskede interaktioner (akut nyresvigt) ikke udelukkes. </w:t>
      </w:r>
    </w:p>
    <w:p w:rsidR="0049158E" w:rsidRDefault="0049158E" w:rsidP="001565AC">
      <w:pPr>
        <w:ind w:left="851" w:hanging="851"/>
        <w:rPr>
          <w:b/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4.9</w:t>
      </w:r>
      <w:r w:rsidRPr="001565AC">
        <w:rPr>
          <w:b/>
          <w:sz w:val="24"/>
          <w:szCs w:val="24"/>
        </w:rPr>
        <w:tab/>
        <w:t>Dosering og indgivelsesmåde</w:t>
      </w:r>
    </w:p>
    <w:p w:rsidR="0049158E" w:rsidRDefault="001565AC" w:rsidP="0049158E">
      <w:pPr>
        <w:ind w:left="851" w:hanging="851"/>
        <w:rPr>
          <w:sz w:val="24"/>
          <w:szCs w:val="24"/>
        </w:rPr>
      </w:pPr>
      <w:r w:rsidRPr="001565AC">
        <w:rPr>
          <w:b/>
          <w:sz w:val="24"/>
          <w:szCs w:val="24"/>
        </w:rPr>
        <w:tab/>
      </w:r>
      <w:r w:rsidRPr="001565AC">
        <w:rPr>
          <w:sz w:val="24"/>
          <w:szCs w:val="24"/>
        </w:rPr>
        <w:t>Til oral anvendelse.</w:t>
      </w:r>
    </w:p>
    <w:p w:rsidR="0049158E" w:rsidRDefault="0049158E" w:rsidP="0049158E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For at sikre administration af en korrekt dosis, skal legemsvægten bestemmes så nøjagtigt som muligt</w:t>
      </w:r>
    </w:p>
    <w:p w:rsidR="001565AC" w:rsidRPr="001565AC" w:rsidRDefault="001565AC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ab/>
      </w:r>
    </w:p>
    <w:p w:rsidR="001565AC" w:rsidRPr="001565AC" w:rsidRDefault="001565AC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ab/>
      </w:r>
      <w:r w:rsidRPr="001565AC">
        <w:rPr>
          <w:sz w:val="24"/>
          <w:szCs w:val="24"/>
        </w:rPr>
        <w:t>Anbefalet dosis:</w:t>
      </w:r>
    </w:p>
    <w:p w:rsidR="001565AC" w:rsidRPr="001565AC" w:rsidRDefault="001565AC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ab/>
        <w:t>Katte:</w:t>
      </w:r>
    </w:p>
    <w:p w:rsidR="001565AC" w:rsidRPr="001565AC" w:rsidRDefault="001565AC" w:rsidP="001565AC">
      <w:pPr>
        <w:ind w:left="851"/>
        <w:rPr>
          <w:b/>
          <w:sz w:val="24"/>
          <w:szCs w:val="24"/>
        </w:rPr>
      </w:pPr>
      <w:r w:rsidRPr="001565AC">
        <w:rPr>
          <w:sz w:val="24"/>
          <w:szCs w:val="24"/>
        </w:rPr>
        <w:t xml:space="preserve">Til behandling af inficerede sår og abscesser: 11 mg </w:t>
      </w:r>
      <w:proofErr w:type="spellStart"/>
      <w:r w:rsidRPr="001565AC">
        <w:rPr>
          <w:sz w:val="24"/>
          <w:szCs w:val="24"/>
        </w:rPr>
        <w:t>clindamycin</w:t>
      </w:r>
      <w:proofErr w:type="spellEnd"/>
      <w:r w:rsidRPr="001565AC">
        <w:rPr>
          <w:sz w:val="24"/>
          <w:szCs w:val="24"/>
        </w:rPr>
        <w:t xml:space="preserve"> pr. kg kropsvægt pr. 24 timer eller 5,5 mg/kg pr. 12 timer i 7 til 10 dage.  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Behandlingen bør indstilles</w:t>
      </w:r>
      <w:r w:rsidR="0066338F">
        <w:rPr>
          <w:sz w:val="24"/>
          <w:szCs w:val="24"/>
        </w:rPr>
        <w:t>,</w:t>
      </w:r>
      <w:r w:rsidRPr="001565AC">
        <w:rPr>
          <w:sz w:val="24"/>
          <w:szCs w:val="24"/>
        </w:rPr>
        <w:t xml:space="preserve"> hvis der ikke </w:t>
      </w:r>
      <w:r w:rsidR="0066338F">
        <w:rPr>
          <w:sz w:val="24"/>
          <w:szCs w:val="24"/>
        </w:rPr>
        <w:t>ses</w:t>
      </w:r>
      <w:r w:rsidRPr="001565AC">
        <w:rPr>
          <w:sz w:val="24"/>
          <w:szCs w:val="24"/>
        </w:rPr>
        <w:t xml:space="preserve"> nogen terapeutisk effekt efter 4 dage.</w:t>
      </w:r>
    </w:p>
    <w:p w:rsidR="001565AC" w:rsidRPr="001565AC" w:rsidRDefault="001565AC" w:rsidP="001565AC">
      <w:pPr>
        <w:ind w:left="851" w:hanging="851"/>
        <w:rPr>
          <w:sz w:val="24"/>
          <w:szCs w:val="24"/>
        </w:rPr>
      </w:pPr>
    </w:p>
    <w:p w:rsidR="0049158E" w:rsidRDefault="0049158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565AC" w:rsidRPr="001565AC" w:rsidRDefault="001565AC" w:rsidP="001565AC">
      <w:pPr>
        <w:ind w:left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lastRenderedPageBreak/>
        <w:t>Hunde: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Til behandling af inficerede sår og abscesser</w:t>
      </w:r>
      <w:r w:rsidR="0066338F">
        <w:rPr>
          <w:sz w:val="24"/>
          <w:szCs w:val="24"/>
        </w:rPr>
        <w:t xml:space="preserve"> og infektion i mundhule og tænder</w:t>
      </w:r>
      <w:r w:rsidRPr="001565AC">
        <w:rPr>
          <w:sz w:val="24"/>
          <w:szCs w:val="24"/>
        </w:rPr>
        <w:t>: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 xml:space="preserve">11 mg </w:t>
      </w:r>
      <w:proofErr w:type="spellStart"/>
      <w:r w:rsidRPr="001565AC">
        <w:rPr>
          <w:sz w:val="24"/>
          <w:szCs w:val="24"/>
        </w:rPr>
        <w:t>clindamycin</w:t>
      </w:r>
      <w:proofErr w:type="spellEnd"/>
      <w:r w:rsidRPr="001565AC">
        <w:rPr>
          <w:sz w:val="24"/>
          <w:szCs w:val="24"/>
        </w:rPr>
        <w:t xml:space="preserve"> pr. kg kropsvægt pr. 24 timer eller 5,5 mg/kg pr. 12 timer i 7 til 10</w:t>
      </w:r>
      <w:r>
        <w:rPr>
          <w:sz w:val="24"/>
          <w:szCs w:val="24"/>
        </w:rPr>
        <w:t xml:space="preserve"> </w:t>
      </w:r>
      <w:r w:rsidRPr="001565AC">
        <w:rPr>
          <w:sz w:val="24"/>
          <w:szCs w:val="24"/>
        </w:rPr>
        <w:t>dage. Behandlingen bør indstilles</w:t>
      </w:r>
      <w:r w:rsidR="0066338F">
        <w:rPr>
          <w:sz w:val="24"/>
          <w:szCs w:val="24"/>
        </w:rPr>
        <w:t>,</w:t>
      </w:r>
      <w:r w:rsidRPr="001565AC">
        <w:rPr>
          <w:sz w:val="24"/>
          <w:szCs w:val="24"/>
        </w:rPr>
        <w:t xml:space="preserve"> hvis der ikke </w:t>
      </w:r>
      <w:r w:rsidR="0066338F">
        <w:rPr>
          <w:sz w:val="24"/>
          <w:szCs w:val="24"/>
        </w:rPr>
        <w:t>ses</w:t>
      </w:r>
      <w:r w:rsidRPr="001565AC">
        <w:rPr>
          <w:sz w:val="24"/>
          <w:szCs w:val="24"/>
        </w:rPr>
        <w:t xml:space="preserve"> nogen terapeutisk effekt efter 4 dage. </w:t>
      </w:r>
    </w:p>
    <w:p w:rsidR="001565AC" w:rsidRDefault="001565AC" w:rsidP="001565AC">
      <w:pPr>
        <w:ind w:left="851" w:hanging="851"/>
        <w:rPr>
          <w:sz w:val="24"/>
          <w:szCs w:val="24"/>
        </w:rPr>
      </w:pPr>
    </w:p>
    <w:p w:rsid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Behandling af knogleinfektioner (</w:t>
      </w:r>
      <w:proofErr w:type="spellStart"/>
      <w:r w:rsidRPr="001565AC">
        <w:rPr>
          <w:sz w:val="24"/>
          <w:szCs w:val="24"/>
        </w:rPr>
        <w:t>osteomyelitis</w:t>
      </w:r>
      <w:proofErr w:type="spellEnd"/>
      <w:r w:rsidRPr="001565AC">
        <w:rPr>
          <w:sz w:val="24"/>
          <w:szCs w:val="24"/>
        </w:rPr>
        <w:t xml:space="preserve">): 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 xml:space="preserve">11 mg </w:t>
      </w:r>
      <w:proofErr w:type="spellStart"/>
      <w:r w:rsidRPr="001565AC">
        <w:rPr>
          <w:sz w:val="24"/>
          <w:szCs w:val="24"/>
        </w:rPr>
        <w:t>clindamycin</w:t>
      </w:r>
      <w:proofErr w:type="spellEnd"/>
      <w:r w:rsidRPr="001565AC">
        <w:rPr>
          <w:sz w:val="24"/>
          <w:szCs w:val="24"/>
        </w:rPr>
        <w:t xml:space="preserve"> pr. kg kropsvægt</w:t>
      </w:r>
      <w:r>
        <w:rPr>
          <w:sz w:val="24"/>
          <w:szCs w:val="24"/>
        </w:rPr>
        <w:t xml:space="preserve"> </w:t>
      </w:r>
      <w:r w:rsidRPr="001565AC">
        <w:rPr>
          <w:sz w:val="24"/>
          <w:szCs w:val="24"/>
        </w:rPr>
        <w:t xml:space="preserve">hver 12. time i minimum 28 dage. 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Behandlingen bør indstilles</w:t>
      </w:r>
      <w:r w:rsidR="008512DA">
        <w:rPr>
          <w:sz w:val="24"/>
          <w:szCs w:val="24"/>
        </w:rPr>
        <w:t>,</w:t>
      </w:r>
      <w:r w:rsidRPr="001565AC">
        <w:rPr>
          <w:sz w:val="24"/>
          <w:szCs w:val="24"/>
        </w:rPr>
        <w:t xml:space="preserve"> hvis der ikke </w:t>
      </w:r>
      <w:r w:rsidR="008512DA">
        <w:rPr>
          <w:sz w:val="24"/>
          <w:szCs w:val="24"/>
        </w:rPr>
        <w:t>ses</w:t>
      </w:r>
      <w:r w:rsidRPr="001565AC">
        <w:rPr>
          <w:sz w:val="24"/>
          <w:szCs w:val="24"/>
        </w:rPr>
        <w:t xml:space="preserve"> nogen terapeutisk effekt </w:t>
      </w:r>
      <w:r w:rsidR="008512DA">
        <w:rPr>
          <w:sz w:val="24"/>
          <w:szCs w:val="24"/>
        </w:rPr>
        <w:t>i løbet af de første</w:t>
      </w:r>
      <w:r w:rsidRPr="001565AC">
        <w:rPr>
          <w:sz w:val="24"/>
          <w:szCs w:val="24"/>
        </w:rPr>
        <w:t xml:space="preserve"> 14 dage.</w:t>
      </w:r>
    </w:p>
    <w:p w:rsidR="001565AC" w:rsidRPr="001565AC" w:rsidRDefault="001565AC" w:rsidP="001565AC">
      <w:pPr>
        <w:ind w:left="851" w:hanging="85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5369"/>
      </w:tblGrid>
      <w:tr w:rsidR="001565AC" w:rsidRPr="001565AC" w:rsidTr="001565AC">
        <w:trPr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AC" w:rsidRPr="001565AC" w:rsidRDefault="001565AC" w:rsidP="001565AC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565AC">
              <w:rPr>
                <w:b/>
                <w:sz w:val="24"/>
                <w:szCs w:val="24"/>
                <w:lang w:val="en-GB"/>
              </w:rPr>
              <w:t>Dosering</w:t>
            </w:r>
            <w:proofErr w:type="spellEnd"/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AC" w:rsidRPr="001565AC" w:rsidRDefault="001565AC" w:rsidP="001565AC">
            <w:pPr>
              <w:rPr>
                <w:b/>
                <w:sz w:val="24"/>
                <w:szCs w:val="24"/>
              </w:rPr>
            </w:pPr>
            <w:r w:rsidRPr="001565AC">
              <w:rPr>
                <w:b/>
                <w:sz w:val="24"/>
                <w:szCs w:val="24"/>
              </w:rPr>
              <w:t>Volumen, der skal administreres pr. kg kropsvægt</w:t>
            </w:r>
          </w:p>
        </w:tc>
      </w:tr>
      <w:tr w:rsidR="001565AC" w:rsidRPr="001565AC" w:rsidTr="001565AC">
        <w:trPr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AC" w:rsidRPr="001565AC" w:rsidRDefault="001565AC" w:rsidP="008512DA">
            <w:pPr>
              <w:rPr>
                <w:sz w:val="24"/>
                <w:szCs w:val="24"/>
                <w:lang w:val="en-GB"/>
              </w:rPr>
            </w:pPr>
            <w:r w:rsidRPr="001565AC">
              <w:rPr>
                <w:sz w:val="24"/>
                <w:szCs w:val="24"/>
                <w:lang w:val="en-GB"/>
              </w:rPr>
              <w:t>5,5 mg/kg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AC" w:rsidRPr="001565AC" w:rsidRDefault="001565AC" w:rsidP="001565AC">
            <w:pPr>
              <w:rPr>
                <w:sz w:val="24"/>
                <w:szCs w:val="24"/>
              </w:rPr>
            </w:pPr>
            <w:r w:rsidRPr="001565AC">
              <w:rPr>
                <w:sz w:val="24"/>
                <w:szCs w:val="24"/>
              </w:rPr>
              <w:t>Svarer til ca. 0,25 ml pr. kg</w:t>
            </w:r>
          </w:p>
        </w:tc>
      </w:tr>
      <w:tr w:rsidR="001565AC" w:rsidRPr="001565AC" w:rsidTr="001565AC">
        <w:trPr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AC" w:rsidRPr="001565AC" w:rsidRDefault="001565AC" w:rsidP="008512DA">
            <w:pPr>
              <w:rPr>
                <w:sz w:val="24"/>
                <w:szCs w:val="24"/>
              </w:rPr>
            </w:pPr>
            <w:r w:rsidRPr="001565AC">
              <w:rPr>
                <w:sz w:val="24"/>
                <w:szCs w:val="24"/>
              </w:rPr>
              <w:t>11 mg/kg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AC" w:rsidRPr="001565AC" w:rsidRDefault="001565AC" w:rsidP="001565AC">
            <w:pPr>
              <w:rPr>
                <w:sz w:val="24"/>
                <w:szCs w:val="24"/>
              </w:rPr>
            </w:pPr>
            <w:r w:rsidRPr="001565AC">
              <w:rPr>
                <w:sz w:val="24"/>
                <w:szCs w:val="24"/>
              </w:rPr>
              <w:t>Svarer til ca.0,5 ml pr. kg</w:t>
            </w:r>
          </w:p>
        </w:tc>
      </w:tr>
    </w:tbl>
    <w:p w:rsidR="001565AC" w:rsidRPr="001565AC" w:rsidRDefault="001565AC" w:rsidP="001565AC">
      <w:pPr>
        <w:ind w:left="851" w:hanging="851"/>
        <w:rPr>
          <w:sz w:val="24"/>
          <w:szCs w:val="24"/>
          <w:lang w:bidi="ar-JO"/>
        </w:rPr>
      </w:pPr>
    </w:p>
    <w:p w:rsidR="001565AC" w:rsidRPr="001565AC" w:rsidRDefault="001565AC" w:rsidP="001565AC">
      <w:pPr>
        <w:ind w:left="851"/>
        <w:rPr>
          <w:sz w:val="24"/>
          <w:szCs w:val="24"/>
          <w:lang w:bidi="ar-JO"/>
        </w:rPr>
      </w:pPr>
      <w:r w:rsidRPr="001565AC">
        <w:rPr>
          <w:sz w:val="24"/>
          <w:szCs w:val="24"/>
          <w:lang w:bidi="ar-JO"/>
        </w:rPr>
        <w:t xml:space="preserve">En 3 ml målesprøjte følger med, </w:t>
      </w:r>
      <w:r w:rsidR="008512DA">
        <w:rPr>
          <w:sz w:val="24"/>
          <w:szCs w:val="24"/>
          <w:lang w:bidi="ar-JO"/>
        </w:rPr>
        <w:t>for at</w:t>
      </w:r>
      <w:r w:rsidRPr="001565AC">
        <w:rPr>
          <w:sz w:val="24"/>
          <w:szCs w:val="24"/>
          <w:lang w:bidi="ar-JO"/>
        </w:rPr>
        <w:t xml:space="preserve"> sikre korrekt administration af</w:t>
      </w:r>
      <w:r>
        <w:rPr>
          <w:sz w:val="24"/>
          <w:szCs w:val="24"/>
          <w:lang w:bidi="ar-JO"/>
        </w:rPr>
        <w:t xml:space="preserve"> </w:t>
      </w:r>
      <w:r w:rsidRPr="001565AC">
        <w:rPr>
          <w:sz w:val="24"/>
          <w:szCs w:val="24"/>
          <w:lang w:bidi="ar-JO"/>
        </w:rPr>
        <w:t xml:space="preserve">veterinærlægemidlet. 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4.10</w:t>
      </w:r>
      <w:r w:rsidRPr="001565AC">
        <w:rPr>
          <w:b/>
          <w:sz w:val="24"/>
          <w:szCs w:val="24"/>
        </w:rPr>
        <w:tab/>
        <w:t>Overdosering</w:t>
      </w:r>
    </w:p>
    <w:p w:rsidR="001565AC" w:rsidRPr="001565AC" w:rsidRDefault="00DF32BE" w:rsidP="001565AC">
      <w:pPr>
        <w:ind w:left="851" w:hanging="851"/>
        <w:rPr>
          <w:sz w:val="24"/>
          <w:szCs w:val="24"/>
          <w:lang w:bidi="ar-JO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  <w:lang w:bidi="ar-JO"/>
        </w:rPr>
        <w:t>Doser på 300 mg/kg blev tolereret af hunde uden tegn på bivirkninger. Opkast, nedsat appetit, diarré, leukocytose og forhøjede leverenzymer (AST, ALT) blev observeret i nogle tilfælde. I sådanne tilfælde bør behandlingen omgående afbrydes, og symptomatisk behandling påbegyndes.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4.11</w:t>
      </w:r>
      <w:r w:rsidRPr="001565AC">
        <w:rPr>
          <w:b/>
          <w:sz w:val="24"/>
          <w:szCs w:val="24"/>
        </w:rPr>
        <w:tab/>
        <w:t>Tilbageholdelsestid</w:t>
      </w:r>
    </w:p>
    <w:p w:rsidR="001565AC" w:rsidRPr="001565AC" w:rsidRDefault="001565AC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  <w:t>Ikke relevant.</w:t>
      </w:r>
    </w:p>
    <w:p w:rsidR="00DF32BE" w:rsidRPr="001565AC" w:rsidRDefault="00DF32BE" w:rsidP="001565AC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FARMAKOLOGI</w:t>
      </w:r>
      <w:r w:rsidR="001577E4" w:rsidRPr="001565AC">
        <w:rPr>
          <w:b/>
          <w:sz w:val="24"/>
          <w:szCs w:val="24"/>
        </w:rPr>
        <w:t>SKE EGENSKABER</w:t>
      </w:r>
    </w:p>
    <w:p w:rsidR="001565AC" w:rsidRPr="001565AC" w:rsidRDefault="001565AC" w:rsidP="001565AC">
      <w:pPr>
        <w:ind w:left="851"/>
        <w:rPr>
          <w:sz w:val="24"/>
          <w:szCs w:val="24"/>
          <w:lang w:bidi="ar-JO"/>
        </w:rPr>
      </w:pPr>
      <w:proofErr w:type="spellStart"/>
      <w:r w:rsidRPr="001565AC">
        <w:rPr>
          <w:sz w:val="24"/>
          <w:szCs w:val="24"/>
          <w:lang w:bidi="ar-JO"/>
        </w:rPr>
        <w:t>Farmakoterapeutisk</w:t>
      </w:r>
      <w:proofErr w:type="spellEnd"/>
      <w:r w:rsidRPr="001565AC">
        <w:rPr>
          <w:sz w:val="24"/>
          <w:szCs w:val="24"/>
          <w:lang w:bidi="ar-JO"/>
        </w:rPr>
        <w:t xml:space="preserve"> </w:t>
      </w:r>
      <w:r w:rsidR="008512DA">
        <w:rPr>
          <w:sz w:val="24"/>
          <w:szCs w:val="24"/>
          <w:lang w:bidi="ar-JO"/>
        </w:rPr>
        <w:t>klassifikation</w:t>
      </w:r>
      <w:r w:rsidRPr="001565AC">
        <w:rPr>
          <w:sz w:val="24"/>
          <w:szCs w:val="24"/>
          <w:lang w:bidi="ar-JO"/>
        </w:rPr>
        <w:t xml:space="preserve">: </w:t>
      </w:r>
      <w:proofErr w:type="spellStart"/>
      <w:r w:rsidRPr="001565AC">
        <w:rPr>
          <w:sz w:val="24"/>
          <w:szCs w:val="24"/>
        </w:rPr>
        <w:t>Anti</w:t>
      </w:r>
      <w:r w:rsidR="008512DA">
        <w:rPr>
          <w:sz w:val="24"/>
          <w:szCs w:val="24"/>
        </w:rPr>
        <w:t>bakterica</w:t>
      </w:r>
      <w:proofErr w:type="spellEnd"/>
      <w:r w:rsidRPr="001565AC">
        <w:rPr>
          <w:sz w:val="24"/>
          <w:szCs w:val="24"/>
        </w:rPr>
        <w:t xml:space="preserve"> til systemisk </w:t>
      </w:r>
      <w:r w:rsidR="008512DA">
        <w:rPr>
          <w:sz w:val="24"/>
          <w:szCs w:val="24"/>
        </w:rPr>
        <w:t>brug</w:t>
      </w:r>
      <w:r w:rsidRPr="001565AC">
        <w:rPr>
          <w:sz w:val="24"/>
          <w:szCs w:val="24"/>
        </w:rPr>
        <w:t xml:space="preserve">, </w:t>
      </w:r>
      <w:proofErr w:type="spellStart"/>
      <w:r w:rsidRPr="001565AC">
        <w:rPr>
          <w:sz w:val="24"/>
          <w:szCs w:val="24"/>
        </w:rPr>
        <w:t>lincosamider</w:t>
      </w:r>
      <w:proofErr w:type="spellEnd"/>
      <w:r w:rsidRPr="001565AC">
        <w:rPr>
          <w:sz w:val="24"/>
          <w:szCs w:val="24"/>
          <w:lang w:bidi="ar-JO"/>
        </w:rPr>
        <w:t>.</w:t>
      </w:r>
    </w:p>
    <w:p w:rsidR="001565AC" w:rsidRPr="001565AC" w:rsidRDefault="001565AC" w:rsidP="001565AC">
      <w:pPr>
        <w:ind w:left="851"/>
        <w:rPr>
          <w:sz w:val="24"/>
          <w:szCs w:val="24"/>
          <w:rtl/>
          <w:lang w:bidi="ar-JO"/>
        </w:rPr>
      </w:pPr>
      <w:proofErr w:type="spellStart"/>
      <w:r w:rsidRPr="001565AC">
        <w:rPr>
          <w:sz w:val="24"/>
          <w:szCs w:val="24"/>
          <w:lang w:bidi="ar-JO"/>
        </w:rPr>
        <w:t>ATCvet</w:t>
      </w:r>
      <w:proofErr w:type="spellEnd"/>
      <w:r w:rsidRPr="001565AC">
        <w:rPr>
          <w:sz w:val="24"/>
          <w:szCs w:val="24"/>
          <w:lang w:bidi="ar-JO"/>
        </w:rPr>
        <w:t>-kode: QJ01FF01.</w:t>
      </w: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5.1</w:t>
      </w:r>
      <w:r w:rsidRPr="001565AC">
        <w:rPr>
          <w:b/>
          <w:sz w:val="24"/>
          <w:szCs w:val="24"/>
        </w:rPr>
        <w:tab/>
      </w:r>
      <w:proofErr w:type="spellStart"/>
      <w:r w:rsidRPr="001565AC">
        <w:rPr>
          <w:b/>
          <w:sz w:val="24"/>
          <w:szCs w:val="24"/>
        </w:rPr>
        <w:t>Farmakodynamiske</w:t>
      </w:r>
      <w:proofErr w:type="spellEnd"/>
      <w:r w:rsidR="001577E4" w:rsidRPr="001565AC">
        <w:rPr>
          <w:b/>
          <w:sz w:val="24"/>
          <w:szCs w:val="24"/>
        </w:rPr>
        <w:t xml:space="preserve"> </w:t>
      </w:r>
      <w:r w:rsidRPr="001565AC">
        <w:rPr>
          <w:b/>
          <w:sz w:val="24"/>
          <w:szCs w:val="24"/>
        </w:rPr>
        <w:t>egenskaber</w:t>
      </w:r>
    </w:p>
    <w:p w:rsidR="001565AC" w:rsidRPr="001565AC" w:rsidRDefault="00DF32BE" w:rsidP="001565AC">
      <w:pPr>
        <w:ind w:left="851" w:hanging="851"/>
        <w:rPr>
          <w:sz w:val="24"/>
          <w:szCs w:val="24"/>
          <w:lang w:bidi="ar-JO"/>
        </w:rPr>
      </w:pPr>
      <w:r w:rsidRPr="001565AC">
        <w:rPr>
          <w:sz w:val="24"/>
          <w:szCs w:val="24"/>
        </w:rPr>
        <w:tab/>
      </w:r>
      <w:proofErr w:type="spellStart"/>
      <w:r w:rsidR="001565AC" w:rsidRPr="001565AC">
        <w:rPr>
          <w:sz w:val="24"/>
          <w:szCs w:val="24"/>
        </w:rPr>
        <w:t>Clindamycin</w:t>
      </w:r>
      <w:proofErr w:type="spellEnd"/>
      <w:r w:rsidR="001565AC" w:rsidRPr="001565AC">
        <w:rPr>
          <w:sz w:val="24"/>
          <w:szCs w:val="24"/>
        </w:rPr>
        <w:t xml:space="preserve"> er hovedsageligt et </w:t>
      </w:r>
      <w:proofErr w:type="spellStart"/>
      <w:r w:rsidR="001565AC" w:rsidRPr="001565AC">
        <w:rPr>
          <w:sz w:val="24"/>
          <w:szCs w:val="24"/>
        </w:rPr>
        <w:t>bakteriostatisk</w:t>
      </w:r>
      <w:proofErr w:type="spellEnd"/>
      <w:r w:rsidR="001565AC" w:rsidRPr="001565AC">
        <w:rPr>
          <w:sz w:val="24"/>
          <w:szCs w:val="24"/>
        </w:rPr>
        <w:t xml:space="preserve"> antibiotikum, der hører til gruppen af </w:t>
      </w:r>
      <w:proofErr w:type="spellStart"/>
      <w:r w:rsidR="001565AC" w:rsidRPr="001565AC">
        <w:rPr>
          <w:sz w:val="24"/>
          <w:szCs w:val="24"/>
        </w:rPr>
        <w:t>lincosamider</w:t>
      </w:r>
      <w:proofErr w:type="spellEnd"/>
      <w:r w:rsidR="001565AC" w:rsidRPr="001565AC">
        <w:rPr>
          <w:sz w:val="24"/>
          <w:szCs w:val="24"/>
        </w:rPr>
        <w:t xml:space="preserve">. </w:t>
      </w:r>
      <w:proofErr w:type="spellStart"/>
      <w:r w:rsidR="001565AC" w:rsidRPr="001565AC">
        <w:rPr>
          <w:sz w:val="24"/>
          <w:szCs w:val="24"/>
        </w:rPr>
        <w:t>Clindamycin</w:t>
      </w:r>
      <w:proofErr w:type="spellEnd"/>
      <w:r w:rsidR="001565AC" w:rsidRPr="001565AC">
        <w:rPr>
          <w:sz w:val="24"/>
          <w:szCs w:val="24"/>
        </w:rPr>
        <w:t xml:space="preserve"> er en </w:t>
      </w:r>
      <w:proofErr w:type="spellStart"/>
      <w:r w:rsidR="001565AC" w:rsidRPr="001565AC">
        <w:rPr>
          <w:sz w:val="24"/>
          <w:szCs w:val="24"/>
        </w:rPr>
        <w:t>chloreret</w:t>
      </w:r>
      <w:proofErr w:type="spellEnd"/>
      <w:r w:rsidR="001565AC" w:rsidRPr="001565AC">
        <w:rPr>
          <w:sz w:val="24"/>
          <w:szCs w:val="24"/>
        </w:rPr>
        <w:t xml:space="preserve"> analog af </w:t>
      </w:r>
      <w:proofErr w:type="spellStart"/>
      <w:r w:rsidR="001565AC" w:rsidRPr="001565AC">
        <w:rPr>
          <w:sz w:val="24"/>
          <w:szCs w:val="24"/>
        </w:rPr>
        <w:t>lincomycin</w:t>
      </w:r>
      <w:proofErr w:type="spellEnd"/>
      <w:r w:rsidR="001565AC" w:rsidRPr="001565AC">
        <w:rPr>
          <w:sz w:val="24"/>
          <w:szCs w:val="24"/>
        </w:rPr>
        <w:t xml:space="preserve">. Det virker ved at inhibere bakteriernes proteinsyntese. Den reversible binding til underenheden </w:t>
      </w:r>
      <w:r w:rsidR="001565AC" w:rsidRPr="001565AC">
        <w:rPr>
          <w:sz w:val="24"/>
          <w:szCs w:val="24"/>
          <w:lang w:bidi="ar-JO"/>
        </w:rPr>
        <w:t xml:space="preserve">50-S i bakterielle ribosomer, hæmmer translation af aminosyrer, der er forbundet </w:t>
      </w:r>
      <w:r w:rsidR="00EF057E">
        <w:rPr>
          <w:sz w:val="24"/>
          <w:szCs w:val="24"/>
          <w:lang w:bidi="ar-JO"/>
        </w:rPr>
        <w:t>til</w:t>
      </w:r>
      <w:r w:rsidR="001565AC" w:rsidRPr="001565AC">
        <w:rPr>
          <w:sz w:val="24"/>
          <w:szCs w:val="24"/>
          <w:lang w:bidi="ar-JO"/>
        </w:rPr>
        <w:t xml:space="preserve"> </w:t>
      </w:r>
      <w:proofErr w:type="spellStart"/>
      <w:r w:rsidR="001565AC" w:rsidRPr="001565AC">
        <w:rPr>
          <w:sz w:val="24"/>
          <w:szCs w:val="24"/>
          <w:lang w:bidi="ar-JO"/>
        </w:rPr>
        <w:t>tRNA</w:t>
      </w:r>
      <w:proofErr w:type="spellEnd"/>
      <w:r w:rsidR="001565AC" w:rsidRPr="001565AC">
        <w:rPr>
          <w:sz w:val="24"/>
          <w:szCs w:val="24"/>
          <w:lang w:bidi="ar-JO"/>
        </w:rPr>
        <w:t xml:space="preserve">, og forhindrer dermed forlængelsen af peptidekæden. Derfor virker </w:t>
      </w:r>
      <w:proofErr w:type="spellStart"/>
      <w:r w:rsidR="001565AC" w:rsidRPr="001565AC">
        <w:rPr>
          <w:sz w:val="24"/>
          <w:szCs w:val="24"/>
          <w:lang w:bidi="ar-JO"/>
        </w:rPr>
        <w:t>clindamycin</w:t>
      </w:r>
      <w:proofErr w:type="spellEnd"/>
      <w:r w:rsidR="001565AC" w:rsidRPr="001565AC">
        <w:rPr>
          <w:sz w:val="24"/>
          <w:szCs w:val="24"/>
          <w:lang w:bidi="ar-JO"/>
        </w:rPr>
        <w:t xml:space="preserve"> først og fremmest </w:t>
      </w:r>
      <w:proofErr w:type="spellStart"/>
      <w:r w:rsidR="001565AC" w:rsidRPr="001565AC">
        <w:rPr>
          <w:sz w:val="24"/>
          <w:szCs w:val="24"/>
          <w:lang w:bidi="ar-JO"/>
        </w:rPr>
        <w:t>bakteriostatisk</w:t>
      </w:r>
      <w:proofErr w:type="spellEnd"/>
      <w:r w:rsidR="001565AC" w:rsidRPr="001565AC">
        <w:rPr>
          <w:sz w:val="24"/>
          <w:szCs w:val="24"/>
          <w:lang w:bidi="ar-JO"/>
        </w:rPr>
        <w:t xml:space="preserve">. </w:t>
      </w:r>
      <w:proofErr w:type="spellStart"/>
      <w:r w:rsidR="001565AC" w:rsidRPr="001565AC">
        <w:rPr>
          <w:sz w:val="24"/>
          <w:szCs w:val="24"/>
          <w:lang w:bidi="ar-JO"/>
        </w:rPr>
        <w:t>Clindamycin</w:t>
      </w:r>
      <w:proofErr w:type="spellEnd"/>
      <w:r w:rsidR="001565AC" w:rsidRPr="001565AC">
        <w:rPr>
          <w:sz w:val="24"/>
          <w:szCs w:val="24"/>
          <w:lang w:bidi="ar-JO"/>
        </w:rPr>
        <w:t xml:space="preserve"> og </w:t>
      </w:r>
      <w:proofErr w:type="spellStart"/>
      <w:r w:rsidR="001565AC" w:rsidRPr="001565AC">
        <w:rPr>
          <w:sz w:val="24"/>
          <w:szCs w:val="24"/>
          <w:lang w:bidi="ar-JO"/>
        </w:rPr>
        <w:t>lincomycin</w:t>
      </w:r>
      <w:proofErr w:type="spellEnd"/>
      <w:r w:rsidR="001565AC" w:rsidRPr="001565AC">
        <w:rPr>
          <w:sz w:val="24"/>
          <w:szCs w:val="24"/>
          <w:lang w:bidi="ar-JO"/>
        </w:rPr>
        <w:t xml:space="preserve"> </w:t>
      </w:r>
      <w:r w:rsidR="00EF057E">
        <w:rPr>
          <w:sz w:val="24"/>
          <w:szCs w:val="24"/>
          <w:lang w:bidi="ar-JO"/>
        </w:rPr>
        <w:t>udviser</w:t>
      </w:r>
      <w:r w:rsidR="001565AC" w:rsidRPr="001565AC">
        <w:rPr>
          <w:sz w:val="24"/>
          <w:szCs w:val="24"/>
          <w:lang w:bidi="ar-JO"/>
        </w:rPr>
        <w:t xml:space="preserve"> krydsresisten</w:t>
      </w:r>
      <w:r w:rsidR="00EF057E">
        <w:rPr>
          <w:sz w:val="24"/>
          <w:szCs w:val="24"/>
          <w:lang w:bidi="ar-JO"/>
        </w:rPr>
        <w:t>s</w:t>
      </w:r>
      <w:r w:rsidR="001565AC" w:rsidRPr="001565AC">
        <w:rPr>
          <w:sz w:val="24"/>
          <w:szCs w:val="24"/>
          <w:lang w:bidi="ar-JO"/>
        </w:rPr>
        <w:t xml:space="preserve">, hvilket ligeledes er </w:t>
      </w:r>
      <w:r w:rsidR="00EF057E">
        <w:rPr>
          <w:sz w:val="24"/>
          <w:szCs w:val="24"/>
          <w:lang w:bidi="ar-JO"/>
        </w:rPr>
        <w:t>almindeligt</w:t>
      </w:r>
      <w:r w:rsidR="001565AC" w:rsidRPr="001565AC">
        <w:rPr>
          <w:sz w:val="24"/>
          <w:szCs w:val="24"/>
          <w:lang w:bidi="ar-JO"/>
        </w:rPr>
        <w:t xml:space="preserve"> mellem </w:t>
      </w:r>
      <w:proofErr w:type="spellStart"/>
      <w:r w:rsidR="001565AC" w:rsidRPr="001565AC">
        <w:rPr>
          <w:sz w:val="24"/>
          <w:szCs w:val="24"/>
          <w:lang w:bidi="ar-JO"/>
        </w:rPr>
        <w:t>erythromycin</w:t>
      </w:r>
      <w:proofErr w:type="spellEnd"/>
      <w:r w:rsidR="001565AC" w:rsidRPr="001565AC">
        <w:rPr>
          <w:sz w:val="24"/>
          <w:szCs w:val="24"/>
          <w:lang w:bidi="ar-JO"/>
        </w:rPr>
        <w:t xml:space="preserve"> og andre </w:t>
      </w:r>
      <w:proofErr w:type="spellStart"/>
      <w:r w:rsidR="001565AC" w:rsidRPr="001565AC">
        <w:rPr>
          <w:sz w:val="24"/>
          <w:szCs w:val="24"/>
          <w:lang w:bidi="ar-JO"/>
        </w:rPr>
        <w:t>macrolider</w:t>
      </w:r>
      <w:proofErr w:type="spellEnd"/>
      <w:r w:rsidR="001565AC" w:rsidRPr="001565AC">
        <w:rPr>
          <w:sz w:val="24"/>
          <w:szCs w:val="24"/>
          <w:lang w:bidi="ar-JO"/>
        </w:rPr>
        <w:t xml:space="preserve">. </w:t>
      </w:r>
    </w:p>
    <w:p w:rsidR="001565AC" w:rsidRPr="001565AC" w:rsidRDefault="001565AC" w:rsidP="001565AC">
      <w:pPr>
        <w:ind w:left="851"/>
        <w:rPr>
          <w:sz w:val="24"/>
          <w:szCs w:val="24"/>
          <w:lang w:bidi="ar-JO"/>
        </w:rPr>
      </w:pPr>
      <w:r w:rsidRPr="001565AC">
        <w:rPr>
          <w:rStyle w:val="hps"/>
          <w:color w:val="333333"/>
          <w:sz w:val="24"/>
          <w:szCs w:val="24"/>
        </w:rPr>
        <w:t>Resistens</w:t>
      </w:r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>kan forekomme</w:t>
      </w:r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>ved</w:t>
      </w:r>
      <w:r w:rsidRPr="001565AC">
        <w:rPr>
          <w:color w:val="333333"/>
          <w:sz w:val="24"/>
          <w:szCs w:val="24"/>
        </w:rPr>
        <w:t xml:space="preserve"> </w:t>
      </w:r>
      <w:proofErr w:type="spellStart"/>
      <w:r w:rsidRPr="001565AC">
        <w:rPr>
          <w:rStyle w:val="hps"/>
          <w:color w:val="333333"/>
          <w:sz w:val="24"/>
          <w:szCs w:val="24"/>
        </w:rPr>
        <w:t>methylering</w:t>
      </w:r>
      <w:proofErr w:type="spellEnd"/>
      <w:r w:rsidRPr="001565AC">
        <w:rPr>
          <w:rStyle w:val="hps"/>
          <w:color w:val="333333"/>
          <w:sz w:val="24"/>
          <w:szCs w:val="24"/>
        </w:rPr>
        <w:t xml:space="preserve"> af</w:t>
      </w:r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 xml:space="preserve">det </w:t>
      </w:r>
      <w:proofErr w:type="spellStart"/>
      <w:r w:rsidRPr="001565AC">
        <w:rPr>
          <w:rStyle w:val="hps"/>
          <w:color w:val="333333"/>
          <w:sz w:val="24"/>
          <w:szCs w:val="24"/>
        </w:rPr>
        <w:t>ribosomale</w:t>
      </w:r>
      <w:proofErr w:type="spellEnd"/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>bindingssted</w:t>
      </w:r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>via</w:t>
      </w:r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>kromosomal</w:t>
      </w:r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>mutation</w:t>
      </w:r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 xml:space="preserve">i </w:t>
      </w:r>
      <w:proofErr w:type="spellStart"/>
      <w:r w:rsidRPr="001565AC">
        <w:rPr>
          <w:rStyle w:val="hps"/>
          <w:color w:val="333333"/>
          <w:sz w:val="24"/>
          <w:szCs w:val="24"/>
        </w:rPr>
        <w:t>gram-positive</w:t>
      </w:r>
      <w:proofErr w:type="spellEnd"/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>organismer</w:t>
      </w:r>
      <w:r w:rsidRPr="001565AC">
        <w:rPr>
          <w:color w:val="333333"/>
          <w:sz w:val="24"/>
          <w:szCs w:val="24"/>
        </w:rPr>
        <w:t xml:space="preserve">, </w:t>
      </w:r>
      <w:r w:rsidRPr="001565AC">
        <w:rPr>
          <w:rStyle w:val="hps"/>
          <w:color w:val="333333"/>
          <w:sz w:val="24"/>
          <w:szCs w:val="24"/>
        </w:rPr>
        <w:t>eller</w:t>
      </w:r>
      <w:r w:rsidRPr="001565AC">
        <w:rPr>
          <w:color w:val="333333"/>
          <w:sz w:val="24"/>
          <w:szCs w:val="24"/>
        </w:rPr>
        <w:t xml:space="preserve"> </w:t>
      </w:r>
      <w:proofErr w:type="spellStart"/>
      <w:r w:rsidRPr="001565AC">
        <w:rPr>
          <w:rStyle w:val="hps"/>
          <w:color w:val="333333"/>
          <w:sz w:val="24"/>
          <w:szCs w:val="24"/>
        </w:rPr>
        <w:t>plasmid</w:t>
      </w:r>
      <w:proofErr w:type="spellEnd"/>
      <w:r w:rsidRPr="001565AC">
        <w:rPr>
          <w:color w:val="333333"/>
          <w:sz w:val="24"/>
          <w:szCs w:val="24"/>
        </w:rPr>
        <w:t xml:space="preserve">-medierede </w:t>
      </w:r>
      <w:r w:rsidRPr="001565AC">
        <w:rPr>
          <w:rStyle w:val="hps"/>
          <w:color w:val="333333"/>
          <w:sz w:val="24"/>
          <w:szCs w:val="24"/>
        </w:rPr>
        <w:t>mekanismer i</w:t>
      </w:r>
      <w:r w:rsidRPr="001565AC">
        <w:rPr>
          <w:color w:val="333333"/>
          <w:sz w:val="24"/>
          <w:szCs w:val="24"/>
        </w:rPr>
        <w:t xml:space="preserve"> </w:t>
      </w:r>
      <w:proofErr w:type="spellStart"/>
      <w:r w:rsidRPr="001565AC">
        <w:rPr>
          <w:rStyle w:val="hps"/>
          <w:color w:val="333333"/>
          <w:sz w:val="24"/>
          <w:szCs w:val="24"/>
        </w:rPr>
        <w:t>gram-negative</w:t>
      </w:r>
      <w:proofErr w:type="spellEnd"/>
      <w:r w:rsidRPr="001565AC">
        <w:rPr>
          <w:color w:val="333333"/>
          <w:sz w:val="24"/>
          <w:szCs w:val="24"/>
        </w:rPr>
        <w:t xml:space="preserve"> </w:t>
      </w:r>
      <w:r w:rsidRPr="001565AC">
        <w:rPr>
          <w:rStyle w:val="hps"/>
          <w:color w:val="333333"/>
          <w:sz w:val="24"/>
          <w:szCs w:val="24"/>
        </w:rPr>
        <w:t>organismer.</w:t>
      </w:r>
    </w:p>
    <w:p w:rsidR="001565AC" w:rsidRPr="001565AC" w:rsidRDefault="001565AC" w:rsidP="001565AC">
      <w:pPr>
        <w:ind w:left="851" w:hanging="851"/>
        <w:rPr>
          <w:sz w:val="24"/>
          <w:szCs w:val="24"/>
        </w:rPr>
      </w:pPr>
    </w:p>
    <w:p w:rsidR="0049158E" w:rsidRDefault="0049158E" w:rsidP="0049158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Clindamycin</w:t>
      </w:r>
      <w:proofErr w:type="spellEnd"/>
      <w:r>
        <w:rPr>
          <w:sz w:val="24"/>
          <w:szCs w:val="24"/>
        </w:rPr>
        <w:t xml:space="preserve"> har in </w:t>
      </w:r>
      <w:proofErr w:type="spellStart"/>
      <w:r>
        <w:rPr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 virkning over for mange gramfølgende mikroorganismer (se følgende </w:t>
      </w:r>
      <w:proofErr w:type="spellStart"/>
      <w:r>
        <w:rPr>
          <w:sz w:val="24"/>
          <w:szCs w:val="24"/>
        </w:rPr>
        <w:t>MIC'er</w:t>
      </w:r>
      <w:proofErr w:type="spellEnd"/>
      <w:r>
        <w:rPr>
          <w:sz w:val="24"/>
          <w:szCs w:val="24"/>
        </w:rPr>
        <w:t>):</w:t>
      </w:r>
    </w:p>
    <w:p w:rsidR="0049158E" w:rsidRDefault="0049158E" w:rsidP="0049158E">
      <w:pPr>
        <w:ind w:left="1304" w:hanging="453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Aerobic </w:t>
      </w:r>
      <w:proofErr w:type="spellStart"/>
      <w:r>
        <w:rPr>
          <w:sz w:val="24"/>
          <w:szCs w:val="24"/>
        </w:rPr>
        <w:t>Gram-positive</w:t>
      </w:r>
      <w:proofErr w:type="spellEnd"/>
      <w:r>
        <w:rPr>
          <w:sz w:val="24"/>
          <w:szCs w:val="24"/>
        </w:rPr>
        <w:t xml:space="preserve"> bakterier, gram-</w:t>
      </w:r>
      <w:proofErr w:type="spellStart"/>
      <w:r>
        <w:rPr>
          <w:sz w:val="24"/>
          <w:szCs w:val="24"/>
        </w:rPr>
        <w:t>positivecocci</w:t>
      </w:r>
      <w:proofErr w:type="spellEnd"/>
      <w:r>
        <w:rPr>
          <w:sz w:val="24"/>
          <w:szCs w:val="24"/>
        </w:rPr>
        <w:t xml:space="preserve">, inklusiv: </w:t>
      </w:r>
      <w:proofErr w:type="spellStart"/>
      <w:r>
        <w:rPr>
          <w:sz w:val="24"/>
          <w:szCs w:val="24"/>
        </w:rPr>
        <w:t>Staphylococcus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aureus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Staphylococcus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pseudintermedius</w:t>
      </w:r>
      <w:proofErr w:type="spellEnd"/>
      <w:r>
        <w:rPr>
          <w:sz w:val="24"/>
          <w:szCs w:val="24"/>
        </w:rPr>
        <w:t xml:space="preserve"> (penicillinase-producerende og ikke-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enicillinase-producerende stammer), </w:t>
      </w:r>
      <w:proofErr w:type="spellStart"/>
      <w:r>
        <w:rPr>
          <w:sz w:val="24"/>
          <w:szCs w:val="24"/>
        </w:rPr>
        <w:t>Streptococcus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undtagen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Streptococcus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faecalis</w:t>
      </w:r>
      <w:proofErr w:type="spellEnd"/>
      <w:r>
        <w:rPr>
          <w:sz w:val="24"/>
          <w:szCs w:val="24"/>
        </w:rPr>
        <w:t>).</w:t>
      </w:r>
    </w:p>
    <w:p w:rsidR="0049158E" w:rsidRDefault="0049158E" w:rsidP="0049158E">
      <w:pPr>
        <w:ind w:left="1304" w:hanging="453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Anaerobe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gram-negative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anaerobe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bakterier,</w:t>
      </w:r>
      <w:r>
        <w:rPr>
          <w:sz w:val="24"/>
          <w:szCs w:val="24"/>
        </w:rPr>
        <w:t xml:space="preserve"> inklusiv: </w:t>
      </w:r>
      <w:proofErr w:type="spellStart"/>
      <w:r>
        <w:rPr>
          <w:sz w:val="24"/>
          <w:szCs w:val="24"/>
        </w:rPr>
        <w:t>Bacteroides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Fusobacterium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necrophorum</w:t>
      </w:r>
      <w:proofErr w:type="spellEnd"/>
      <w:r>
        <w:rPr>
          <w:sz w:val="24"/>
          <w:szCs w:val="24"/>
        </w:rPr>
        <w:t>.</w:t>
      </w:r>
    </w:p>
    <w:p w:rsidR="0049158E" w:rsidRDefault="0049158E" w:rsidP="0049158E">
      <w:pPr>
        <w:ind w:left="1304" w:hanging="453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Clostridia</w:t>
      </w:r>
      <w:proofErr w:type="spellEnd"/>
      <w:r>
        <w:rPr>
          <w:sz w:val="24"/>
          <w:szCs w:val="24"/>
        </w:rPr>
        <w:t xml:space="preserve">: De fleste aerobe eller fakultative </w:t>
      </w:r>
      <w:proofErr w:type="spellStart"/>
      <w:r>
        <w:rPr>
          <w:sz w:val="24"/>
          <w:szCs w:val="24"/>
        </w:rPr>
        <w:t>gram-negative</w:t>
      </w:r>
      <w:proofErr w:type="spellEnd"/>
      <w:r>
        <w:rPr>
          <w:sz w:val="24"/>
          <w:szCs w:val="24"/>
        </w:rPr>
        <w:t xml:space="preserve"> bakterier er resistente over for </w:t>
      </w:r>
      <w:proofErr w:type="spellStart"/>
      <w:r>
        <w:rPr>
          <w:sz w:val="24"/>
          <w:szCs w:val="24"/>
        </w:rPr>
        <w:t>clindamycinClostridium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perfringens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modtagelige.</w:t>
      </w:r>
    </w:p>
    <w:p w:rsidR="0049158E" w:rsidRDefault="0049158E" w:rsidP="0049158E">
      <w:pPr>
        <w:ind w:left="851" w:hanging="851"/>
        <w:rPr>
          <w:sz w:val="24"/>
          <w:szCs w:val="24"/>
        </w:rPr>
      </w:pPr>
    </w:p>
    <w:p w:rsidR="0049158E" w:rsidRDefault="0049158E" w:rsidP="0049158E">
      <w:pPr>
        <w:ind w:left="851"/>
        <w:rPr>
          <w:sz w:val="24"/>
          <w:szCs w:val="24"/>
        </w:rPr>
      </w:pPr>
      <w:r>
        <w:rPr>
          <w:sz w:val="24"/>
          <w:szCs w:val="24"/>
        </w:rPr>
        <w:t>MIC data</w:t>
      </w:r>
    </w:p>
    <w:p w:rsidR="0049158E" w:rsidRDefault="0049158E" w:rsidP="0049158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CLSI </w:t>
      </w:r>
      <w:proofErr w:type="spellStart"/>
      <w:r>
        <w:rPr>
          <w:sz w:val="24"/>
          <w:szCs w:val="24"/>
        </w:rPr>
        <w:t>clindamycin</w:t>
      </w:r>
      <w:proofErr w:type="spellEnd"/>
      <w:r>
        <w:rPr>
          <w:sz w:val="24"/>
          <w:szCs w:val="24"/>
        </w:rPr>
        <w:t xml:space="preserve"> veterinære </w:t>
      </w:r>
      <w:proofErr w:type="spellStart"/>
      <w:r>
        <w:rPr>
          <w:sz w:val="24"/>
          <w:szCs w:val="24"/>
        </w:rPr>
        <w:t>databreakpoints</w:t>
      </w:r>
      <w:proofErr w:type="spellEnd"/>
      <w:r>
        <w:rPr>
          <w:sz w:val="24"/>
          <w:szCs w:val="24"/>
        </w:rPr>
        <w:t xml:space="preserve"> er til </w:t>
      </w:r>
      <w:proofErr w:type="spellStart"/>
      <w:r>
        <w:rPr>
          <w:sz w:val="24"/>
          <w:szCs w:val="24"/>
        </w:rPr>
        <w:t>rådighedtilgængelige</w:t>
      </w:r>
      <w:proofErr w:type="spellEnd"/>
      <w:r>
        <w:rPr>
          <w:sz w:val="24"/>
          <w:szCs w:val="24"/>
        </w:rPr>
        <w:t xml:space="preserve"> for hunde i </w:t>
      </w:r>
      <w:proofErr w:type="spellStart"/>
      <w:r>
        <w:rPr>
          <w:sz w:val="24"/>
          <w:szCs w:val="24"/>
        </w:rPr>
        <w:t>Staphylococcus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iStaphylococcus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og</w:t>
      </w:r>
      <w:proofErr w:type="gram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hæmolytiske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streptococci</w:t>
      </w:r>
      <w:proofErr w:type="spellEnd"/>
      <w:r>
        <w:rPr>
          <w:sz w:val="24"/>
          <w:szCs w:val="24"/>
        </w:rPr>
        <w:t xml:space="preserve">-ß-gruppe ved hud- og </w:t>
      </w:r>
      <w:proofErr w:type="spellStart"/>
      <w:r>
        <w:rPr>
          <w:sz w:val="24"/>
          <w:szCs w:val="24"/>
        </w:rPr>
        <w:t>blødvævsinfektionerbløddelsinfektioner</w:t>
      </w:r>
      <w:proofErr w:type="spellEnd"/>
      <w:r>
        <w:rPr>
          <w:sz w:val="24"/>
          <w:szCs w:val="24"/>
        </w:rPr>
        <w:t xml:space="preserve">: S ≤ 0.,5 </w:t>
      </w:r>
      <w:proofErr w:type="spellStart"/>
      <w:r>
        <w:rPr>
          <w:sz w:val="24"/>
          <w:szCs w:val="24"/>
        </w:rPr>
        <w:t>μg</w:t>
      </w:r>
      <w:proofErr w:type="spellEnd"/>
      <w:r>
        <w:rPr>
          <w:sz w:val="24"/>
          <w:szCs w:val="24"/>
        </w:rPr>
        <w:t xml:space="preserve">/ml, ; </w:t>
      </w:r>
    </w:p>
    <w:p w:rsidR="0049158E" w:rsidRDefault="0049158E" w:rsidP="0049158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= =1-2 μg2μg/ml; R ≥ 4 </w:t>
      </w:r>
      <w:proofErr w:type="spellStart"/>
      <w:r>
        <w:rPr>
          <w:sz w:val="24"/>
          <w:szCs w:val="24"/>
        </w:rPr>
        <w:t>μg</w:t>
      </w:r>
      <w:proofErr w:type="spellEnd"/>
      <w:r>
        <w:rPr>
          <w:sz w:val="24"/>
          <w:szCs w:val="24"/>
        </w:rPr>
        <w:t xml:space="preserve">/ml. (CLSI januar </w:t>
      </w:r>
      <w:proofErr w:type="gramStart"/>
      <w:r>
        <w:rPr>
          <w:sz w:val="24"/>
          <w:szCs w:val="24"/>
        </w:rPr>
        <w:t>Juli</w:t>
      </w:r>
      <w:proofErr w:type="gramEnd"/>
      <w:r>
        <w:rPr>
          <w:sz w:val="24"/>
          <w:szCs w:val="24"/>
        </w:rPr>
        <w:t xml:space="preserve"> 2013).</w:t>
      </w:r>
    </w:p>
    <w:p w:rsidR="0049158E" w:rsidRDefault="0049158E" w:rsidP="0049158E">
      <w:pPr>
        <w:ind w:left="851"/>
        <w:rPr>
          <w:sz w:val="24"/>
          <w:szCs w:val="24"/>
        </w:rPr>
      </w:pPr>
    </w:p>
    <w:p w:rsidR="0049158E" w:rsidRDefault="0049158E" w:rsidP="0049158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Forekomsten af resistens over for </w:t>
      </w:r>
      <w:proofErr w:type="spellStart"/>
      <w:r>
        <w:rPr>
          <w:sz w:val="24"/>
          <w:szCs w:val="24"/>
        </w:rPr>
        <w:t>lincosamider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Staphylococcus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forekommer</w:t>
      </w:r>
      <w:proofErr w:type="gramEnd"/>
      <w:r>
        <w:rPr>
          <w:sz w:val="24"/>
          <w:szCs w:val="24"/>
        </w:rPr>
        <w:t xml:space="preserve"> at være vidt udbredt i Europa. I nylige studier (2010).) rapporteres en forekomst på mellem 25 til 40 %.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5.2</w:t>
      </w:r>
      <w:r w:rsidRPr="001565AC">
        <w:rPr>
          <w:b/>
          <w:sz w:val="24"/>
          <w:szCs w:val="24"/>
        </w:rPr>
        <w:tab/>
      </w:r>
      <w:proofErr w:type="spellStart"/>
      <w:r w:rsidRPr="001565AC">
        <w:rPr>
          <w:b/>
          <w:sz w:val="24"/>
          <w:szCs w:val="24"/>
        </w:rPr>
        <w:t>Farmakokinetiske</w:t>
      </w:r>
      <w:proofErr w:type="spellEnd"/>
      <w:r w:rsidRPr="001565AC">
        <w:rPr>
          <w:b/>
          <w:sz w:val="24"/>
          <w:szCs w:val="24"/>
        </w:rPr>
        <w:t xml:space="preserve"> egenskaber</w:t>
      </w:r>
    </w:p>
    <w:p w:rsidR="001565AC" w:rsidRPr="001565AC" w:rsidRDefault="001565AC" w:rsidP="001565AC">
      <w:pPr>
        <w:ind w:left="851"/>
        <w:rPr>
          <w:b/>
          <w:sz w:val="24"/>
          <w:szCs w:val="24"/>
        </w:rPr>
      </w:pPr>
      <w:proofErr w:type="spellStart"/>
      <w:r w:rsidRPr="001565AC">
        <w:rPr>
          <w:sz w:val="24"/>
          <w:szCs w:val="24"/>
          <w:lang w:bidi="ar-JO"/>
        </w:rPr>
        <w:t>Clindamycin</w:t>
      </w:r>
      <w:proofErr w:type="spellEnd"/>
      <w:r w:rsidRPr="001565AC">
        <w:rPr>
          <w:sz w:val="24"/>
          <w:szCs w:val="24"/>
          <w:lang w:bidi="ar-JO"/>
        </w:rPr>
        <w:t xml:space="preserve"> absorberes næsten fuldstændig</w:t>
      </w:r>
      <w:r w:rsidR="00EF057E">
        <w:rPr>
          <w:sz w:val="24"/>
          <w:szCs w:val="24"/>
          <w:lang w:bidi="ar-JO"/>
        </w:rPr>
        <w:t>t</w:t>
      </w:r>
      <w:r w:rsidRPr="001565AC">
        <w:rPr>
          <w:sz w:val="24"/>
          <w:szCs w:val="24"/>
          <w:lang w:bidi="ar-JO"/>
        </w:rPr>
        <w:t xml:space="preserve"> efter oral administration. Maksimum serumkoncentration på 8 µg/ml (uden indflydelse fra </w:t>
      </w:r>
      <w:proofErr w:type="spellStart"/>
      <w:r w:rsidRPr="001565AC">
        <w:rPr>
          <w:sz w:val="24"/>
          <w:szCs w:val="24"/>
          <w:lang w:bidi="ar-JO"/>
        </w:rPr>
        <w:t>bolus</w:t>
      </w:r>
      <w:proofErr w:type="spellEnd"/>
      <w:r w:rsidRPr="001565AC">
        <w:rPr>
          <w:sz w:val="24"/>
          <w:szCs w:val="24"/>
          <w:lang w:bidi="ar-JO"/>
        </w:rPr>
        <w:t>)</w:t>
      </w:r>
      <w:r>
        <w:rPr>
          <w:sz w:val="24"/>
          <w:szCs w:val="24"/>
          <w:lang w:bidi="ar-JO"/>
        </w:rPr>
        <w:t xml:space="preserve"> </w:t>
      </w:r>
      <w:r w:rsidRPr="001565AC">
        <w:rPr>
          <w:sz w:val="24"/>
          <w:szCs w:val="24"/>
          <w:lang w:bidi="ar-JO"/>
        </w:rPr>
        <w:t>blev opnået 1 time efter indtagelse af en dosis på 11 mg pr. kg.</w:t>
      </w:r>
    </w:p>
    <w:p w:rsidR="001565AC" w:rsidRPr="001565AC" w:rsidRDefault="001565AC" w:rsidP="001565AC">
      <w:pPr>
        <w:ind w:left="851"/>
        <w:rPr>
          <w:b/>
          <w:sz w:val="24"/>
          <w:szCs w:val="24"/>
          <w:rtl/>
        </w:rPr>
      </w:pPr>
      <w:proofErr w:type="spellStart"/>
      <w:r w:rsidRPr="001565AC">
        <w:rPr>
          <w:sz w:val="24"/>
          <w:szCs w:val="24"/>
          <w:lang w:bidi="ar-JO"/>
        </w:rPr>
        <w:t>Clindamycin</w:t>
      </w:r>
      <w:proofErr w:type="spellEnd"/>
      <w:r w:rsidRPr="001565AC">
        <w:rPr>
          <w:sz w:val="24"/>
          <w:szCs w:val="24"/>
          <w:lang w:bidi="ar-JO"/>
        </w:rPr>
        <w:t xml:space="preserve"> distribueres bredt og kan findes koncentreret i </w:t>
      </w:r>
      <w:r w:rsidR="00EF057E">
        <w:rPr>
          <w:sz w:val="24"/>
          <w:szCs w:val="24"/>
          <w:lang w:bidi="ar-JO"/>
        </w:rPr>
        <w:t>visse</w:t>
      </w:r>
      <w:r w:rsidRPr="001565AC">
        <w:rPr>
          <w:sz w:val="24"/>
          <w:szCs w:val="24"/>
          <w:lang w:bidi="ar-JO"/>
        </w:rPr>
        <w:t xml:space="preserve"> væv. Halveringstiden for </w:t>
      </w:r>
      <w:proofErr w:type="spellStart"/>
      <w:r w:rsidRPr="001565AC">
        <w:rPr>
          <w:sz w:val="24"/>
          <w:szCs w:val="24"/>
          <w:lang w:bidi="ar-JO"/>
        </w:rPr>
        <w:t>clindamycin</w:t>
      </w:r>
      <w:proofErr w:type="spellEnd"/>
      <w:r w:rsidRPr="001565AC">
        <w:rPr>
          <w:sz w:val="24"/>
          <w:szCs w:val="24"/>
          <w:lang w:bidi="ar-JO"/>
        </w:rPr>
        <w:t xml:space="preserve"> er ca. 4 timer.</w:t>
      </w:r>
      <w:r>
        <w:rPr>
          <w:sz w:val="24"/>
          <w:szCs w:val="24"/>
          <w:lang w:bidi="ar-JO"/>
        </w:rPr>
        <w:t xml:space="preserve"> </w:t>
      </w:r>
      <w:r w:rsidRPr="001565AC">
        <w:rPr>
          <w:sz w:val="24"/>
          <w:szCs w:val="24"/>
          <w:lang w:bidi="ar-JO"/>
        </w:rPr>
        <w:t xml:space="preserve">Ca. 70% af </w:t>
      </w:r>
      <w:proofErr w:type="spellStart"/>
      <w:r w:rsidRPr="001565AC">
        <w:rPr>
          <w:sz w:val="24"/>
          <w:szCs w:val="24"/>
          <w:lang w:bidi="ar-JO"/>
        </w:rPr>
        <w:t>clindamycin</w:t>
      </w:r>
      <w:proofErr w:type="spellEnd"/>
      <w:r w:rsidRPr="001565AC">
        <w:rPr>
          <w:sz w:val="24"/>
          <w:szCs w:val="24"/>
          <w:lang w:bidi="ar-JO"/>
        </w:rPr>
        <w:t xml:space="preserve"> udskilles med </w:t>
      </w:r>
      <w:r w:rsidR="00EF057E">
        <w:rPr>
          <w:sz w:val="24"/>
          <w:szCs w:val="24"/>
          <w:lang w:bidi="ar-JO"/>
        </w:rPr>
        <w:t xml:space="preserve">fæces </w:t>
      </w:r>
      <w:r w:rsidRPr="001565AC">
        <w:rPr>
          <w:sz w:val="24"/>
          <w:szCs w:val="24"/>
          <w:lang w:bidi="ar-JO"/>
        </w:rPr>
        <w:t>og ca. 30% med urinen.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5.3</w:t>
      </w:r>
      <w:r w:rsidRPr="001565AC">
        <w:rPr>
          <w:b/>
          <w:sz w:val="24"/>
          <w:szCs w:val="24"/>
        </w:rPr>
        <w:tab/>
        <w:t>Miljømæssige forhold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</w:rPr>
        <w:t>-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jc w:val="both"/>
        <w:rPr>
          <w:sz w:val="24"/>
          <w:szCs w:val="24"/>
        </w:rPr>
      </w:pPr>
    </w:p>
    <w:p w:rsidR="00DF32BE" w:rsidRPr="001565AC" w:rsidRDefault="00DF32BE" w:rsidP="001565AC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FARMACEUTISKE OPLYSNINGER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Hjælpestoffer</w:t>
      </w:r>
    </w:p>
    <w:p w:rsidR="001565AC" w:rsidRPr="001565AC" w:rsidRDefault="00DF32BE" w:rsidP="0049158E">
      <w:pPr>
        <w:ind w:left="851" w:hanging="851"/>
        <w:rPr>
          <w:sz w:val="24"/>
          <w:szCs w:val="24"/>
          <w:lang w:bidi="ar-JO"/>
        </w:rPr>
      </w:pPr>
      <w:r w:rsidRPr="001565AC">
        <w:rPr>
          <w:sz w:val="24"/>
          <w:szCs w:val="24"/>
        </w:rPr>
        <w:tab/>
      </w:r>
      <w:proofErr w:type="spellStart"/>
      <w:r w:rsidR="001565AC" w:rsidRPr="001565AC">
        <w:rPr>
          <w:sz w:val="24"/>
          <w:szCs w:val="24"/>
          <w:lang w:bidi="ar-JO"/>
        </w:rPr>
        <w:t>Ethanol</w:t>
      </w:r>
      <w:proofErr w:type="spellEnd"/>
      <w:r w:rsidR="001565AC" w:rsidRPr="001565AC">
        <w:rPr>
          <w:sz w:val="24"/>
          <w:szCs w:val="24"/>
          <w:lang w:bidi="ar-JO"/>
        </w:rPr>
        <w:t xml:space="preserve"> 96 %</w:t>
      </w:r>
    </w:p>
    <w:p w:rsidR="0049158E" w:rsidRDefault="0049158E" w:rsidP="0049158E">
      <w:pPr>
        <w:ind w:left="851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Sorbitol, flydende (ikke-krystalliserende) E420</w:t>
      </w:r>
    </w:p>
    <w:p w:rsidR="001565AC" w:rsidRPr="001565AC" w:rsidRDefault="00EF057E" w:rsidP="001565AC">
      <w:pPr>
        <w:ind w:left="851"/>
        <w:rPr>
          <w:sz w:val="24"/>
          <w:szCs w:val="24"/>
          <w:lang w:bidi="ar-JO"/>
        </w:rPr>
      </w:pPr>
      <w:proofErr w:type="spellStart"/>
      <w:r>
        <w:rPr>
          <w:sz w:val="24"/>
          <w:szCs w:val="24"/>
          <w:lang w:bidi="ar-JO"/>
        </w:rPr>
        <w:t>Din</w:t>
      </w:r>
      <w:r w:rsidR="001565AC" w:rsidRPr="001565AC">
        <w:rPr>
          <w:sz w:val="24"/>
          <w:szCs w:val="24"/>
          <w:lang w:bidi="ar-JO"/>
        </w:rPr>
        <w:t>atriumedetat</w:t>
      </w:r>
      <w:proofErr w:type="spellEnd"/>
    </w:p>
    <w:p w:rsidR="0049158E" w:rsidRDefault="0049158E" w:rsidP="0049158E">
      <w:pPr>
        <w:ind w:firstLine="851"/>
        <w:rPr>
          <w:sz w:val="24"/>
          <w:szCs w:val="24"/>
          <w:lang w:bidi="ar-JO"/>
        </w:rPr>
      </w:pPr>
      <w:proofErr w:type="spellStart"/>
      <w:r>
        <w:rPr>
          <w:sz w:val="24"/>
          <w:szCs w:val="24"/>
          <w:lang w:bidi="ar-JO"/>
        </w:rPr>
        <w:t>Propylenglycol</w:t>
      </w:r>
      <w:proofErr w:type="spellEnd"/>
      <w:r>
        <w:rPr>
          <w:sz w:val="22"/>
          <w:szCs w:val="24"/>
          <w:lang w:eastAsia="da-DK" w:bidi="da-DK"/>
        </w:rPr>
        <w:t xml:space="preserve"> </w:t>
      </w:r>
      <w:r>
        <w:rPr>
          <w:sz w:val="24"/>
          <w:szCs w:val="24"/>
          <w:lang w:bidi="da-DK"/>
        </w:rPr>
        <w:t>(E1520)</w:t>
      </w:r>
      <w:r>
        <w:rPr>
          <w:sz w:val="24"/>
          <w:szCs w:val="24"/>
          <w:lang w:bidi="ar-JO"/>
        </w:rPr>
        <w:t xml:space="preserve">  </w:t>
      </w:r>
    </w:p>
    <w:p w:rsidR="0049158E" w:rsidRDefault="0049158E" w:rsidP="0049158E">
      <w:pPr>
        <w:ind w:firstLine="851"/>
        <w:rPr>
          <w:sz w:val="24"/>
          <w:szCs w:val="24"/>
          <w:lang w:bidi="ar-JO"/>
        </w:rPr>
      </w:pPr>
      <w:proofErr w:type="spellStart"/>
      <w:r>
        <w:rPr>
          <w:sz w:val="24"/>
          <w:szCs w:val="24"/>
          <w:lang w:bidi="ar-JO"/>
        </w:rPr>
        <w:t>Saccharinnatrium</w:t>
      </w:r>
      <w:proofErr w:type="spellEnd"/>
      <w:r>
        <w:rPr>
          <w:sz w:val="22"/>
        </w:rPr>
        <w:t xml:space="preserve"> </w:t>
      </w:r>
      <w:r>
        <w:rPr>
          <w:sz w:val="24"/>
          <w:szCs w:val="24"/>
          <w:lang w:bidi="ar-JO"/>
        </w:rPr>
        <w:t>(E954)</w:t>
      </w:r>
    </w:p>
    <w:p w:rsidR="001565AC" w:rsidRPr="001565AC" w:rsidRDefault="0049158E" w:rsidP="0049158E">
      <w:pPr>
        <w:ind w:left="851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Citronsyremonohydrat</w:t>
      </w:r>
      <w:r>
        <w:rPr>
          <w:sz w:val="22"/>
        </w:rPr>
        <w:t xml:space="preserve"> </w:t>
      </w:r>
      <w:r>
        <w:rPr>
          <w:sz w:val="24"/>
          <w:szCs w:val="24"/>
          <w:lang w:bidi="ar-JO"/>
        </w:rPr>
        <w:t>(E330)</w:t>
      </w:r>
    </w:p>
    <w:p w:rsidR="001565AC" w:rsidRDefault="001565AC" w:rsidP="001565AC">
      <w:pPr>
        <w:ind w:left="851"/>
        <w:rPr>
          <w:sz w:val="24"/>
          <w:szCs w:val="24"/>
          <w:lang w:bidi="ar-JO"/>
        </w:rPr>
      </w:pPr>
      <w:r w:rsidRPr="001565AC">
        <w:rPr>
          <w:sz w:val="24"/>
          <w:szCs w:val="24"/>
          <w:lang w:bidi="ar-JO"/>
        </w:rPr>
        <w:t>Vand, renset</w:t>
      </w:r>
    </w:p>
    <w:p w:rsidR="0049158E" w:rsidRDefault="0049158E" w:rsidP="001565AC">
      <w:pPr>
        <w:ind w:left="851"/>
        <w:rPr>
          <w:sz w:val="24"/>
          <w:szCs w:val="24"/>
          <w:lang w:bidi="ar-JO"/>
        </w:rPr>
      </w:pPr>
    </w:p>
    <w:p w:rsidR="00DF32BE" w:rsidRPr="001565AC" w:rsidRDefault="00DF32BE" w:rsidP="001565A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Uforligeligheder</w:t>
      </w:r>
    </w:p>
    <w:p w:rsidR="001565AC" w:rsidRPr="001565AC" w:rsidRDefault="00DF32BE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</w:rPr>
        <w:t>Dette lægemiddel må ikke blandes med andre veterinære lægemidler.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Opbevaringstid</w:t>
      </w:r>
    </w:p>
    <w:p w:rsidR="001565AC" w:rsidRDefault="00DF32BE" w:rsidP="001565AC">
      <w:pPr>
        <w:ind w:left="851" w:right="-318" w:hanging="851"/>
        <w:rPr>
          <w:sz w:val="24"/>
          <w:szCs w:val="24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</w:rPr>
        <w:t>I salgspakning</w:t>
      </w:r>
      <w:r w:rsidR="00F10795">
        <w:rPr>
          <w:sz w:val="24"/>
          <w:szCs w:val="24"/>
        </w:rPr>
        <w:t xml:space="preserve"> (PET-flaske)</w:t>
      </w:r>
      <w:r w:rsidR="001565AC" w:rsidRPr="001565AC">
        <w:rPr>
          <w:sz w:val="24"/>
          <w:szCs w:val="24"/>
        </w:rPr>
        <w:t>: 1 år.</w:t>
      </w:r>
    </w:p>
    <w:p w:rsidR="00F10795" w:rsidRPr="001565AC" w:rsidRDefault="00F10795" w:rsidP="001565AC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  <w:t>I salgspakning (glasflaske): 2 år.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Efter første åbning af den indre emballage: 28 dage.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Særlige opbevaringsforhold</w:t>
      </w:r>
    </w:p>
    <w:p w:rsidR="001565AC" w:rsidRPr="001565AC" w:rsidRDefault="00DF32BE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</w:rPr>
        <w:t xml:space="preserve">Dette </w:t>
      </w:r>
      <w:r w:rsidR="00EF057E">
        <w:rPr>
          <w:sz w:val="24"/>
          <w:szCs w:val="24"/>
        </w:rPr>
        <w:t xml:space="preserve">veterinære </w:t>
      </w:r>
      <w:r w:rsidR="001565AC" w:rsidRPr="001565AC">
        <w:rPr>
          <w:sz w:val="24"/>
          <w:szCs w:val="24"/>
        </w:rPr>
        <w:t>lægemiddel kræver ingen særlige forholdsregler vedrørende opbevaringen.</w:t>
      </w:r>
    </w:p>
    <w:p w:rsidR="0049158E" w:rsidRDefault="004915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Emballage</w:t>
      </w:r>
    </w:p>
    <w:p w:rsidR="001565AC" w:rsidRPr="001565AC" w:rsidRDefault="00DF32BE" w:rsidP="001565AC">
      <w:pPr>
        <w:ind w:left="851" w:hanging="851"/>
        <w:rPr>
          <w:bCs/>
          <w:sz w:val="24"/>
          <w:szCs w:val="24"/>
        </w:rPr>
      </w:pPr>
      <w:r w:rsidRPr="001565AC">
        <w:rPr>
          <w:sz w:val="24"/>
          <w:szCs w:val="24"/>
        </w:rPr>
        <w:tab/>
      </w:r>
      <w:r w:rsidR="001565AC" w:rsidRPr="001565AC">
        <w:rPr>
          <w:bCs/>
          <w:sz w:val="24"/>
          <w:szCs w:val="24"/>
        </w:rPr>
        <w:t xml:space="preserve">Karton indeholdende en klar 22 ml </w:t>
      </w:r>
      <w:proofErr w:type="spellStart"/>
      <w:r w:rsidR="001565AC" w:rsidRPr="001565AC">
        <w:rPr>
          <w:bCs/>
          <w:sz w:val="24"/>
          <w:szCs w:val="24"/>
        </w:rPr>
        <w:t>polyethylenterephthalat</w:t>
      </w:r>
      <w:proofErr w:type="spellEnd"/>
      <w:r w:rsidR="001565AC" w:rsidRPr="001565AC">
        <w:rPr>
          <w:bCs/>
          <w:sz w:val="24"/>
          <w:szCs w:val="24"/>
        </w:rPr>
        <w:t>-flaske (PET), med HDPE/LDPE sikker lukning</w:t>
      </w:r>
      <w:r w:rsidR="00F10795">
        <w:rPr>
          <w:bCs/>
          <w:sz w:val="24"/>
          <w:szCs w:val="24"/>
        </w:rPr>
        <w:t xml:space="preserve"> eller en ravgul 22 ml glasflaske af type III glas, med </w:t>
      </w:r>
      <w:proofErr w:type="spellStart"/>
      <w:r w:rsidR="00F10795">
        <w:rPr>
          <w:bCs/>
          <w:sz w:val="24"/>
          <w:szCs w:val="24"/>
        </w:rPr>
        <w:t>polypropylen</w:t>
      </w:r>
      <w:proofErr w:type="spellEnd"/>
      <w:r w:rsidR="00F10795">
        <w:rPr>
          <w:bCs/>
          <w:sz w:val="24"/>
          <w:szCs w:val="24"/>
        </w:rPr>
        <w:t xml:space="preserve"> sikker lukning</w:t>
      </w:r>
      <w:r w:rsidR="00EF057E">
        <w:rPr>
          <w:bCs/>
          <w:sz w:val="24"/>
          <w:szCs w:val="24"/>
        </w:rPr>
        <w:t>. Leveres</w:t>
      </w:r>
      <w:r w:rsidR="001565AC" w:rsidRPr="001565AC">
        <w:rPr>
          <w:bCs/>
          <w:sz w:val="24"/>
          <w:szCs w:val="24"/>
        </w:rPr>
        <w:t xml:space="preserve"> med målesprøjte af </w:t>
      </w:r>
      <w:proofErr w:type="spellStart"/>
      <w:r w:rsidR="001565AC" w:rsidRPr="001565AC">
        <w:rPr>
          <w:bCs/>
          <w:sz w:val="24"/>
          <w:szCs w:val="24"/>
        </w:rPr>
        <w:t>polyethylen</w:t>
      </w:r>
      <w:proofErr w:type="spellEnd"/>
      <w:r w:rsidR="001565AC" w:rsidRPr="001565AC">
        <w:rPr>
          <w:bCs/>
          <w:sz w:val="24"/>
          <w:szCs w:val="24"/>
        </w:rPr>
        <w:t xml:space="preserve"> med lav densitet.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6.6</w:t>
      </w:r>
      <w:r w:rsidRPr="001565AC">
        <w:rPr>
          <w:b/>
          <w:sz w:val="24"/>
          <w:szCs w:val="24"/>
        </w:rPr>
        <w:tab/>
        <w:t>Særlige forholdsregler ved bortskaffelse af rester af lægemidlet eller affald</w:t>
      </w:r>
    </w:p>
    <w:p w:rsidR="001565AC" w:rsidRPr="001565AC" w:rsidRDefault="001565AC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  <w:t xml:space="preserve">Ikke anvendte veterinære lægemidler, samt affald heraf bør destrueres i henhold til lokale </w:t>
      </w:r>
      <w:proofErr w:type="spellStart"/>
      <w:r w:rsidRPr="001565AC">
        <w:rPr>
          <w:sz w:val="24"/>
          <w:szCs w:val="24"/>
        </w:rPr>
        <w:t>retningslinier</w:t>
      </w:r>
      <w:proofErr w:type="spellEnd"/>
      <w:r w:rsidRPr="001565AC">
        <w:rPr>
          <w:sz w:val="24"/>
          <w:szCs w:val="24"/>
        </w:rPr>
        <w:t>.</w:t>
      </w: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  <w:lang w:val="en-US"/>
        </w:rPr>
      </w:pPr>
      <w:r w:rsidRPr="001565AC">
        <w:rPr>
          <w:b/>
          <w:sz w:val="24"/>
          <w:szCs w:val="24"/>
          <w:lang w:val="en-US"/>
        </w:rPr>
        <w:t>7.</w:t>
      </w:r>
      <w:r w:rsidRPr="001565AC">
        <w:rPr>
          <w:b/>
          <w:sz w:val="24"/>
          <w:szCs w:val="24"/>
          <w:lang w:val="en-US"/>
        </w:rPr>
        <w:tab/>
        <w:t>INDEHAVER AF MARKEDSFØRINGSTILLADELSEN</w:t>
      </w:r>
    </w:p>
    <w:p w:rsidR="001565AC" w:rsidRPr="001565AC" w:rsidRDefault="00DF32BE" w:rsidP="001565AC">
      <w:pPr>
        <w:ind w:left="851" w:hanging="851"/>
        <w:rPr>
          <w:sz w:val="24"/>
          <w:szCs w:val="24"/>
          <w:lang w:val="en-US" w:bidi="ar-JO"/>
        </w:rPr>
      </w:pPr>
      <w:r w:rsidRPr="001565AC">
        <w:rPr>
          <w:sz w:val="24"/>
          <w:szCs w:val="24"/>
          <w:lang w:val="en-US"/>
        </w:rPr>
        <w:tab/>
      </w:r>
      <w:proofErr w:type="spellStart"/>
      <w:r w:rsidR="001565AC" w:rsidRPr="001565AC">
        <w:rPr>
          <w:sz w:val="24"/>
          <w:szCs w:val="24"/>
          <w:lang w:val="en-US" w:bidi="ar-JO"/>
        </w:rPr>
        <w:t>Chanelle</w:t>
      </w:r>
      <w:proofErr w:type="spellEnd"/>
      <w:r w:rsidR="001565AC" w:rsidRPr="001565AC">
        <w:rPr>
          <w:sz w:val="24"/>
          <w:szCs w:val="24"/>
          <w:lang w:val="en-US" w:bidi="ar-JO"/>
        </w:rPr>
        <w:t xml:space="preserve"> Pharmaceutical</w:t>
      </w:r>
      <w:r w:rsidR="00EF057E">
        <w:rPr>
          <w:sz w:val="24"/>
          <w:szCs w:val="24"/>
          <w:lang w:val="en-US" w:bidi="ar-JO"/>
        </w:rPr>
        <w:t>s</w:t>
      </w:r>
      <w:r w:rsidR="001565AC" w:rsidRPr="001565AC">
        <w:rPr>
          <w:sz w:val="24"/>
          <w:szCs w:val="24"/>
          <w:lang w:val="en-US" w:bidi="ar-JO"/>
        </w:rPr>
        <w:t xml:space="preserve"> Manufacturing Limited</w:t>
      </w:r>
    </w:p>
    <w:p w:rsidR="001565AC" w:rsidRPr="001565AC" w:rsidRDefault="001565AC" w:rsidP="001565AC">
      <w:pPr>
        <w:ind w:left="851"/>
        <w:rPr>
          <w:sz w:val="24"/>
          <w:szCs w:val="24"/>
          <w:lang w:val="en-US" w:bidi="ar-JO"/>
        </w:rPr>
      </w:pPr>
      <w:proofErr w:type="spellStart"/>
      <w:r w:rsidRPr="001565AC">
        <w:rPr>
          <w:sz w:val="24"/>
          <w:szCs w:val="24"/>
          <w:lang w:val="en-US" w:bidi="ar-JO"/>
        </w:rPr>
        <w:t>Loughrea</w:t>
      </w:r>
      <w:proofErr w:type="spellEnd"/>
      <w:r w:rsidRPr="001565AC">
        <w:rPr>
          <w:sz w:val="24"/>
          <w:szCs w:val="24"/>
          <w:lang w:val="en-US" w:bidi="ar-JO"/>
        </w:rPr>
        <w:t>, Co. Galway</w:t>
      </w:r>
    </w:p>
    <w:p w:rsidR="001565AC" w:rsidRPr="001565AC" w:rsidRDefault="001565AC" w:rsidP="001565AC">
      <w:pPr>
        <w:ind w:left="851"/>
        <w:rPr>
          <w:sz w:val="24"/>
          <w:szCs w:val="24"/>
          <w:lang w:val="en-US" w:bidi="ar-JO"/>
        </w:rPr>
      </w:pPr>
      <w:proofErr w:type="spellStart"/>
      <w:r w:rsidRPr="001565AC">
        <w:rPr>
          <w:sz w:val="24"/>
          <w:szCs w:val="24"/>
          <w:lang w:val="en-US" w:bidi="ar-JO"/>
        </w:rPr>
        <w:t>Irland</w:t>
      </w:r>
      <w:proofErr w:type="spellEnd"/>
    </w:p>
    <w:p w:rsidR="001565AC" w:rsidRPr="001565AC" w:rsidRDefault="001565AC" w:rsidP="001565AC">
      <w:pPr>
        <w:ind w:left="851" w:hanging="851"/>
        <w:rPr>
          <w:sz w:val="24"/>
          <w:szCs w:val="24"/>
          <w:lang w:val="en-US"/>
        </w:rPr>
      </w:pPr>
    </w:p>
    <w:p w:rsidR="001565AC" w:rsidRPr="001565AC" w:rsidRDefault="001565AC" w:rsidP="001565AC">
      <w:pPr>
        <w:ind w:left="851"/>
        <w:rPr>
          <w:b/>
          <w:sz w:val="24"/>
          <w:szCs w:val="24"/>
          <w:lang w:val="en-US"/>
        </w:rPr>
      </w:pPr>
      <w:proofErr w:type="spellStart"/>
      <w:r w:rsidRPr="001565AC">
        <w:rPr>
          <w:b/>
          <w:sz w:val="24"/>
          <w:szCs w:val="24"/>
          <w:lang w:val="en-US"/>
        </w:rPr>
        <w:t>Repræsentant</w:t>
      </w:r>
      <w:proofErr w:type="spellEnd"/>
    </w:p>
    <w:p w:rsidR="001565AC" w:rsidRPr="001565AC" w:rsidRDefault="001565AC" w:rsidP="001565AC">
      <w:pPr>
        <w:ind w:left="851"/>
        <w:rPr>
          <w:sz w:val="24"/>
          <w:szCs w:val="24"/>
          <w:lang w:val="en-US"/>
        </w:rPr>
      </w:pPr>
      <w:proofErr w:type="spellStart"/>
      <w:r w:rsidRPr="001565AC">
        <w:rPr>
          <w:sz w:val="24"/>
          <w:szCs w:val="24"/>
          <w:lang w:val="en-US"/>
        </w:rPr>
        <w:t>Vetoquinol</w:t>
      </w:r>
      <w:proofErr w:type="spellEnd"/>
      <w:r w:rsidRPr="001565AC">
        <w:rPr>
          <w:sz w:val="24"/>
          <w:szCs w:val="24"/>
          <w:lang w:val="en-US"/>
        </w:rPr>
        <w:t xml:space="preserve"> Scandinavia AB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Lyngbyvej 20</w:t>
      </w:r>
    </w:p>
    <w:p w:rsidR="001565AC" w:rsidRPr="001565AC" w:rsidRDefault="001565AC" w:rsidP="001565AC">
      <w:pPr>
        <w:ind w:left="851"/>
        <w:rPr>
          <w:sz w:val="24"/>
          <w:szCs w:val="24"/>
        </w:rPr>
      </w:pPr>
      <w:r w:rsidRPr="001565AC">
        <w:rPr>
          <w:sz w:val="24"/>
          <w:szCs w:val="24"/>
        </w:rPr>
        <w:t>2100 København Ø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numPr>
          <w:ilvl w:val="0"/>
          <w:numId w:val="3"/>
        </w:numPr>
        <w:tabs>
          <w:tab w:val="clear" w:pos="360"/>
        </w:tabs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MARKEDSFØRINGSTILLADELSESNUMMER</w:t>
      </w:r>
      <w:r w:rsidR="001577E4" w:rsidRPr="001565AC">
        <w:rPr>
          <w:b/>
          <w:sz w:val="24"/>
          <w:szCs w:val="24"/>
        </w:rPr>
        <w:t xml:space="preserve"> (NUMRE)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</w:rPr>
        <w:t>48756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9.</w:t>
      </w:r>
      <w:r w:rsidRPr="001565AC">
        <w:rPr>
          <w:b/>
          <w:sz w:val="24"/>
          <w:szCs w:val="24"/>
        </w:rPr>
        <w:tab/>
        <w:t>DATO FOR FØRSTE MARKEDSFØRINGSTILLADELSE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</w:r>
      <w:r w:rsidR="001565AC" w:rsidRPr="001565AC">
        <w:rPr>
          <w:sz w:val="24"/>
          <w:szCs w:val="24"/>
        </w:rPr>
        <w:t>10. maj 2012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10.</w:t>
      </w:r>
      <w:r w:rsidRPr="001565AC">
        <w:rPr>
          <w:b/>
          <w:sz w:val="24"/>
          <w:szCs w:val="24"/>
        </w:rPr>
        <w:tab/>
        <w:t>DATO FOR ÆNDRING AF TEKSTEN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  <w:r w:rsidRPr="001565AC">
        <w:rPr>
          <w:sz w:val="24"/>
          <w:szCs w:val="24"/>
        </w:rPr>
        <w:tab/>
      </w:r>
      <w:r w:rsidR="0049158E">
        <w:rPr>
          <w:sz w:val="24"/>
          <w:szCs w:val="24"/>
        </w:rPr>
        <w:t>30. januar 2017</w:t>
      </w:r>
    </w:p>
    <w:p w:rsidR="00DF32BE" w:rsidRPr="001565AC" w:rsidRDefault="00DF32BE" w:rsidP="001565AC">
      <w:pPr>
        <w:ind w:left="851" w:hanging="851"/>
        <w:rPr>
          <w:sz w:val="24"/>
          <w:szCs w:val="24"/>
        </w:rPr>
      </w:pPr>
    </w:p>
    <w:p w:rsidR="00DF32BE" w:rsidRPr="001565AC" w:rsidRDefault="00DF32BE" w:rsidP="001565AC">
      <w:pPr>
        <w:ind w:left="851" w:hanging="851"/>
        <w:rPr>
          <w:b/>
          <w:sz w:val="24"/>
          <w:szCs w:val="24"/>
        </w:rPr>
      </w:pPr>
      <w:r w:rsidRPr="001565AC">
        <w:rPr>
          <w:b/>
          <w:sz w:val="24"/>
          <w:szCs w:val="24"/>
        </w:rPr>
        <w:t>11.</w:t>
      </w:r>
      <w:r w:rsidRPr="001565AC">
        <w:rPr>
          <w:b/>
          <w:sz w:val="24"/>
          <w:szCs w:val="24"/>
        </w:rPr>
        <w:tab/>
        <w:t>UDLEVERINGSBESTEMMELSE</w:t>
      </w:r>
    </w:p>
    <w:p w:rsidR="00DF32BE" w:rsidRPr="001565AC" w:rsidRDefault="00DF32BE" w:rsidP="001565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1565AC">
        <w:rPr>
          <w:szCs w:val="24"/>
        </w:rPr>
        <w:tab/>
      </w:r>
      <w:r w:rsidR="001565AC" w:rsidRPr="001565AC">
        <w:rPr>
          <w:szCs w:val="24"/>
        </w:rPr>
        <w:t>B</w:t>
      </w:r>
    </w:p>
    <w:p w:rsidR="0003527F" w:rsidRPr="001565AC" w:rsidRDefault="0003527F" w:rsidP="001565AC">
      <w:pPr>
        <w:ind w:left="851" w:hanging="851"/>
        <w:rPr>
          <w:sz w:val="24"/>
          <w:szCs w:val="24"/>
        </w:rPr>
      </w:pPr>
    </w:p>
    <w:sectPr w:rsidR="0003527F" w:rsidRPr="001565AC" w:rsidSect="000D20E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8F" w:rsidRDefault="0066338F">
      <w:r>
        <w:separator/>
      </w:r>
    </w:p>
  </w:endnote>
  <w:endnote w:type="continuationSeparator" w:id="0">
    <w:p w:rsidR="0066338F" w:rsidRDefault="006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8F" w:rsidRDefault="0066338F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66338F" w:rsidRDefault="0066338F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66338F" w:rsidRDefault="00D84A14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66338F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86C5F">
      <w:rPr>
        <w:i/>
        <w:noProof/>
        <w:snapToGrid w:val="0"/>
        <w:sz w:val="18"/>
      </w:rPr>
      <w:t>Clindaseptin, oral opløsning 25 mg-ml</w:t>
    </w:r>
    <w:r>
      <w:rPr>
        <w:i/>
        <w:snapToGrid w:val="0"/>
        <w:sz w:val="18"/>
      </w:rPr>
      <w:fldChar w:fldCharType="end"/>
    </w:r>
    <w:r w:rsidR="0066338F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66338F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286C5F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66338F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66338F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286C5F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8F" w:rsidRDefault="0066338F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66338F" w:rsidRDefault="0066338F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66338F" w:rsidRDefault="00D84A14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66338F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86C5F">
      <w:rPr>
        <w:i/>
        <w:noProof/>
        <w:snapToGrid w:val="0"/>
        <w:sz w:val="18"/>
      </w:rPr>
      <w:t>Clindaseptin, oral opløsning 25 mg-ml</w:t>
    </w:r>
    <w:r>
      <w:rPr>
        <w:i/>
        <w:snapToGrid w:val="0"/>
        <w:sz w:val="18"/>
      </w:rPr>
      <w:fldChar w:fldCharType="end"/>
    </w:r>
    <w:r w:rsidR="0066338F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66338F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286C5F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66338F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66338F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286C5F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8F" w:rsidRDefault="0066338F">
      <w:r>
        <w:separator/>
      </w:r>
    </w:p>
  </w:footnote>
  <w:footnote w:type="continuationSeparator" w:id="0">
    <w:p w:rsidR="0066338F" w:rsidRDefault="0066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8F" w:rsidRDefault="0066338F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8F" w:rsidRDefault="0066338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09A6"/>
    <w:multiLevelType w:val="hybridMultilevel"/>
    <w:tmpl w:val="1ABA9E76"/>
    <w:lvl w:ilvl="0" w:tplc="FC3E91E2">
      <w:start w:val="4"/>
      <w:numFmt w:val="bullet"/>
      <w:lvlText w:val="-"/>
      <w:lvlJc w:val="left"/>
      <w:pPr>
        <w:ind w:left="81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7B83B7B"/>
    <w:multiLevelType w:val="hybridMultilevel"/>
    <w:tmpl w:val="8D2684E8"/>
    <w:lvl w:ilvl="0" w:tplc="0FB04E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C469F5"/>
    <w:multiLevelType w:val="hybridMultilevel"/>
    <w:tmpl w:val="4D5E8B4C"/>
    <w:lvl w:ilvl="0" w:tplc="040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AC"/>
    <w:rsid w:val="0003527F"/>
    <w:rsid w:val="000D20E7"/>
    <w:rsid w:val="00112309"/>
    <w:rsid w:val="001565AC"/>
    <w:rsid w:val="001577E4"/>
    <w:rsid w:val="001858CA"/>
    <w:rsid w:val="00286C5F"/>
    <w:rsid w:val="0038082D"/>
    <w:rsid w:val="003864E3"/>
    <w:rsid w:val="00401287"/>
    <w:rsid w:val="0049158E"/>
    <w:rsid w:val="004C60DB"/>
    <w:rsid w:val="004C7C0A"/>
    <w:rsid w:val="0066338F"/>
    <w:rsid w:val="006A5130"/>
    <w:rsid w:val="008512DA"/>
    <w:rsid w:val="00CB0EC8"/>
    <w:rsid w:val="00D84A14"/>
    <w:rsid w:val="00DF32BE"/>
    <w:rsid w:val="00EF057E"/>
    <w:rsid w:val="00EF2E4C"/>
    <w:rsid w:val="00F10795"/>
    <w:rsid w:val="00F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0B7CC6-000D-41F9-8CD0-2827C007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E7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0D20E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0D20E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hps">
    <w:name w:val="hps"/>
    <w:rsid w:val="001565AC"/>
  </w:style>
  <w:style w:type="character" w:customStyle="1" w:styleId="SidehovedTegn">
    <w:name w:val="Sidehoved Tegn"/>
    <w:basedOn w:val="Standardskrifttypeiafsnit"/>
    <w:link w:val="Sidehoved"/>
    <w:rsid w:val="001565AC"/>
    <w:rPr>
      <w:sz w:val="24"/>
    </w:rPr>
  </w:style>
  <w:style w:type="paragraph" w:styleId="Brdtekstindrykning">
    <w:name w:val="Body Text Indent"/>
    <w:basedOn w:val="Normal"/>
    <w:link w:val="BrdtekstindrykningTegn"/>
    <w:semiHidden/>
    <w:unhideWhenUsed/>
    <w:rsid w:val="001565AC"/>
    <w:pPr>
      <w:ind w:left="567" w:hanging="567"/>
    </w:pPr>
    <w:rPr>
      <w:b/>
      <w:sz w:val="22"/>
      <w:lang w:val="en-GB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1565AC"/>
    <w:rPr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1397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2016082541 - MT forlængelse</dc:description>
  <cp:lastModifiedBy>Helle Venn</cp:lastModifiedBy>
  <cp:revision>5</cp:revision>
  <cp:lastPrinted>2017-01-30T14:19:00Z</cp:lastPrinted>
  <dcterms:created xsi:type="dcterms:W3CDTF">2017-01-30T14:04:00Z</dcterms:created>
  <dcterms:modified xsi:type="dcterms:W3CDTF">2017-01-30T14:19:00Z</dcterms:modified>
</cp:coreProperties>
</file>