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0011" w:rsidRPr="006C771F" w:rsidRDefault="00200011" w:rsidP="00200011">
      <w:pPr>
        <w:rPr>
          <w:sz w:val="24"/>
          <w:szCs w:val="24"/>
        </w:rPr>
      </w:pPr>
      <w:bookmarkStart w:id="0" w:name="_GoBack"/>
      <w:bookmarkEnd w:id="0"/>
      <w:r w:rsidRPr="006C771F">
        <w:rPr>
          <w:noProof/>
          <w:sz w:val="24"/>
          <w:szCs w:val="24"/>
          <w:lang w:eastAsia="da-DK"/>
        </w:rPr>
        <w:drawing>
          <wp:inline distT="0" distB="0" distL="0" distR="0" wp14:anchorId="3456CF79" wp14:editId="01622609">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200011" w:rsidRPr="006C771F" w:rsidRDefault="00200011" w:rsidP="00200011">
      <w:pPr>
        <w:rPr>
          <w:sz w:val="24"/>
          <w:szCs w:val="24"/>
        </w:rPr>
      </w:pPr>
    </w:p>
    <w:p w:rsidR="00200011" w:rsidRPr="006C771F" w:rsidRDefault="00200011" w:rsidP="00200011">
      <w:pPr>
        <w:tabs>
          <w:tab w:val="right" w:pos="9356"/>
        </w:tabs>
        <w:rPr>
          <w:b/>
          <w:sz w:val="24"/>
          <w:szCs w:val="24"/>
        </w:rPr>
      </w:pPr>
      <w:r w:rsidRPr="006C771F">
        <w:rPr>
          <w:b/>
          <w:sz w:val="24"/>
          <w:szCs w:val="24"/>
        </w:rPr>
        <w:tab/>
      </w:r>
      <w:r w:rsidR="006C771F" w:rsidRPr="006C771F">
        <w:rPr>
          <w:b/>
          <w:sz w:val="24"/>
          <w:szCs w:val="24"/>
        </w:rPr>
        <w:t>6. februar 2025</w:t>
      </w:r>
    </w:p>
    <w:p w:rsidR="00200011" w:rsidRPr="006C771F" w:rsidRDefault="00200011" w:rsidP="00200011">
      <w:pPr>
        <w:rPr>
          <w:sz w:val="24"/>
          <w:szCs w:val="24"/>
        </w:rPr>
      </w:pPr>
    </w:p>
    <w:p w:rsidR="00200011" w:rsidRPr="006C771F" w:rsidRDefault="00200011" w:rsidP="00200011">
      <w:pPr>
        <w:rPr>
          <w:sz w:val="24"/>
          <w:szCs w:val="24"/>
        </w:rPr>
      </w:pPr>
    </w:p>
    <w:p w:rsidR="00200011" w:rsidRPr="006C771F" w:rsidRDefault="00200011" w:rsidP="00200011">
      <w:pPr>
        <w:rPr>
          <w:sz w:val="24"/>
          <w:szCs w:val="24"/>
        </w:rPr>
      </w:pPr>
    </w:p>
    <w:p w:rsidR="00200011" w:rsidRPr="006C771F" w:rsidRDefault="00200011" w:rsidP="00200011">
      <w:pPr>
        <w:tabs>
          <w:tab w:val="left" w:pos="8222"/>
        </w:tabs>
        <w:jc w:val="center"/>
        <w:rPr>
          <w:b/>
          <w:sz w:val="24"/>
          <w:szCs w:val="24"/>
        </w:rPr>
      </w:pPr>
      <w:r w:rsidRPr="006C771F">
        <w:rPr>
          <w:b/>
          <w:sz w:val="24"/>
          <w:szCs w:val="24"/>
        </w:rPr>
        <w:t>PRODUKTRESUMÉ</w:t>
      </w:r>
    </w:p>
    <w:p w:rsidR="00200011" w:rsidRPr="006C771F" w:rsidRDefault="00200011" w:rsidP="00200011">
      <w:pPr>
        <w:tabs>
          <w:tab w:val="left" w:pos="8222"/>
        </w:tabs>
        <w:jc w:val="center"/>
        <w:rPr>
          <w:b/>
          <w:sz w:val="24"/>
          <w:szCs w:val="24"/>
        </w:rPr>
      </w:pPr>
    </w:p>
    <w:p w:rsidR="00200011" w:rsidRPr="006C771F" w:rsidRDefault="00200011" w:rsidP="00200011">
      <w:pPr>
        <w:tabs>
          <w:tab w:val="left" w:pos="8222"/>
        </w:tabs>
        <w:jc w:val="center"/>
        <w:rPr>
          <w:b/>
          <w:sz w:val="24"/>
          <w:szCs w:val="24"/>
        </w:rPr>
      </w:pPr>
      <w:r w:rsidRPr="006C771F">
        <w:rPr>
          <w:b/>
          <w:sz w:val="24"/>
          <w:szCs w:val="24"/>
        </w:rPr>
        <w:t>for</w:t>
      </w:r>
    </w:p>
    <w:p w:rsidR="00200011" w:rsidRPr="006C771F" w:rsidRDefault="00200011" w:rsidP="00200011">
      <w:pPr>
        <w:tabs>
          <w:tab w:val="left" w:pos="8222"/>
        </w:tabs>
        <w:jc w:val="center"/>
        <w:rPr>
          <w:b/>
          <w:sz w:val="24"/>
          <w:szCs w:val="24"/>
        </w:rPr>
      </w:pPr>
    </w:p>
    <w:p w:rsidR="00200011" w:rsidRPr="006C771F" w:rsidRDefault="00200011" w:rsidP="00200011">
      <w:pPr>
        <w:tabs>
          <w:tab w:val="left" w:pos="8222"/>
        </w:tabs>
        <w:jc w:val="center"/>
        <w:rPr>
          <w:b/>
          <w:sz w:val="24"/>
          <w:szCs w:val="24"/>
        </w:rPr>
      </w:pPr>
      <w:proofErr w:type="spellStart"/>
      <w:r w:rsidRPr="006C771F">
        <w:rPr>
          <w:b/>
          <w:sz w:val="24"/>
          <w:szCs w:val="24"/>
        </w:rPr>
        <w:t>Cryptofor</w:t>
      </w:r>
      <w:proofErr w:type="spellEnd"/>
      <w:r w:rsidRPr="006C771F">
        <w:rPr>
          <w:b/>
          <w:sz w:val="24"/>
          <w:szCs w:val="24"/>
        </w:rPr>
        <w:t>, oral opløsning</w:t>
      </w:r>
    </w:p>
    <w:p w:rsidR="00200011" w:rsidRPr="006C771F" w:rsidRDefault="00200011" w:rsidP="00200011">
      <w:pPr>
        <w:tabs>
          <w:tab w:val="left" w:pos="8222"/>
        </w:tabs>
        <w:jc w:val="both"/>
        <w:rPr>
          <w:sz w:val="24"/>
          <w:szCs w:val="24"/>
        </w:rPr>
      </w:pPr>
    </w:p>
    <w:p w:rsidR="00200011" w:rsidRPr="006C771F" w:rsidRDefault="00200011" w:rsidP="00200011">
      <w:pPr>
        <w:tabs>
          <w:tab w:val="left" w:pos="8222"/>
        </w:tabs>
        <w:ind w:left="851" w:hanging="851"/>
        <w:jc w:val="both"/>
        <w:rPr>
          <w:sz w:val="24"/>
          <w:szCs w:val="24"/>
        </w:rPr>
      </w:pPr>
    </w:p>
    <w:p w:rsidR="00200011" w:rsidRPr="006C771F" w:rsidRDefault="00200011" w:rsidP="006C771F">
      <w:pPr>
        <w:tabs>
          <w:tab w:val="left" w:pos="8222"/>
        </w:tabs>
        <w:ind w:left="567" w:hanging="567"/>
        <w:rPr>
          <w:b/>
          <w:sz w:val="24"/>
          <w:szCs w:val="24"/>
        </w:rPr>
      </w:pPr>
      <w:r w:rsidRPr="006C771F">
        <w:rPr>
          <w:b/>
          <w:sz w:val="24"/>
          <w:szCs w:val="24"/>
        </w:rPr>
        <w:t>0.</w:t>
      </w:r>
      <w:r w:rsidRPr="006C771F">
        <w:rPr>
          <w:b/>
          <w:sz w:val="24"/>
          <w:szCs w:val="24"/>
        </w:rPr>
        <w:tab/>
        <w:t>D.SP.NR.</w:t>
      </w:r>
    </w:p>
    <w:p w:rsidR="00200011" w:rsidRPr="006C771F" w:rsidRDefault="00200011" w:rsidP="006C771F">
      <w:pPr>
        <w:tabs>
          <w:tab w:val="left" w:pos="567"/>
          <w:tab w:val="left" w:pos="8222"/>
        </w:tabs>
        <w:ind w:left="851" w:hanging="851"/>
        <w:rPr>
          <w:sz w:val="24"/>
          <w:szCs w:val="24"/>
        </w:rPr>
      </w:pPr>
      <w:r w:rsidRPr="006C771F">
        <w:rPr>
          <w:sz w:val="24"/>
          <w:szCs w:val="24"/>
        </w:rPr>
        <w:tab/>
        <w:t>31191</w:t>
      </w:r>
    </w:p>
    <w:p w:rsidR="00200011" w:rsidRPr="006C771F" w:rsidRDefault="00200011" w:rsidP="00200011">
      <w:pPr>
        <w:tabs>
          <w:tab w:val="left" w:pos="8222"/>
        </w:tabs>
        <w:ind w:left="851" w:hanging="851"/>
        <w:rPr>
          <w:sz w:val="24"/>
          <w:szCs w:val="24"/>
        </w:rPr>
      </w:pPr>
    </w:p>
    <w:p w:rsidR="006C771F" w:rsidRPr="006C771F" w:rsidRDefault="006C771F" w:rsidP="006C771F">
      <w:pPr>
        <w:pStyle w:val="Style1"/>
        <w:rPr>
          <w:sz w:val="24"/>
          <w:szCs w:val="24"/>
        </w:rPr>
      </w:pPr>
      <w:r w:rsidRPr="006C771F">
        <w:rPr>
          <w:sz w:val="24"/>
          <w:szCs w:val="24"/>
        </w:rPr>
        <w:t>1.</w:t>
      </w:r>
      <w:r w:rsidRPr="006C771F">
        <w:rPr>
          <w:sz w:val="24"/>
          <w:szCs w:val="24"/>
        </w:rPr>
        <w:tab/>
        <w:t>VETERINÆRLÆGEMIDLETS NAVN</w:t>
      </w:r>
    </w:p>
    <w:p w:rsidR="006C771F" w:rsidRPr="006C771F" w:rsidRDefault="006C771F" w:rsidP="006C771F">
      <w:pPr>
        <w:rPr>
          <w:sz w:val="24"/>
          <w:szCs w:val="24"/>
        </w:rPr>
      </w:pPr>
    </w:p>
    <w:p w:rsidR="006C771F" w:rsidRPr="006C771F" w:rsidRDefault="006C771F" w:rsidP="006C771F">
      <w:pPr>
        <w:ind w:left="567"/>
        <w:rPr>
          <w:sz w:val="24"/>
          <w:szCs w:val="24"/>
        </w:rPr>
      </w:pPr>
      <w:proofErr w:type="spellStart"/>
      <w:r w:rsidRPr="006C771F">
        <w:rPr>
          <w:sz w:val="24"/>
          <w:szCs w:val="24"/>
        </w:rPr>
        <w:t>Cryptofor</w:t>
      </w:r>
      <w:proofErr w:type="spellEnd"/>
    </w:p>
    <w:p w:rsidR="006C771F" w:rsidRPr="006C771F" w:rsidRDefault="006C771F" w:rsidP="006C771F">
      <w:pPr>
        <w:ind w:left="567"/>
        <w:rPr>
          <w:sz w:val="24"/>
          <w:szCs w:val="24"/>
        </w:rPr>
      </w:pPr>
    </w:p>
    <w:p w:rsidR="006C771F" w:rsidRPr="006C771F" w:rsidRDefault="006C771F" w:rsidP="006C771F">
      <w:pPr>
        <w:ind w:left="567"/>
        <w:rPr>
          <w:sz w:val="24"/>
          <w:szCs w:val="24"/>
        </w:rPr>
      </w:pPr>
      <w:r w:rsidRPr="006C771F">
        <w:rPr>
          <w:sz w:val="24"/>
          <w:szCs w:val="24"/>
        </w:rPr>
        <w:t>Lægemiddelform: Oral opløsning</w:t>
      </w:r>
    </w:p>
    <w:p w:rsidR="006C771F" w:rsidRPr="006C771F" w:rsidRDefault="006C771F" w:rsidP="006C771F">
      <w:pPr>
        <w:ind w:left="567"/>
        <w:rPr>
          <w:sz w:val="24"/>
          <w:szCs w:val="24"/>
        </w:rPr>
      </w:pPr>
      <w:r w:rsidRPr="006C771F">
        <w:rPr>
          <w:sz w:val="24"/>
          <w:szCs w:val="24"/>
        </w:rPr>
        <w:t>Styrke: 140 000 IE/ml</w:t>
      </w:r>
    </w:p>
    <w:p w:rsidR="006C771F" w:rsidRPr="006C771F" w:rsidRDefault="006C771F" w:rsidP="006C771F">
      <w:pPr>
        <w:rPr>
          <w:sz w:val="24"/>
          <w:szCs w:val="24"/>
        </w:rPr>
      </w:pPr>
    </w:p>
    <w:p w:rsidR="006C771F" w:rsidRPr="006C771F" w:rsidRDefault="006C771F" w:rsidP="006C771F">
      <w:pPr>
        <w:pStyle w:val="Style1"/>
        <w:rPr>
          <w:sz w:val="24"/>
          <w:szCs w:val="24"/>
        </w:rPr>
      </w:pPr>
      <w:r w:rsidRPr="006C771F">
        <w:rPr>
          <w:sz w:val="24"/>
          <w:szCs w:val="24"/>
        </w:rPr>
        <w:t>2.</w:t>
      </w:r>
      <w:r w:rsidRPr="006C771F">
        <w:rPr>
          <w:sz w:val="24"/>
          <w:szCs w:val="24"/>
        </w:rPr>
        <w:tab/>
        <w:t>KVALITATIV OG KVANTITATIV SAMMENSÆTNING</w:t>
      </w:r>
    </w:p>
    <w:p w:rsidR="006C771F" w:rsidRPr="006C771F" w:rsidRDefault="006C771F" w:rsidP="006C771F">
      <w:pPr>
        <w:rPr>
          <w:sz w:val="24"/>
          <w:szCs w:val="24"/>
        </w:rPr>
      </w:pPr>
    </w:p>
    <w:p w:rsidR="006C771F" w:rsidRPr="006C771F" w:rsidRDefault="006C771F" w:rsidP="006C771F">
      <w:pPr>
        <w:ind w:left="567"/>
        <w:rPr>
          <w:sz w:val="24"/>
          <w:szCs w:val="24"/>
        </w:rPr>
      </w:pPr>
      <w:r w:rsidRPr="006C771F">
        <w:rPr>
          <w:sz w:val="24"/>
          <w:szCs w:val="24"/>
        </w:rPr>
        <w:t>Hver ml indeholder:</w:t>
      </w:r>
    </w:p>
    <w:p w:rsidR="006C771F" w:rsidRPr="006C771F" w:rsidRDefault="006C771F" w:rsidP="006C771F">
      <w:pPr>
        <w:ind w:left="567"/>
        <w:rPr>
          <w:b/>
          <w:sz w:val="24"/>
          <w:szCs w:val="24"/>
        </w:rPr>
      </w:pPr>
    </w:p>
    <w:p w:rsidR="006C771F" w:rsidRPr="006C771F" w:rsidRDefault="006C771F" w:rsidP="006C771F">
      <w:pPr>
        <w:ind w:left="567"/>
        <w:rPr>
          <w:sz w:val="24"/>
          <w:szCs w:val="24"/>
        </w:rPr>
      </w:pPr>
      <w:r w:rsidRPr="006C771F">
        <w:rPr>
          <w:b/>
          <w:sz w:val="24"/>
          <w:szCs w:val="24"/>
        </w:rPr>
        <w:t>Aktivt stof:</w:t>
      </w:r>
    </w:p>
    <w:p w:rsidR="006C771F" w:rsidRPr="006C771F" w:rsidRDefault="006C771F" w:rsidP="006C771F">
      <w:pPr>
        <w:ind w:left="567"/>
        <w:rPr>
          <w:sz w:val="24"/>
          <w:szCs w:val="24"/>
        </w:rPr>
      </w:pPr>
      <w:r w:rsidRPr="006C771F">
        <w:rPr>
          <w:sz w:val="24"/>
          <w:szCs w:val="24"/>
        </w:rPr>
        <w:t xml:space="preserve">140.000 IE </w:t>
      </w:r>
      <w:proofErr w:type="spellStart"/>
      <w:r w:rsidRPr="006C771F">
        <w:rPr>
          <w:sz w:val="24"/>
          <w:szCs w:val="24"/>
        </w:rPr>
        <w:t>paromomycin</w:t>
      </w:r>
      <w:proofErr w:type="spellEnd"/>
      <w:r w:rsidRPr="006C771F">
        <w:rPr>
          <w:sz w:val="24"/>
          <w:szCs w:val="24"/>
        </w:rPr>
        <w:t xml:space="preserve">-aktivitet (som </w:t>
      </w:r>
      <w:proofErr w:type="spellStart"/>
      <w:r w:rsidRPr="006C771F">
        <w:rPr>
          <w:sz w:val="24"/>
          <w:szCs w:val="24"/>
        </w:rPr>
        <w:t>paromomycinsulfat</w:t>
      </w:r>
      <w:proofErr w:type="spellEnd"/>
      <w:r w:rsidRPr="006C771F">
        <w:rPr>
          <w:sz w:val="24"/>
          <w:szCs w:val="24"/>
        </w:rPr>
        <w:t>)</w:t>
      </w:r>
    </w:p>
    <w:p w:rsidR="006C771F" w:rsidRPr="006C771F" w:rsidRDefault="006C771F" w:rsidP="006C771F">
      <w:pPr>
        <w:ind w:left="567"/>
        <w:rPr>
          <w:sz w:val="24"/>
          <w:szCs w:val="24"/>
        </w:rPr>
      </w:pPr>
    </w:p>
    <w:p w:rsidR="006C771F" w:rsidRPr="006C771F" w:rsidRDefault="006C771F" w:rsidP="006C771F">
      <w:pPr>
        <w:ind w:left="567"/>
        <w:rPr>
          <w:sz w:val="24"/>
          <w:szCs w:val="24"/>
        </w:rPr>
      </w:pPr>
      <w:r w:rsidRPr="006C771F">
        <w:rPr>
          <w:b/>
          <w:sz w:val="24"/>
          <w:szCs w:val="24"/>
        </w:rPr>
        <w:t>Hjælpestoffer:</w:t>
      </w:r>
    </w:p>
    <w:p w:rsidR="006C771F" w:rsidRPr="006C771F" w:rsidRDefault="006C771F" w:rsidP="006C771F">
      <w:pPr>
        <w:rPr>
          <w:sz w:val="24"/>
          <w:szCs w:val="24"/>
        </w:rPr>
      </w:pP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21"/>
        <w:gridCol w:w="4540"/>
      </w:tblGrid>
      <w:tr w:rsidR="006C771F" w:rsidRPr="006C771F" w:rsidTr="006C771F">
        <w:tc>
          <w:tcPr>
            <w:tcW w:w="4521" w:type="dxa"/>
            <w:shd w:val="clear" w:color="auto" w:fill="auto"/>
            <w:vAlign w:val="center"/>
          </w:tcPr>
          <w:p w:rsidR="006C771F" w:rsidRPr="006C771F" w:rsidRDefault="006C771F" w:rsidP="00EF7915">
            <w:pPr>
              <w:spacing w:before="60" w:after="60"/>
              <w:rPr>
                <w:b/>
                <w:bCs/>
                <w:iCs/>
                <w:sz w:val="24"/>
                <w:szCs w:val="24"/>
              </w:rPr>
            </w:pPr>
            <w:r w:rsidRPr="006C771F">
              <w:rPr>
                <w:b/>
                <w:bCs/>
                <w:iCs/>
                <w:sz w:val="24"/>
                <w:szCs w:val="24"/>
              </w:rPr>
              <w:t>Kvalitativ sammensætning af hjælpestoffer og andre bestanddele</w:t>
            </w:r>
          </w:p>
        </w:tc>
        <w:tc>
          <w:tcPr>
            <w:tcW w:w="4540" w:type="dxa"/>
            <w:shd w:val="clear" w:color="auto" w:fill="auto"/>
            <w:vAlign w:val="center"/>
          </w:tcPr>
          <w:p w:rsidR="006C771F" w:rsidRPr="006C771F" w:rsidRDefault="006C771F" w:rsidP="00EF7915">
            <w:pPr>
              <w:spacing w:before="60" w:after="60"/>
              <w:rPr>
                <w:b/>
                <w:bCs/>
                <w:iCs/>
                <w:sz w:val="24"/>
                <w:szCs w:val="24"/>
              </w:rPr>
            </w:pPr>
            <w:r w:rsidRPr="006C771F">
              <w:rPr>
                <w:b/>
                <w:bCs/>
                <w:iCs/>
                <w:sz w:val="24"/>
                <w:szCs w:val="24"/>
              </w:rPr>
              <w:t>Kvantitativ sammensætning, hvis oplysningen er vigtig for korrekt administration af veterinærlægemidlet</w:t>
            </w:r>
          </w:p>
        </w:tc>
      </w:tr>
      <w:tr w:rsidR="006C771F" w:rsidRPr="006C771F" w:rsidTr="006C771F">
        <w:tc>
          <w:tcPr>
            <w:tcW w:w="4521" w:type="dxa"/>
            <w:shd w:val="clear" w:color="auto" w:fill="auto"/>
            <w:vAlign w:val="center"/>
          </w:tcPr>
          <w:p w:rsidR="006C771F" w:rsidRPr="006C771F" w:rsidRDefault="006C771F" w:rsidP="00EF7915">
            <w:pPr>
              <w:spacing w:before="60" w:after="60"/>
              <w:ind w:left="567" w:hanging="567"/>
              <w:rPr>
                <w:iCs/>
                <w:sz w:val="24"/>
                <w:szCs w:val="24"/>
              </w:rPr>
            </w:pPr>
            <w:proofErr w:type="spellStart"/>
            <w:r w:rsidRPr="006C771F">
              <w:rPr>
                <w:sz w:val="24"/>
                <w:szCs w:val="24"/>
              </w:rPr>
              <w:t>Methylparahydroxybenzoat</w:t>
            </w:r>
            <w:proofErr w:type="spellEnd"/>
            <w:r w:rsidRPr="006C771F">
              <w:rPr>
                <w:sz w:val="24"/>
                <w:szCs w:val="24"/>
              </w:rPr>
              <w:t xml:space="preserve"> (E218)</w:t>
            </w:r>
          </w:p>
        </w:tc>
        <w:tc>
          <w:tcPr>
            <w:tcW w:w="4540" w:type="dxa"/>
            <w:shd w:val="clear" w:color="auto" w:fill="auto"/>
            <w:vAlign w:val="center"/>
          </w:tcPr>
          <w:p w:rsidR="006C771F" w:rsidRPr="006C771F" w:rsidRDefault="006C771F" w:rsidP="00EF7915">
            <w:pPr>
              <w:spacing w:before="60" w:after="60"/>
              <w:rPr>
                <w:iCs/>
                <w:sz w:val="24"/>
                <w:szCs w:val="24"/>
              </w:rPr>
            </w:pPr>
            <w:r w:rsidRPr="006C771F">
              <w:rPr>
                <w:sz w:val="24"/>
                <w:szCs w:val="24"/>
              </w:rPr>
              <w:t>1,0 mg</w:t>
            </w:r>
          </w:p>
        </w:tc>
      </w:tr>
      <w:tr w:rsidR="006C771F" w:rsidRPr="006C771F" w:rsidTr="006C771F">
        <w:tc>
          <w:tcPr>
            <w:tcW w:w="4521" w:type="dxa"/>
            <w:shd w:val="clear" w:color="auto" w:fill="auto"/>
            <w:vAlign w:val="center"/>
          </w:tcPr>
          <w:p w:rsidR="006C771F" w:rsidRPr="006C771F" w:rsidRDefault="006C771F" w:rsidP="00EF7915">
            <w:pPr>
              <w:spacing w:before="60" w:after="60"/>
              <w:rPr>
                <w:iCs/>
                <w:sz w:val="24"/>
                <w:szCs w:val="24"/>
              </w:rPr>
            </w:pPr>
            <w:proofErr w:type="spellStart"/>
            <w:r w:rsidRPr="006C771F">
              <w:rPr>
                <w:sz w:val="24"/>
                <w:szCs w:val="24"/>
              </w:rPr>
              <w:t>Propylparahydroxybenzoat</w:t>
            </w:r>
            <w:proofErr w:type="spellEnd"/>
          </w:p>
        </w:tc>
        <w:tc>
          <w:tcPr>
            <w:tcW w:w="4540" w:type="dxa"/>
            <w:shd w:val="clear" w:color="auto" w:fill="auto"/>
            <w:vAlign w:val="center"/>
          </w:tcPr>
          <w:p w:rsidR="006C771F" w:rsidRPr="006C771F" w:rsidRDefault="006C771F" w:rsidP="00EF7915">
            <w:pPr>
              <w:spacing w:before="60" w:after="60"/>
              <w:rPr>
                <w:iCs/>
                <w:sz w:val="24"/>
                <w:szCs w:val="24"/>
              </w:rPr>
            </w:pPr>
            <w:r w:rsidRPr="006C771F">
              <w:rPr>
                <w:sz w:val="24"/>
                <w:szCs w:val="24"/>
              </w:rPr>
              <w:t>0,1 mg</w:t>
            </w:r>
          </w:p>
        </w:tc>
      </w:tr>
      <w:tr w:rsidR="006C771F" w:rsidRPr="006C771F" w:rsidTr="006C771F">
        <w:tc>
          <w:tcPr>
            <w:tcW w:w="4521" w:type="dxa"/>
            <w:shd w:val="clear" w:color="auto" w:fill="auto"/>
            <w:vAlign w:val="center"/>
          </w:tcPr>
          <w:p w:rsidR="006C771F" w:rsidRPr="006C771F" w:rsidRDefault="006C771F" w:rsidP="00EF7915">
            <w:pPr>
              <w:spacing w:before="60" w:after="60"/>
              <w:rPr>
                <w:iCs/>
                <w:sz w:val="24"/>
                <w:szCs w:val="24"/>
              </w:rPr>
            </w:pPr>
            <w:proofErr w:type="spellStart"/>
            <w:r w:rsidRPr="006C771F">
              <w:rPr>
                <w:sz w:val="24"/>
                <w:szCs w:val="24"/>
              </w:rPr>
              <w:t>Natriummetabisulfit</w:t>
            </w:r>
            <w:proofErr w:type="spellEnd"/>
            <w:r w:rsidRPr="006C771F">
              <w:rPr>
                <w:sz w:val="24"/>
                <w:szCs w:val="24"/>
              </w:rPr>
              <w:t xml:space="preserve"> (E223)</w:t>
            </w:r>
          </w:p>
        </w:tc>
        <w:tc>
          <w:tcPr>
            <w:tcW w:w="4540" w:type="dxa"/>
            <w:shd w:val="clear" w:color="auto" w:fill="auto"/>
            <w:vAlign w:val="center"/>
          </w:tcPr>
          <w:p w:rsidR="006C771F" w:rsidRPr="006C771F" w:rsidRDefault="006C771F" w:rsidP="00EF7915">
            <w:pPr>
              <w:spacing w:before="60" w:after="60"/>
              <w:rPr>
                <w:iCs/>
                <w:sz w:val="24"/>
                <w:szCs w:val="24"/>
              </w:rPr>
            </w:pPr>
            <w:r w:rsidRPr="006C771F">
              <w:rPr>
                <w:sz w:val="24"/>
                <w:szCs w:val="24"/>
              </w:rPr>
              <w:t>4,0 mg</w:t>
            </w:r>
          </w:p>
        </w:tc>
      </w:tr>
    </w:tbl>
    <w:p w:rsidR="006C771F" w:rsidRPr="006C771F" w:rsidRDefault="006C771F" w:rsidP="006C771F">
      <w:pPr>
        <w:rPr>
          <w:sz w:val="24"/>
          <w:szCs w:val="24"/>
        </w:rPr>
      </w:pPr>
    </w:p>
    <w:p w:rsidR="006C771F" w:rsidRPr="006C771F" w:rsidRDefault="006C771F" w:rsidP="006C771F">
      <w:pPr>
        <w:ind w:firstLine="567"/>
        <w:rPr>
          <w:sz w:val="24"/>
          <w:szCs w:val="24"/>
        </w:rPr>
      </w:pPr>
      <w:r w:rsidRPr="006C771F">
        <w:rPr>
          <w:sz w:val="24"/>
          <w:szCs w:val="24"/>
        </w:rPr>
        <w:t>Klar, gul til ravfarvet opløsning.</w:t>
      </w:r>
    </w:p>
    <w:p w:rsidR="006C771F" w:rsidRPr="006C771F" w:rsidRDefault="006C771F" w:rsidP="006C771F">
      <w:pPr>
        <w:rPr>
          <w:sz w:val="24"/>
          <w:szCs w:val="24"/>
        </w:rPr>
      </w:pPr>
    </w:p>
    <w:p w:rsidR="006C771F" w:rsidRPr="006C771F" w:rsidRDefault="006C771F" w:rsidP="006C771F">
      <w:pPr>
        <w:pStyle w:val="Style1"/>
        <w:rPr>
          <w:sz w:val="24"/>
          <w:szCs w:val="24"/>
        </w:rPr>
      </w:pPr>
      <w:r w:rsidRPr="006C771F">
        <w:rPr>
          <w:sz w:val="24"/>
          <w:szCs w:val="24"/>
        </w:rPr>
        <w:t>3.</w:t>
      </w:r>
      <w:r w:rsidRPr="006C771F">
        <w:rPr>
          <w:sz w:val="24"/>
          <w:szCs w:val="24"/>
        </w:rPr>
        <w:tab/>
        <w:t>KLINISKE OPLYSNINGER</w:t>
      </w:r>
    </w:p>
    <w:p w:rsidR="006C771F" w:rsidRPr="006C771F" w:rsidRDefault="006C771F" w:rsidP="006C771F">
      <w:pPr>
        <w:rPr>
          <w:sz w:val="24"/>
          <w:szCs w:val="24"/>
        </w:rPr>
      </w:pPr>
    </w:p>
    <w:p w:rsidR="006C771F" w:rsidRPr="006C771F" w:rsidRDefault="006C771F" w:rsidP="006C771F">
      <w:pPr>
        <w:pStyle w:val="Style1"/>
        <w:rPr>
          <w:sz w:val="24"/>
          <w:szCs w:val="24"/>
        </w:rPr>
      </w:pPr>
      <w:r w:rsidRPr="006C771F">
        <w:rPr>
          <w:sz w:val="24"/>
          <w:szCs w:val="24"/>
        </w:rPr>
        <w:t>3.1</w:t>
      </w:r>
      <w:r w:rsidRPr="006C771F">
        <w:rPr>
          <w:sz w:val="24"/>
          <w:szCs w:val="24"/>
        </w:rPr>
        <w:tab/>
        <w:t>Dyrearter, som lægemidlet er beregnet til</w:t>
      </w:r>
    </w:p>
    <w:p w:rsidR="006C771F" w:rsidRPr="006C771F" w:rsidRDefault="006C771F" w:rsidP="006C771F">
      <w:pPr>
        <w:rPr>
          <w:sz w:val="24"/>
          <w:szCs w:val="24"/>
        </w:rPr>
      </w:pPr>
    </w:p>
    <w:p w:rsidR="006C771F" w:rsidRPr="006C771F" w:rsidRDefault="006C771F" w:rsidP="006C771F">
      <w:pPr>
        <w:ind w:firstLine="567"/>
        <w:rPr>
          <w:sz w:val="24"/>
          <w:szCs w:val="24"/>
        </w:rPr>
      </w:pPr>
      <w:r w:rsidRPr="006C771F">
        <w:rPr>
          <w:sz w:val="24"/>
          <w:szCs w:val="24"/>
        </w:rPr>
        <w:t>Får (præ-drøvtyggende) og geder (præ-drøvtyggende).</w:t>
      </w:r>
    </w:p>
    <w:p w:rsidR="006C771F" w:rsidRPr="006C771F" w:rsidRDefault="006C771F" w:rsidP="006C771F">
      <w:pPr>
        <w:rPr>
          <w:sz w:val="24"/>
          <w:szCs w:val="24"/>
        </w:rPr>
      </w:pPr>
    </w:p>
    <w:p w:rsidR="006C771F" w:rsidRPr="006C771F" w:rsidRDefault="006C771F" w:rsidP="006C771F">
      <w:pPr>
        <w:pStyle w:val="Style1"/>
        <w:rPr>
          <w:sz w:val="24"/>
          <w:szCs w:val="24"/>
        </w:rPr>
      </w:pPr>
      <w:r w:rsidRPr="006C771F">
        <w:rPr>
          <w:sz w:val="24"/>
          <w:szCs w:val="24"/>
        </w:rPr>
        <w:t>3.2</w:t>
      </w:r>
      <w:r w:rsidRPr="006C771F">
        <w:rPr>
          <w:sz w:val="24"/>
          <w:szCs w:val="24"/>
        </w:rPr>
        <w:tab/>
        <w:t>Terapeutiske indikationer for hver dyreart, som lægemidlet er beregnet til</w:t>
      </w:r>
    </w:p>
    <w:p w:rsidR="006C771F" w:rsidRPr="006C771F" w:rsidRDefault="006C771F" w:rsidP="006C771F">
      <w:pPr>
        <w:rPr>
          <w:sz w:val="24"/>
          <w:szCs w:val="24"/>
        </w:rPr>
      </w:pPr>
    </w:p>
    <w:p w:rsidR="006C771F" w:rsidRPr="006C771F" w:rsidRDefault="006C771F" w:rsidP="006C771F">
      <w:pPr>
        <w:ind w:left="567"/>
        <w:rPr>
          <w:sz w:val="24"/>
          <w:szCs w:val="24"/>
          <w:lang w:val="nl-BE"/>
        </w:rPr>
      </w:pPr>
      <w:r w:rsidRPr="006C771F">
        <w:rPr>
          <w:sz w:val="24"/>
          <w:szCs w:val="24"/>
        </w:rPr>
        <w:t xml:space="preserve">Reducering af intensiteten og varigheden af diarré forårsaget af </w:t>
      </w:r>
      <w:r w:rsidRPr="006C771F">
        <w:rPr>
          <w:i/>
          <w:sz w:val="24"/>
          <w:szCs w:val="24"/>
          <w:lang w:val="nl-BE"/>
        </w:rPr>
        <w:t>Cryptosporidium parvum</w:t>
      </w:r>
      <w:r w:rsidRPr="006C771F">
        <w:rPr>
          <w:sz w:val="24"/>
          <w:szCs w:val="24"/>
          <w:lang w:val="nl-BE"/>
        </w:rPr>
        <w:t xml:space="preserve"> hos individuelle dyr, hvor tilstedeværelsen af cryptosporidium oocyster i fæces er påvist.</w:t>
      </w:r>
    </w:p>
    <w:p w:rsidR="006C771F" w:rsidRPr="006C771F" w:rsidRDefault="006C771F" w:rsidP="006C771F">
      <w:pPr>
        <w:ind w:left="567"/>
        <w:rPr>
          <w:sz w:val="24"/>
          <w:szCs w:val="24"/>
          <w:lang w:val="nl-BE"/>
        </w:rPr>
      </w:pPr>
      <w:r w:rsidRPr="006C771F">
        <w:rPr>
          <w:sz w:val="24"/>
          <w:szCs w:val="24"/>
          <w:lang w:val="nl-BE"/>
        </w:rPr>
        <w:t>Paromomycin reducerer fækal oocystudskillelse.</w:t>
      </w:r>
    </w:p>
    <w:p w:rsidR="006C771F" w:rsidRPr="006C771F" w:rsidRDefault="006C771F" w:rsidP="006C771F">
      <w:pPr>
        <w:rPr>
          <w:sz w:val="24"/>
          <w:szCs w:val="24"/>
        </w:rPr>
      </w:pPr>
    </w:p>
    <w:p w:rsidR="006C771F" w:rsidRPr="006C771F" w:rsidRDefault="006C771F" w:rsidP="006C771F">
      <w:pPr>
        <w:pStyle w:val="Style1"/>
        <w:rPr>
          <w:sz w:val="24"/>
          <w:szCs w:val="24"/>
        </w:rPr>
      </w:pPr>
      <w:r w:rsidRPr="006C771F">
        <w:rPr>
          <w:sz w:val="24"/>
          <w:szCs w:val="24"/>
        </w:rPr>
        <w:t>3.3</w:t>
      </w:r>
      <w:r w:rsidRPr="006C771F">
        <w:rPr>
          <w:sz w:val="24"/>
          <w:szCs w:val="24"/>
        </w:rPr>
        <w:tab/>
        <w:t>Kontraindikationer</w:t>
      </w:r>
    </w:p>
    <w:p w:rsidR="006C771F" w:rsidRPr="006C771F" w:rsidRDefault="006C771F" w:rsidP="006C771F">
      <w:pPr>
        <w:rPr>
          <w:sz w:val="24"/>
          <w:szCs w:val="24"/>
        </w:rPr>
      </w:pPr>
    </w:p>
    <w:p w:rsidR="006C771F" w:rsidRPr="006C771F" w:rsidRDefault="006C771F" w:rsidP="006C771F">
      <w:pPr>
        <w:ind w:left="567"/>
        <w:rPr>
          <w:sz w:val="24"/>
          <w:szCs w:val="24"/>
        </w:rPr>
      </w:pPr>
      <w:r w:rsidRPr="006C771F">
        <w:rPr>
          <w:sz w:val="24"/>
          <w:szCs w:val="24"/>
        </w:rPr>
        <w:t>Må ikke anvendes i tilfælde af overfølsomhed over for det aktive stof, andre aminoglykosider eller over for et eller flere af hjælpestofferne.</w:t>
      </w:r>
    </w:p>
    <w:p w:rsidR="006C771F" w:rsidRPr="006C771F" w:rsidRDefault="006C771F" w:rsidP="006C771F">
      <w:pPr>
        <w:ind w:left="567"/>
        <w:rPr>
          <w:sz w:val="24"/>
          <w:szCs w:val="24"/>
        </w:rPr>
      </w:pPr>
      <w:r w:rsidRPr="006C771F">
        <w:rPr>
          <w:sz w:val="24"/>
          <w:szCs w:val="24"/>
        </w:rPr>
        <w:t>Må ikke anvendes til dyr med nedsat nyre- eller leverfunktion.</w:t>
      </w:r>
    </w:p>
    <w:p w:rsidR="006C771F" w:rsidRPr="006C771F" w:rsidRDefault="006C771F" w:rsidP="006C771F">
      <w:pPr>
        <w:ind w:left="567"/>
        <w:rPr>
          <w:sz w:val="24"/>
          <w:szCs w:val="24"/>
        </w:rPr>
      </w:pPr>
      <w:r w:rsidRPr="006C771F">
        <w:rPr>
          <w:sz w:val="24"/>
          <w:szCs w:val="24"/>
        </w:rPr>
        <w:t>Må ikke anvendes til drøvtyggende dyr.</w:t>
      </w:r>
    </w:p>
    <w:p w:rsidR="006C771F" w:rsidRPr="006C771F" w:rsidRDefault="006C771F" w:rsidP="006C771F">
      <w:pPr>
        <w:rPr>
          <w:sz w:val="24"/>
          <w:szCs w:val="24"/>
        </w:rPr>
      </w:pPr>
    </w:p>
    <w:p w:rsidR="006C771F" w:rsidRPr="006C771F" w:rsidRDefault="006C771F" w:rsidP="006C771F">
      <w:pPr>
        <w:pStyle w:val="Style1"/>
        <w:rPr>
          <w:sz w:val="24"/>
          <w:szCs w:val="24"/>
        </w:rPr>
      </w:pPr>
      <w:r w:rsidRPr="006C771F">
        <w:rPr>
          <w:sz w:val="24"/>
          <w:szCs w:val="24"/>
        </w:rPr>
        <w:t>3.4</w:t>
      </w:r>
      <w:r w:rsidRPr="006C771F">
        <w:rPr>
          <w:sz w:val="24"/>
          <w:szCs w:val="24"/>
        </w:rPr>
        <w:tab/>
        <w:t>Særlige advarsler</w:t>
      </w:r>
    </w:p>
    <w:p w:rsidR="006C771F" w:rsidRPr="006C771F" w:rsidRDefault="006C771F" w:rsidP="006C771F">
      <w:pPr>
        <w:rPr>
          <w:sz w:val="24"/>
          <w:szCs w:val="24"/>
        </w:rPr>
      </w:pPr>
    </w:p>
    <w:p w:rsidR="006C771F" w:rsidRPr="006C771F" w:rsidRDefault="006C771F" w:rsidP="006C771F">
      <w:pPr>
        <w:ind w:left="567"/>
        <w:rPr>
          <w:sz w:val="24"/>
          <w:szCs w:val="24"/>
        </w:rPr>
      </w:pPr>
      <w:r w:rsidRPr="006C771F">
        <w:rPr>
          <w:sz w:val="24"/>
          <w:szCs w:val="24"/>
        </w:rPr>
        <w:t xml:space="preserve">Lam og gedekid bør kun behandles efter påvisning af </w:t>
      </w:r>
      <w:proofErr w:type="spellStart"/>
      <w:r w:rsidRPr="006C771F">
        <w:rPr>
          <w:sz w:val="24"/>
          <w:szCs w:val="24"/>
        </w:rPr>
        <w:t>cryptosporidium</w:t>
      </w:r>
      <w:proofErr w:type="spellEnd"/>
      <w:r w:rsidRPr="006C771F">
        <w:rPr>
          <w:sz w:val="24"/>
          <w:szCs w:val="24"/>
        </w:rPr>
        <w:t xml:space="preserve"> </w:t>
      </w:r>
      <w:proofErr w:type="spellStart"/>
      <w:r w:rsidRPr="006C771F">
        <w:rPr>
          <w:sz w:val="24"/>
          <w:szCs w:val="24"/>
        </w:rPr>
        <w:t>oocyster</w:t>
      </w:r>
      <w:proofErr w:type="spellEnd"/>
      <w:r w:rsidRPr="006C771F">
        <w:rPr>
          <w:sz w:val="24"/>
          <w:szCs w:val="24"/>
        </w:rPr>
        <w:t xml:space="preserve"> i deres fæces og så hurtigt som muligt efter udbruddet af diarré (se pkt. 3.5).</w:t>
      </w:r>
    </w:p>
    <w:p w:rsidR="006C771F" w:rsidRPr="006C771F" w:rsidRDefault="006C771F" w:rsidP="006C771F">
      <w:pPr>
        <w:ind w:left="567"/>
        <w:rPr>
          <w:sz w:val="24"/>
          <w:szCs w:val="24"/>
        </w:rPr>
      </w:pPr>
    </w:p>
    <w:p w:rsidR="006C771F" w:rsidRPr="006C771F" w:rsidRDefault="006C771F" w:rsidP="006C771F">
      <w:pPr>
        <w:ind w:left="567"/>
        <w:rPr>
          <w:sz w:val="24"/>
          <w:szCs w:val="24"/>
        </w:rPr>
      </w:pPr>
      <w:r w:rsidRPr="006C771F">
        <w:rPr>
          <w:sz w:val="24"/>
          <w:szCs w:val="24"/>
        </w:rPr>
        <w:t xml:space="preserve">I feltstudier, der undersøgte veterinærlægemidlets effekt på diarré forårsaget af </w:t>
      </w:r>
      <w:proofErr w:type="spellStart"/>
      <w:r w:rsidRPr="006C771F">
        <w:rPr>
          <w:sz w:val="24"/>
          <w:szCs w:val="24"/>
        </w:rPr>
        <w:t>cyptosporidiose</w:t>
      </w:r>
      <w:proofErr w:type="spellEnd"/>
      <w:r w:rsidRPr="006C771F">
        <w:rPr>
          <w:sz w:val="24"/>
          <w:szCs w:val="24"/>
        </w:rPr>
        <w:t>, var den gennemsnitlige varighed af klinisk relevant diarré 3 dage ved behandlede lam sammenlignet med 6 dage ved ubehandlede lam og 4 dage ved behandlede gedekid sammenlignet med 7 dage ved ubehandlede gedekid under en 7-dages behandlingsperiode.</w:t>
      </w:r>
    </w:p>
    <w:p w:rsidR="006C771F" w:rsidRPr="006C771F" w:rsidRDefault="006C771F" w:rsidP="006C771F">
      <w:pPr>
        <w:rPr>
          <w:sz w:val="24"/>
          <w:szCs w:val="24"/>
        </w:rPr>
      </w:pPr>
    </w:p>
    <w:p w:rsidR="006C771F" w:rsidRPr="006C771F" w:rsidRDefault="006C771F" w:rsidP="006C771F">
      <w:pPr>
        <w:pStyle w:val="Style1"/>
        <w:rPr>
          <w:sz w:val="24"/>
          <w:szCs w:val="24"/>
        </w:rPr>
      </w:pPr>
      <w:r w:rsidRPr="006C771F">
        <w:rPr>
          <w:sz w:val="24"/>
          <w:szCs w:val="24"/>
        </w:rPr>
        <w:t>3.5</w:t>
      </w:r>
      <w:r w:rsidRPr="006C771F">
        <w:rPr>
          <w:sz w:val="24"/>
          <w:szCs w:val="24"/>
        </w:rPr>
        <w:tab/>
        <w:t>Særlige forholdsregler vedrørende brugen</w:t>
      </w:r>
    </w:p>
    <w:p w:rsidR="006C771F" w:rsidRPr="006C771F" w:rsidRDefault="006C771F" w:rsidP="006C771F">
      <w:pPr>
        <w:rPr>
          <w:sz w:val="24"/>
          <w:szCs w:val="24"/>
        </w:rPr>
      </w:pPr>
    </w:p>
    <w:p w:rsidR="006C771F" w:rsidRPr="006C771F" w:rsidRDefault="006C771F" w:rsidP="006C771F">
      <w:pPr>
        <w:ind w:left="567"/>
        <w:rPr>
          <w:sz w:val="24"/>
          <w:szCs w:val="24"/>
          <w:u w:val="single"/>
        </w:rPr>
      </w:pPr>
      <w:r w:rsidRPr="006C771F">
        <w:rPr>
          <w:sz w:val="24"/>
          <w:szCs w:val="24"/>
          <w:u w:val="single"/>
        </w:rPr>
        <w:t>Særlige forholdsregler vedrørende sikker brug hos de dyrearter, som lægemidlet er beregnet til:</w:t>
      </w:r>
    </w:p>
    <w:p w:rsidR="006C771F" w:rsidRPr="006C771F" w:rsidRDefault="006C771F" w:rsidP="006C771F">
      <w:pPr>
        <w:ind w:left="567"/>
        <w:rPr>
          <w:sz w:val="24"/>
          <w:szCs w:val="24"/>
        </w:rPr>
      </w:pPr>
      <w:r w:rsidRPr="006C771F">
        <w:rPr>
          <w:sz w:val="24"/>
          <w:szCs w:val="24"/>
        </w:rPr>
        <w:t xml:space="preserve">Da veterinærlægemidlet er potentielt </w:t>
      </w:r>
      <w:proofErr w:type="spellStart"/>
      <w:r w:rsidRPr="006C771F">
        <w:rPr>
          <w:sz w:val="24"/>
          <w:szCs w:val="24"/>
        </w:rPr>
        <w:t>ototoksisk</w:t>
      </w:r>
      <w:proofErr w:type="spellEnd"/>
      <w:r w:rsidRPr="006C771F">
        <w:rPr>
          <w:sz w:val="24"/>
          <w:szCs w:val="24"/>
        </w:rPr>
        <w:t xml:space="preserve"> og </w:t>
      </w:r>
      <w:proofErr w:type="spellStart"/>
      <w:r w:rsidRPr="006C771F">
        <w:rPr>
          <w:sz w:val="24"/>
          <w:szCs w:val="24"/>
        </w:rPr>
        <w:t>nefrotoksisk</w:t>
      </w:r>
      <w:proofErr w:type="spellEnd"/>
      <w:r w:rsidRPr="006C771F">
        <w:rPr>
          <w:sz w:val="24"/>
          <w:szCs w:val="24"/>
        </w:rPr>
        <w:t xml:space="preserve">, anbefales det at vurdere nyrefunktionen, specielt hvis behandling af nyfødte dyr overvejes, på grund af kendt øget optagelse af veterinærlægemidlet i </w:t>
      </w:r>
      <w:proofErr w:type="spellStart"/>
      <w:r w:rsidRPr="006C771F">
        <w:rPr>
          <w:sz w:val="24"/>
          <w:szCs w:val="24"/>
        </w:rPr>
        <w:t>mave-tarmkanalen</w:t>
      </w:r>
      <w:proofErr w:type="spellEnd"/>
      <w:r w:rsidRPr="006C771F">
        <w:rPr>
          <w:sz w:val="24"/>
          <w:szCs w:val="24"/>
        </w:rPr>
        <w:t xml:space="preserve"> hos nyfødte. Denne øgede optagelse kan medføre øget risiko for </w:t>
      </w:r>
      <w:proofErr w:type="spellStart"/>
      <w:r w:rsidRPr="006C771F">
        <w:rPr>
          <w:sz w:val="24"/>
          <w:szCs w:val="24"/>
        </w:rPr>
        <w:t>oto</w:t>
      </w:r>
      <w:proofErr w:type="spellEnd"/>
      <w:r w:rsidRPr="006C771F">
        <w:rPr>
          <w:sz w:val="24"/>
          <w:szCs w:val="24"/>
        </w:rPr>
        <w:t xml:space="preserve">- og </w:t>
      </w:r>
      <w:proofErr w:type="spellStart"/>
      <w:r w:rsidRPr="006C771F">
        <w:rPr>
          <w:sz w:val="24"/>
          <w:szCs w:val="24"/>
        </w:rPr>
        <w:t>nefrotoksicitet</w:t>
      </w:r>
      <w:proofErr w:type="spellEnd"/>
      <w:r w:rsidRPr="006C771F">
        <w:rPr>
          <w:sz w:val="24"/>
          <w:szCs w:val="24"/>
        </w:rPr>
        <w:t>. Brug af veterinærlægemidlet til nyfødte dyr bør baseres på den ansvarlige dyrlæges vurdering af benefit/</w:t>
      </w:r>
      <w:proofErr w:type="spellStart"/>
      <w:r w:rsidRPr="006C771F">
        <w:rPr>
          <w:sz w:val="24"/>
          <w:szCs w:val="24"/>
        </w:rPr>
        <w:t>risk</w:t>
      </w:r>
      <w:proofErr w:type="spellEnd"/>
      <w:r w:rsidRPr="006C771F">
        <w:rPr>
          <w:sz w:val="24"/>
          <w:szCs w:val="24"/>
        </w:rPr>
        <w:t>-forholdet.</w:t>
      </w:r>
    </w:p>
    <w:p w:rsidR="006C771F" w:rsidRPr="006C771F" w:rsidRDefault="006C771F" w:rsidP="006C771F">
      <w:pPr>
        <w:ind w:left="567"/>
        <w:rPr>
          <w:sz w:val="24"/>
          <w:szCs w:val="24"/>
        </w:rPr>
      </w:pPr>
      <w:r w:rsidRPr="006C771F">
        <w:rPr>
          <w:sz w:val="24"/>
          <w:szCs w:val="24"/>
        </w:rPr>
        <w:t>Brug af veterinærlægemidlet bør baseres på god håndteringspraksis f.eks. god hygiejne, korrekt ventilation, undgåelse af for stort lager og grundig rengøring og desinfektion.</w:t>
      </w:r>
    </w:p>
    <w:p w:rsidR="006C771F" w:rsidRPr="006C771F" w:rsidRDefault="006C771F" w:rsidP="006C771F">
      <w:pPr>
        <w:ind w:left="567"/>
        <w:rPr>
          <w:sz w:val="24"/>
          <w:szCs w:val="24"/>
        </w:rPr>
      </w:pPr>
      <w:r w:rsidRPr="006C771F">
        <w:rPr>
          <w:sz w:val="24"/>
          <w:szCs w:val="24"/>
        </w:rPr>
        <w:t>Aminoglykosider anses for kritiske inden for humanmedicin. Ukorrekt brug af veterinærlægemidlet,</w:t>
      </w:r>
      <w:r w:rsidRPr="006C771F" w:rsidDel="00941CE8">
        <w:rPr>
          <w:sz w:val="24"/>
          <w:szCs w:val="24"/>
        </w:rPr>
        <w:t xml:space="preserve"> </w:t>
      </w:r>
      <w:r w:rsidRPr="006C771F">
        <w:rPr>
          <w:sz w:val="24"/>
          <w:szCs w:val="24"/>
        </w:rPr>
        <w:t xml:space="preserve">der afviger fra dette produktresume, kan øge forekomsten af bakterier, der er resistente over for </w:t>
      </w:r>
      <w:proofErr w:type="spellStart"/>
      <w:r w:rsidRPr="006C771F">
        <w:rPr>
          <w:sz w:val="24"/>
          <w:szCs w:val="24"/>
        </w:rPr>
        <w:t>paromomycin</w:t>
      </w:r>
      <w:proofErr w:type="spellEnd"/>
      <w:r w:rsidRPr="006C771F">
        <w:rPr>
          <w:sz w:val="24"/>
          <w:szCs w:val="24"/>
        </w:rPr>
        <w:t>, og kan nedsætte effektiviteten af behandling med aminoglykosid grundet mulighed for krydsresistens.</w:t>
      </w:r>
    </w:p>
    <w:p w:rsidR="006C771F" w:rsidRPr="006C771F" w:rsidRDefault="006C771F" w:rsidP="006C771F">
      <w:pPr>
        <w:ind w:left="567"/>
        <w:rPr>
          <w:sz w:val="24"/>
          <w:szCs w:val="24"/>
        </w:rPr>
      </w:pPr>
    </w:p>
    <w:p w:rsidR="006C771F" w:rsidRPr="006C771F" w:rsidRDefault="006C771F" w:rsidP="006C771F">
      <w:pPr>
        <w:ind w:left="567"/>
        <w:rPr>
          <w:sz w:val="24"/>
          <w:szCs w:val="24"/>
          <w:u w:val="single"/>
        </w:rPr>
      </w:pPr>
      <w:r w:rsidRPr="006C771F">
        <w:rPr>
          <w:sz w:val="24"/>
          <w:szCs w:val="24"/>
          <w:u w:val="single"/>
        </w:rPr>
        <w:t>Særlige forholdsregler for personer, der administrerer veterinærlægemidlet til dyr:</w:t>
      </w:r>
    </w:p>
    <w:p w:rsidR="006C771F" w:rsidRPr="006C771F" w:rsidRDefault="006C771F" w:rsidP="006C771F">
      <w:pPr>
        <w:ind w:left="567"/>
        <w:rPr>
          <w:sz w:val="24"/>
          <w:szCs w:val="24"/>
        </w:rPr>
      </w:pPr>
    </w:p>
    <w:p w:rsidR="006C771F" w:rsidRPr="006C771F" w:rsidRDefault="006C771F" w:rsidP="006C771F">
      <w:pPr>
        <w:ind w:left="567"/>
        <w:rPr>
          <w:sz w:val="24"/>
          <w:szCs w:val="24"/>
        </w:rPr>
      </w:pPr>
      <w:r w:rsidRPr="006C771F">
        <w:rPr>
          <w:sz w:val="24"/>
          <w:szCs w:val="24"/>
        </w:rPr>
        <w:t xml:space="preserve">Dette veterinærlægemiddel indeholder </w:t>
      </w:r>
      <w:proofErr w:type="spellStart"/>
      <w:r w:rsidRPr="006C771F">
        <w:rPr>
          <w:sz w:val="24"/>
          <w:szCs w:val="24"/>
        </w:rPr>
        <w:t>paromomycin</w:t>
      </w:r>
      <w:proofErr w:type="spellEnd"/>
      <w:r w:rsidRPr="006C771F">
        <w:rPr>
          <w:sz w:val="24"/>
          <w:szCs w:val="24"/>
        </w:rPr>
        <w:t>, som kan forårsage allergiske reaktioner hos visse mennesker.</w:t>
      </w:r>
    </w:p>
    <w:p w:rsidR="006C771F" w:rsidRPr="006C771F" w:rsidRDefault="006C771F" w:rsidP="006C771F">
      <w:pPr>
        <w:ind w:left="567"/>
        <w:rPr>
          <w:sz w:val="24"/>
          <w:szCs w:val="24"/>
        </w:rPr>
      </w:pPr>
      <w:r w:rsidRPr="006C771F">
        <w:rPr>
          <w:sz w:val="24"/>
          <w:szCs w:val="24"/>
        </w:rPr>
        <w:t xml:space="preserve">Ved kendt overfølsomhed over for </w:t>
      </w:r>
      <w:proofErr w:type="spellStart"/>
      <w:r w:rsidRPr="006C771F">
        <w:rPr>
          <w:sz w:val="24"/>
          <w:szCs w:val="24"/>
        </w:rPr>
        <w:t>paromomycin</w:t>
      </w:r>
      <w:proofErr w:type="spellEnd"/>
      <w:r w:rsidRPr="006C771F">
        <w:rPr>
          <w:sz w:val="24"/>
          <w:szCs w:val="24"/>
        </w:rPr>
        <w:t xml:space="preserve"> eller andre aminoglykosider bør kontakt med veterinærlægemidlet undgås.</w:t>
      </w:r>
    </w:p>
    <w:p w:rsidR="006C771F" w:rsidRPr="006C771F" w:rsidRDefault="006C771F" w:rsidP="006C771F">
      <w:pPr>
        <w:ind w:left="567"/>
        <w:rPr>
          <w:sz w:val="24"/>
          <w:szCs w:val="24"/>
        </w:rPr>
      </w:pPr>
      <w:r w:rsidRPr="006C771F">
        <w:rPr>
          <w:sz w:val="24"/>
          <w:szCs w:val="24"/>
        </w:rPr>
        <w:t>Undgå kontakt med hud og øjne.</w:t>
      </w:r>
    </w:p>
    <w:p w:rsidR="006C771F" w:rsidRPr="006C771F" w:rsidRDefault="006C771F" w:rsidP="006C771F">
      <w:pPr>
        <w:ind w:left="567"/>
        <w:rPr>
          <w:sz w:val="24"/>
          <w:szCs w:val="24"/>
        </w:rPr>
      </w:pPr>
      <w:r w:rsidRPr="006C771F">
        <w:rPr>
          <w:sz w:val="24"/>
          <w:szCs w:val="24"/>
        </w:rPr>
        <w:t>I tilfælde af utilsigtet hud- eller øjenkontakt skylles det berørte område med store mængder rent vand.</w:t>
      </w:r>
    </w:p>
    <w:p w:rsidR="006C771F" w:rsidRPr="006C771F" w:rsidRDefault="006C771F" w:rsidP="006C771F">
      <w:pPr>
        <w:ind w:left="567"/>
        <w:rPr>
          <w:sz w:val="24"/>
          <w:szCs w:val="24"/>
        </w:rPr>
      </w:pPr>
      <w:r w:rsidRPr="006C771F">
        <w:rPr>
          <w:sz w:val="24"/>
          <w:szCs w:val="24"/>
        </w:rPr>
        <w:lastRenderedPageBreak/>
        <w:t>Hvis der opstår symptomer efter eksponering, såsom hududslæt, skal der straks søges lægehjælp og indlægssedlen eller etiketten vises til lægen. Hævelse af ansigt, læber og øjne eller åndedrætsbesvær er alvorligere symptomer og kræver øjeblikkelig lægehjælp.</w:t>
      </w:r>
    </w:p>
    <w:p w:rsidR="006C771F" w:rsidRPr="006C771F" w:rsidRDefault="006C771F" w:rsidP="006C771F">
      <w:pPr>
        <w:ind w:left="567"/>
        <w:rPr>
          <w:sz w:val="24"/>
          <w:szCs w:val="24"/>
        </w:rPr>
      </w:pPr>
      <w:r w:rsidRPr="006C771F">
        <w:rPr>
          <w:sz w:val="24"/>
          <w:szCs w:val="24"/>
        </w:rPr>
        <w:t xml:space="preserve">Personligt beskyttelsesudstyr i form af overtrækstøj og tætte handsker bør anvendes ved håndtering af veterinærlægemidlet. </w:t>
      </w:r>
    </w:p>
    <w:p w:rsidR="006C771F" w:rsidRPr="006C771F" w:rsidRDefault="006C771F" w:rsidP="006C771F">
      <w:pPr>
        <w:ind w:left="567"/>
        <w:rPr>
          <w:sz w:val="24"/>
          <w:szCs w:val="24"/>
        </w:rPr>
      </w:pPr>
      <w:r w:rsidRPr="006C771F">
        <w:rPr>
          <w:sz w:val="24"/>
          <w:szCs w:val="24"/>
        </w:rPr>
        <w:t>Undgå at spise, drikke eller ryge under håndtering af veterinærlægemidlet.</w:t>
      </w:r>
    </w:p>
    <w:p w:rsidR="006C771F" w:rsidRPr="006C771F" w:rsidRDefault="006C771F" w:rsidP="006C771F">
      <w:pPr>
        <w:ind w:left="567"/>
        <w:rPr>
          <w:sz w:val="24"/>
          <w:szCs w:val="24"/>
        </w:rPr>
      </w:pPr>
      <w:r w:rsidRPr="006C771F">
        <w:rPr>
          <w:sz w:val="24"/>
          <w:szCs w:val="24"/>
        </w:rPr>
        <w:t>Undgå at indtage veterinærlægemidlet. I tilfælde af utilsigtet indtagelse ved hændeligt uheld skal der straks søges lægehjælp, og indlægssedlen eller etiketten bør vises til lægen.</w:t>
      </w:r>
    </w:p>
    <w:p w:rsidR="006C771F" w:rsidRPr="006C771F" w:rsidRDefault="006C771F" w:rsidP="006C771F">
      <w:pPr>
        <w:ind w:left="567"/>
        <w:rPr>
          <w:sz w:val="24"/>
          <w:szCs w:val="24"/>
        </w:rPr>
      </w:pPr>
      <w:r w:rsidRPr="006C771F">
        <w:rPr>
          <w:sz w:val="24"/>
          <w:szCs w:val="24"/>
        </w:rPr>
        <w:t>Vask hænder efter brug.</w:t>
      </w:r>
    </w:p>
    <w:p w:rsidR="006C771F" w:rsidRPr="006C771F" w:rsidRDefault="006C771F" w:rsidP="006C771F">
      <w:pPr>
        <w:ind w:left="567"/>
        <w:rPr>
          <w:sz w:val="24"/>
          <w:szCs w:val="24"/>
        </w:rPr>
      </w:pPr>
    </w:p>
    <w:p w:rsidR="006C771F" w:rsidRPr="006C771F" w:rsidRDefault="006C771F" w:rsidP="006C771F">
      <w:pPr>
        <w:ind w:left="567"/>
        <w:rPr>
          <w:sz w:val="24"/>
          <w:szCs w:val="24"/>
          <w:u w:val="single"/>
        </w:rPr>
      </w:pPr>
      <w:r w:rsidRPr="006C771F">
        <w:rPr>
          <w:sz w:val="24"/>
          <w:szCs w:val="24"/>
          <w:u w:val="single"/>
        </w:rPr>
        <w:t>Særlige forholdsregler vedrørende beskyttelse af miljøet:</w:t>
      </w:r>
    </w:p>
    <w:p w:rsidR="006C771F" w:rsidRPr="006C771F" w:rsidRDefault="006C771F" w:rsidP="006C771F">
      <w:pPr>
        <w:ind w:left="567"/>
        <w:rPr>
          <w:sz w:val="24"/>
          <w:szCs w:val="24"/>
        </w:rPr>
      </w:pPr>
      <w:r w:rsidRPr="006C771F">
        <w:rPr>
          <w:sz w:val="24"/>
          <w:szCs w:val="24"/>
        </w:rPr>
        <w:t>Ikke relevant.</w:t>
      </w:r>
    </w:p>
    <w:p w:rsidR="006C771F" w:rsidRPr="006C771F" w:rsidRDefault="006C771F" w:rsidP="006C771F">
      <w:pPr>
        <w:rPr>
          <w:sz w:val="24"/>
          <w:szCs w:val="24"/>
        </w:rPr>
      </w:pPr>
    </w:p>
    <w:p w:rsidR="006C771F" w:rsidRPr="006C771F" w:rsidRDefault="006C771F" w:rsidP="006C771F">
      <w:pPr>
        <w:pStyle w:val="Style1"/>
        <w:rPr>
          <w:sz w:val="24"/>
          <w:szCs w:val="24"/>
        </w:rPr>
      </w:pPr>
      <w:r w:rsidRPr="006C771F">
        <w:rPr>
          <w:sz w:val="24"/>
          <w:szCs w:val="24"/>
        </w:rPr>
        <w:t>3.6</w:t>
      </w:r>
      <w:r w:rsidRPr="006C771F">
        <w:rPr>
          <w:sz w:val="24"/>
          <w:szCs w:val="24"/>
        </w:rPr>
        <w:tab/>
        <w:t>Bivirkninger</w:t>
      </w:r>
    </w:p>
    <w:p w:rsidR="006C771F" w:rsidRPr="006C771F" w:rsidRDefault="006C771F" w:rsidP="006C771F">
      <w:pPr>
        <w:rPr>
          <w:sz w:val="24"/>
          <w:szCs w:val="24"/>
        </w:rPr>
      </w:pPr>
    </w:p>
    <w:p w:rsidR="006C771F" w:rsidRPr="006C771F" w:rsidRDefault="006C771F" w:rsidP="006C771F">
      <w:pPr>
        <w:ind w:firstLine="567"/>
        <w:rPr>
          <w:sz w:val="24"/>
          <w:szCs w:val="24"/>
          <w:u w:val="single"/>
        </w:rPr>
      </w:pPr>
      <w:r w:rsidRPr="006C771F">
        <w:rPr>
          <w:sz w:val="24"/>
          <w:szCs w:val="24"/>
          <w:u w:val="single"/>
        </w:rPr>
        <w:t>Får og geder:</w:t>
      </w:r>
    </w:p>
    <w:p w:rsidR="006C771F" w:rsidRPr="006C771F" w:rsidRDefault="006C771F" w:rsidP="006C771F">
      <w:pPr>
        <w:rPr>
          <w:sz w:val="24"/>
          <w:szCs w:val="24"/>
        </w:rPr>
      </w:pPr>
    </w:p>
    <w:tbl>
      <w:tblPr>
        <w:tblW w:w="50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5265"/>
      </w:tblGrid>
      <w:tr w:rsidR="006C771F" w:rsidRPr="006C771F" w:rsidTr="006C771F">
        <w:tc>
          <w:tcPr>
            <w:tcW w:w="2266" w:type="pct"/>
          </w:tcPr>
          <w:p w:rsidR="006C771F" w:rsidRPr="006C771F" w:rsidRDefault="006C771F" w:rsidP="00EF7915">
            <w:pPr>
              <w:spacing w:before="60" w:after="60"/>
              <w:rPr>
                <w:sz w:val="24"/>
                <w:szCs w:val="24"/>
              </w:rPr>
            </w:pPr>
            <w:r w:rsidRPr="006C771F">
              <w:rPr>
                <w:sz w:val="24"/>
                <w:szCs w:val="24"/>
              </w:rPr>
              <w:t>Ikke kendt (hyppigheden kan ikke estimeres ud fra forhåndenværende data)</w:t>
            </w:r>
          </w:p>
        </w:tc>
        <w:tc>
          <w:tcPr>
            <w:tcW w:w="2734" w:type="pct"/>
          </w:tcPr>
          <w:p w:rsidR="006C771F" w:rsidRPr="006C771F" w:rsidRDefault="006C771F" w:rsidP="00EF7915">
            <w:pPr>
              <w:spacing w:before="60" w:after="60"/>
              <w:rPr>
                <w:iCs/>
                <w:sz w:val="24"/>
                <w:szCs w:val="24"/>
              </w:rPr>
            </w:pPr>
            <w:proofErr w:type="spellStart"/>
            <w:r w:rsidRPr="006C771F">
              <w:rPr>
                <w:iCs/>
                <w:sz w:val="24"/>
                <w:szCs w:val="24"/>
              </w:rPr>
              <w:t>Nefropati</w:t>
            </w:r>
            <w:proofErr w:type="spellEnd"/>
            <w:r w:rsidRPr="006C771F">
              <w:rPr>
                <w:iCs/>
                <w:sz w:val="24"/>
                <w:szCs w:val="24"/>
              </w:rPr>
              <w:t xml:space="preserve"> (</w:t>
            </w:r>
            <w:proofErr w:type="spellStart"/>
            <w:r w:rsidRPr="006C771F">
              <w:rPr>
                <w:iCs/>
                <w:sz w:val="24"/>
                <w:szCs w:val="24"/>
              </w:rPr>
              <w:t>nefrotoksicitet</w:t>
            </w:r>
            <w:proofErr w:type="spellEnd"/>
            <w:r w:rsidRPr="006C771F">
              <w:rPr>
                <w:iCs/>
                <w:sz w:val="24"/>
                <w:szCs w:val="24"/>
              </w:rPr>
              <w:t>)</w:t>
            </w:r>
            <w:r w:rsidRPr="006C771F">
              <w:rPr>
                <w:iCs/>
                <w:sz w:val="24"/>
                <w:szCs w:val="24"/>
                <w:vertAlign w:val="superscript"/>
              </w:rPr>
              <w:t>1</w:t>
            </w:r>
            <w:r w:rsidRPr="006C771F">
              <w:rPr>
                <w:iCs/>
                <w:sz w:val="24"/>
                <w:szCs w:val="24"/>
              </w:rPr>
              <w:t xml:space="preserve"> </w:t>
            </w:r>
          </w:p>
          <w:p w:rsidR="006C771F" w:rsidRPr="006C771F" w:rsidRDefault="006C771F" w:rsidP="00EF7915">
            <w:pPr>
              <w:spacing w:before="60" w:after="60"/>
              <w:rPr>
                <w:iCs/>
                <w:sz w:val="24"/>
                <w:szCs w:val="24"/>
              </w:rPr>
            </w:pPr>
            <w:r w:rsidRPr="006C771F">
              <w:rPr>
                <w:iCs/>
                <w:sz w:val="24"/>
                <w:szCs w:val="24"/>
              </w:rPr>
              <w:t>Indre ørelidelse (</w:t>
            </w:r>
            <w:proofErr w:type="spellStart"/>
            <w:r w:rsidRPr="006C771F">
              <w:rPr>
                <w:iCs/>
                <w:sz w:val="24"/>
                <w:szCs w:val="24"/>
              </w:rPr>
              <w:t>ototoksicitet</w:t>
            </w:r>
            <w:proofErr w:type="spellEnd"/>
            <w:r w:rsidRPr="006C771F">
              <w:rPr>
                <w:iCs/>
                <w:sz w:val="24"/>
                <w:szCs w:val="24"/>
              </w:rPr>
              <w:t>)</w:t>
            </w:r>
            <w:r w:rsidRPr="006C771F">
              <w:rPr>
                <w:iCs/>
                <w:sz w:val="24"/>
                <w:szCs w:val="24"/>
                <w:vertAlign w:val="superscript"/>
              </w:rPr>
              <w:t>1</w:t>
            </w:r>
          </w:p>
        </w:tc>
      </w:tr>
    </w:tbl>
    <w:p w:rsidR="006C771F" w:rsidRPr="006C771F" w:rsidRDefault="006C771F" w:rsidP="006C771F">
      <w:pPr>
        <w:ind w:left="567"/>
        <w:rPr>
          <w:sz w:val="24"/>
          <w:szCs w:val="24"/>
        </w:rPr>
      </w:pPr>
      <w:r w:rsidRPr="006C771F">
        <w:rPr>
          <w:iCs/>
          <w:sz w:val="24"/>
          <w:szCs w:val="24"/>
          <w:vertAlign w:val="superscript"/>
        </w:rPr>
        <w:t>1</w:t>
      </w:r>
      <w:r w:rsidRPr="006C771F">
        <w:rPr>
          <w:sz w:val="24"/>
          <w:szCs w:val="24"/>
        </w:rPr>
        <w:t xml:space="preserve"> kan forårsages af aminoglykosid-antibiotika som f.eks. </w:t>
      </w:r>
      <w:proofErr w:type="spellStart"/>
      <w:r w:rsidRPr="006C771F">
        <w:rPr>
          <w:sz w:val="24"/>
          <w:szCs w:val="24"/>
        </w:rPr>
        <w:t>paromomycin</w:t>
      </w:r>
      <w:proofErr w:type="spellEnd"/>
      <w:r w:rsidRPr="006C771F">
        <w:rPr>
          <w:sz w:val="24"/>
          <w:szCs w:val="24"/>
        </w:rPr>
        <w:t>.</w:t>
      </w:r>
    </w:p>
    <w:p w:rsidR="006C771F" w:rsidRPr="006C771F" w:rsidRDefault="006C771F" w:rsidP="006C771F">
      <w:pPr>
        <w:ind w:left="567"/>
        <w:rPr>
          <w:sz w:val="24"/>
          <w:szCs w:val="24"/>
        </w:rPr>
      </w:pPr>
    </w:p>
    <w:p w:rsidR="006C771F" w:rsidRPr="006C771F" w:rsidRDefault="006C771F" w:rsidP="006C771F">
      <w:pPr>
        <w:ind w:left="567"/>
        <w:rPr>
          <w:sz w:val="24"/>
          <w:szCs w:val="24"/>
        </w:rPr>
      </w:pPr>
      <w:bookmarkStart w:id="1" w:name="_Hlk66891708"/>
      <w:r w:rsidRPr="006C771F">
        <w:rPr>
          <w:sz w:val="24"/>
          <w:szCs w:val="24"/>
        </w:rPr>
        <w:t>Indberetning af bivirkninger er vigtigt, da det muliggør løbende sikkerhedsovervågning af et veterinærlægemiddel. Indberetningerne sendes, helst via en dyrlæge, til enten indehaveren af markedsføringstilladelsen eller dennes lokale repræsentant eller til den nationale kompetente myndighed via det nationale indberetningssystem. Se også indlægssedlen for de relevante kontaktoplysninger.</w:t>
      </w:r>
    </w:p>
    <w:bookmarkEnd w:id="1"/>
    <w:p w:rsidR="006C771F" w:rsidRPr="006C771F" w:rsidRDefault="006C771F" w:rsidP="006C771F">
      <w:pPr>
        <w:rPr>
          <w:sz w:val="24"/>
          <w:szCs w:val="24"/>
        </w:rPr>
      </w:pPr>
    </w:p>
    <w:p w:rsidR="006C771F" w:rsidRPr="006C771F" w:rsidRDefault="006C771F" w:rsidP="006C771F">
      <w:pPr>
        <w:pStyle w:val="Style1"/>
        <w:rPr>
          <w:sz w:val="24"/>
          <w:szCs w:val="24"/>
        </w:rPr>
      </w:pPr>
      <w:r w:rsidRPr="006C771F">
        <w:rPr>
          <w:sz w:val="24"/>
          <w:szCs w:val="24"/>
        </w:rPr>
        <w:t>3.7</w:t>
      </w:r>
      <w:r w:rsidRPr="006C771F">
        <w:rPr>
          <w:sz w:val="24"/>
          <w:szCs w:val="24"/>
        </w:rPr>
        <w:tab/>
        <w:t>Anvendelse under drægtighed, laktation eller æglægning</w:t>
      </w:r>
    </w:p>
    <w:p w:rsidR="006C771F" w:rsidRPr="006C771F" w:rsidRDefault="006C771F" w:rsidP="006C771F">
      <w:pPr>
        <w:rPr>
          <w:sz w:val="24"/>
          <w:szCs w:val="24"/>
        </w:rPr>
      </w:pPr>
    </w:p>
    <w:p w:rsidR="006C771F" w:rsidRPr="006C771F" w:rsidRDefault="006C771F" w:rsidP="006C771F">
      <w:pPr>
        <w:ind w:firstLine="567"/>
        <w:rPr>
          <w:sz w:val="24"/>
          <w:szCs w:val="24"/>
        </w:rPr>
      </w:pPr>
      <w:r w:rsidRPr="006C771F">
        <w:rPr>
          <w:sz w:val="24"/>
          <w:szCs w:val="24"/>
        </w:rPr>
        <w:t>Ikke relevant.</w:t>
      </w:r>
    </w:p>
    <w:p w:rsidR="006C771F" w:rsidRPr="006C771F" w:rsidRDefault="006C771F" w:rsidP="006C771F">
      <w:pPr>
        <w:rPr>
          <w:sz w:val="24"/>
          <w:szCs w:val="24"/>
        </w:rPr>
      </w:pPr>
    </w:p>
    <w:p w:rsidR="006C771F" w:rsidRPr="006C771F" w:rsidRDefault="006C771F" w:rsidP="006C771F">
      <w:pPr>
        <w:pStyle w:val="Style1"/>
        <w:rPr>
          <w:sz w:val="24"/>
          <w:szCs w:val="24"/>
        </w:rPr>
      </w:pPr>
      <w:r w:rsidRPr="006C771F">
        <w:rPr>
          <w:sz w:val="24"/>
          <w:szCs w:val="24"/>
        </w:rPr>
        <w:t>3.8</w:t>
      </w:r>
      <w:r w:rsidRPr="006C771F">
        <w:rPr>
          <w:sz w:val="24"/>
          <w:szCs w:val="24"/>
        </w:rPr>
        <w:tab/>
        <w:t>Interaktion med andre lægemidler og andre former for interaktion</w:t>
      </w:r>
    </w:p>
    <w:p w:rsidR="006C771F" w:rsidRPr="006C771F" w:rsidRDefault="006C771F" w:rsidP="006C771F">
      <w:pPr>
        <w:rPr>
          <w:sz w:val="24"/>
          <w:szCs w:val="24"/>
        </w:rPr>
      </w:pPr>
    </w:p>
    <w:p w:rsidR="006C771F" w:rsidRPr="006C771F" w:rsidRDefault="006C771F" w:rsidP="006C771F">
      <w:pPr>
        <w:ind w:left="567"/>
        <w:rPr>
          <w:sz w:val="24"/>
          <w:szCs w:val="24"/>
        </w:rPr>
      </w:pPr>
      <w:r w:rsidRPr="006C771F">
        <w:rPr>
          <w:sz w:val="24"/>
          <w:szCs w:val="24"/>
        </w:rPr>
        <w:t xml:space="preserve">Generelle </w:t>
      </w:r>
      <w:proofErr w:type="spellStart"/>
      <w:r w:rsidRPr="006C771F">
        <w:rPr>
          <w:sz w:val="24"/>
          <w:szCs w:val="24"/>
        </w:rPr>
        <w:t>anæstetika</w:t>
      </w:r>
      <w:proofErr w:type="spellEnd"/>
      <w:r w:rsidRPr="006C771F">
        <w:rPr>
          <w:sz w:val="24"/>
          <w:szCs w:val="24"/>
        </w:rPr>
        <w:t xml:space="preserve"> og muskelafslappende lægemidler øger den </w:t>
      </w:r>
      <w:proofErr w:type="spellStart"/>
      <w:r w:rsidRPr="006C771F">
        <w:rPr>
          <w:sz w:val="24"/>
          <w:szCs w:val="24"/>
        </w:rPr>
        <w:t>neuro</w:t>
      </w:r>
      <w:proofErr w:type="spellEnd"/>
      <w:r w:rsidRPr="006C771F">
        <w:rPr>
          <w:sz w:val="24"/>
          <w:szCs w:val="24"/>
        </w:rPr>
        <w:t>-blokerende virkning af aminoglykosider. Dette kan forårsage paralyse og apnø.</w:t>
      </w:r>
    </w:p>
    <w:p w:rsidR="006C771F" w:rsidRPr="006C771F" w:rsidRDefault="006C771F" w:rsidP="006C771F">
      <w:pPr>
        <w:ind w:left="567"/>
        <w:rPr>
          <w:sz w:val="24"/>
          <w:szCs w:val="24"/>
        </w:rPr>
      </w:pPr>
      <w:r w:rsidRPr="006C771F">
        <w:rPr>
          <w:sz w:val="24"/>
          <w:szCs w:val="24"/>
        </w:rPr>
        <w:t xml:space="preserve">Må ikke anvendes samtidig med stærke </w:t>
      </w:r>
      <w:proofErr w:type="spellStart"/>
      <w:r w:rsidRPr="006C771F">
        <w:rPr>
          <w:sz w:val="24"/>
          <w:szCs w:val="24"/>
        </w:rPr>
        <w:t>diuretika</w:t>
      </w:r>
      <w:proofErr w:type="spellEnd"/>
      <w:r w:rsidRPr="006C771F">
        <w:rPr>
          <w:sz w:val="24"/>
          <w:szCs w:val="24"/>
        </w:rPr>
        <w:t xml:space="preserve"> og potentielle </w:t>
      </w:r>
      <w:proofErr w:type="spellStart"/>
      <w:r w:rsidRPr="006C771F">
        <w:rPr>
          <w:sz w:val="24"/>
          <w:szCs w:val="24"/>
        </w:rPr>
        <w:t>oto</w:t>
      </w:r>
      <w:proofErr w:type="spellEnd"/>
      <w:r w:rsidRPr="006C771F">
        <w:rPr>
          <w:sz w:val="24"/>
          <w:szCs w:val="24"/>
        </w:rPr>
        <w:t xml:space="preserve">- eller </w:t>
      </w:r>
      <w:proofErr w:type="spellStart"/>
      <w:r w:rsidRPr="006C771F">
        <w:rPr>
          <w:sz w:val="24"/>
          <w:szCs w:val="24"/>
        </w:rPr>
        <w:t>nefrotoksiske</w:t>
      </w:r>
      <w:proofErr w:type="spellEnd"/>
      <w:r w:rsidRPr="006C771F">
        <w:rPr>
          <w:sz w:val="24"/>
          <w:szCs w:val="24"/>
        </w:rPr>
        <w:t xml:space="preserve"> stoffer.</w:t>
      </w:r>
    </w:p>
    <w:p w:rsidR="006C771F" w:rsidRPr="006C771F" w:rsidRDefault="006C771F" w:rsidP="006C771F">
      <w:pPr>
        <w:rPr>
          <w:sz w:val="24"/>
          <w:szCs w:val="24"/>
        </w:rPr>
      </w:pPr>
    </w:p>
    <w:p w:rsidR="006C771F" w:rsidRPr="006C771F" w:rsidRDefault="006C771F" w:rsidP="006C771F">
      <w:pPr>
        <w:pStyle w:val="Style1"/>
        <w:rPr>
          <w:sz w:val="24"/>
          <w:szCs w:val="24"/>
        </w:rPr>
      </w:pPr>
      <w:r w:rsidRPr="006C771F">
        <w:rPr>
          <w:sz w:val="24"/>
          <w:szCs w:val="24"/>
        </w:rPr>
        <w:t>3.9</w:t>
      </w:r>
      <w:r w:rsidRPr="006C771F">
        <w:rPr>
          <w:sz w:val="24"/>
          <w:szCs w:val="24"/>
        </w:rPr>
        <w:tab/>
        <w:t>Administrationsveje og dosering</w:t>
      </w:r>
    </w:p>
    <w:p w:rsidR="006C771F" w:rsidRPr="006C771F" w:rsidRDefault="006C771F" w:rsidP="006C771F">
      <w:pPr>
        <w:rPr>
          <w:sz w:val="24"/>
          <w:szCs w:val="24"/>
        </w:rPr>
      </w:pPr>
    </w:p>
    <w:p w:rsidR="006C771F" w:rsidRPr="006C771F" w:rsidRDefault="006C771F" w:rsidP="006C771F">
      <w:pPr>
        <w:ind w:left="567"/>
        <w:rPr>
          <w:sz w:val="24"/>
          <w:szCs w:val="24"/>
        </w:rPr>
      </w:pPr>
      <w:r w:rsidRPr="006C771F">
        <w:rPr>
          <w:sz w:val="24"/>
          <w:szCs w:val="24"/>
        </w:rPr>
        <w:t>Til oral anvendelse.</w:t>
      </w:r>
    </w:p>
    <w:p w:rsidR="006C771F" w:rsidRPr="006C771F" w:rsidRDefault="006C771F" w:rsidP="006C771F">
      <w:pPr>
        <w:ind w:left="567"/>
        <w:rPr>
          <w:sz w:val="24"/>
          <w:szCs w:val="24"/>
        </w:rPr>
      </w:pPr>
    </w:p>
    <w:p w:rsidR="006C771F" w:rsidRPr="006C771F" w:rsidRDefault="006C771F" w:rsidP="006C771F">
      <w:pPr>
        <w:ind w:left="567"/>
        <w:rPr>
          <w:sz w:val="24"/>
          <w:szCs w:val="24"/>
        </w:rPr>
      </w:pPr>
      <w:r w:rsidRPr="006C771F">
        <w:rPr>
          <w:sz w:val="24"/>
          <w:szCs w:val="24"/>
        </w:rPr>
        <w:t xml:space="preserve">Doseringsmængde: 35.000 IE </w:t>
      </w:r>
      <w:proofErr w:type="spellStart"/>
      <w:r w:rsidRPr="006C771F">
        <w:rPr>
          <w:sz w:val="24"/>
          <w:szCs w:val="24"/>
        </w:rPr>
        <w:t>paromomycin</w:t>
      </w:r>
      <w:proofErr w:type="spellEnd"/>
      <w:r w:rsidRPr="006C771F">
        <w:rPr>
          <w:sz w:val="24"/>
          <w:szCs w:val="24"/>
        </w:rPr>
        <w:t>/kg legemsvægt i 7 på hinanden følgende dage, dvs. 0,25 ml af veterinærlægemidlet/kg legemsvægt i 7 på hinanden følgende dage.</w:t>
      </w:r>
    </w:p>
    <w:p w:rsidR="006C771F" w:rsidRPr="006C771F" w:rsidRDefault="006C771F" w:rsidP="006C771F">
      <w:pPr>
        <w:ind w:left="567"/>
        <w:rPr>
          <w:sz w:val="24"/>
          <w:szCs w:val="24"/>
        </w:rPr>
      </w:pPr>
      <w:r w:rsidRPr="006C771F">
        <w:rPr>
          <w:sz w:val="24"/>
          <w:szCs w:val="24"/>
        </w:rPr>
        <w:t>Den fortløbende behandling skal finde sted på samme tidspunkt hver dag.</w:t>
      </w:r>
    </w:p>
    <w:p w:rsidR="006C771F" w:rsidRPr="006C771F" w:rsidRDefault="006C771F" w:rsidP="006C771F">
      <w:pPr>
        <w:ind w:left="567"/>
        <w:rPr>
          <w:sz w:val="24"/>
          <w:szCs w:val="24"/>
        </w:rPr>
      </w:pPr>
      <w:r w:rsidRPr="006C771F">
        <w:rPr>
          <w:sz w:val="24"/>
          <w:szCs w:val="24"/>
        </w:rPr>
        <w:t>For ar sikre korrekt dosering bør legemsvægten beregnes så nøjagtigt som muligt, og det er nødvendigt at gøre brug af enten sprøjte eller et andet velegnet redskab til oral indgivelse.</w:t>
      </w:r>
    </w:p>
    <w:p w:rsidR="006C771F" w:rsidRPr="006C771F" w:rsidRDefault="006C771F" w:rsidP="006C771F">
      <w:pPr>
        <w:ind w:left="567"/>
        <w:rPr>
          <w:sz w:val="24"/>
          <w:szCs w:val="24"/>
        </w:rPr>
      </w:pPr>
      <w:r w:rsidRPr="006C771F">
        <w:rPr>
          <w:sz w:val="24"/>
          <w:szCs w:val="24"/>
        </w:rPr>
        <w:t>Der bør kun indgives en enkelt kur til et individuelt dyr.</w:t>
      </w:r>
    </w:p>
    <w:p w:rsidR="006C771F" w:rsidRPr="006C771F" w:rsidRDefault="006C771F" w:rsidP="006C771F">
      <w:pPr>
        <w:rPr>
          <w:sz w:val="24"/>
          <w:szCs w:val="24"/>
        </w:rPr>
      </w:pPr>
    </w:p>
    <w:p w:rsidR="006C771F" w:rsidRPr="006C771F" w:rsidRDefault="006C771F" w:rsidP="006C771F">
      <w:pPr>
        <w:pStyle w:val="Style1"/>
        <w:rPr>
          <w:sz w:val="24"/>
          <w:szCs w:val="24"/>
        </w:rPr>
      </w:pPr>
      <w:r w:rsidRPr="006C771F">
        <w:rPr>
          <w:sz w:val="24"/>
          <w:szCs w:val="24"/>
        </w:rPr>
        <w:t>3.10</w:t>
      </w:r>
      <w:r w:rsidRPr="006C771F">
        <w:rPr>
          <w:sz w:val="24"/>
          <w:szCs w:val="24"/>
        </w:rPr>
        <w:tab/>
        <w:t>Symptomer på overdosering (og, hvis relevant, nødforanstaltninger og modgift)</w:t>
      </w:r>
    </w:p>
    <w:p w:rsidR="006C771F" w:rsidRPr="006C771F" w:rsidRDefault="006C771F" w:rsidP="006C771F">
      <w:pPr>
        <w:rPr>
          <w:sz w:val="24"/>
          <w:szCs w:val="24"/>
        </w:rPr>
      </w:pPr>
    </w:p>
    <w:p w:rsidR="006C771F" w:rsidRPr="006C771F" w:rsidRDefault="006C771F" w:rsidP="006C771F">
      <w:pPr>
        <w:ind w:left="567"/>
        <w:rPr>
          <w:sz w:val="24"/>
          <w:szCs w:val="24"/>
        </w:rPr>
      </w:pPr>
      <w:r w:rsidRPr="006C771F">
        <w:rPr>
          <w:sz w:val="24"/>
          <w:szCs w:val="24"/>
        </w:rPr>
        <w:t>Der er ikke observeret bivirkninger hos lam, der har fået 5 gange den anbefalede dosis i 3 gange den anbefalede varighed.</w:t>
      </w:r>
    </w:p>
    <w:p w:rsidR="006C771F" w:rsidRPr="006C771F" w:rsidRDefault="006C771F" w:rsidP="006C771F">
      <w:pPr>
        <w:rPr>
          <w:sz w:val="24"/>
          <w:szCs w:val="24"/>
        </w:rPr>
      </w:pPr>
    </w:p>
    <w:p w:rsidR="006C771F" w:rsidRPr="006C771F" w:rsidRDefault="006C771F" w:rsidP="006C771F">
      <w:pPr>
        <w:pStyle w:val="Style1"/>
        <w:rPr>
          <w:sz w:val="24"/>
          <w:szCs w:val="24"/>
        </w:rPr>
      </w:pPr>
      <w:r w:rsidRPr="006C771F">
        <w:rPr>
          <w:sz w:val="24"/>
          <w:szCs w:val="24"/>
        </w:rPr>
        <w:t>3.11</w:t>
      </w:r>
      <w:r w:rsidRPr="006C771F">
        <w:rPr>
          <w:sz w:val="24"/>
          <w:szCs w:val="24"/>
        </w:rPr>
        <w:tab/>
        <w:t>Særlige begrænsninger og betingelser for anvendelse, herunder begrænsninger for anvendelsen af antimikrobielle og antiparasitære veterinærlægemidler for at begrænse risikoen for udvikling af resistens</w:t>
      </w:r>
    </w:p>
    <w:p w:rsidR="006C771F" w:rsidRPr="006C771F" w:rsidRDefault="006C771F" w:rsidP="006C771F">
      <w:pPr>
        <w:rPr>
          <w:sz w:val="24"/>
          <w:szCs w:val="24"/>
        </w:rPr>
      </w:pPr>
    </w:p>
    <w:p w:rsidR="006C771F" w:rsidRPr="006C771F" w:rsidRDefault="006C771F" w:rsidP="006C771F">
      <w:pPr>
        <w:ind w:firstLine="567"/>
        <w:rPr>
          <w:sz w:val="24"/>
          <w:szCs w:val="24"/>
        </w:rPr>
      </w:pPr>
      <w:r w:rsidRPr="006C771F">
        <w:rPr>
          <w:sz w:val="24"/>
          <w:szCs w:val="24"/>
        </w:rPr>
        <w:t>Ikke relevant.</w:t>
      </w:r>
    </w:p>
    <w:p w:rsidR="006C771F" w:rsidRPr="006C771F" w:rsidRDefault="006C771F" w:rsidP="006C771F">
      <w:pPr>
        <w:rPr>
          <w:sz w:val="24"/>
          <w:szCs w:val="24"/>
        </w:rPr>
      </w:pPr>
    </w:p>
    <w:p w:rsidR="006C771F" w:rsidRPr="006C771F" w:rsidRDefault="006C771F" w:rsidP="006C771F">
      <w:pPr>
        <w:pStyle w:val="Style1"/>
        <w:rPr>
          <w:sz w:val="24"/>
          <w:szCs w:val="24"/>
        </w:rPr>
      </w:pPr>
      <w:r w:rsidRPr="006C771F">
        <w:rPr>
          <w:sz w:val="24"/>
          <w:szCs w:val="24"/>
        </w:rPr>
        <w:t>3.12</w:t>
      </w:r>
      <w:r w:rsidRPr="006C771F">
        <w:rPr>
          <w:sz w:val="24"/>
          <w:szCs w:val="24"/>
        </w:rPr>
        <w:tab/>
        <w:t>Tilbageholdelsestid(er)</w:t>
      </w:r>
    </w:p>
    <w:p w:rsidR="006C771F" w:rsidRPr="006C771F" w:rsidRDefault="006C771F" w:rsidP="006C771F">
      <w:pPr>
        <w:rPr>
          <w:sz w:val="24"/>
          <w:szCs w:val="24"/>
        </w:rPr>
      </w:pPr>
    </w:p>
    <w:p w:rsidR="006C771F" w:rsidRPr="006C771F" w:rsidRDefault="006C771F" w:rsidP="006C771F">
      <w:pPr>
        <w:ind w:firstLine="567"/>
        <w:rPr>
          <w:sz w:val="24"/>
          <w:szCs w:val="24"/>
        </w:rPr>
      </w:pPr>
      <w:r w:rsidRPr="006C771F">
        <w:rPr>
          <w:sz w:val="24"/>
          <w:szCs w:val="24"/>
        </w:rPr>
        <w:t>Slagtning: 24 dage</w:t>
      </w:r>
    </w:p>
    <w:p w:rsidR="006C771F" w:rsidRPr="006C771F" w:rsidRDefault="006C771F" w:rsidP="006C771F">
      <w:pPr>
        <w:rPr>
          <w:sz w:val="24"/>
          <w:szCs w:val="24"/>
        </w:rPr>
      </w:pPr>
    </w:p>
    <w:p w:rsidR="006C771F" w:rsidRPr="006C771F" w:rsidRDefault="006C771F" w:rsidP="006C771F">
      <w:pPr>
        <w:rPr>
          <w:sz w:val="24"/>
          <w:szCs w:val="24"/>
        </w:rPr>
      </w:pPr>
    </w:p>
    <w:p w:rsidR="006C771F" w:rsidRPr="006C771F" w:rsidRDefault="006C771F" w:rsidP="006C771F">
      <w:pPr>
        <w:pStyle w:val="Style1"/>
        <w:rPr>
          <w:sz w:val="24"/>
          <w:szCs w:val="24"/>
        </w:rPr>
      </w:pPr>
      <w:r w:rsidRPr="006C771F">
        <w:rPr>
          <w:sz w:val="24"/>
          <w:szCs w:val="24"/>
        </w:rPr>
        <w:t>4.</w:t>
      </w:r>
      <w:r w:rsidRPr="006C771F">
        <w:rPr>
          <w:sz w:val="24"/>
          <w:szCs w:val="24"/>
        </w:rPr>
        <w:tab/>
        <w:t>FARMAKOLOGISKE OPLYSNINGER</w:t>
      </w:r>
    </w:p>
    <w:p w:rsidR="006C771F" w:rsidRPr="006C771F" w:rsidRDefault="006C771F" w:rsidP="006C771F">
      <w:pPr>
        <w:rPr>
          <w:sz w:val="24"/>
          <w:szCs w:val="24"/>
        </w:rPr>
      </w:pPr>
    </w:p>
    <w:p w:rsidR="006C771F" w:rsidRPr="006C771F" w:rsidRDefault="006C771F" w:rsidP="006C771F">
      <w:pPr>
        <w:pStyle w:val="Style1"/>
        <w:rPr>
          <w:sz w:val="24"/>
          <w:szCs w:val="24"/>
        </w:rPr>
      </w:pPr>
      <w:r w:rsidRPr="006C771F">
        <w:rPr>
          <w:sz w:val="24"/>
          <w:szCs w:val="24"/>
        </w:rPr>
        <w:t>4.1</w:t>
      </w:r>
      <w:r w:rsidRPr="006C771F">
        <w:rPr>
          <w:sz w:val="24"/>
          <w:szCs w:val="24"/>
        </w:rPr>
        <w:tab/>
      </w:r>
      <w:proofErr w:type="spellStart"/>
      <w:r w:rsidRPr="006C771F">
        <w:rPr>
          <w:sz w:val="24"/>
          <w:szCs w:val="24"/>
        </w:rPr>
        <w:t>ATCvet</w:t>
      </w:r>
      <w:proofErr w:type="spellEnd"/>
      <w:r w:rsidRPr="006C771F">
        <w:rPr>
          <w:sz w:val="24"/>
          <w:szCs w:val="24"/>
        </w:rPr>
        <w:t>-kode:</w:t>
      </w:r>
    </w:p>
    <w:p w:rsidR="006C771F" w:rsidRPr="006C771F" w:rsidRDefault="006C771F" w:rsidP="006C771F">
      <w:pPr>
        <w:rPr>
          <w:sz w:val="24"/>
          <w:szCs w:val="24"/>
        </w:rPr>
      </w:pPr>
    </w:p>
    <w:p w:rsidR="006C771F" w:rsidRPr="006C771F" w:rsidRDefault="006C771F" w:rsidP="006C771F">
      <w:pPr>
        <w:ind w:firstLine="567"/>
        <w:rPr>
          <w:sz w:val="24"/>
          <w:szCs w:val="24"/>
        </w:rPr>
      </w:pPr>
      <w:r w:rsidRPr="006C771F">
        <w:rPr>
          <w:sz w:val="24"/>
          <w:szCs w:val="24"/>
        </w:rPr>
        <w:t>QA 07 AA 06.</w:t>
      </w:r>
    </w:p>
    <w:p w:rsidR="006C771F" w:rsidRPr="006C771F" w:rsidRDefault="006C771F" w:rsidP="006C771F">
      <w:pPr>
        <w:rPr>
          <w:sz w:val="24"/>
          <w:szCs w:val="24"/>
        </w:rPr>
      </w:pPr>
    </w:p>
    <w:p w:rsidR="006C771F" w:rsidRPr="006C771F" w:rsidRDefault="006C771F" w:rsidP="006C771F">
      <w:pPr>
        <w:pStyle w:val="Style1"/>
        <w:rPr>
          <w:sz w:val="24"/>
          <w:szCs w:val="24"/>
        </w:rPr>
      </w:pPr>
      <w:r w:rsidRPr="006C771F">
        <w:rPr>
          <w:sz w:val="24"/>
          <w:szCs w:val="24"/>
        </w:rPr>
        <w:t>4.2</w:t>
      </w:r>
      <w:r w:rsidRPr="006C771F">
        <w:rPr>
          <w:sz w:val="24"/>
          <w:szCs w:val="24"/>
        </w:rPr>
        <w:tab/>
      </w:r>
      <w:proofErr w:type="spellStart"/>
      <w:r w:rsidRPr="006C771F">
        <w:rPr>
          <w:sz w:val="24"/>
          <w:szCs w:val="24"/>
        </w:rPr>
        <w:t>Farmakodynamiske</w:t>
      </w:r>
      <w:proofErr w:type="spellEnd"/>
      <w:r w:rsidRPr="006C771F">
        <w:rPr>
          <w:sz w:val="24"/>
          <w:szCs w:val="24"/>
        </w:rPr>
        <w:t xml:space="preserve"> oplysninger</w:t>
      </w:r>
    </w:p>
    <w:p w:rsidR="006C771F" w:rsidRPr="006C771F" w:rsidRDefault="006C771F" w:rsidP="006C771F">
      <w:pPr>
        <w:rPr>
          <w:sz w:val="24"/>
          <w:szCs w:val="24"/>
        </w:rPr>
      </w:pPr>
    </w:p>
    <w:p w:rsidR="006C771F" w:rsidRPr="006C771F" w:rsidRDefault="006C771F" w:rsidP="006C771F">
      <w:pPr>
        <w:ind w:left="567"/>
        <w:rPr>
          <w:sz w:val="24"/>
          <w:szCs w:val="24"/>
        </w:rPr>
      </w:pPr>
      <w:proofErr w:type="spellStart"/>
      <w:r w:rsidRPr="006C771F">
        <w:rPr>
          <w:sz w:val="24"/>
          <w:szCs w:val="24"/>
        </w:rPr>
        <w:t>Paromomycin</w:t>
      </w:r>
      <w:proofErr w:type="spellEnd"/>
      <w:r w:rsidRPr="006C771F">
        <w:rPr>
          <w:sz w:val="24"/>
          <w:szCs w:val="24"/>
        </w:rPr>
        <w:t xml:space="preserve"> har </w:t>
      </w:r>
      <w:proofErr w:type="spellStart"/>
      <w:r w:rsidRPr="006C771F">
        <w:rPr>
          <w:sz w:val="24"/>
          <w:szCs w:val="24"/>
        </w:rPr>
        <w:t>antiprotozoal</w:t>
      </w:r>
      <w:proofErr w:type="spellEnd"/>
      <w:r w:rsidRPr="006C771F">
        <w:rPr>
          <w:sz w:val="24"/>
          <w:szCs w:val="24"/>
        </w:rPr>
        <w:t xml:space="preserve"> virkning, omend virkningsmekanismen er uklar. I </w:t>
      </w:r>
      <w:r w:rsidRPr="006C771F">
        <w:rPr>
          <w:i/>
          <w:iCs/>
          <w:sz w:val="24"/>
          <w:szCs w:val="24"/>
        </w:rPr>
        <w:t>in-</w:t>
      </w:r>
      <w:proofErr w:type="spellStart"/>
      <w:r w:rsidRPr="006C771F">
        <w:rPr>
          <w:i/>
          <w:iCs/>
          <w:sz w:val="24"/>
          <w:szCs w:val="24"/>
        </w:rPr>
        <w:t>vitro</w:t>
      </w:r>
      <w:proofErr w:type="spellEnd"/>
      <w:r w:rsidRPr="006C771F">
        <w:rPr>
          <w:sz w:val="24"/>
          <w:szCs w:val="24"/>
        </w:rPr>
        <w:t xml:space="preserve">-studier, hvor der brugtes HCT-8 og Caco-2 cellelinjer, observeredes inhibitorisk virkning på </w:t>
      </w:r>
      <w:r w:rsidRPr="006C771F">
        <w:rPr>
          <w:i/>
          <w:sz w:val="24"/>
          <w:szCs w:val="24"/>
        </w:rPr>
        <w:t xml:space="preserve">C. </w:t>
      </w:r>
      <w:proofErr w:type="spellStart"/>
      <w:r w:rsidRPr="006C771F">
        <w:rPr>
          <w:i/>
          <w:sz w:val="24"/>
          <w:szCs w:val="24"/>
        </w:rPr>
        <w:t>parvum</w:t>
      </w:r>
      <w:proofErr w:type="spellEnd"/>
      <w:r w:rsidRPr="006C771F">
        <w:rPr>
          <w:sz w:val="24"/>
          <w:szCs w:val="24"/>
        </w:rPr>
        <w:t xml:space="preserve">. Til dags dato er der ikke beskrevet resistens hos </w:t>
      </w:r>
      <w:proofErr w:type="spellStart"/>
      <w:r w:rsidRPr="006C771F">
        <w:rPr>
          <w:sz w:val="24"/>
          <w:szCs w:val="24"/>
        </w:rPr>
        <w:t>crypotosporidia</w:t>
      </w:r>
      <w:proofErr w:type="spellEnd"/>
      <w:r w:rsidRPr="006C771F">
        <w:rPr>
          <w:sz w:val="24"/>
          <w:szCs w:val="24"/>
        </w:rPr>
        <w:t xml:space="preserve"> mod </w:t>
      </w:r>
      <w:proofErr w:type="spellStart"/>
      <w:r w:rsidRPr="006C771F">
        <w:rPr>
          <w:sz w:val="24"/>
          <w:szCs w:val="24"/>
        </w:rPr>
        <w:t>paromomycin</w:t>
      </w:r>
      <w:proofErr w:type="spellEnd"/>
      <w:r w:rsidRPr="006C771F">
        <w:rPr>
          <w:sz w:val="24"/>
          <w:szCs w:val="24"/>
        </w:rPr>
        <w:t xml:space="preserve">. Ikke desto mindre associeres brug af aminoglykosider med forekomst af bakteriel resistens. </w:t>
      </w:r>
      <w:proofErr w:type="spellStart"/>
      <w:r w:rsidRPr="006C771F">
        <w:rPr>
          <w:sz w:val="24"/>
          <w:szCs w:val="24"/>
        </w:rPr>
        <w:t>Paromomycin</w:t>
      </w:r>
      <w:proofErr w:type="spellEnd"/>
      <w:r w:rsidRPr="006C771F">
        <w:rPr>
          <w:sz w:val="24"/>
          <w:szCs w:val="24"/>
        </w:rPr>
        <w:t xml:space="preserve"> kan selektere for krydsresistens over for andre aminoglykosider.</w:t>
      </w:r>
    </w:p>
    <w:p w:rsidR="006C771F" w:rsidRPr="006C771F" w:rsidRDefault="006C771F" w:rsidP="006C771F">
      <w:pPr>
        <w:rPr>
          <w:sz w:val="24"/>
          <w:szCs w:val="24"/>
        </w:rPr>
      </w:pPr>
    </w:p>
    <w:p w:rsidR="006C771F" w:rsidRPr="006C771F" w:rsidRDefault="006C771F" w:rsidP="006C771F">
      <w:pPr>
        <w:pStyle w:val="Style1"/>
        <w:rPr>
          <w:sz w:val="24"/>
          <w:szCs w:val="24"/>
        </w:rPr>
      </w:pPr>
      <w:r w:rsidRPr="006C771F">
        <w:rPr>
          <w:sz w:val="24"/>
          <w:szCs w:val="24"/>
        </w:rPr>
        <w:t>4.3</w:t>
      </w:r>
      <w:r w:rsidRPr="006C771F">
        <w:rPr>
          <w:sz w:val="24"/>
          <w:szCs w:val="24"/>
        </w:rPr>
        <w:tab/>
      </w:r>
      <w:proofErr w:type="spellStart"/>
      <w:r w:rsidRPr="006C771F">
        <w:rPr>
          <w:sz w:val="24"/>
          <w:szCs w:val="24"/>
        </w:rPr>
        <w:t>Farmakokinetiske</w:t>
      </w:r>
      <w:proofErr w:type="spellEnd"/>
      <w:r w:rsidRPr="006C771F">
        <w:rPr>
          <w:sz w:val="24"/>
          <w:szCs w:val="24"/>
        </w:rPr>
        <w:t xml:space="preserve"> oplysninger</w:t>
      </w:r>
    </w:p>
    <w:p w:rsidR="006C771F" w:rsidRPr="006C771F" w:rsidRDefault="006C771F" w:rsidP="006C771F">
      <w:pPr>
        <w:rPr>
          <w:sz w:val="24"/>
          <w:szCs w:val="24"/>
        </w:rPr>
      </w:pPr>
    </w:p>
    <w:p w:rsidR="006C771F" w:rsidRPr="006C771F" w:rsidRDefault="006C771F" w:rsidP="006C771F">
      <w:pPr>
        <w:ind w:left="567"/>
        <w:rPr>
          <w:sz w:val="24"/>
          <w:szCs w:val="24"/>
        </w:rPr>
      </w:pPr>
      <w:r w:rsidRPr="006C771F">
        <w:rPr>
          <w:sz w:val="24"/>
          <w:szCs w:val="24"/>
        </w:rPr>
        <w:t xml:space="preserve">Intravenøs injektion i lam med en doseringsmængde på 7.000 IE / kg viste, at </w:t>
      </w:r>
      <w:proofErr w:type="spellStart"/>
      <w:r w:rsidRPr="006C771F">
        <w:rPr>
          <w:sz w:val="24"/>
          <w:szCs w:val="24"/>
        </w:rPr>
        <w:t>paromomycin</w:t>
      </w:r>
      <w:proofErr w:type="spellEnd"/>
      <w:r w:rsidRPr="006C771F">
        <w:rPr>
          <w:sz w:val="24"/>
          <w:szCs w:val="24"/>
        </w:rPr>
        <w:t xml:space="preserve"> elimineres hurtigt (T</w:t>
      </w:r>
      <w:r w:rsidRPr="006C771F">
        <w:rPr>
          <w:sz w:val="24"/>
          <w:szCs w:val="24"/>
          <w:vertAlign w:val="subscript"/>
        </w:rPr>
        <w:t>1/2</w:t>
      </w:r>
      <w:r w:rsidRPr="006C771F">
        <w:rPr>
          <w:sz w:val="24"/>
          <w:szCs w:val="24"/>
        </w:rPr>
        <w:t xml:space="preserve"> = 4,58 timer) og at </w:t>
      </w:r>
      <w:proofErr w:type="spellStart"/>
      <w:r w:rsidRPr="006C771F">
        <w:rPr>
          <w:sz w:val="24"/>
          <w:szCs w:val="24"/>
        </w:rPr>
        <w:t>clearance</w:t>
      </w:r>
      <w:proofErr w:type="spellEnd"/>
      <w:r w:rsidRPr="006C771F">
        <w:rPr>
          <w:sz w:val="24"/>
          <w:szCs w:val="24"/>
        </w:rPr>
        <w:t xml:space="preserve"> (2,49 ml/min/kg) var relativ langsom sandsynligvis på grund af begrænset levermetabolisme.</w:t>
      </w:r>
    </w:p>
    <w:p w:rsidR="006C771F" w:rsidRPr="006C771F" w:rsidRDefault="006C771F" w:rsidP="006C771F">
      <w:pPr>
        <w:ind w:left="567"/>
        <w:rPr>
          <w:sz w:val="24"/>
          <w:szCs w:val="24"/>
        </w:rPr>
      </w:pPr>
    </w:p>
    <w:p w:rsidR="006C771F" w:rsidRPr="006C771F" w:rsidRDefault="006C771F" w:rsidP="006C771F">
      <w:pPr>
        <w:ind w:left="567"/>
        <w:rPr>
          <w:sz w:val="24"/>
          <w:szCs w:val="24"/>
          <w:lang w:val="nl-BE"/>
        </w:rPr>
      </w:pPr>
      <w:r w:rsidRPr="006C771F">
        <w:rPr>
          <w:sz w:val="24"/>
          <w:szCs w:val="24"/>
          <w:lang w:val="nl-BE"/>
        </w:rPr>
        <w:t>Ved indgivelse af en enkelt oral dosis på 50 mg paromomycinsulfat/kg legemsvægt til lam var biotilgængeligheden af paromomycin 13%. Med hensyn til den absoberede fraktion var gennemsnitsværdien af den maksimale plasmakoncentration (C</w:t>
      </w:r>
      <w:r w:rsidRPr="006C771F">
        <w:rPr>
          <w:sz w:val="24"/>
          <w:szCs w:val="24"/>
          <w:vertAlign w:val="subscript"/>
          <w:lang w:val="nl-BE"/>
        </w:rPr>
        <w:t>max</w:t>
      </w:r>
      <w:r w:rsidRPr="006C771F">
        <w:rPr>
          <w:sz w:val="24"/>
          <w:szCs w:val="24"/>
          <w:lang w:val="nl-BE"/>
        </w:rPr>
        <w:t>) 2,68 mg/l efter gennemsnitligt 4 timer (T</w:t>
      </w:r>
      <w:r w:rsidRPr="006C771F">
        <w:rPr>
          <w:sz w:val="24"/>
          <w:szCs w:val="24"/>
          <w:vertAlign w:val="subscript"/>
          <w:lang w:val="nl-BE"/>
        </w:rPr>
        <w:t>max</w:t>
      </w:r>
      <w:r w:rsidRPr="006C771F">
        <w:rPr>
          <w:sz w:val="24"/>
          <w:szCs w:val="24"/>
          <w:lang w:val="nl-BE"/>
        </w:rPr>
        <w:t>) og den gennemsnitlige terminale halveringstid (t</w:t>
      </w:r>
      <w:r w:rsidRPr="006C771F">
        <w:rPr>
          <w:sz w:val="24"/>
          <w:szCs w:val="24"/>
          <w:vertAlign w:val="subscript"/>
          <w:lang w:val="nl-BE"/>
        </w:rPr>
        <w:t>1/2</w:t>
      </w:r>
      <w:r w:rsidRPr="006C771F">
        <w:rPr>
          <w:sz w:val="24"/>
          <w:szCs w:val="24"/>
          <w:lang w:val="nl-BE"/>
        </w:rPr>
        <w:t>, el) var 27,4 timer. Størstedelen af dosis elimineres uændret via fæces.</w:t>
      </w:r>
    </w:p>
    <w:p w:rsidR="006C771F" w:rsidRPr="006C771F" w:rsidRDefault="006C771F" w:rsidP="006C771F">
      <w:pPr>
        <w:rPr>
          <w:sz w:val="24"/>
          <w:szCs w:val="24"/>
        </w:rPr>
      </w:pPr>
    </w:p>
    <w:p w:rsidR="006C771F" w:rsidRPr="006C771F" w:rsidRDefault="006C771F" w:rsidP="006C771F">
      <w:pPr>
        <w:tabs>
          <w:tab w:val="left" w:pos="0"/>
          <w:tab w:val="left" w:pos="567"/>
        </w:tabs>
        <w:rPr>
          <w:b/>
          <w:sz w:val="24"/>
          <w:szCs w:val="24"/>
        </w:rPr>
      </w:pPr>
      <w:r>
        <w:rPr>
          <w:b/>
          <w:sz w:val="24"/>
          <w:szCs w:val="24"/>
        </w:rPr>
        <w:tab/>
      </w:r>
      <w:r w:rsidRPr="006C771F">
        <w:rPr>
          <w:b/>
          <w:sz w:val="24"/>
          <w:szCs w:val="24"/>
        </w:rPr>
        <w:t>Miljøoplysninger</w:t>
      </w:r>
    </w:p>
    <w:p w:rsidR="006C771F" w:rsidRPr="006C771F" w:rsidRDefault="006C771F" w:rsidP="006C771F">
      <w:pPr>
        <w:rPr>
          <w:sz w:val="24"/>
          <w:szCs w:val="24"/>
        </w:rPr>
      </w:pPr>
    </w:p>
    <w:p w:rsidR="006C771F" w:rsidRPr="006C771F" w:rsidRDefault="006C771F" w:rsidP="006C771F">
      <w:pPr>
        <w:ind w:firstLine="567"/>
        <w:rPr>
          <w:sz w:val="24"/>
          <w:szCs w:val="24"/>
        </w:rPr>
      </w:pPr>
      <w:r w:rsidRPr="006C771F">
        <w:rPr>
          <w:sz w:val="24"/>
          <w:szCs w:val="24"/>
        </w:rPr>
        <w:t xml:space="preserve">Det aktive stof </w:t>
      </w:r>
      <w:proofErr w:type="spellStart"/>
      <w:r w:rsidRPr="006C771F">
        <w:rPr>
          <w:sz w:val="24"/>
          <w:szCs w:val="24"/>
        </w:rPr>
        <w:t>paromomycin</w:t>
      </w:r>
      <w:proofErr w:type="spellEnd"/>
      <w:r w:rsidRPr="006C771F">
        <w:rPr>
          <w:sz w:val="24"/>
          <w:szCs w:val="24"/>
        </w:rPr>
        <w:t xml:space="preserve"> er meget </w:t>
      </w:r>
      <w:proofErr w:type="spellStart"/>
      <w:r w:rsidRPr="006C771F">
        <w:rPr>
          <w:sz w:val="24"/>
          <w:szCs w:val="24"/>
        </w:rPr>
        <w:t>persistent</w:t>
      </w:r>
      <w:proofErr w:type="spellEnd"/>
      <w:r w:rsidRPr="006C771F">
        <w:rPr>
          <w:sz w:val="24"/>
          <w:szCs w:val="24"/>
        </w:rPr>
        <w:t xml:space="preserve"> i miljøet.</w:t>
      </w:r>
    </w:p>
    <w:p w:rsidR="006C771F" w:rsidRPr="006C771F" w:rsidRDefault="006C771F" w:rsidP="006C771F">
      <w:pPr>
        <w:rPr>
          <w:sz w:val="24"/>
          <w:szCs w:val="24"/>
        </w:rPr>
      </w:pPr>
    </w:p>
    <w:p w:rsidR="006C771F" w:rsidRPr="006C771F" w:rsidRDefault="006C771F" w:rsidP="006C771F">
      <w:pPr>
        <w:pStyle w:val="Style1"/>
        <w:rPr>
          <w:sz w:val="24"/>
          <w:szCs w:val="24"/>
        </w:rPr>
      </w:pPr>
      <w:r w:rsidRPr="006C771F">
        <w:rPr>
          <w:sz w:val="24"/>
          <w:szCs w:val="24"/>
        </w:rPr>
        <w:t>5.</w:t>
      </w:r>
      <w:r w:rsidRPr="006C771F">
        <w:rPr>
          <w:sz w:val="24"/>
          <w:szCs w:val="24"/>
        </w:rPr>
        <w:tab/>
        <w:t>FARMACEUTISKE OPLYSNINGER</w:t>
      </w:r>
    </w:p>
    <w:p w:rsidR="006C771F" w:rsidRPr="006C771F" w:rsidRDefault="006C771F" w:rsidP="006C771F">
      <w:pPr>
        <w:rPr>
          <w:sz w:val="24"/>
          <w:szCs w:val="24"/>
        </w:rPr>
      </w:pPr>
    </w:p>
    <w:p w:rsidR="006C771F" w:rsidRPr="006C771F" w:rsidRDefault="006C771F" w:rsidP="006C771F">
      <w:pPr>
        <w:pStyle w:val="Style1"/>
        <w:rPr>
          <w:sz w:val="24"/>
          <w:szCs w:val="24"/>
        </w:rPr>
      </w:pPr>
      <w:r w:rsidRPr="006C771F">
        <w:rPr>
          <w:sz w:val="24"/>
          <w:szCs w:val="24"/>
        </w:rPr>
        <w:t>5.1</w:t>
      </w:r>
      <w:r w:rsidRPr="006C771F">
        <w:rPr>
          <w:sz w:val="24"/>
          <w:szCs w:val="24"/>
        </w:rPr>
        <w:tab/>
        <w:t>Væsentlige uforligeligheder</w:t>
      </w:r>
    </w:p>
    <w:p w:rsidR="006C771F" w:rsidRPr="006C771F" w:rsidRDefault="006C771F" w:rsidP="006C771F">
      <w:pPr>
        <w:rPr>
          <w:sz w:val="24"/>
          <w:szCs w:val="24"/>
        </w:rPr>
      </w:pPr>
    </w:p>
    <w:p w:rsidR="006C771F" w:rsidRPr="006C771F" w:rsidRDefault="006C771F" w:rsidP="006C771F">
      <w:pPr>
        <w:ind w:left="567"/>
        <w:rPr>
          <w:sz w:val="24"/>
          <w:szCs w:val="24"/>
        </w:rPr>
      </w:pPr>
      <w:r w:rsidRPr="006C771F">
        <w:rPr>
          <w:sz w:val="24"/>
          <w:szCs w:val="24"/>
        </w:rPr>
        <w:lastRenderedPageBreak/>
        <w:t>Da der ikke foreligger undersøgelser vedrørende eventuelle uforligeligheder, bør dette veterinærlægemiddel ikke blandes med andre veterinærlægemidler.</w:t>
      </w:r>
    </w:p>
    <w:p w:rsidR="006C771F" w:rsidRPr="006C771F" w:rsidRDefault="006C771F" w:rsidP="006C771F">
      <w:pPr>
        <w:rPr>
          <w:sz w:val="24"/>
          <w:szCs w:val="24"/>
        </w:rPr>
      </w:pPr>
    </w:p>
    <w:p w:rsidR="006C771F" w:rsidRPr="006C771F" w:rsidRDefault="006C771F" w:rsidP="006C771F">
      <w:pPr>
        <w:pStyle w:val="Style1"/>
        <w:rPr>
          <w:sz w:val="24"/>
          <w:szCs w:val="24"/>
        </w:rPr>
      </w:pPr>
      <w:r w:rsidRPr="006C771F">
        <w:rPr>
          <w:sz w:val="24"/>
          <w:szCs w:val="24"/>
        </w:rPr>
        <w:t>5.2</w:t>
      </w:r>
      <w:r w:rsidRPr="006C771F">
        <w:rPr>
          <w:sz w:val="24"/>
          <w:szCs w:val="24"/>
        </w:rPr>
        <w:tab/>
        <w:t>Opbevaringstid</w:t>
      </w:r>
    </w:p>
    <w:p w:rsidR="006C771F" w:rsidRPr="006C771F" w:rsidRDefault="006C771F" w:rsidP="006C771F">
      <w:pPr>
        <w:rPr>
          <w:sz w:val="24"/>
          <w:szCs w:val="24"/>
        </w:rPr>
      </w:pPr>
    </w:p>
    <w:p w:rsidR="006C771F" w:rsidRPr="006C771F" w:rsidRDefault="006C771F" w:rsidP="006C771F">
      <w:pPr>
        <w:ind w:left="567"/>
        <w:rPr>
          <w:sz w:val="24"/>
          <w:szCs w:val="24"/>
        </w:rPr>
      </w:pPr>
      <w:r w:rsidRPr="006C771F">
        <w:rPr>
          <w:sz w:val="24"/>
          <w:szCs w:val="24"/>
        </w:rPr>
        <w:t>Opbevaringstid for veterinærlægemidlet i salgspakning: 2 år.</w:t>
      </w:r>
    </w:p>
    <w:p w:rsidR="006C771F" w:rsidRPr="006C771F" w:rsidRDefault="006C771F" w:rsidP="006C771F">
      <w:pPr>
        <w:ind w:left="567"/>
        <w:rPr>
          <w:sz w:val="24"/>
          <w:szCs w:val="24"/>
        </w:rPr>
      </w:pPr>
      <w:r w:rsidRPr="006C771F">
        <w:rPr>
          <w:sz w:val="24"/>
          <w:szCs w:val="24"/>
        </w:rPr>
        <w:t>Opbevaringstid efter første åbning af den indre emballage: 3 måneder.</w:t>
      </w:r>
    </w:p>
    <w:p w:rsidR="006C771F" w:rsidRPr="006C771F" w:rsidRDefault="006C771F" w:rsidP="006C771F">
      <w:pPr>
        <w:rPr>
          <w:sz w:val="24"/>
          <w:szCs w:val="24"/>
        </w:rPr>
      </w:pPr>
    </w:p>
    <w:p w:rsidR="006C771F" w:rsidRPr="006C771F" w:rsidRDefault="006C771F" w:rsidP="006C771F">
      <w:pPr>
        <w:pStyle w:val="Style1"/>
        <w:rPr>
          <w:sz w:val="24"/>
          <w:szCs w:val="24"/>
        </w:rPr>
      </w:pPr>
      <w:r w:rsidRPr="006C771F">
        <w:rPr>
          <w:sz w:val="24"/>
          <w:szCs w:val="24"/>
        </w:rPr>
        <w:t>5.3</w:t>
      </w:r>
      <w:r w:rsidRPr="006C771F">
        <w:rPr>
          <w:sz w:val="24"/>
          <w:szCs w:val="24"/>
        </w:rPr>
        <w:tab/>
        <w:t>Særlige forholdsregler vedrørende opbevaring</w:t>
      </w:r>
    </w:p>
    <w:p w:rsidR="006C771F" w:rsidRPr="006C771F" w:rsidRDefault="006C771F" w:rsidP="006C771F">
      <w:pPr>
        <w:rPr>
          <w:sz w:val="24"/>
          <w:szCs w:val="24"/>
        </w:rPr>
      </w:pPr>
    </w:p>
    <w:p w:rsidR="006C771F" w:rsidRPr="006C771F" w:rsidRDefault="006C771F" w:rsidP="006C771F">
      <w:pPr>
        <w:pStyle w:val="Style5"/>
        <w:ind w:firstLine="567"/>
        <w:rPr>
          <w:sz w:val="24"/>
          <w:szCs w:val="24"/>
        </w:rPr>
      </w:pPr>
      <w:r w:rsidRPr="006C771F">
        <w:rPr>
          <w:sz w:val="24"/>
          <w:szCs w:val="24"/>
        </w:rPr>
        <w:t>Må ikke opbevares over 25 °C.</w:t>
      </w:r>
    </w:p>
    <w:p w:rsidR="006C771F" w:rsidRPr="006C771F" w:rsidRDefault="006C771F" w:rsidP="006C771F">
      <w:pPr>
        <w:rPr>
          <w:sz w:val="24"/>
          <w:szCs w:val="24"/>
          <w:lang w:val="nl-BE"/>
        </w:rPr>
      </w:pPr>
    </w:p>
    <w:p w:rsidR="006C771F" w:rsidRPr="006C771F" w:rsidRDefault="006C771F" w:rsidP="006C771F">
      <w:pPr>
        <w:pStyle w:val="Style1"/>
        <w:rPr>
          <w:sz w:val="24"/>
          <w:szCs w:val="24"/>
        </w:rPr>
      </w:pPr>
      <w:r w:rsidRPr="006C771F">
        <w:rPr>
          <w:sz w:val="24"/>
          <w:szCs w:val="24"/>
        </w:rPr>
        <w:t>5.4</w:t>
      </w:r>
      <w:r w:rsidRPr="006C771F">
        <w:rPr>
          <w:sz w:val="24"/>
          <w:szCs w:val="24"/>
        </w:rPr>
        <w:tab/>
        <w:t>Den indre emballages art og indhold</w:t>
      </w:r>
    </w:p>
    <w:p w:rsidR="006C771F" w:rsidRPr="006C771F" w:rsidRDefault="006C771F" w:rsidP="006C771F">
      <w:pPr>
        <w:rPr>
          <w:sz w:val="24"/>
          <w:szCs w:val="24"/>
        </w:rPr>
      </w:pPr>
    </w:p>
    <w:p w:rsidR="006C771F" w:rsidRPr="006C771F" w:rsidRDefault="006C771F" w:rsidP="006C771F">
      <w:pPr>
        <w:ind w:left="567"/>
        <w:rPr>
          <w:sz w:val="24"/>
          <w:szCs w:val="24"/>
        </w:rPr>
      </w:pPr>
      <w:r w:rsidRPr="006C771F">
        <w:rPr>
          <w:sz w:val="24"/>
          <w:szCs w:val="24"/>
        </w:rPr>
        <w:t>Hvid HDPE-flaske med skruelåg af polypropylen, forsynet med sikkerhedsforsegling.</w:t>
      </w:r>
    </w:p>
    <w:p w:rsidR="006C771F" w:rsidRPr="006C771F" w:rsidRDefault="006C771F" w:rsidP="006C771F">
      <w:pPr>
        <w:ind w:left="567"/>
        <w:rPr>
          <w:sz w:val="24"/>
          <w:szCs w:val="24"/>
        </w:rPr>
      </w:pPr>
      <w:r w:rsidRPr="006C771F">
        <w:rPr>
          <w:sz w:val="24"/>
          <w:szCs w:val="24"/>
        </w:rPr>
        <w:t>Pakningsstørrelser:</w:t>
      </w:r>
    </w:p>
    <w:p w:rsidR="006C771F" w:rsidRPr="006C771F" w:rsidRDefault="006C771F" w:rsidP="006C771F">
      <w:pPr>
        <w:ind w:left="567"/>
        <w:rPr>
          <w:sz w:val="24"/>
          <w:szCs w:val="24"/>
        </w:rPr>
      </w:pPr>
      <w:r w:rsidRPr="006C771F">
        <w:rPr>
          <w:sz w:val="24"/>
          <w:szCs w:val="24"/>
        </w:rPr>
        <w:t>125 ml</w:t>
      </w:r>
    </w:p>
    <w:p w:rsidR="006C771F" w:rsidRPr="006C771F" w:rsidRDefault="006C771F" w:rsidP="006C771F">
      <w:pPr>
        <w:ind w:left="567"/>
        <w:rPr>
          <w:sz w:val="24"/>
          <w:szCs w:val="24"/>
        </w:rPr>
      </w:pPr>
      <w:r w:rsidRPr="006C771F">
        <w:rPr>
          <w:sz w:val="24"/>
          <w:szCs w:val="24"/>
        </w:rPr>
        <w:t>250 ml</w:t>
      </w:r>
    </w:p>
    <w:p w:rsidR="006C771F" w:rsidRPr="006C771F" w:rsidRDefault="006C771F" w:rsidP="006C771F">
      <w:pPr>
        <w:ind w:left="567"/>
        <w:rPr>
          <w:sz w:val="24"/>
          <w:szCs w:val="24"/>
        </w:rPr>
      </w:pPr>
      <w:r w:rsidRPr="006C771F">
        <w:rPr>
          <w:sz w:val="24"/>
          <w:szCs w:val="24"/>
        </w:rPr>
        <w:t>500 ml</w:t>
      </w:r>
    </w:p>
    <w:p w:rsidR="006C771F" w:rsidRPr="006C771F" w:rsidRDefault="006C771F" w:rsidP="006C771F">
      <w:pPr>
        <w:ind w:left="567"/>
        <w:rPr>
          <w:sz w:val="24"/>
          <w:szCs w:val="24"/>
        </w:rPr>
      </w:pPr>
      <w:r w:rsidRPr="006C771F">
        <w:rPr>
          <w:sz w:val="24"/>
          <w:szCs w:val="24"/>
        </w:rPr>
        <w:t>1 L</w:t>
      </w:r>
    </w:p>
    <w:p w:rsidR="006C771F" w:rsidRPr="006C771F" w:rsidRDefault="006C771F" w:rsidP="006C771F">
      <w:pPr>
        <w:ind w:left="567"/>
        <w:rPr>
          <w:sz w:val="24"/>
          <w:szCs w:val="24"/>
        </w:rPr>
      </w:pPr>
      <w:r w:rsidRPr="006C771F">
        <w:rPr>
          <w:sz w:val="24"/>
          <w:szCs w:val="24"/>
        </w:rPr>
        <w:t>Ikke alle pakningsstørrelser er nødvendigvis markedsført.</w:t>
      </w:r>
    </w:p>
    <w:p w:rsidR="006C771F" w:rsidRPr="006C771F" w:rsidRDefault="006C771F" w:rsidP="006C771F">
      <w:pPr>
        <w:rPr>
          <w:sz w:val="24"/>
          <w:szCs w:val="24"/>
        </w:rPr>
      </w:pPr>
    </w:p>
    <w:p w:rsidR="006C771F" w:rsidRPr="006C771F" w:rsidRDefault="006C771F" w:rsidP="006C771F">
      <w:pPr>
        <w:pStyle w:val="Style1"/>
        <w:rPr>
          <w:sz w:val="24"/>
          <w:szCs w:val="24"/>
        </w:rPr>
      </w:pPr>
      <w:r w:rsidRPr="006C771F">
        <w:rPr>
          <w:sz w:val="24"/>
          <w:szCs w:val="24"/>
        </w:rPr>
        <w:t>5.5</w:t>
      </w:r>
      <w:r w:rsidRPr="006C771F">
        <w:rPr>
          <w:sz w:val="24"/>
          <w:szCs w:val="24"/>
        </w:rPr>
        <w:tab/>
        <w:t>Særlige forholdsregler vedrørende bortskaffelse af ubrugte veterinærlægemidler eller affaldsmaterialer fra brugen heraf</w:t>
      </w:r>
    </w:p>
    <w:p w:rsidR="006C771F" w:rsidRPr="006C771F" w:rsidRDefault="006C771F" w:rsidP="006C771F">
      <w:pPr>
        <w:rPr>
          <w:sz w:val="24"/>
          <w:szCs w:val="24"/>
        </w:rPr>
      </w:pPr>
    </w:p>
    <w:p w:rsidR="006C771F" w:rsidRPr="006C771F" w:rsidRDefault="006C771F" w:rsidP="006C771F">
      <w:pPr>
        <w:ind w:left="567"/>
        <w:rPr>
          <w:sz w:val="24"/>
          <w:szCs w:val="24"/>
        </w:rPr>
      </w:pPr>
      <w:r w:rsidRPr="006C771F">
        <w:rPr>
          <w:sz w:val="24"/>
          <w:szCs w:val="24"/>
        </w:rPr>
        <w:t>Lægemidler må ikke bortskaffes sammen med spildevand eller husholdningsaffald.</w:t>
      </w:r>
    </w:p>
    <w:p w:rsidR="006C771F" w:rsidRPr="006C771F" w:rsidRDefault="006C771F" w:rsidP="006C771F">
      <w:pPr>
        <w:ind w:left="567"/>
        <w:rPr>
          <w:sz w:val="24"/>
          <w:szCs w:val="24"/>
        </w:rPr>
      </w:pPr>
    </w:p>
    <w:p w:rsidR="006C771F" w:rsidRPr="006C771F" w:rsidRDefault="006C771F" w:rsidP="006C771F">
      <w:pPr>
        <w:ind w:left="567"/>
        <w:rPr>
          <w:sz w:val="24"/>
          <w:szCs w:val="24"/>
        </w:rPr>
      </w:pPr>
      <w:r w:rsidRPr="006C771F">
        <w:rPr>
          <w:sz w:val="24"/>
          <w:szCs w:val="24"/>
        </w:rPr>
        <w:t>Benyt returordninger ved bortskaffelse af ubrugte veterinærlægemidler eller affaldsmaterialer herfra i henhold til lokale retningslinjer og nationale indsamlingsordninger, der er relevante for det pågældende veterinærlægemiddel.</w:t>
      </w:r>
    </w:p>
    <w:p w:rsidR="006C771F" w:rsidRPr="006C771F" w:rsidRDefault="006C771F" w:rsidP="006C771F">
      <w:pPr>
        <w:rPr>
          <w:sz w:val="24"/>
          <w:szCs w:val="24"/>
        </w:rPr>
      </w:pPr>
    </w:p>
    <w:p w:rsidR="006C771F" w:rsidRPr="006C771F" w:rsidRDefault="006C771F" w:rsidP="006C771F">
      <w:pPr>
        <w:pStyle w:val="Style1"/>
        <w:rPr>
          <w:sz w:val="24"/>
          <w:szCs w:val="24"/>
        </w:rPr>
      </w:pPr>
      <w:r w:rsidRPr="006C771F">
        <w:rPr>
          <w:sz w:val="24"/>
          <w:szCs w:val="24"/>
        </w:rPr>
        <w:t>6.</w:t>
      </w:r>
      <w:r w:rsidRPr="006C771F">
        <w:rPr>
          <w:sz w:val="24"/>
          <w:szCs w:val="24"/>
        </w:rPr>
        <w:tab/>
        <w:t>NAVN PÅ INDEHAVEREN AF MARKEDSFØRINGSTILLADELSEN</w:t>
      </w:r>
    </w:p>
    <w:p w:rsidR="006C771F" w:rsidRPr="006C771F" w:rsidRDefault="006C771F" w:rsidP="006C771F">
      <w:pPr>
        <w:rPr>
          <w:sz w:val="24"/>
          <w:szCs w:val="24"/>
        </w:rPr>
      </w:pPr>
    </w:p>
    <w:p w:rsidR="006C771F" w:rsidRPr="006C771F" w:rsidRDefault="006C771F" w:rsidP="006C771F">
      <w:pPr>
        <w:ind w:left="567"/>
        <w:rPr>
          <w:sz w:val="24"/>
          <w:szCs w:val="24"/>
          <w:lang w:val="nl-BE"/>
        </w:rPr>
      </w:pPr>
      <w:r w:rsidRPr="006C771F">
        <w:rPr>
          <w:sz w:val="24"/>
          <w:szCs w:val="24"/>
          <w:lang w:val="nl-BE"/>
        </w:rPr>
        <w:t>Huvepharma NV</w:t>
      </w:r>
    </w:p>
    <w:p w:rsidR="006C771F" w:rsidRPr="006C771F" w:rsidRDefault="006C771F" w:rsidP="006C771F">
      <w:pPr>
        <w:ind w:left="567"/>
        <w:rPr>
          <w:sz w:val="24"/>
          <w:szCs w:val="24"/>
          <w:lang w:val="nl-BE"/>
        </w:rPr>
      </w:pPr>
      <w:r w:rsidRPr="006C771F">
        <w:rPr>
          <w:sz w:val="24"/>
          <w:szCs w:val="24"/>
          <w:lang w:val="nl-BE"/>
        </w:rPr>
        <w:t>Uitbreidingstraat 80</w:t>
      </w:r>
    </w:p>
    <w:p w:rsidR="006C771F" w:rsidRPr="006C771F" w:rsidRDefault="006C771F" w:rsidP="006C771F">
      <w:pPr>
        <w:ind w:left="567"/>
        <w:rPr>
          <w:sz w:val="24"/>
          <w:szCs w:val="24"/>
          <w:lang w:val="nl-BE"/>
        </w:rPr>
      </w:pPr>
      <w:r w:rsidRPr="006C771F">
        <w:rPr>
          <w:sz w:val="24"/>
          <w:szCs w:val="24"/>
          <w:lang w:val="nl-BE"/>
        </w:rPr>
        <w:t>2600 Antwerpen</w:t>
      </w:r>
    </w:p>
    <w:p w:rsidR="006C771F" w:rsidRPr="006C771F" w:rsidRDefault="006C771F" w:rsidP="006C771F">
      <w:pPr>
        <w:ind w:left="567"/>
        <w:rPr>
          <w:sz w:val="24"/>
          <w:szCs w:val="24"/>
          <w:lang w:val="nl-BE"/>
        </w:rPr>
      </w:pPr>
      <w:r w:rsidRPr="006C771F">
        <w:rPr>
          <w:sz w:val="24"/>
          <w:szCs w:val="24"/>
          <w:lang w:val="nl-BE"/>
        </w:rPr>
        <w:t>Belgien</w:t>
      </w:r>
    </w:p>
    <w:p w:rsidR="006C771F" w:rsidRPr="006C771F" w:rsidRDefault="006C771F" w:rsidP="006C771F">
      <w:pPr>
        <w:rPr>
          <w:sz w:val="24"/>
          <w:szCs w:val="24"/>
        </w:rPr>
      </w:pPr>
    </w:p>
    <w:p w:rsidR="006C771F" w:rsidRPr="006C771F" w:rsidRDefault="006C771F" w:rsidP="006C771F">
      <w:pPr>
        <w:pStyle w:val="Style1"/>
        <w:rPr>
          <w:sz w:val="24"/>
          <w:szCs w:val="24"/>
        </w:rPr>
      </w:pPr>
      <w:r w:rsidRPr="006C771F">
        <w:rPr>
          <w:sz w:val="24"/>
          <w:szCs w:val="24"/>
        </w:rPr>
        <w:t>7.</w:t>
      </w:r>
      <w:r w:rsidRPr="006C771F">
        <w:rPr>
          <w:sz w:val="24"/>
          <w:szCs w:val="24"/>
        </w:rPr>
        <w:tab/>
        <w:t>MARKEDSFØRINGSTILLADELSESNUMMER (-NUMRE)</w:t>
      </w:r>
    </w:p>
    <w:p w:rsidR="006C771F" w:rsidRPr="006C771F" w:rsidRDefault="006C771F" w:rsidP="006C771F">
      <w:pPr>
        <w:rPr>
          <w:sz w:val="24"/>
          <w:szCs w:val="24"/>
        </w:rPr>
      </w:pPr>
    </w:p>
    <w:p w:rsidR="006C771F" w:rsidRPr="006C771F" w:rsidRDefault="006C771F" w:rsidP="006C771F">
      <w:pPr>
        <w:ind w:firstLine="567"/>
        <w:rPr>
          <w:sz w:val="24"/>
          <w:szCs w:val="24"/>
        </w:rPr>
      </w:pPr>
      <w:r w:rsidRPr="006C771F">
        <w:rPr>
          <w:sz w:val="24"/>
          <w:szCs w:val="24"/>
        </w:rPr>
        <w:t>MT nr.: 61159</w:t>
      </w:r>
    </w:p>
    <w:p w:rsidR="006C771F" w:rsidRPr="006C771F" w:rsidRDefault="006C771F" w:rsidP="006C771F">
      <w:pPr>
        <w:rPr>
          <w:sz w:val="24"/>
          <w:szCs w:val="24"/>
        </w:rPr>
      </w:pPr>
    </w:p>
    <w:p w:rsidR="006C771F" w:rsidRPr="006C771F" w:rsidRDefault="006C771F" w:rsidP="006C771F">
      <w:pPr>
        <w:pStyle w:val="Style1"/>
        <w:rPr>
          <w:sz w:val="24"/>
          <w:szCs w:val="24"/>
        </w:rPr>
      </w:pPr>
      <w:r w:rsidRPr="006C771F">
        <w:rPr>
          <w:sz w:val="24"/>
          <w:szCs w:val="24"/>
        </w:rPr>
        <w:t>8.</w:t>
      </w:r>
      <w:r w:rsidRPr="006C771F">
        <w:rPr>
          <w:sz w:val="24"/>
          <w:szCs w:val="24"/>
        </w:rPr>
        <w:tab/>
        <w:t>DATO FOR FØRSTE TILLADELSE</w:t>
      </w:r>
    </w:p>
    <w:p w:rsidR="006C771F" w:rsidRPr="006C771F" w:rsidRDefault="006C771F" w:rsidP="006C771F">
      <w:pPr>
        <w:rPr>
          <w:sz w:val="24"/>
          <w:szCs w:val="24"/>
        </w:rPr>
      </w:pPr>
    </w:p>
    <w:p w:rsidR="006C771F" w:rsidRPr="006C771F" w:rsidRDefault="006C771F" w:rsidP="006C771F">
      <w:pPr>
        <w:ind w:firstLine="567"/>
        <w:rPr>
          <w:sz w:val="24"/>
          <w:szCs w:val="24"/>
        </w:rPr>
      </w:pPr>
      <w:r w:rsidRPr="006C771F">
        <w:rPr>
          <w:sz w:val="24"/>
          <w:szCs w:val="24"/>
        </w:rPr>
        <w:t>Dato for første markedsføringstilladelse: 26. juni 2019</w:t>
      </w:r>
    </w:p>
    <w:p w:rsidR="006C771F" w:rsidRPr="006C771F" w:rsidRDefault="006C771F" w:rsidP="006C771F">
      <w:pPr>
        <w:rPr>
          <w:sz w:val="24"/>
          <w:szCs w:val="24"/>
        </w:rPr>
      </w:pPr>
    </w:p>
    <w:p w:rsidR="006C771F" w:rsidRPr="006C771F" w:rsidRDefault="006C771F" w:rsidP="006C771F">
      <w:pPr>
        <w:pStyle w:val="Style1"/>
        <w:rPr>
          <w:sz w:val="24"/>
          <w:szCs w:val="24"/>
        </w:rPr>
      </w:pPr>
      <w:r w:rsidRPr="006C771F">
        <w:rPr>
          <w:sz w:val="24"/>
          <w:szCs w:val="24"/>
        </w:rPr>
        <w:t>9.</w:t>
      </w:r>
      <w:r w:rsidRPr="006C771F">
        <w:rPr>
          <w:sz w:val="24"/>
          <w:szCs w:val="24"/>
        </w:rPr>
        <w:tab/>
        <w:t>DATO FOR SENESTE ÆNDRING AF PRODUKTRESUMÉET</w:t>
      </w:r>
    </w:p>
    <w:p w:rsidR="006C771F" w:rsidRDefault="006C771F" w:rsidP="006C771F">
      <w:pPr>
        <w:rPr>
          <w:sz w:val="24"/>
          <w:szCs w:val="24"/>
        </w:rPr>
      </w:pPr>
      <w:r>
        <w:rPr>
          <w:sz w:val="24"/>
          <w:szCs w:val="24"/>
        </w:rPr>
        <w:tab/>
      </w:r>
    </w:p>
    <w:p w:rsidR="006C771F" w:rsidRPr="006C771F" w:rsidRDefault="006C771F" w:rsidP="006C771F">
      <w:pPr>
        <w:tabs>
          <w:tab w:val="left" w:pos="567"/>
        </w:tabs>
        <w:rPr>
          <w:sz w:val="24"/>
          <w:szCs w:val="24"/>
        </w:rPr>
      </w:pPr>
      <w:r>
        <w:rPr>
          <w:sz w:val="24"/>
          <w:szCs w:val="24"/>
        </w:rPr>
        <w:tab/>
        <w:t>6. februar 2025</w:t>
      </w:r>
    </w:p>
    <w:p w:rsidR="006C771F" w:rsidRPr="006C771F" w:rsidRDefault="006C771F" w:rsidP="006C771F">
      <w:pPr>
        <w:rPr>
          <w:sz w:val="24"/>
          <w:szCs w:val="24"/>
        </w:rPr>
      </w:pPr>
    </w:p>
    <w:p w:rsidR="006C771F" w:rsidRPr="006C771F" w:rsidRDefault="006C771F" w:rsidP="006C771F">
      <w:pPr>
        <w:pStyle w:val="Style1"/>
        <w:rPr>
          <w:sz w:val="24"/>
          <w:szCs w:val="24"/>
        </w:rPr>
      </w:pPr>
      <w:r w:rsidRPr="006C771F">
        <w:rPr>
          <w:sz w:val="24"/>
          <w:szCs w:val="24"/>
        </w:rPr>
        <w:t>10.</w:t>
      </w:r>
      <w:r w:rsidRPr="006C771F">
        <w:rPr>
          <w:sz w:val="24"/>
          <w:szCs w:val="24"/>
        </w:rPr>
        <w:tab/>
        <w:t>KLASSIFICERING AF VETERINÆRLÆGEMIDLER</w:t>
      </w:r>
    </w:p>
    <w:p w:rsidR="006C771F" w:rsidRPr="006C771F" w:rsidRDefault="006C771F" w:rsidP="006C771F">
      <w:pPr>
        <w:rPr>
          <w:sz w:val="24"/>
          <w:szCs w:val="24"/>
        </w:rPr>
      </w:pPr>
    </w:p>
    <w:p w:rsidR="006C771F" w:rsidRPr="006C771F" w:rsidRDefault="006C771F" w:rsidP="006C771F">
      <w:pPr>
        <w:numPr>
          <w:ilvl w:val="12"/>
          <w:numId w:val="0"/>
        </w:numPr>
        <w:rPr>
          <w:sz w:val="24"/>
          <w:szCs w:val="24"/>
        </w:rPr>
      </w:pPr>
      <w:r w:rsidRPr="006C771F">
        <w:rPr>
          <w:sz w:val="24"/>
          <w:szCs w:val="24"/>
        </w:rPr>
        <w:t>BP</w:t>
      </w:r>
    </w:p>
    <w:p w:rsidR="006C771F" w:rsidRPr="006C771F" w:rsidRDefault="006C771F" w:rsidP="006C771F">
      <w:pPr>
        <w:numPr>
          <w:ilvl w:val="12"/>
          <w:numId w:val="0"/>
        </w:numPr>
        <w:rPr>
          <w:sz w:val="24"/>
          <w:szCs w:val="24"/>
        </w:rPr>
      </w:pPr>
    </w:p>
    <w:p w:rsidR="006C771F" w:rsidRPr="006C771F" w:rsidRDefault="006C771F" w:rsidP="006C771F">
      <w:pPr>
        <w:numPr>
          <w:ilvl w:val="12"/>
          <w:numId w:val="0"/>
        </w:numPr>
        <w:rPr>
          <w:sz w:val="24"/>
          <w:szCs w:val="24"/>
        </w:rPr>
      </w:pPr>
      <w:r w:rsidRPr="006C771F">
        <w:rPr>
          <w:sz w:val="24"/>
          <w:szCs w:val="24"/>
        </w:rPr>
        <w:t>Der findes detaljerede oplysninger om dette veterinærlægemiddel i EU-lægemiddeldatabasen.</w:t>
      </w:r>
    </w:p>
    <w:p w:rsidR="0003527F" w:rsidRPr="006C771F" w:rsidRDefault="0003527F" w:rsidP="00200011">
      <w:pPr>
        <w:rPr>
          <w:sz w:val="24"/>
          <w:szCs w:val="24"/>
        </w:rPr>
      </w:pPr>
    </w:p>
    <w:sectPr w:rsidR="0003527F" w:rsidRPr="006C771F" w:rsidSect="00C479BF">
      <w:headerReference w:type="default" r:id="rId8"/>
      <w:footerReference w:type="default" r:id="rId9"/>
      <w:headerReference w:type="first" r:id="rId10"/>
      <w:footerReference w:type="first" r:id="rId11"/>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011" w:rsidRDefault="00200011">
      <w:r>
        <w:separator/>
      </w:r>
    </w:p>
  </w:endnote>
  <w:endnote w:type="continuationSeparator" w:id="0">
    <w:p w:rsidR="00200011" w:rsidRDefault="00200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00011">
      <w:rPr>
        <w:i/>
        <w:noProof/>
        <w:snapToGrid w:val="0"/>
        <w:sz w:val="18"/>
      </w:rPr>
      <w:t>Dokument198</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565A74">
      <w:rPr>
        <w:i/>
        <w:noProof/>
        <w:snapToGrid w:val="0"/>
        <w:sz w:val="18"/>
      </w:rPr>
      <w:t>3</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565A74">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fod"/>
      <w:pBdr>
        <w:bottom w:val="single" w:sz="6" w:space="1" w:color="auto"/>
      </w:pBdr>
      <w:tabs>
        <w:tab w:val="clear" w:pos="4819"/>
        <w:tab w:val="left" w:pos="8647"/>
      </w:tabs>
      <w:rPr>
        <w:i/>
        <w:snapToGrid w:val="0"/>
        <w:sz w:val="18"/>
      </w:rPr>
    </w:pPr>
  </w:p>
  <w:p w:rsidR="004A62CC" w:rsidRDefault="004A62CC">
    <w:pPr>
      <w:pStyle w:val="Sidefod"/>
      <w:tabs>
        <w:tab w:val="clear" w:pos="4819"/>
        <w:tab w:val="left" w:pos="8647"/>
      </w:tabs>
      <w:rPr>
        <w:i/>
        <w:snapToGrid w:val="0"/>
        <w:sz w:val="18"/>
      </w:rPr>
    </w:pPr>
  </w:p>
  <w:p w:rsidR="004A62CC" w:rsidRDefault="00666B01">
    <w:pPr>
      <w:pStyle w:val="Sidefod"/>
      <w:tabs>
        <w:tab w:val="clear" w:pos="4819"/>
        <w:tab w:val="left" w:pos="8647"/>
      </w:tabs>
      <w:rPr>
        <w:i/>
        <w:sz w:val="18"/>
      </w:rPr>
    </w:pPr>
    <w:r>
      <w:rPr>
        <w:i/>
        <w:snapToGrid w:val="0"/>
        <w:sz w:val="18"/>
      </w:rPr>
      <w:fldChar w:fldCharType="begin"/>
    </w:r>
    <w:r w:rsidR="004A62CC">
      <w:rPr>
        <w:i/>
        <w:snapToGrid w:val="0"/>
        <w:sz w:val="18"/>
      </w:rPr>
      <w:instrText xml:space="preserve"> FILENAME </w:instrText>
    </w:r>
    <w:r>
      <w:rPr>
        <w:i/>
        <w:snapToGrid w:val="0"/>
        <w:sz w:val="18"/>
      </w:rPr>
      <w:fldChar w:fldCharType="separate"/>
    </w:r>
    <w:r w:rsidR="00200011">
      <w:rPr>
        <w:i/>
        <w:noProof/>
        <w:snapToGrid w:val="0"/>
        <w:sz w:val="18"/>
      </w:rPr>
      <w:t>Dokument198</w:t>
    </w:r>
    <w:r>
      <w:rPr>
        <w:i/>
        <w:snapToGrid w:val="0"/>
        <w:sz w:val="18"/>
      </w:rPr>
      <w:fldChar w:fldCharType="end"/>
    </w:r>
    <w:r w:rsidR="004A62CC">
      <w:rPr>
        <w:i/>
        <w:snapToGrid w:val="0"/>
        <w:sz w:val="18"/>
      </w:rPr>
      <w:tab/>
      <w:t xml:space="preserve">Side </w:t>
    </w:r>
    <w:r>
      <w:rPr>
        <w:i/>
        <w:snapToGrid w:val="0"/>
        <w:sz w:val="18"/>
      </w:rPr>
      <w:fldChar w:fldCharType="begin"/>
    </w:r>
    <w:r w:rsidR="004A62CC">
      <w:rPr>
        <w:i/>
        <w:snapToGrid w:val="0"/>
        <w:sz w:val="18"/>
      </w:rPr>
      <w:instrText xml:space="preserve"> PAGE </w:instrText>
    </w:r>
    <w:r>
      <w:rPr>
        <w:i/>
        <w:snapToGrid w:val="0"/>
        <w:sz w:val="18"/>
      </w:rPr>
      <w:fldChar w:fldCharType="separate"/>
    </w:r>
    <w:r w:rsidR="00EB5778">
      <w:rPr>
        <w:i/>
        <w:noProof/>
        <w:snapToGrid w:val="0"/>
        <w:sz w:val="18"/>
      </w:rPr>
      <w:t>1</w:t>
    </w:r>
    <w:r>
      <w:rPr>
        <w:i/>
        <w:snapToGrid w:val="0"/>
        <w:sz w:val="18"/>
      </w:rPr>
      <w:fldChar w:fldCharType="end"/>
    </w:r>
    <w:r w:rsidR="004A62CC">
      <w:rPr>
        <w:i/>
        <w:snapToGrid w:val="0"/>
        <w:sz w:val="18"/>
      </w:rPr>
      <w:t xml:space="preserve"> af </w:t>
    </w:r>
    <w:r>
      <w:rPr>
        <w:i/>
        <w:snapToGrid w:val="0"/>
        <w:sz w:val="18"/>
      </w:rPr>
      <w:fldChar w:fldCharType="begin"/>
    </w:r>
    <w:r w:rsidR="004A62CC">
      <w:rPr>
        <w:i/>
        <w:snapToGrid w:val="0"/>
        <w:sz w:val="18"/>
      </w:rPr>
      <w:instrText xml:space="preserve"> NUMPAGES </w:instrText>
    </w:r>
    <w:r>
      <w:rPr>
        <w:i/>
        <w:snapToGrid w:val="0"/>
        <w:sz w:val="18"/>
      </w:rPr>
      <w:fldChar w:fldCharType="separate"/>
    </w:r>
    <w:r w:rsidR="00EB5778">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011" w:rsidRDefault="00200011">
      <w:r>
        <w:separator/>
      </w:r>
    </w:p>
  </w:footnote>
  <w:footnote w:type="continuationSeparator" w:id="0">
    <w:p w:rsidR="00200011" w:rsidRDefault="002000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62CC" w:rsidRDefault="004A62CC">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11"/>
    <w:rsid w:val="0003527F"/>
    <w:rsid w:val="00065C7D"/>
    <w:rsid w:val="000C6CD4"/>
    <w:rsid w:val="001577E4"/>
    <w:rsid w:val="001858CA"/>
    <w:rsid w:val="001C4AEF"/>
    <w:rsid w:val="001D3CC5"/>
    <w:rsid w:val="00200011"/>
    <w:rsid w:val="00322BDE"/>
    <w:rsid w:val="00406EE7"/>
    <w:rsid w:val="00407013"/>
    <w:rsid w:val="004A62CC"/>
    <w:rsid w:val="00565A74"/>
    <w:rsid w:val="005B0036"/>
    <w:rsid w:val="005F5831"/>
    <w:rsid w:val="00662012"/>
    <w:rsid w:val="00666B01"/>
    <w:rsid w:val="006B1539"/>
    <w:rsid w:val="006C5489"/>
    <w:rsid w:val="006C771F"/>
    <w:rsid w:val="006D4B41"/>
    <w:rsid w:val="006F5621"/>
    <w:rsid w:val="007E2A00"/>
    <w:rsid w:val="008010F2"/>
    <w:rsid w:val="009202AE"/>
    <w:rsid w:val="00932676"/>
    <w:rsid w:val="009D66C6"/>
    <w:rsid w:val="00A128A3"/>
    <w:rsid w:val="00A96525"/>
    <w:rsid w:val="00AE29E5"/>
    <w:rsid w:val="00AE5757"/>
    <w:rsid w:val="00B25EB8"/>
    <w:rsid w:val="00BC634B"/>
    <w:rsid w:val="00BF2AE0"/>
    <w:rsid w:val="00C479BF"/>
    <w:rsid w:val="00D217D3"/>
    <w:rsid w:val="00D567AA"/>
    <w:rsid w:val="00DD6D71"/>
    <w:rsid w:val="00DF32BE"/>
    <w:rsid w:val="00E14F0A"/>
    <w:rsid w:val="00EB5778"/>
    <w:rsid w:val="00EE5253"/>
    <w:rsid w:val="00FA66E4"/>
    <w:rsid w:val="00FD643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D29704-D27B-4026-9A31-F7C59BF4D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paragraph" w:customStyle="1" w:styleId="Style1">
    <w:name w:val="Style1"/>
    <w:basedOn w:val="Normal"/>
    <w:qFormat/>
    <w:rsid w:val="006C771F"/>
    <w:pPr>
      <w:tabs>
        <w:tab w:val="left" w:pos="0"/>
      </w:tabs>
      <w:ind w:left="567" w:hanging="567"/>
    </w:pPr>
    <w:rPr>
      <w:b/>
      <w:sz w:val="22"/>
      <w:szCs w:val="22"/>
    </w:rPr>
  </w:style>
  <w:style w:type="paragraph" w:customStyle="1" w:styleId="Style5">
    <w:name w:val="Style5"/>
    <w:basedOn w:val="Normal"/>
    <w:qFormat/>
    <w:rsid w:val="006C771F"/>
    <w:pPr>
      <w:numPr>
        <w:ilvl w:val="12"/>
      </w:numPr>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1274</Words>
  <Characters>7774</Characters>
  <Application>Microsoft Office Word</Application>
  <DocSecurity>4</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9030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Wæver</dc:creator>
  <cp:keywords/>
  <dc:description>2023073766 QRD9</dc:description>
  <cp:lastModifiedBy>Alexandra Wæver</cp:lastModifiedBy>
  <cp:revision>2</cp:revision>
  <dcterms:created xsi:type="dcterms:W3CDTF">2025-02-06T09:30:00Z</dcterms:created>
  <dcterms:modified xsi:type="dcterms:W3CDTF">2025-02-06T09:30:00Z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Vet.dotm</vt:lpwstr>
  </property>
  <property fmtid="{D5CDD505-2E9C-101B-9397-08002B2CF9AE}" pid="3" name="ConvertedFromMacroDocument">
    <vt:lpwstr>True</vt:lpwstr>
  </property>
</Properties>
</file>