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134F3" w14:textId="77777777" w:rsidR="008203A8" w:rsidRPr="00A137C0" w:rsidRDefault="008203A8" w:rsidP="008203A8">
      <w:pPr>
        <w:rPr>
          <w:sz w:val="24"/>
          <w:szCs w:val="24"/>
        </w:rPr>
      </w:pPr>
      <w:r w:rsidRPr="00A137C0">
        <w:rPr>
          <w:noProof/>
          <w:sz w:val="24"/>
          <w:szCs w:val="24"/>
          <w:lang w:eastAsia="da-DK"/>
        </w:rPr>
        <w:drawing>
          <wp:inline distT="0" distB="0" distL="0" distR="0" wp14:anchorId="3700DE48" wp14:editId="375C4CB2">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BF94318" w14:textId="77777777" w:rsidR="008203A8" w:rsidRPr="00A137C0" w:rsidRDefault="008203A8" w:rsidP="008203A8">
      <w:pPr>
        <w:rPr>
          <w:sz w:val="24"/>
          <w:szCs w:val="24"/>
        </w:rPr>
      </w:pPr>
    </w:p>
    <w:p w14:paraId="748FAA03" w14:textId="616E5295" w:rsidR="008203A8" w:rsidRPr="00A137C0" w:rsidRDefault="008203A8" w:rsidP="008203A8">
      <w:pPr>
        <w:tabs>
          <w:tab w:val="right" w:pos="9356"/>
        </w:tabs>
        <w:rPr>
          <w:b/>
          <w:sz w:val="24"/>
          <w:szCs w:val="24"/>
        </w:rPr>
      </w:pPr>
      <w:r w:rsidRPr="00A137C0">
        <w:rPr>
          <w:b/>
          <w:sz w:val="24"/>
          <w:szCs w:val="24"/>
        </w:rPr>
        <w:tab/>
      </w:r>
      <w:r w:rsidR="00B73F71">
        <w:rPr>
          <w:b/>
          <w:sz w:val="24"/>
          <w:szCs w:val="24"/>
        </w:rPr>
        <w:t>23. januar 2026</w:t>
      </w:r>
    </w:p>
    <w:p w14:paraId="467A1B11" w14:textId="7008F713" w:rsidR="008203A8" w:rsidRPr="00A137C0" w:rsidRDefault="008203A8" w:rsidP="008203A8">
      <w:pPr>
        <w:rPr>
          <w:sz w:val="24"/>
          <w:szCs w:val="24"/>
        </w:rPr>
      </w:pPr>
    </w:p>
    <w:p w14:paraId="22FB8472" w14:textId="2614DCA9" w:rsidR="00A137C0" w:rsidRPr="00A137C0" w:rsidRDefault="00A137C0" w:rsidP="008203A8">
      <w:pPr>
        <w:rPr>
          <w:sz w:val="24"/>
          <w:szCs w:val="24"/>
        </w:rPr>
      </w:pPr>
    </w:p>
    <w:p w14:paraId="096211AB" w14:textId="77777777" w:rsidR="00A137C0" w:rsidRPr="00A137C0" w:rsidRDefault="00A137C0" w:rsidP="008203A8">
      <w:pPr>
        <w:rPr>
          <w:sz w:val="24"/>
          <w:szCs w:val="24"/>
        </w:rPr>
      </w:pPr>
    </w:p>
    <w:p w14:paraId="5AD3DDE6" w14:textId="77777777" w:rsidR="008203A8" w:rsidRPr="00A137C0" w:rsidRDefault="008203A8" w:rsidP="008203A8">
      <w:pPr>
        <w:jc w:val="center"/>
        <w:rPr>
          <w:b/>
          <w:sz w:val="24"/>
          <w:szCs w:val="24"/>
        </w:rPr>
      </w:pPr>
      <w:r w:rsidRPr="00A137C0">
        <w:rPr>
          <w:b/>
          <w:sz w:val="24"/>
          <w:szCs w:val="24"/>
        </w:rPr>
        <w:t>PRODUKTRESUMÉ</w:t>
      </w:r>
    </w:p>
    <w:p w14:paraId="0CF4A0FE" w14:textId="77777777" w:rsidR="008203A8" w:rsidRPr="00A137C0" w:rsidRDefault="008203A8" w:rsidP="008203A8">
      <w:pPr>
        <w:jc w:val="center"/>
        <w:rPr>
          <w:b/>
          <w:sz w:val="24"/>
          <w:szCs w:val="24"/>
        </w:rPr>
      </w:pPr>
    </w:p>
    <w:p w14:paraId="1FD0DAFC" w14:textId="77777777" w:rsidR="008203A8" w:rsidRPr="00A137C0" w:rsidRDefault="008203A8" w:rsidP="008203A8">
      <w:pPr>
        <w:jc w:val="center"/>
        <w:rPr>
          <w:b/>
          <w:sz w:val="24"/>
          <w:szCs w:val="24"/>
        </w:rPr>
      </w:pPr>
      <w:r w:rsidRPr="00A137C0">
        <w:rPr>
          <w:b/>
          <w:sz w:val="24"/>
          <w:szCs w:val="24"/>
        </w:rPr>
        <w:t>for</w:t>
      </w:r>
    </w:p>
    <w:p w14:paraId="2A6DBD8E" w14:textId="77777777" w:rsidR="008203A8" w:rsidRPr="00A137C0" w:rsidRDefault="008203A8" w:rsidP="008203A8">
      <w:pPr>
        <w:jc w:val="center"/>
        <w:rPr>
          <w:b/>
          <w:sz w:val="24"/>
          <w:szCs w:val="24"/>
        </w:rPr>
      </w:pPr>
    </w:p>
    <w:p w14:paraId="4F0DB96A" w14:textId="2819A592" w:rsidR="008203A8" w:rsidRPr="00A137C0" w:rsidRDefault="005512C8" w:rsidP="008203A8">
      <w:pPr>
        <w:jc w:val="center"/>
        <w:rPr>
          <w:b/>
          <w:sz w:val="24"/>
          <w:szCs w:val="24"/>
        </w:rPr>
      </w:pPr>
      <w:proofErr w:type="spellStart"/>
      <w:r w:rsidRPr="00A137C0">
        <w:rPr>
          <w:b/>
          <w:sz w:val="24"/>
          <w:szCs w:val="24"/>
        </w:rPr>
        <w:t>Cubarmix</w:t>
      </w:r>
      <w:proofErr w:type="spellEnd"/>
      <w:r w:rsidRPr="00A137C0">
        <w:rPr>
          <w:b/>
          <w:sz w:val="24"/>
          <w:szCs w:val="24"/>
        </w:rPr>
        <w:t xml:space="preserve"> </w:t>
      </w:r>
      <w:proofErr w:type="spellStart"/>
      <w:r w:rsidRPr="00A137C0">
        <w:rPr>
          <w:b/>
          <w:sz w:val="24"/>
          <w:szCs w:val="24"/>
        </w:rPr>
        <w:t>Vet</w:t>
      </w:r>
      <w:proofErr w:type="spellEnd"/>
      <w:r w:rsidRPr="00A137C0">
        <w:rPr>
          <w:b/>
          <w:sz w:val="24"/>
          <w:szCs w:val="24"/>
        </w:rPr>
        <w:t>., oralt pulver</w:t>
      </w:r>
    </w:p>
    <w:p w14:paraId="75FE1046" w14:textId="77777777" w:rsidR="008203A8" w:rsidRPr="00A137C0" w:rsidRDefault="008203A8" w:rsidP="008203A8">
      <w:pPr>
        <w:jc w:val="both"/>
        <w:rPr>
          <w:sz w:val="24"/>
          <w:szCs w:val="24"/>
        </w:rPr>
      </w:pPr>
    </w:p>
    <w:p w14:paraId="2EC339B4" w14:textId="77777777" w:rsidR="008203A8" w:rsidRPr="00A137C0" w:rsidRDefault="008203A8" w:rsidP="008203A8">
      <w:pPr>
        <w:jc w:val="both"/>
        <w:rPr>
          <w:sz w:val="24"/>
          <w:szCs w:val="24"/>
        </w:rPr>
      </w:pPr>
    </w:p>
    <w:p w14:paraId="12897401" w14:textId="77777777" w:rsidR="008203A8" w:rsidRPr="00A137C0" w:rsidRDefault="008203A8" w:rsidP="008203A8">
      <w:pPr>
        <w:ind w:left="851" w:hanging="851"/>
        <w:rPr>
          <w:b/>
          <w:sz w:val="24"/>
          <w:szCs w:val="24"/>
        </w:rPr>
      </w:pPr>
      <w:r w:rsidRPr="00A137C0">
        <w:rPr>
          <w:b/>
          <w:sz w:val="24"/>
          <w:szCs w:val="24"/>
        </w:rPr>
        <w:t>0.</w:t>
      </w:r>
      <w:r w:rsidRPr="00A137C0">
        <w:rPr>
          <w:b/>
          <w:sz w:val="24"/>
          <w:szCs w:val="24"/>
        </w:rPr>
        <w:tab/>
        <w:t>D.SP.NR.</w:t>
      </w:r>
    </w:p>
    <w:p w14:paraId="3E33F406" w14:textId="702322CF" w:rsidR="008203A8" w:rsidRPr="00A137C0" w:rsidRDefault="005512C8" w:rsidP="008203A8">
      <w:pPr>
        <w:ind w:left="851"/>
        <w:rPr>
          <w:sz w:val="24"/>
          <w:szCs w:val="24"/>
        </w:rPr>
      </w:pPr>
      <w:r w:rsidRPr="00A137C0">
        <w:rPr>
          <w:sz w:val="24"/>
          <w:szCs w:val="24"/>
        </w:rPr>
        <w:t>34418</w:t>
      </w:r>
    </w:p>
    <w:p w14:paraId="6A2563B7" w14:textId="77777777" w:rsidR="008203A8" w:rsidRPr="00A137C0" w:rsidRDefault="008203A8" w:rsidP="008203A8">
      <w:pPr>
        <w:ind w:left="851"/>
        <w:rPr>
          <w:sz w:val="24"/>
          <w:szCs w:val="24"/>
        </w:rPr>
      </w:pPr>
    </w:p>
    <w:p w14:paraId="376F6602" w14:textId="77777777" w:rsidR="008203A8" w:rsidRPr="00A137C0" w:rsidRDefault="008203A8" w:rsidP="008203A8">
      <w:pPr>
        <w:ind w:left="851" w:hanging="851"/>
        <w:rPr>
          <w:b/>
          <w:sz w:val="24"/>
          <w:szCs w:val="24"/>
        </w:rPr>
      </w:pPr>
      <w:r w:rsidRPr="00A137C0">
        <w:rPr>
          <w:b/>
          <w:sz w:val="24"/>
          <w:szCs w:val="24"/>
        </w:rPr>
        <w:t>1.</w:t>
      </w:r>
      <w:r w:rsidRPr="00A137C0">
        <w:rPr>
          <w:b/>
          <w:sz w:val="24"/>
          <w:szCs w:val="24"/>
        </w:rPr>
        <w:tab/>
        <w:t>VETERINÆRLÆGEMIDLETS NAVN</w:t>
      </w:r>
    </w:p>
    <w:p w14:paraId="47A91E3D" w14:textId="3AB36C9C" w:rsidR="008203A8" w:rsidRPr="00A137C0" w:rsidRDefault="005512C8" w:rsidP="008203A8">
      <w:pPr>
        <w:ind w:left="851"/>
        <w:rPr>
          <w:sz w:val="24"/>
          <w:szCs w:val="24"/>
        </w:rPr>
      </w:pPr>
      <w:proofErr w:type="spellStart"/>
      <w:r w:rsidRPr="00A137C0">
        <w:rPr>
          <w:sz w:val="24"/>
          <w:szCs w:val="24"/>
        </w:rPr>
        <w:t>Cubarmix</w:t>
      </w:r>
      <w:proofErr w:type="spellEnd"/>
      <w:r w:rsidRPr="00A137C0">
        <w:rPr>
          <w:sz w:val="24"/>
          <w:szCs w:val="24"/>
        </w:rPr>
        <w:t xml:space="preserve"> </w:t>
      </w:r>
      <w:proofErr w:type="spellStart"/>
      <w:r w:rsidRPr="00A137C0">
        <w:rPr>
          <w:sz w:val="24"/>
          <w:szCs w:val="24"/>
        </w:rPr>
        <w:t>Vet</w:t>
      </w:r>
      <w:proofErr w:type="spellEnd"/>
      <w:r w:rsidRPr="00A137C0">
        <w:rPr>
          <w:sz w:val="24"/>
          <w:szCs w:val="24"/>
        </w:rPr>
        <w:t>.</w:t>
      </w:r>
    </w:p>
    <w:p w14:paraId="3DF9D6E3" w14:textId="77777777" w:rsidR="008203A8" w:rsidRPr="00A137C0" w:rsidRDefault="008203A8" w:rsidP="008203A8">
      <w:pPr>
        <w:ind w:left="851"/>
        <w:rPr>
          <w:sz w:val="24"/>
          <w:szCs w:val="24"/>
        </w:rPr>
      </w:pPr>
    </w:p>
    <w:p w14:paraId="34B59C4E" w14:textId="7D25F334" w:rsidR="008203A8" w:rsidRPr="00A137C0" w:rsidRDefault="008203A8" w:rsidP="008203A8">
      <w:pPr>
        <w:ind w:left="851"/>
        <w:rPr>
          <w:sz w:val="24"/>
          <w:szCs w:val="24"/>
        </w:rPr>
      </w:pPr>
      <w:r w:rsidRPr="00A137C0">
        <w:rPr>
          <w:sz w:val="24"/>
          <w:szCs w:val="24"/>
        </w:rPr>
        <w:t xml:space="preserve">Lægemiddelform: </w:t>
      </w:r>
      <w:r w:rsidR="005512C8" w:rsidRPr="00A137C0">
        <w:rPr>
          <w:sz w:val="24"/>
          <w:szCs w:val="24"/>
        </w:rPr>
        <w:t>Oralt pulver</w:t>
      </w:r>
    </w:p>
    <w:p w14:paraId="363A2E02" w14:textId="5B131EC8" w:rsidR="008203A8" w:rsidRPr="00A137C0" w:rsidRDefault="008203A8" w:rsidP="008203A8">
      <w:pPr>
        <w:ind w:left="851"/>
        <w:rPr>
          <w:sz w:val="24"/>
          <w:szCs w:val="24"/>
        </w:rPr>
      </w:pPr>
      <w:r w:rsidRPr="00A137C0">
        <w:rPr>
          <w:sz w:val="24"/>
          <w:szCs w:val="24"/>
        </w:rPr>
        <w:t xml:space="preserve">Styrke(r): </w:t>
      </w:r>
      <w:r w:rsidR="005512C8" w:rsidRPr="00A137C0">
        <w:rPr>
          <w:sz w:val="24"/>
          <w:szCs w:val="24"/>
        </w:rPr>
        <w:t>400+80 mg/g</w:t>
      </w:r>
    </w:p>
    <w:p w14:paraId="7103DC1D" w14:textId="77777777" w:rsidR="008203A8" w:rsidRPr="00A137C0" w:rsidRDefault="008203A8" w:rsidP="008203A8">
      <w:pPr>
        <w:ind w:left="851"/>
        <w:rPr>
          <w:sz w:val="24"/>
          <w:szCs w:val="24"/>
        </w:rPr>
      </w:pPr>
    </w:p>
    <w:p w14:paraId="3C203920" w14:textId="77777777" w:rsidR="008203A8" w:rsidRPr="00A137C0" w:rsidRDefault="008203A8" w:rsidP="008203A8">
      <w:pPr>
        <w:ind w:left="851" w:hanging="851"/>
        <w:rPr>
          <w:b/>
          <w:sz w:val="24"/>
          <w:szCs w:val="24"/>
        </w:rPr>
      </w:pPr>
      <w:r w:rsidRPr="00A137C0">
        <w:rPr>
          <w:b/>
          <w:sz w:val="24"/>
          <w:szCs w:val="24"/>
        </w:rPr>
        <w:t>2.</w:t>
      </w:r>
      <w:r w:rsidRPr="00A137C0">
        <w:rPr>
          <w:b/>
          <w:sz w:val="24"/>
          <w:szCs w:val="24"/>
        </w:rPr>
        <w:tab/>
        <w:t>KVALITATIV OG KVANTITATIV SAMMENSÆTNING</w:t>
      </w:r>
    </w:p>
    <w:p w14:paraId="0068CD94" w14:textId="77777777" w:rsidR="001C6459" w:rsidRPr="00A137C0" w:rsidRDefault="001C6459" w:rsidP="00A137C0">
      <w:pPr>
        <w:ind w:left="851"/>
        <w:rPr>
          <w:sz w:val="24"/>
          <w:szCs w:val="24"/>
          <w:lang w:eastAsia="nl-NL"/>
        </w:rPr>
      </w:pPr>
      <w:bookmarkStart w:id="0" w:name="_Hlk187656594"/>
      <w:r w:rsidRPr="00A137C0">
        <w:rPr>
          <w:sz w:val="24"/>
          <w:szCs w:val="24"/>
        </w:rPr>
        <w:t>Hvert gram indeholder:</w:t>
      </w:r>
    </w:p>
    <w:p w14:paraId="6C04D52B" w14:textId="77777777" w:rsidR="00A137C0" w:rsidRDefault="00A137C0" w:rsidP="00A137C0">
      <w:pPr>
        <w:ind w:left="851"/>
        <w:rPr>
          <w:bCs/>
          <w:sz w:val="24"/>
          <w:szCs w:val="24"/>
        </w:rPr>
      </w:pPr>
    </w:p>
    <w:p w14:paraId="4FA3572B" w14:textId="221DCB16" w:rsidR="001C6459" w:rsidRPr="00A137C0" w:rsidRDefault="001C6459" w:rsidP="00A137C0">
      <w:pPr>
        <w:ind w:left="851"/>
        <w:rPr>
          <w:sz w:val="24"/>
          <w:szCs w:val="24"/>
        </w:rPr>
      </w:pPr>
      <w:r w:rsidRPr="00A137C0">
        <w:rPr>
          <w:b/>
          <w:bCs/>
          <w:sz w:val="24"/>
          <w:szCs w:val="24"/>
        </w:rPr>
        <w:t>Aktivt stof:</w:t>
      </w:r>
      <w:r w:rsidRPr="00A137C0">
        <w:rPr>
          <w:b/>
          <w:sz w:val="24"/>
          <w:szCs w:val="24"/>
        </w:rPr>
        <w:br/>
      </w:r>
      <w:bookmarkStart w:id="1" w:name="_Hlk187650687"/>
      <w:bookmarkStart w:id="2" w:name="_Hlk187651590"/>
      <w:proofErr w:type="spellStart"/>
      <w:r w:rsidRPr="00A137C0">
        <w:rPr>
          <w:sz w:val="24"/>
          <w:szCs w:val="24"/>
        </w:rPr>
        <w:t>Sulfadiazin</w:t>
      </w:r>
      <w:proofErr w:type="spellEnd"/>
      <w:r w:rsidRPr="00A137C0">
        <w:rPr>
          <w:sz w:val="24"/>
          <w:szCs w:val="24"/>
        </w:rPr>
        <w:t xml:space="preserve">: 400 mg </w:t>
      </w:r>
      <w:r w:rsidRPr="00A137C0">
        <w:rPr>
          <w:sz w:val="24"/>
          <w:szCs w:val="24"/>
        </w:rPr>
        <w:br/>
      </w:r>
      <w:proofErr w:type="spellStart"/>
      <w:r w:rsidRPr="00A137C0">
        <w:rPr>
          <w:sz w:val="24"/>
          <w:szCs w:val="24"/>
        </w:rPr>
        <w:t>Trimethoprim</w:t>
      </w:r>
      <w:proofErr w:type="spellEnd"/>
      <w:r w:rsidRPr="00A137C0">
        <w:rPr>
          <w:sz w:val="24"/>
          <w:szCs w:val="24"/>
        </w:rPr>
        <w:t xml:space="preserve">: 80 mg  </w:t>
      </w:r>
      <w:bookmarkEnd w:id="1"/>
      <w:r w:rsidRPr="00A137C0">
        <w:rPr>
          <w:sz w:val="24"/>
          <w:szCs w:val="24"/>
        </w:rPr>
        <w:br/>
      </w:r>
      <w:bookmarkEnd w:id="0"/>
      <w:bookmarkEnd w:id="2"/>
      <w:r w:rsidRPr="00A137C0">
        <w:rPr>
          <w:sz w:val="24"/>
          <w:szCs w:val="24"/>
        </w:rPr>
        <w:br/>
      </w:r>
      <w:r w:rsidRPr="00B30549">
        <w:rPr>
          <w:b/>
          <w:sz w:val="24"/>
          <w:szCs w:val="24"/>
        </w:rPr>
        <w:t>Hjælpestoffer:</w:t>
      </w:r>
      <w:r w:rsidRPr="00B30549">
        <w:rPr>
          <w:b/>
          <w:sz w:val="24"/>
          <w:szCs w:val="24"/>
        </w:rPr>
        <w:br/>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1C6459" w:rsidRPr="00A137C0" w14:paraId="57B1466C" w14:textId="77777777" w:rsidTr="00A137C0">
        <w:tc>
          <w:tcPr>
            <w:tcW w:w="4643" w:type="dxa"/>
            <w:tcBorders>
              <w:top w:val="single" w:sz="4" w:space="0" w:color="000000"/>
              <w:left w:val="single" w:sz="4" w:space="0" w:color="000000"/>
              <w:bottom w:val="single" w:sz="4" w:space="0" w:color="000000"/>
              <w:right w:val="single" w:sz="4" w:space="0" w:color="000000"/>
            </w:tcBorders>
            <w:vAlign w:val="center"/>
            <w:hideMark/>
          </w:tcPr>
          <w:p w14:paraId="4853F380" w14:textId="77777777" w:rsidR="001C6459" w:rsidRPr="00A137C0" w:rsidRDefault="001C6459">
            <w:pPr>
              <w:spacing w:before="60" w:after="60"/>
              <w:rPr>
                <w:iCs/>
                <w:sz w:val="24"/>
                <w:szCs w:val="24"/>
              </w:rPr>
            </w:pPr>
            <w:r w:rsidRPr="00A137C0">
              <w:rPr>
                <w:b/>
                <w:bCs/>
                <w:sz w:val="24"/>
                <w:szCs w:val="24"/>
              </w:rPr>
              <w:t>Kvalitativ sammensætning af hjælpestoffer og andre bestanddele</w:t>
            </w:r>
          </w:p>
        </w:tc>
      </w:tr>
      <w:tr w:rsidR="001C6459" w:rsidRPr="00A137C0" w14:paraId="39CCDA32" w14:textId="77777777" w:rsidTr="00A137C0">
        <w:tc>
          <w:tcPr>
            <w:tcW w:w="4643" w:type="dxa"/>
            <w:tcBorders>
              <w:top w:val="single" w:sz="4" w:space="0" w:color="000000"/>
              <w:left w:val="single" w:sz="4" w:space="0" w:color="000000"/>
              <w:bottom w:val="single" w:sz="4" w:space="0" w:color="000000"/>
              <w:right w:val="single" w:sz="4" w:space="0" w:color="000000"/>
            </w:tcBorders>
            <w:vAlign w:val="center"/>
            <w:hideMark/>
          </w:tcPr>
          <w:p w14:paraId="46E77DAB" w14:textId="77777777" w:rsidR="001C6459" w:rsidRPr="00A137C0" w:rsidRDefault="001C6459">
            <w:pPr>
              <w:spacing w:before="60" w:after="60"/>
              <w:ind w:left="567" w:hanging="567"/>
              <w:rPr>
                <w:iCs/>
                <w:sz w:val="24"/>
                <w:szCs w:val="24"/>
              </w:rPr>
            </w:pPr>
            <w:r w:rsidRPr="00A137C0">
              <w:rPr>
                <w:sz w:val="24"/>
                <w:szCs w:val="24"/>
              </w:rPr>
              <w:t>Vaniljearoma</w:t>
            </w:r>
          </w:p>
        </w:tc>
      </w:tr>
      <w:tr w:rsidR="001C6459" w:rsidRPr="00A137C0" w14:paraId="389DF8D1" w14:textId="77777777" w:rsidTr="00A137C0">
        <w:tc>
          <w:tcPr>
            <w:tcW w:w="4643" w:type="dxa"/>
            <w:tcBorders>
              <w:top w:val="single" w:sz="4" w:space="0" w:color="000000"/>
              <w:left w:val="single" w:sz="4" w:space="0" w:color="000000"/>
              <w:bottom w:val="single" w:sz="4" w:space="0" w:color="000000"/>
              <w:right w:val="single" w:sz="4" w:space="0" w:color="000000"/>
            </w:tcBorders>
            <w:vAlign w:val="center"/>
            <w:hideMark/>
          </w:tcPr>
          <w:p w14:paraId="02DB782D" w14:textId="77777777" w:rsidR="001C6459" w:rsidRPr="00A137C0" w:rsidRDefault="001C6459">
            <w:pPr>
              <w:spacing w:before="60" w:after="60"/>
              <w:rPr>
                <w:iCs/>
                <w:sz w:val="24"/>
                <w:szCs w:val="24"/>
              </w:rPr>
            </w:pPr>
            <w:r w:rsidRPr="00A137C0">
              <w:rPr>
                <w:sz w:val="24"/>
                <w:szCs w:val="24"/>
              </w:rPr>
              <w:t>Laktosemonohydrat</w:t>
            </w:r>
          </w:p>
        </w:tc>
      </w:tr>
    </w:tbl>
    <w:p w14:paraId="1F5F32B0" w14:textId="77777777" w:rsidR="001C6459" w:rsidRPr="00A137C0" w:rsidRDefault="001C6459" w:rsidP="00A137C0">
      <w:pPr>
        <w:ind w:left="851"/>
        <w:rPr>
          <w:sz w:val="24"/>
          <w:szCs w:val="24"/>
          <w:lang w:val="en-US" w:eastAsia="nl-NL"/>
        </w:rPr>
      </w:pPr>
    </w:p>
    <w:p w14:paraId="22283C5E" w14:textId="77777777" w:rsidR="001C6459" w:rsidRPr="00A137C0" w:rsidRDefault="001C6459" w:rsidP="00A137C0">
      <w:pPr>
        <w:ind w:left="851"/>
        <w:rPr>
          <w:sz w:val="24"/>
          <w:szCs w:val="24"/>
        </w:rPr>
      </w:pPr>
      <w:bookmarkStart w:id="3" w:name="_Hlk187656607"/>
      <w:r w:rsidRPr="00A137C0">
        <w:rPr>
          <w:sz w:val="24"/>
          <w:szCs w:val="24"/>
        </w:rPr>
        <w:t>Hvidt til råhvidt pulver.</w:t>
      </w:r>
      <w:bookmarkEnd w:id="3"/>
    </w:p>
    <w:p w14:paraId="134AF138" w14:textId="77777777" w:rsidR="008203A8" w:rsidRPr="00A137C0" w:rsidRDefault="008203A8" w:rsidP="008203A8">
      <w:pPr>
        <w:ind w:left="851"/>
        <w:rPr>
          <w:sz w:val="24"/>
          <w:szCs w:val="24"/>
        </w:rPr>
      </w:pPr>
    </w:p>
    <w:p w14:paraId="3D14ABDD" w14:textId="77777777" w:rsidR="008203A8" w:rsidRPr="00A137C0" w:rsidRDefault="008203A8" w:rsidP="008203A8">
      <w:pPr>
        <w:ind w:left="851"/>
        <w:rPr>
          <w:sz w:val="24"/>
          <w:szCs w:val="24"/>
        </w:rPr>
      </w:pPr>
    </w:p>
    <w:p w14:paraId="5D1211CE" w14:textId="77777777" w:rsidR="008203A8" w:rsidRPr="00A137C0" w:rsidRDefault="008203A8" w:rsidP="008203A8">
      <w:pPr>
        <w:ind w:left="851" w:hanging="851"/>
        <w:rPr>
          <w:b/>
          <w:sz w:val="24"/>
          <w:szCs w:val="24"/>
        </w:rPr>
      </w:pPr>
      <w:r w:rsidRPr="00A137C0">
        <w:rPr>
          <w:b/>
          <w:sz w:val="24"/>
          <w:szCs w:val="24"/>
        </w:rPr>
        <w:t>3.</w:t>
      </w:r>
      <w:r w:rsidRPr="00A137C0">
        <w:rPr>
          <w:b/>
          <w:sz w:val="24"/>
          <w:szCs w:val="24"/>
        </w:rPr>
        <w:tab/>
        <w:t>KLINISKE OPLYSNINGER</w:t>
      </w:r>
    </w:p>
    <w:p w14:paraId="1941E17B" w14:textId="77777777" w:rsidR="008203A8" w:rsidRPr="00A137C0" w:rsidRDefault="008203A8" w:rsidP="008203A8">
      <w:pPr>
        <w:tabs>
          <w:tab w:val="left" w:pos="851"/>
        </w:tabs>
        <w:ind w:left="851"/>
        <w:rPr>
          <w:sz w:val="24"/>
          <w:szCs w:val="24"/>
        </w:rPr>
      </w:pPr>
    </w:p>
    <w:p w14:paraId="0F73F6C4" w14:textId="77777777" w:rsidR="008203A8" w:rsidRPr="00A137C0" w:rsidRDefault="008203A8" w:rsidP="008203A8">
      <w:pPr>
        <w:ind w:left="851" w:hanging="851"/>
        <w:rPr>
          <w:b/>
          <w:sz w:val="24"/>
          <w:szCs w:val="24"/>
          <w:u w:val="single"/>
        </w:rPr>
      </w:pPr>
      <w:r w:rsidRPr="00A137C0">
        <w:rPr>
          <w:b/>
          <w:sz w:val="24"/>
          <w:szCs w:val="24"/>
        </w:rPr>
        <w:t>3.1</w:t>
      </w:r>
      <w:r w:rsidRPr="00A137C0">
        <w:rPr>
          <w:b/>
          <w:sz w:val="24"/>
          <w:szCs w:val="24"/>
        </w:rPr>
        <w:tab/>
        <w:t>Dyrearter, som lægemidlet er beregnet til</w:t>
      </w:r>
    </w:p>
    <w:p w14:paraId="2CF64F8C" w14:textId="3021D6FF" w:rsidR="001C6459" w:rsidRPr="00A137C0" w:rsidRDefault="001C6459" w:rsidP="00A137C0">
      <w:pPr>
        <w:ind w:left="851"/>
        <w:rPr>
          <w:sz w:val="24"/>
          <w:szCs w:val="24"/>
          <w:lang w:eastAsia="nl-NL"/>
        </w:rPr>
      </w:pPr>
      <w:r w:rsidRPr="00A137C0">
        <w:rPr>
          <w:sz w:val="24"/>
          <w:szCs w:val="24"/>
        </w:rPr>
        <w:t>Hest.</w:t>
      </w:r>
    </w:p>
    <w:p w14:paraId="00CB54A1" w14:textId="541C6451" w:rsidR="005F19BB" w:rsidRDefault="005F19BB">
      <w:pPr>
        <w:rPr>
          <w:sz w:val="24"/>
          <w:szCs w:val="24"/>
        </w:rPr>
      </w:pPr>
      <w:r>
        <w:rPr>
          <w:sz w:val="24"/>
          <w:szCs w:val="24"/>
        </w:rPr>
        <w:br w:type="page"/>
      </w:r>
    </w:p>
    <w:p w14:paraId="60414F8A" w14:textId="77777777" w:rsidR="008203A8" w:rsidRPr="00A137C0" w:rsidRDefault="008203A8" w:rsidP="008203A8">
      <w:pPr>
        <w:ind w:left="851"/>
        <w:rPr>
          <w:sz w:val="24"/>
          <w:szCs w:val="24"/>
        </w:rPr>
      </w:pPr>
    </w:p>
    <w:p w14:paraId="137A4F46" w14:textId="77777777" w:rsidR="008203A8" w:rsidRPr="00A137C0" w:rsidRDefault="008203A8" w:rsidP="008203A8">
      <w:pPr>
        <w:pStyle w:val="Sidehoved"/>
        <w:tabs>
          <w:tab w:val="clear" w:pos="4819"/>
        </w:tabs>
        <w:ind w:left="851" w:hanging="851"/>
        <w:rPr>
          <w:b/>
          <w:szCs w:val="24"/>
        </w:rPr>
      </w:pPr>
      <w:r w:rsidRPr="00A137C0">
        <w:rPr>
          <w:b/>
          <w:szCs w:val="24"/>
        </w:rPr>
        <w:t>3.2</w:t>
      </w:r>
      <w:r w:rsidRPr="00A137C0">
        <w:rPr>
          <w:b/>
          <w:szCs w:val="24"/>
        </w:rPr>
        <w:tab/>
        <w:t>Terapeutiske indikationer for hver dyreart, som lægemidlet er beregnet til</w:t>
      </w:r>
    </w:p>
    <w:p w14:paraId="157AA238" w14:textId="77777777" w:rsidR="001C6459" w:rsidRPr="00A137C0" w:rsidRDefault="001C6459" w:rsidP="00A137C0">
      <w:pPr>
        <w:ind w:left="851"/>
        <w:rPr>
          <w:sz w:val="24"/>
          <w:szCs w:val="24"/>
          <w:lang w:eastAsia="nl-NL"/>
        </w:rPr>
      </w:pPr>
      <w:bookmarkStart w:id="4" w:name="_Hlk187650930"/>
      <w:r w:rsidRPr="00A137C0">
        <w:rPr>
          <w:sz w:val="24"/>
          <w:szCs w:val="24"/>
        </w:rPr>
        <w:t xml:space="preserve">Behandling af infektioner forårsaget af mikroorganismer, der er følsomme over for kombinationen af </w:t>
      </w:r>
      <w:proofErr w:type="spellStart"/>
      <w:r w:rsidRPr="00A137C0">
        <w:rPr>
          <w:sz w:val="24"/>
          <w:szCs w:val="24"/>
        </w:rPr>
        <w:t>sulfadiazin</w:t>
      </w:r>
      <w:proofErr w:type="spellEnd"/>
      <w:r w:rsidRPr="00A137C0">
        <w:rPr>
          <w:sz w:val="24"/>
          <w:szCs w:val="24"/>
        </w:rPr>
        <w:t xml:space="preserve"> og </w:t>
      </w:r>
      <w:proofErr w:type="spellStart"/>
      <w:r w:rsidRPr="00A137C0">
        <w:rPr>
          <w:sz w:val="24"/>
          <w:szCs w:val="24"/>
        </w:rPr>
        <w:t>trimethoprim</w:t>
      </w:r>
      <w:proofErr w:type="spellEnd"/>
      <w:r w:rsidRPr="00A137C0">
        <w:rPr>
          <w:sz w:val="24"/>
          <w:szCs w:val="24"/>
        </w:rPr>
        <w:t>, såsom infektioner i de øvre luftveje og sårinfektioner.</w:t>
      </w:r>
      <w:bookmarkEnd w:id="4"/>
    </w:p>
    <w:p w14:paraId="703608FD" w14:textId="77777777" w:rsidR="008203A8" w:rsidRPr="00A137C0" w:rsidRDefault="008203A8" w:rsidP="008203A8">
      <w:pPr>
        <w:pStyle w:val="Sidehoved"/>
        <w:ind w:left="851"/>
        <w:rPr>
          <w:szCs w:val="24"/>
        </w:rPr>
      </w:pPr>
    </w:p>
    <w:p w14:paraId="6403D016" w14:textId="77777777" w:rsidR="008203A8" w:rsidRPr="00A137C0" w:rsidRDefault="008203A8" w:rsidP="008203A8">
      <w:pPr>
        <w:pStyle w:val="Sidehoved"/>
        <w:tabs>
          <w:tab w:val="clear" w:pos="4819"/>
          <w:tab w:val="left" w:pos="851"/>
        </w:tabs>
        <w:ind w:left="851" w:hanging="851"/>
        <w:rPr>
          <w:b/>
          <w:szCs w:val="24"/>
        </w:rPr>
      </w:pPr>
      <w:r w:rsidRPr="00A137C0">
        <w:rPr>
          <w:b/>
          <w:szCs w:val="24"/>
        </w:rPr>
        <w:t>3.3</w:t>
      </w:r>
      <w:r w:rsidRPr="00A137C0">
        <w:rPr>
          <w:b/>
          <w:szCs w:val="24"/>
        </w:rPr>
        <w:tab/>
        <w:t>Kontraindikationer</w:t>
      </w:r>
    </w:p>
    <w:p w14:paraId="34A65913" w14:textId="77777777" w:rsidR="001C6459" w:rsidRPr="00A137C0" w:rsidRDefault="001C6459" w:rsidP="00A137C0">
      <w:pPr>
        <w:ind w:left="851"/>
        <w:rPr>
          <w:sz w:val="24"/>
          <w:szCs w:val="24"/>
          <w:lang w:eastAsia="nl-NL"/>
        </w:rPr>
      </w:pPr>
      <w:bookmarkStart w:id="5" w:name="_Hlk187656637"/>
      <w:r w:rsidRPr="00A137C0">
        <w:rPr>
          <w:sz w:val="24"/>
          <w:szCs w:val="24"/>
        </w:rPr>
        <w:t>Må ikke anvendes i tilfælde af overfølsomhed over for de aktive stoffer (eller andre sulfonamider) eller over for et eller flere af hjælpestofferne.</w:t>
      </w:r>
    </w:p>
    <w:p w14:paraId="6CB403EB" w14:textId="77777777" w:rsidR="001C6459" w:rsidRPr="00A137C0" w:rsidRDefault="001C6459" w:rsidP="00A137C0">
      <w:pPr>
        <w:ind w:left="851"/>
        <w:rPr>
          <w:sz w:val="24"/>
          <w:szCs w:val="24"/>
        </w:rPr>
      </w:pPr>
      <w:r w:rsidRPr="00A137C0">
        <w:rPr>
          <w:sz w:val="24"/>
          <w:szCs w:val="24"/>
        </w:rPr>
        <w:t xml:space="preserve">Må ikke anvendes til heste med svær </w:t>
      </w:r>
      <w:proofErr w:type="spellStart"/>
      <w:r w:rsidRPr="00A137C0">
        <w:rPr>
          <w:sz w:val="24"/>
          <w:szCs w:val="24"/>
        </w:rPr>
        <w:t>leverparenkymskade</w:t>
      </w:r>
      <w:proofErr w:type="spellEnd"/>
      <w:r w:rsidRPr="00A137C0">
        <w:rPr>
          <w:sz w:val="24"/>
          <w:szCs w:val="24"/>
        </w:rPr>
        <w:t xml:space="preserve"> eller nyreskade.</w:t>
      </w:r>
    </w:p>
    <w:p w14:paraId="51073C4A" w14:textId="77777777" w:rsidR="001C6459" w:rsidRPr="00A137C0" w:rsidRDefault="001C6459" w:rsidP="00A137C0">
      <w:pPr>
        <w:ind w:left="851"/>
        <w:rPr>
          <w:sz w:val="24"/>
          <w:szCs w:val="24"/>
        </w:rPr>
      </w:pPr>
      <w:r w:rsidRPr="00A137C0">
        <w:rPr>
          <w:sz w:val="24"/>
          <w:szCs w:val="24"/>
        </w:rPr>
        <w:t xml:space="preserve">Må ikke anvendes til heste med blodsygdomme eller </w:t>
      </w:r>
      <w:proofErr w:type="spellStart"/>
      <w:r w:rsidRPr="00A137C0">
        <w:rPr>
          <w:sz w:val="24"/>
          <w:szCs w:val="24"/>
        </w:rPr>
        <w:t>hjertearytmier</w:t>
      </w:r>
      <w:proofErr w:type="spellEnd"/>
      <w:r w:rsidRPr="00A137C0">
        <w:rPr>
          <w:sz w:val="24"/>
          <w:szCs w:val="24"/>
        </w:rPr>
        <w:t>.</w:t>
      </w:r>
      <w:bookmarkEnd w:id="5"/>
    </w:p>
    <w:p w14:paraId="6229C398" w14:textId="77777777" w:rsidR="008203A8" w:rsidRPr="00A137C0" w:rsidRDefault="008203A8" w:rsidP="008203A8">
      <w:pPr>
        <w:pStyle w:val="Sidehoved"/>
        <w:tabs>
          <w:tab w:val="clear" w:pos="4819"/>
        </w:tabs>
        <w:ind w:left="851"/>
        <w:rPr>
          <w:szCs w:val="24"/>
        </w:rPr>
      </w:pPr>
    </w:p>
    <w:p w14:paraId="774188B1" w14:textId="77777777" w:rsidR="008203A8" w:rsidRPr="00A137C0" w:rsidRDefault="008203A8" w:rsidP="008203A8">
      <w:pPr>
        <w:tabs>
          <w:tab w:val="left" w:pos="851"/>
        </w:tabs>
        <w:ind w:left="851" w:hanging="851"/>
        <w:rPr>
          <w:b/>
          <w:sz w:val="24"/>
          <w:szCs w:val="24"/>
        </w:rPr>
      </w:pPr>
      <w:r w:rsidRPr="00A137C0">
        <w:rPr>
          <w:b/>
          <w:sz w:val="24"/>
          <w:szCs w:val="24"/>
        </w:rPr>
        <w:t>3.4</w:t>
      </w:r>
      <w:r w:rsidRPr="00A137C0">
        <w:rPr>
          <w:b/>
          <w:sz w:val="24"/>
          <w:szCs w:val="24"/>
        </w:rPr>
        <w:tab/>
        <w:t>Særlige advarsler</w:t>
      </w:r>
    </w:p>
    <w:p w14:paraId="6655AFE7" w14:textId="77777777" w:rsidR="001C6459" w:rsidRPr="00A137C0" w:rsidRDefault="001C6459" w:rsidP="00A137C0">
      <w:pPr>
        <w:ind w:left="851"/>
        <w:rPr>
          <w:sz w:val="24"/>
          <w:szCs w:val="24"/>
          <w:lang w:eastAsia="nl-NL"/>
        </w:rPr>
      </w:pPr>
      <w:bookmarkStart w:id="6" w:name="_Hlk187656663"/>
      <w:r w:rsidRPr="00A137C0">
        <w:rPr>
          <w:sz w:val="24"/>
          <w:szCs w:val="24"/>
        </w:rPr>
        <w:t xml:space="preserve">I tilfælde af infektioner, der involverer </w:t>
      </w:r>
      <w:proofErr w:type="spellStart"/>
      <w:r w:rsidRPr="00A137C0">
        <w:rPr>
          <w:sz w:val="24"/>
          <w:szCs w:val="24"/>
        </w:rPr>
        <w:t>purulente</w:t>
      </w:r>
      <w:proofErr w:type="spellEnd"/>
      <w:r w:rsidRPr="00A137C0">
        <w:rPr>
          <w:sz w:val="24"/>
          <w:szCs w:val="24"/>
        </w:rPr>
        <w:t xml:space="preserve"> tilstande, frarådes </w:t>
      </w:r>
      <w:proofErr w:type="spellStart"/>
      <w:r w:rsidRPr="00A137C0">
        <w:rPr>
          <w:sz w:val="24"/>
          <w:szCs w:val="24"/>
        </w:rPr>
        <w:t>trimethoprim</w:t>
      </w:r>
      <w:proofErr w:type="spellEnd"/>
      <w:r w:rsidRPr="00A137C0">
        <w:rPr>
          <w:sz w:val="24"/>
          <w:szCs w:val="24"/>
        </w:rPr>
        <w:t>-sulfonamidkombinationer på grund af nedsat virkning under sådanne forhold.</w:t>
      </w:r>
    </w:p>
    <w:p w14:paraId="004A0F68" w14:textId="77777777" w:rsidR="001C6459" w:rsidRPr="00A137C0" w:rsidRDefault="001C6459" w:rsidP="00A137C0">
      <w:pPr>
        <w:ind w:left="851"/>
        <w:rPr>
          <w:sz w:val="24"/>
          <w:szCs w:val="24"/>
        </w:rPr>
      </w:pPr>
    </w:p>
    <w:p w14:paraId="343DBE22" w14:textId="77777777" w:rsidR="001C6459" w:rsidRPr="00A137C0" w:rsidRDefault="001C6459" w:rsidP="00A137C0">
      <w:pPr>
        <w:ind w:left="851"/>
        <w:rPr>
          <w:sz w:val="24"/>
          <w:szCs w:val="24"/>
        </w:rPr>
      </w:pPr>
      <w:r w:rsidRPr="00A137C0">
        <w:rPr>
          <w:sz w:val="24"/>
          <w:szCs w:val="24"/>
        </w:rPr>
        <w:t xml:space="preserve">Der er observeret krydsresistens mellem </w:t>
      </w:r>
      <w:proofErr w:type="spellStart"/>
      <w:r w:rsidRPr="00A137C0">
        <w:rPr>
          <w:sz w:val="24"/>
          <w:szCs w:val="24"/>
        </w:rPr>
        <w:t>sulfadiazin</w:t>
      </w:r>
      <w:proofErr w:type="spellEnd"/>
      <w:r w:rsidRPr="00A137C0">
        <w:rPr>
          <w:sz w:val="24"/>
          <w:szCs w:val="24"/>
        </w:rPr>
        <w:t xml:space="preserve"> og andre sulfonamider. Anvendelse af veterinærlægemidlet skal overvejes nøje, hvis resistensbestemmelse har vist resistens overfor kombinationer af </w:t>
      </w:r>
      <w:proofErr w:type="spellStart"/>
      <w:r w:rsidRPr="00A137C0">
        <w:rPr>
          <w:sz w:val="24"/>
          <w:szCs w:val="24"/>
        </w:rPr>
        <w:t>trimethoprim</w:t>
      </w:r>
      <w:proofErr w:type="spellEnd"/>
      <w:r w:rsidRPr="00A137C0">
        <w:rPr>
          <w:sz w:val="24"/>
          <w:szCs w:val="24"/>
        </w:rPr>
        <w:t xml:space="preserve"> med andre sulfonamider, da dets effekt i så fald kan være nedsat.  </w:t>
      </w:r>
      <w:bookmarkEnd w:id="6"/>
    </w:p>
    <w:p w14:paraId="4ED783AA" w14:textId="77777777" w:rsidR="008203A8" w:rsidRPr="00A137C0" w:rsidRDefault="008203A8" w:rsidP="008203A8">
      <w:pPr>
        <w:pStyle w:val="Sidehoved"/>
        <w:tabs>
          <w:tab w:val="clear" w:pos="4819"/>
        </w:tabs>
        <w:ind w:left="851"/>
        <w:rPr>
          <w:szCs w:val="24"/>
        </w:rPr>
      </w:pPr>
    </w:p>
    <w:p w14:paraId="3CE3020D" w14:textId="77777777" w:rsidR="008203A8" w:rsidRPr="00A137C0" w:rsidRDefault="008203A8" w:rsidP="008203A8">
      <w:pPr>
        <w:tabs>
          <w:tab w:val="left" w:pos="851"/>
        </w:tabs>
        <w:ind w:left="851" w:hanging="851"/>
        <w:rPr>
          <w:b/>
          <w:sz w:val="24"/>
          <w:szCs w:val="24"/>
        </w:rPr>
      </w:pPr>
      <w:r w:rsidRPr="00A137C0">
        <w:rPr>
          <w:b/>
          <w:sz w:val="24"/>
          <w:szCs w:val="24"/>
        </w:rPr>
        <w:t>3.5</w:t>
      </w:r>
      <w:r w:rsidRPr="00A137C0">
        <w:rPr>
          <w:b/>
          <w:sz w:val="24"/>
          <w:szCs w:val="24"/>
        </w:rPr>
        <w:tab/>
        <w:t>Særlige forholdsregler vedrørende brugen</w:t>
      </w:r>
    </w:p>
    <w:p w14:paraId="6BD278C6" w14:textId="77777777" w:rsidR="008203A8" w:rsidRPr="00A137C0" w:rsidRDefault="008203A8" w:rsidP="008203A8">
      <w:pPr>
        <w:tabs>
          <w:tab w:val="left" w:pos="851"/>
        </w:tabs>
        <w:ind w:left="851"/>
        <w:rPr>
          <w:sz w:val="24"/>
          <w:szCs w:val="24"/>
        </w:rPr>
      </w:pPr>
    </w:p>
    <w:p w14:paraId="04702BC9" w14:textId="77777777" w:rsidR="008203A8" w:rsidRPr="00A137C0" w:rsidRDefault="008203A8" w:rsidP="008203A8">
      <w:pPr>
        <w:tabs>
          <w:tab w:val="left" w:pos="851"/>
        </w:tabs>
        <w:ind w:left="851"/>
        <w:rPr>
          <w:sz w:val="24"/>
          <w:szCs w:val="24"/>
          <w:u w:val="single"/>
        </w:rPr>
      </w:pPr>
      <w:r w:rsidRPr="00A137C0">
        <w:rPr>
          <w:sz w:val="24"/>
          <w:szCs w:val="24"/>
          <w:u w:val="single"/>
        </w:rPr>
        <w:t>Særlige forholdsregler vedrørende sikker brug hos de dyrearter, som lægemidlet er beregnet til</w:t>
      </w:r>
    </w:p>
    <w:p w14:paraId="4067DAAD" w14:textId="77777777" w:rsidR="001C6459" w:rsidRPr="00A137C0" w:rsidRDefault="001C6459" w:rsidP="00A137C0">
      <w:pPr>
        <w:ind w:left="851"/>
        <w:rPr>
          <w:sz w:val="24"/>
          <w:szCs w:val="24"/>
          <w:lang w:eastAsia="nl-NL"/>
        </w:rPr>
      </w:pPr>
      <w:bookmarkStart w:id="7" w:name="_Hlk187656684"/>
      <w:r w:rsidRPr="00A137C0">
        <w:rPr>
          <w:sz w:val="24"/>
          <w:szCs w:val="24"/>
        </w:rPr>
        <w:t>Anvendelse til heste under 1 år skal undgås.</w:t>
      </w:r>
    </w:p>
    <w:p w14:paraId="6B3CEA13" w14:textId="77777777" w:rsidR="001C6459" w:rsidRPr="00A137C0" w:rsidRDefault="001C6459" w:rsidP="00A137C0">
      <w:pPr>
        <w:ind w:left="851"/>
        <w:rPr>
          <w:sz w:val="24"/>
          <w:szCs w:val="24"/>
        </w:rPr>
      </w:pPr>
    </w:p>
    <w:p w14:paraId="1AECC2D5" w14:textId="77777777" w:rsidR="001C6459" w:rsidRPr="00A137C0" w:rsidRDefault="001C6459" w:rsidP="00A137C0">
      <w:pPr>
        <w:ind w:left="851"/>
        <w:rPr>
          <w:sz w:val="24"/>
          <w:szCs w:val="24"/>
        </w:rPr>
      </w:pPr>
      <w:r w:rsidRPr="00A137C0">
        <w:rPr>
          <w:sz w:val="24"/>
          <w:szCs w:val="24"/>
        </w:rPr>
        <w:t xml:space="preserve">Under hele behandlingen skal dyrene have fri adgang til drikkevand for at undgå mulig </w:t>
      </w:r>
      <w:proofErr w:type="spellStart"/>
      <w:r w:rsidRPr="00A137C0">
        <w:rPr>
          <w:sz w:val="24"/>
          <w:szCs w:val="24"/>
        </w:rPr>
        <w:t>krystalluri</w:t>
      </w:r>
      <w:proofErr w:type="spellEnd"/>
      <w:r w:rsidRPr="00A137C0">
        <w:rPr>
          <w:sz w:val="24"/>
          <w:szCs w:val="24"/>
        </w:rPr>
        <w:t>.</w:t>
      </w:r>
    </w:p>
    <w:p w14:paraId="07FB1676" w14:textId="5D843275" w:rsidR="001C6459" w:rsidRPr="00A137C0" w:rsidRDefault="001C6459" w:rsidP="00A137C0">
      <w:pPr>
        <w:ind w:left="851"/>
        <w:rPr>
          <w:sz w:val="24"/>
          <w:szCs w:val="24"/>
        </w:rPr>
      </w:pPr>
      <w:r w:rsidRPr="00A137C0">
        <w:rPr>
          <w:sz w:val="24"/>
          <w:szCs w:val="24"/>
        </w:rPr>
        <w:t xml:space="preserve">Anvendelsen af veterinærlægemidlet skal baseres på </w:t>
      </w:r>
      <w:proofErr w:type="spellStart"/>
      <w:r w:rsidRPr="00A137C0">
        <w:rPr>
          <w:sz w:val="24"/>
          <w:szCs w:val="24"/>
        </w:rPr>
        <w:t>typning</w:t>
      </w:r>
      <w:proofErr w:type="spellEnd"/>
      <w:r w:rsidRPr="00A137C0">
        <w:rPr>
          <w:sz w:val="24"/>
          <w:szCs w:val="24"/>
        </w:rPr>
        <w:t xml:space="preserve"> og resistensbestemmelse af </w:t>
      </w:r>
      <w:proofErr w:type="spellStart"/>
      <w:r w:rsidRPr="00A137C0">
        <w:rPr>
          <w:sz w:val="24"/>
          <w:szCs w:val="24"/>
        </w:rPr>
        <w:t>målpatogenet</w:t>
      </w:r>
      <w:proofErr w:type="spellEnd"/>
      <w:r w:rsidRPr="00A137C0">
        <w:rPr>
          <w:sz w:val="24"/>
          <w:szCs w:val="24"/>
        </w:rPr>
        <w:t xml:space="preserve"> (</w:t>
      </w:r>
      <w:proofErr w:type="spellStart"/>
      <w:r w:rsidRPr="00A137C0">
        <w:rPr>
          <w:sz w:val="24"/>
          <w:szCs w:val="24"/>
        </w:rPr>
        <w:t>målpatogenerne</w:t>
      </w:r>
      <w:proofErr w:type="spellEnd"/>
      <w:r w:rsidRPr="00A137C0">
        <w:rPr>
          <w:sz w:val="24"/>
          <w:szCs w:val="24"/>
        </w:rPr>
        <w:t xml:space="preserve">). Hvis dette ikke er muligt, skal behandlingen baseres på epidemiologisk information og viden om følsomheden af </w:t>
      </w:r>
      <w:proofErr w:type="spellStart"/>
      <w:r w:rsidRPr="00A137C0">
        <w:rPr>
          <w:sz w:val="24"/>
          <w:szCs w:val="24"/>
        </w:rPr>
        <w:t>målpatogenerne</w:t>
      </w:r>
      <w:proofErr w:type="spellEnd"/>
      <w:r w:rsidRPr="00A137C0">
        <w:rPr>
          <w:sz w:val="24"/>
          <w:szCs w:val="24"/>
        </w:rPr>
        <w:t xml:space="preserve"> på besætnings</w:t>
      </w:r>
      <w:r w:rsidR="005F19BB">
        <w:rPr>
          <w:sz w:val="24"/>
          <w:szCs w:val="24"/>
        </w:rPr>
        <w:softHyphen/>
      </w:r>
      <w:r w:rsidRPr="00A137C0">
        <w:rPr>
          <w:sz w:val="24"/>
          <w:szCs w:val="24"/>
        </w:rPr>
        <w:t>niveau eller på lokalt/regionalt niveau.</w:t>
      </w:r>
    </w:p>
    <w:p w14:paraId="46995F5E" w14:textId="77777777" w:rsidR="001C6459" w:rsidRPr="00A137C0" w:rsidRDefault="001C6459" w:rsidP="00A137C0">
      <w:pPr>
        <w:ind w:left="851"/>
        <w:rPr>
          <w:sz w:val="24"/>
          <w:szCs w:val="24"/>
          <w:lang w:val="nl-NL"/>
        </w:rPr>
      </w:pPr>
    </w:p>
    <w:p w14:paraId="04EC8353" w14:textId="77777777" w:rsidR="001C6459" w:rsidRPr="00A137C0" w:rsidRDefault="001C6459" w:rsidP="00A137C0">
      <w:pPr>
        <w:ind w:left="851"/>
        <w:rPr>
          <w:sz w:val="24"/>
          <w:szCs w:val="24"/>
        </w:rPr>
      </w:pPr>
      <w:r w:rsidRPr="00A137C0">
        <w:rPr>
          <w:sz w:val="24"/>
          <w:szCs w:val="24"/>
        </w:rPr>
        <w:t>Anvendelse af veterinærlægemidlet bør følge officielle, nationale og regionale retningslinjer for brugen af antibiotika.</w:t>
      </w:r>
    </w:p>
    <w:p w14:paraId="0076C965" w14:textId="77777777" w:rsidR="001C6459" w:rsidRPr="00A137C0" w:rsidRDefault="001C6459" w:rsidP="00A137C0">
      <w:pPr>
        <w:ind w:left="851"/>
        <w:rPr>
          <w:sz w:val="24"/>
          <w:szCs w:val="24"/>
          <w:lang w:val="nl-NL"/>
        </w:rPr>
      </w:pPr>
    </w:p>
    <w:p w14:paraId="6818CAAE" w14:textId="77777777" w:rsidR="001C6459" w:rsidRPr="00A137C0" w:rsidRDefault="001C6459" w:rsidP="00A137C0">
      <w:pPr>
        <w:ind w:left="851"/>
        <w:rPr>
          <w:sz w:val="24"/>
          <w:szCs w:val="24"/>
        </w:rPr>
      </w:pPr>
      <w:r w:rsidRPr="00A137C0">
        <w:rPr>
          <w:sz w:val="24"/>
          <w:szCs w:val="24"/>
        </w:rPr>
        <w:t>Smalspektret antibiotikabehandling med lavere risiko for selektion for antimikrobiel resistens skal anvendes som førstevalgsbehandling, når resistensbestemmelse indikerer, at det vil være effektivt.</w:t>
      </w:r>
      <w:bookmarkEnd w:id="7"/>
    </w:p>
    <w:p w14:paraId="344676D9" w14:textId="77777777" w:rsidR="008203A8" w:rsidRPr="00A137C0" w:rsidRDefault="008203A8" w:rsidP="008203A8">
      <w:pPr>
        <w:tabs>
          <w:tab w:val="left" w:pos="851"/>
        </w:tabs>
        <w:ind w:left="851"/>
        <w:rPr>
          <w:sz w:val="24"/>
          <w:szCs w:val="24"/>
        </w:rPr>
      </w:pPr>
    </w:p>
    <w:p w14:paraId="0E4A2226" w14:textId="77777777" w:rsidR="008203A8" w:rsidRPr="00A137C0" w:rsidRDefault="008203A8" w:rsidP="008203A8">
      <w:pPr>
        <w:tabs>
          <w:tab w:val="left" w:pos="851"/>
        </w:tabs>
        <w:ind w:left="851"/>
        <w:rPr>
          <w:sz w:val="24"/>
          <w:szCs w:val="24"/>
          <w:u w:val="single"/>
        </w:rPr>
      </w:pPr>
      <w:r w:rsidRPr="00A137C0">
        <w:rPr>
          <w:sz w:val="24"/>
          <w:szCs w:val="24"/>
          <w:u w:val="single"/>
        </w:rPr>
        <w:t>Særlige forholdsregler for personer, der administrerer veterinærlægemidlet til dyr</w:t>
      </w:r>
    </w:p>
    <w:p w14:paraId="1D071D23" w14:textId="77777777" w:rsidR="001C6459" w:rsidRPr="00A137C0" w:rsidRDefault="001C6459" w:rsidP="00A137C0">
      <w:pPr>
        <w:ind w:left="851"/>
        <w:rPr>
          <w:sz w:val="24"/>
          <w:szCs w:val="24"/>
          <w:lang w:eastAsia="nl-NL"/>
        </w:rPr>
      </w:pPr>
      <w:r w:rsidRPr="00A137C0">
        <w:rPr>
          <w:sz w:val="24"/>
          <w:szCs w:val="24"/>
        </w:rPr>
        <w:t xml:space="preserve">Dette veterinærlægemiddel kan forårsage overfølsomhedsreaktioner efter indånding, indtagelse eller kontakt med huden. Overfølsomhed over for sulfonamider kan medføre krydsreaktioner med andre antibiotika. Allergiske reaktioner på sulfonamider kan undertiden være alvorlige. Personer med kendt overfølsomhed over for </w:t>
      </w:r>
      <w:proofErr w:type="spellStart"/>
      <w:r w:rsidRPr="00A137C0">
        <w:rPr>
          <w:sz w:val="24"/>
          <w:szCs w:val="24"/>
        </w:rPr>
        <w:t>sulfadiazin</w:t>
      </w:r>
      <w:proofErr w:type="spellEnd"/>
      <w:r w:rsidRPr="00A137C0">
        <w:rPr>
          <w:sz w:val="24"/>
          <w:szCs w:val="24"/>
        </w:rPr>
        <w:t xml:space="preserve"> (eller andre sulfonamider) eller </w:t>
      </w:r>
      <w:proofErr w:type="spellStart"/>
      <w:r w:rsidRPr="00A137C0">
        <w:rPr>
          <w:sz w:val="24"/>
          <w:szCs w:val="24"/>
        </w:rPr>
        <w:t>trimethoprim</w:t>
      </w:r>
      <w:proofErr w:type="spellEnd"/>
      <w:r w:rsidRPr="00A137C0">
        <w:rPr>
          <w:sz w:val="24"/>
          <w:szCs w:val="24"/>
        </w:rPr>
        <w:t xml:space="preserve"> skal undgå kontakt med veterinærlægemidlet. </w:t>
      </w:r>
    </w:p>
    <w:p w14:paraId="34F57E1D" w14:textId="77777777" w:rsidR="001C6459" w:rsidRPr="00A137C0" w:rsidRDefault="001C6459" w:rsidP="00A137C0">
      <w:pPr>
        <w:ind w:left="851"/>
        <w:rPr>
          <w:sz w:val="24"/>
          <w:szCs w:val="24"/>
        </w:rPr>
      </w:pPr>
    </w:p>
    <w:p w14:paraId="48F3F36E" w14:textId="386F8250" w:rsidR="001C6459" w:rsidRPr="00A137C0" w:rsidRDefault="001C6459" w:rsidP="00A137C0">
      <w:pPr>
        <w:ind w:left="851"/>
        <w:rPr>
          <w:sz w:val="24"/>
          <w:szCs w:val="24"/>
        </w:rPr>
      </w:pPr>
      <w:r w:rsidRPr="00A137C0">
        <w:rPr>
          <w:sz w:val="24"/>
          <w:szCs w:val="24"/>
        </w:rPr>
        <w:t>Veterinærlægemidlet kan være skadeligt i tilfælde af utilsigtet indtagelse, herunder hånd-til-mund-kontakt, indånding eller utilsigtet kontakt med ubeskyttet hud og øjnene. Dette veterinærlægemiddel kan forårsage irritation af hud, øjne og luftveje.</w:t>
      </w:r>
    </w:p>
    <w:p w14:paraId="51CE9515" w14:textId="77777777" w:rsidR="001C6459" w:rsidRPr="00A137C0" w:rsidRDefault="001C6459" w:rsidP="00A137C0">
      <w:pPr>
        <w:ind w:left="851"/>
        <w:rPr>
          <w:sz w:val="24"/>
          <w:szCs w:val="24"/>
          <w:lang w:val="nl-NL"/>
        </w:rPr>
      </w:pPr>
    </w:p>
    <w:p w14:paraId="7D3A2376" w14:textId="77777777" w:rsidR="001C6459" w:rsidRPr="00A137C0" w:rsidRDefault="001C6459" w:rsidP="00A137C0">
      <w:pPr>
        <w:ind w:left="851"/>
        <w:rPr>
          <w:sz w:val="24"/>
          <w:szCs w:val="24"/>
        </w:rPr>
      </w:pPr>
      <w:r w:rsidRPr="00A137C0">
        <w:rPr>
          <w:sz w:val="24"/>
          <w:szCs w:val="24"/>
        </w:rPr>
        <w:t xml:space="preserve">Indånding af eventuelt støv samt kontakt med huden og øjnene skal omhyggeligt undgås. </w:t>
      </w:r>
    </w:p>
    <w:p w14:paraId="3A6F6818" w14:textId="77777777" w:rsidR="001C6459" w:rsidRPr="00A137C0" w:rsidRDefault="001C6459" w:rsidP="00A137C0">
      <w:pPr>
        <w:ind w:left="851"/>
        <w:rPr>
          <w:sz w:val="24"/>
          <w:szCs w:val="24"/>
        </w:rPr>
      </w:pPr>
      <w:r w:rsidRPr="00A137C0">
        <w:rPr>
          <w:sz w:val="24"/>
          <w:szCs w:val="24"/>
        </w:rPr>
        <w:t>Utilsigtet indtagelse skal omhyggeligt undgås, især hos børn.</w:t>
      </w:r>
    </w:p>
    <w:p w14:paraId="5EF92EDE" w14:textId="77777777" w:rsidR="001C6459" w:rsidRPr="00A137C0" w:rsidRDefault="001C6459" w:rsidP="00A137C0">
      <w:pPr>
        <w:ind w:left="851"/>
        <w:rPr>
          <w:sz w:val="24"/>
          <w:szCs w:val="24"/>
        </w:rPr>
      </w:pPr>
    </w:p>
    <w:p w14:paraId="1887E5CC" w14:textId="339091BD" w:rsidR="001C6459" w:rsidRPr="00A137C0" w:rsidRDefault="001C6459" w:rsidP="00A137C0">
      <w:pPr>
        <w:ind w:left="851"/>
        <w:rPr>
          <w:sz w:val="24"/>
          <w:szCs w:val="24"/>
        </w:rPr>
      </w:pPr>
      <w:r w:rsidRPr="00A137C0">
        <w:rPr>
          <w:sz w:val="24"/>
          <w:szCs w:val="24"/>
        </w:rPr>
        <w:t>Personligt beskyttelsesudstyr i form af gummihandsker, sikkerhedsbriller og støvmaske (åndedrætsværn til engangsbrug med halvmaske, der opfylder EN149, eller et åndedræts</w:t>
      </w:r>
      <w:r w:rsidR="005F19BB">
        <w:rPr>
          <w:sz w:val="24"/>
          <w:szCs w:val="24"/>
        </w:rPr>
        <w:softHyphen/>
      </w:r>
      <w:r w:rsidRPr="00A137C0">
        <w:rPr>
          <w:sz w:val="24"/>
          <w:szCs w:val="24"/>
        </w:rPr>
        <w:t>værn til flergangsbrug EN140 med filter EN143) skal anvendes ved blanding og håndtering af veterinærlægemidlet. Der må ikke ryges, spises eller drikkes under håndtering af veterinærlægemidlet. Veterinærlægemidlet skal opbevares på et sikkert sted utilgængeligt for børn.</w:t>
      </w:r>
    </w:p>
    <w:p w14:paraId="30879336" w14:textId="77777777" w:rsidR="001C6459" w:rsidRPr="00A137C0" w:rsidRDefault="001C6459" w:rsidP="00A137C0">
      <w:pPr>
        <w:ind w:left="851"/>
        <w:rPr>
          <w:sz w:val="24"/>
          <w:szCs w:val="24"/>
        </w:rPr>
      </w:pPr>
      <w:bookmarkStart w:id="8" w:name="_Hlk205194981"/>
      <w:r w:rsidRPr="00A137C0">
        <w:rPr>
          <w:sz w:val="24"/>
          <w:szCs w:val="24"/>
        </w:rPr>
        <w:t xml:space="preserve">I tilfælde af kontakt med hud eller øjne skylles omgående med rigelige mængder vand. </w:t>
      </w:r>
      <w:bookmarkEnd w:id="8"/>
      <w:r w:rsidRPr="00A137C0">
        <w:rPr>
          <w:sz w:val="24"/>
          <w:szCs w:val="24"/>
        </w:rPr>
        <w:t>Hvis du udvikler symptomer efter eksponering, såsom hududslæt, skal du omgående søge lægehjælp og vise lægen denne advarsel. Hævelse af ansigtet, læberne eller øjnene eller vejrtrækningsbesvær er mere alvorlige symptomer og kræver akut lægehjælp.</w:t>
      </w:r>
    </w:p>
    <w:p w14:paraId="5C2738C3" w14:textId="77777777" w:rsidR="001C6459" w:rsidRPr="00A137C0" w:rsidRDefault="001C6459" w:rsidP="00A137C0">
      <w:pPr>
        <w:ind w:left="851"/>
        <w:rPr>
          <w:sz w:val="24"/>
          <w:szCs w:val="24"/>
        </w:rPr>
      </w:pPr>
      <w:r w:rsidRPr="00A137C0">
        <w:rPr>
          <w:sz w:val="24"/>
          <w:szCs w:val="24"/>
        </w:rPr>
        <w:t>Vask hænder efter brug.</w:t>
      </w:r>
    </w:p>
    <w:p w14:paraId="7FDEBE9F" w14:textId="77777777" w:rsidR="008203A8" w:rsidRPr="00A137C0" w:rsidRDefault="008203A8" w:rsidP="008203A8">
      <w:pPr>
        <w:tabs>
          <w:tab w:val="left" w:pos="851"/>
        </w:tabs>
        <w:ind w:left="851"/>
        <w:rPr>
          <w:sz w:val="24"/>
          <w:szCs w:val="24"/>
        </w:rPr>
      </w:pPr>
    </w:p>
    <w:p w14:paraId="1F43E32F" w14:textId="77777777" w:rsidR="008203A8" w:rsidRPr="00A137C0" w:rsidRDefault="008203A8" w:rsidP="008203A8">
      <w:pPr>
        <w:tabs>
          <w:tab w:val="left" w:pos="851"/>
        </w:tabs>
        <w:ind w:left="851"/>
        <w:rPr>
          <w:sz w:val="24"/>
          <w:szCs w:val="24"/>
          <w:u w:val="single"/>
        </w:rPr>
      </w:pPr>
      <w:r w:rsidRPr="00A137C0">
        <w:rPr>
          <w:sz w:val="24"/>
          <w:szCs w:val="24"/>
          <w:u w:val="single"/>
        </w:rPr>
        <w:t>Særlige forholdsregler vedrørende beskyttelse af miljøet</w:t>
      </w:r>
    </w:p>
    <w:p w14:paraId="7E12AF66" w14:textId="77777777" w:rsidR="001C6459" w:rsidRPr="00A137C0" w:rsidRDefault="001C6459" w:rsidP="00A137C0">
      <w:pPr>
        <w:ind w:left="851"/>
        <w:rPr>
          <w:sz w:val="24"/>
          <w:szCs w:val="24"/>
          <w:lang w:eastAsia="nl-NL"/>
        </w:rPr>
      </w:pPr>
      <w:r w:rsidRPr="00A137C0">
        <w:rPr>
          <w:sz w:val="24"/>
          <w:szCs w:val="24"/>
        </w:rPr>
        <w:t>Ikke relevant.</w:t>
      </w:r>
    </w:p>
    <w:p w14:paraId="5683F6E7" w14:textId="77777777" w:rsidR="008203A8" w:rsidRPr="00A137C0" w:rsidRDefault="008203A8" w:rsidP="008203A8">
      <w:pPr>
        <w:tabs>
          <w:tab w:val="left" w:pos="851"/>
        </w:tabs>
        <w:ind w:left="851"/>
        <w:rPr>
          <w:sz w:val="24"/>
          <w:szCs w:val="24"/>
        </w:rPr>
      </w:pPr>
    </w:p>
    <w:p w14:paraId="1FA3DA2E" w14:textId="77777777" w:rsidR="008203A8" w:rsidRPr="00A137C0" w:rsidRDefault="008203A8" w:rsidP="008203A8">
      <w:pPr>
        <w:tabs>
          <w:tab w:val="left" w:pos="851"/>
        </w:tabs>
        <w:ind w:left="851" w:hanging="851"/>
        <w:rPr>
          <w:b/>
          <w:sz w:val="24"/>
          <w:szCs w:val="24"/>
        </w:rPr>
      </w:pPr>
      <w:r w:rsidRPr="00A137C0">
        <w:rPr>
          <w:b/>
          <w:sz w:val="24"/>
          <w:szCs w:val="24"/>
        </w:rPr>
        <w:t>3.6</w:t>
      </w:r>
      <w:r w:rsidRPr="00A137C0">
        <w:rPr>
          <w:b/>
          <w:sz w:val="24"/>
          <w:szCs w:val="24"/>
        </w:rPr>
        <w:tab/>
        <w:t>Bivirkninger</w:t>
      </w:r>
    </w:p>
    <w:p w14:paraId="6192546C" w14:textId="4C33D454" w:rsidR="001C6459" w:rsidRDefault="001C6459" w:rsidP="00A137C0">
      <w:pPr>
        <w:ind w:left="851"/>
        <w:rPr>
          <w:sz w:val="24"/>
          <w:szCs w:val="24"/>
        </w:rPr>
      </w:pPr>
      <w:bookmarkStart w:id="9" w:name="_Hlk66891708"/>
      <w:r w:rsidRPr="00A137C0">
        <w:rPr>
          <w:sz w:val="24"/>
          <w:szCs w:val="24"/>
        </w:rPr>
        <w:t>Heste:</w:t>
      </w:r>
      <w:bookmarkStart w:id="10" w:name="_Hlk120606115"/>
    </w:p>
    <w:p w14:paraId="7B657E18" w14:textId="77777777" w:rsidR="005F19BB" w:rsidRPr="00A137C0" w:rsidRDefault="005F19BB" w:rsidP="00A137C0">
      <w:pPr>
        <w:ind w:left="851"/>
        <w:rPr>
          <w:iCs/>
          <w:sz w:val="24"/>
          <w:szCs w:val="24"/>
          <w:lang w:eastAsia="nl-NL"/>
        </w:rPr>
      </w:pPr>
    </w:p>
    <w:tbl>
      <w:tblPr>
        <w:tblW w:w="449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4879"/>
      </w:tblGrid>
      <w:tr w:rsidR="001C6459" w:rsidRPr="00A137C0" w14:paraId="69BCEBDB" w14:textId="77777777" w:rsidTr="00A137C0">
        <w:tc>
          <w:tcPr>
            <w:tcW w:w="2179" w:type="pct"/>
            <w:tcBorders>
              <w:top w:val="single" w:sz="4" w:space="0" w:color="auto"/>
              <w:left w:val="single" w:sz="4" w:space="0" w:color="auto"/>
              <w:bottom w:val="single" w:sz="4" w:space="0" w:color="auto"/>
              <w:right w:val="single" w:sz="4" w:space="0" w:color="auto"/>
            </w:tcBorders>
            <w:hideMark/>
          </w:tcPr>
          <w:p w14:paraId="45BD9624" w14:textId="77777777" w:rsidR="001C6459" w:rsidRPr="00A137C0" w:rsidRDefault="001C6459">
            <w:pPr>
              <w:rPr>
                <w:iCs/>
                <w:sz w:val="24"/>
                <w:szCs w:val="24"/>
              </w:rPr>
            </w:pPr>
            <w:r w:rsidRPr="00A137C0">
              <w:rPr>
                <w:sz w:val="24"/>
                <w:szCs w:val="24"/>
              </w:rPr>
              <w:t>Almindelig</w:t>
            </w:r>
          </w:p>
          <w:p w14:paraId="1535B3EE" w14:textId="77777777" w:rsidR="001C6459" w:rsidRPr="00A137C0" w:rsidRDefault="001C6459">
            <w:pPr>
              <w:rPr>
                <w:iCs/>
                <w:sz w:val="24"/>
                <w:szCs w:val="24"/>
              </w:rPr>
            </w:pPr>
            <w:r w:rsidRPr="00A137C0">
              <w:rPr>
                <w:sz w:val="24"/>
                <w:szCs w:val="24"/>
              </w:rPr>
              <w:t>(1 til 10 dyr ud af 100 behandlede dyr):</w:t>
            </w:r>
          </w:p>
        </w:tc>
        <w:tc>
          <w:tcPr>
            <w:tcW w:w="2821" w:type="pct"/>
            <w:tcBorders>
              <w:top w:val="single" w:sz="4" w:space="0" w:color="auto"/>
              <w:left w:val="single" w:sz="4" w:space="0" w:color="auto"/>
              <w:bottom w:val="single" w:sz="4" w:space="0" w:color="auto"/>
              <w:right w:val="single" w:sz="4" w:space="0" w:color="auto"/>
            </w:tcBorders>
          </w:tcPr>
          <w:p w14:paraId="48446490" w14:textId="77777777" w:rsidR="001C6459" w:rsidRPr="00A137C0" w:rsidRDefault="001C6459">
            <w:pPr>
              <w:rPr>
                <w:iCs/>
                <w:sz w:val="24"/>
                <w:szCs w:val="24"/>
                <w:vertAlign w:val="superscript"/>
              </w:rPr>
            </w:pPr>
            <w:r w:rsidRPr="00A137C0">
              <w:rPr>
                <w:sz w:val="24"/>
                <w:szCs w:val="24"/>
              </w:rPr>
              <w:t xml:space="preserve">Sygdom i fordøjelseskanalen (f.eks. løs afføring, diarré, </w:t>
            </w:r>
            <w:proofErr w:type="spellStart"/>
            <w:r w:rsidRPr="00A137C0">
              <w:rPr>
                <w:sz w:val="24"/>
                <w:szCs w:val="24"/>
              </w:rPr>
              <w:t>kolitis</w:t>
            </w:r>
            <w:proofErr w:type="spellEnd"/>
            <w:r w:rsidRPr="00A137C0">
              <w:rPr>
                <w:sz w:val="24"/>
                <w:szCs w:val="24"/>
              </w:rPr>
              <w:t>)</w:t>
            </w:r>
            <w:r w:rsidRPr="00A137C0">
              <w:rPr>
                <w:sz w:val="24"/>
                <w:szCs w:val="24"/>
                <w:vertAlign w:val="superscript"/>
              </w:rPr>
              <w:t>1</w:t>
            </w:r>
          </w:p>
          <w:p w14:paraId="02D2BD83" w14:textId="77777777" w:rsidR="001C6459" w:rsidRPr="00A137C0" w:rsidRDefault="001C6459">
            <w:pPr>
              <w:rPr>
                <w:iCs/>
                <w:sz w:val="24"/>
                <w:szCs w:val="24"/>
              </w:rPr>
            </w:pPr>
          </w:p>
        </w:tc>
      </w:tr>
      <w:tr w:rsidR="001C6459" w:rsidRPr="00A137C0" w14:paraId="40E233A9" w14:textId="77777777" w:rsidTr="00A137C0">
        <w:tc>
          <w:tcPr>
            <w:tcW w:w="2179" w:type="pct"/>
            <w:tcBorders>
              <w:top w:val="single" w:sz="4" w:space="0" w:color="auto"/>
              <w:left w:val="single" w:sz="4" w:space="0" w:color="auto"/>
              <w:bottom w:val="single" w:sz="4" w:space="0" w:color="auto"/>
              <w:right w:val="single" w:sz="4" w:space="0" w:color="auto"/>
            </w:tcBorders>
            <w:hideMark/>
          </w:tcPr>
          <w:p w14:paraId="0FB12348" w14:textId="77777777" w:rsidR="001C6459" w:rsidRPr="00A137C0" w:rsidRDefault="001C6459">
            <w:pPr>
              <w:rPr>
                <w:iCs/>
                <w:sz w:val="24"/>
                <w:szCs w:val="24"/>
              </w:rPr>
            </w:pPr>
            <w:r w:rsidRPr="00A137C0">
              <w:rPr>
                <w:sz w:val="24"/>
                <w:szCs w:val="24"/>
              </w:rPr>
              <w:t>Ikke kendt (hyppigheden kan ikke estimeres ud fra forhåndenværende data): </w:t>
            </w:r>
          </w:p>
        </w:tc>
        <w:tc>
          <w:tcPr>
            <w:tcW w:w="2821" w:type="pct"/>
            <w:tcBorders>
              <w:top w:val="single" w:sz="4" w:space="0" w:color="auto"/>
              <w:left w:val="single" w:sz="4" w:space="0" w:color="auto"/>
              <w:bottom w:val="single" w:sz="4" w:space="0" w:color="auto"/>
              <w:right w:val="single" w:sz="4" w:space="0" w:color="auto"/>
            </w:tcBorders>
            <w:hideMark/>
          </w:tcPr>
          <w:p w14:paraId="19A328CC" w14:textId="77777777" w:rsidR="001C6459" w:rsidRPr="00A137C0" w:rsidRDefault="001C6459">
            <w:pPr>
              <w:rPr>
                <w:iCs/>
                <w:sz w:val="24"/>
                <w:szCs w:val="24"/>
              </w:rPr>
            </w:pPr>
            <w:r w:rsidRPr="00A137C0">
              <w:rPr>
                <w:sz w:val="24"/>
                <w:szCs w:val="24"/>
              </w:rPr>
              <w:t xml:space="preserve">Overfølsomhedsreaktion (f.eks. </w:t>
            </w:r>
            <w:proofErr w:type="spellStart"/>
            <w:r w:rsidRPr="00A137C0">
              <w:rPr>
                <w:sz w:val="24"/>
                <w:szCs w:val="24"/>
              </w:rPr>
              <w:t>urticaria</w:t>
            </w:r>
            <w:proofErr w:type="spellEnd"/>
            <w:r w:rsidRPr="00A137C0">
              <w:rPr>
                <w:sz w:val="24"/>
                <w:szCs w:val="24"/>
              </w:rPr>
              <w:t>)</w:t>
            </w:r>
          </w:p>
          <w:p w14:paraId="2360D0F5" w14:textId="77777777" w:rsidR="001C6459" w:rsidRPr="00A137C0" w:rsidRDefault="001C6459">
            <w:pPr>
              <w:rPr>
                <w:iCs/>
                <w:sz w:val="24"/>
                <w:szCs w:val="24"/>
              </w:rPr>
            </w:pPr>
            <w:r w:rsidRPr="00A137C0">
              <w:rPr>
                <w:sz w:val="24"/>
                <w:szCs w:val="24"/>
              </w:rPr>
              <w:t>Manglende appetit</w:t>
            </w:r>
          </w:p>
          <w:p w14:paraId="543D1F58" w14:textId="77777777" w:rsidR="001C6459" w:rsidRPr="00A137C0" w:rsidRDefault="001C6459">
            <w:pPr>
              <w:rPr>
                <w:iCs/>
                <w:sz w:val="24"/>
                <w:szCs w:val="24"/>
              </w:rPr>
            </w:pPr>
            <w:r w:rsidRPr="00A137C0">
              <w:rPr>
                <w:sz w:val="24"/>
                <w:szCs w:val="24"/>
              </w:rPr>
              <w:t>Leversygdom</w:t>
            </w:r>
          </w:p>
          <w:p w14:paraId="47E852BA" w14:textId="77777777" w:rsidR="001C6459" w:rsidRPr="00A137C0" w:rsidRDefault="001C6459">
            <w:pPr>
              <w:rPr>
                <w:iCs/>
                <w:sz w:val="24"/>
                <w:szCs w:val="24"/>
              </w:rPr>
            </w:pPr>
            <w:r w:rsidRPr="00A137C0">
              <w:rPr>
                <w:sz w:val="24"/>
                <w:szCs w:val="24"/>
              </w:rPr>
              <w:t xml:space="preserve">Nyresygdom, </w:t>
            </w:r>
            <w:proofErr w:type="spellStart"/>
            <w:r w:rsidRPr="00A137C0">
              <w:rPr>
                <w:sz w:val="24"/>
                <w:szCs w:val="24"/>
              </w:rPr>
              <w:t>renal</w:t>
            </w:r>
            <w:proofErr w:type="spellEnd"/>
            <w:r w:rsidRPr="00A137C0">
              <w:rPr>
                <w:sz w:val="24"/>
                <w:szCs w:val="24"/>
              </w:rPr>
              <w:t xml:space="preserve"> </w:t>
            </w:r>
            <w:proofErr w:type="spellStart"/>
            <w:r w:rsidRPr="00A137C0">
              <w:rPr>
                <w:sz w:val="24"/>
                <w:szCs w:val="24"/>
              </w:rPr>
              <w:t>tubulær</w:t>
            </w:r>
            <w:proofErr w:type="spellEnd"/>
            <w:r w:rsidRPr="00A137C0">
              <w:rPr>
                <w:sz w:val="24"/>
                <w:szCs w:val="24"/>
              </w:rPr>
              <w:t xml:space="preserve"> sygdom</w:t>
            </w:r>
            <w:r w:rsidRPr="00A137C0">
              <w:rPr>
                <w:sz w:val="24"/>
                <w:szCs w:val="24"/>
                <w:vertAlign w:val="superscript"/>
              </w:rPr>
              <w:t>2</w:t>
            </w:r>
          </w:p>
          <w:p w14:paraId="36BA88A8" w14:textId="77777777" w:rsidR="001C6459" w:rsidRPr="00A137C0" w:rsidRDefault="001C6459">
            <w:pPr>
              <w:rPr>
                <w:iCs/>
                <w:sz w:val="24"/>
                <w:szCs w:val="24"/>
              </w:rPr>
            </w:pPr>
            <w:r w:rsidRPr="00A137C0">
              <w:rPr>
                <w:sz w:val="24"/>
                <w:szCs w:val="24"/>
              </w:rPr>
              <w:t xml:space="preserve">Hæmatologiske virkninger (f.eks. anæmi, </w:t>
            </w:r>
            <w:proofErr w:type="spellStart"/>
            <w:r w:rsidRPr="00A137C0">
              <w:rPr>
                <w:sz w:val="24"/>
                <w:szCs w:val="24"/>
              </w:rPr>
              <w:t>trombocytopeni</w:t>
            </w:r>
            <w:proofErr w:type="spellEnd"/>
            <w:r w:rsidRPr="00A137C0">
              <w:rPr>
                <w:sz w:val="24"/>
                <w:szCs w:val="24"/>
              </w:rPr>
              <w:t xml:space="preserve"> eller </w:t>
            </w:r>
            <w:proofErr w:type="spellStart"/>
            <w:r w:rsidRPr="00A137C0">
              <w:rPr>
                <w:sz w:val="24"/>
                <w:szCs w:val="24"/>
              </w:rPr>
              <w:t>leukopeni</w:t>
            </w:r>
            <w:proofErr w:type="spellEnd"/>
            <w:r w:rsidRPr="00A137C0">
              <w:rPr>
                <w:sz w:val="24"/>
                <w:szCs w:val="24"/>
              </w:rPr>
              <w:t>)</w:t>
            </w:r>
          </w:p>
          <w:p w14:paraId="2D195BC4" w14:textId="77777777" w:rsidR="001C6459" w:rsidRPr="00A137C0" w:rsidRDefault="001C6459">
            <w:pPr>
              <w:rPr>
                <w:iCs/>
                <w:sz w:val="24"/>
                <w:szCs w:val="24"/>
              </w:rPr>
            </w:pPr>
            <w:r w:rsidRPr="00A137C0">
              <w:rPr>
                <w:sz w:val="24"/>
                <w:szCs w:val="24"/>
              </w:rPr>
              <w:t xml:space="preserve">Hæmaturi, </w:t>
            </w:r>
            <w:proofErr w:type="spellStart"/>
            <w:r w:rsidRPr="00A137C0">
              <w:rPr>
                <w:sz w:val="24"/>
                <w:szCs w:val="24"/>
              </w:rPr>
              <w:t>krystalluri</w:t>
            </w:r>
            <w:proofErr w:type="spellEnd"/>
          </w:p>
        </w:tc>
      </w:tr>
    </w:tbl>
    <w:bookmarkEnd w:id="10"/>
    <w:p w14:paraId="40E4C2D8" w14:textId="77777777" w:rsidR="001C6459" w:rsidRPr="00A137C0" w:rsidRDefault="001C6459" w:rsidP="00A137C0">
      <w:pPr>
        <w:ind w:left="851"/>
        <w:rPr>
          <w:iCs/>
          <w:kern w:val="14"/>
          <w:sz w:val="24"/>
          <w:szCs w:val="24"/>
          <w:lang w:eastAsia="nl-NL"/>
        </w:rPr>
      </w:pPr>
      <w:r w:rsidRPr="00A137C0">
        <w:rPr>
          <w:sz w:val="24"/>
          <w:szCs w:val="24"/>
          <w:vertAlign w:val="superscript"/>
        </w:rPr>
        <w:t>1</w:t>
      </w:r>
      <w:r w:rsidRPr="00A137C0">
        <w:rPr>
          <w:sz w:val="24"/>
          <w:szCs w:val="24"/>
        </w:rPr>
        <w:t xml:space="preserve"> Behandlingen skal seponeres og symptomatisk behandling indledes efter behov.</w:t>
      </w:r>
    </w:p>
    <w:p w14:paraId="2313BA41" w14:textId="77777777" w:rsidR="001C6459" w:rsidRPr="00A137C0" w:rsidRDefault="001C6459" w:rsidP="00A137C0">
      <w:pPr>
        <w:ind w:left="851"/>
        <w:rPr>
          <w:iCs/>
          <w:sz w:val="24"/>
          <w:szCs w:val="24"/>
        </w:rPr>
      </w:pPr>
      <w:r w:rsidRPr="00A137C0">
        <w:rPr>
          <w:sz w:val="24"/>
          <w:szCs w:val="24"/>
          <w:vertAlign w:val="superscript"/>
        </w:rPr>
        <w:t>2</w:t>
      </w:r>
      <w:r w:rsidRPr="00A137C0">
        <w:rPr>
          <w:sz w:val="24"/>
          <w:szCs w:val="24"/>
        </w:rPr>
        <w:t xml:space="preserve"> </w:t>
      </w:r>
      <w:proofErr w:type="spellStart"/>
      <w:r w:rsidRPr="00A137C0">
        <w:rPr>
          <w:sz w:val="24"/>
          <w:szCs w:val="24"/>
        </w:rPr>
        <w:t>Tubulusobstruktion</w:t>
      </w:r>
      <w:proofErr w:type="spellEnd"/>
    </w:p>
    <w:p w14:paraId="46DD04AA" w14:textId="77777777" w:rsidR="001C6459" w:rsidRPr="00A137C0" w:rsidRDefault="001C6459" w:rsidP="00A137C0">
      <w:pPr>
        <w:ind w:left="851"/>
        <w:rPr>
          <w:sz w:val="24"/>
          <w:szCs w:val="24"/>
        </w:rPr>
      </w:pPr>
    </w:p>
    <w:p w14:paraId="2808B850" w14:textId="1E21BD44" w:rsidR="001C6459" w:rsidRPr="00A137C0" w:rsidRDefault="001C6459" w:rsidP="00A137C0">
      <w:pPr>
        <w:ind w:left="851"/>
        <w:rPr>
          <w:sz w:val="24"/>
          <w:szCs w:val="24"/>
        </w:rPr>
      </w:pPr>
      <w:r w:rsidRPr="00A137C0">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eller den indre emballage for de relevante kontaktoplysninger.</w:t>
      </w:r>
      <w:bookmarkEnd w:id="9"/>
    </w:p>
    <w:p w14:paraId="524003BE" w14:textId="77777777" w:rsidR="008203A8" w:rsidRPr="00A137C0" w:rsidRDefault="008203A8" w:rsidP="008203A8">
      <w:pPr>
        <w:tabs>
          <w:tab w:val="left" w:pos="851"/>
        </w:tabs>
        <w:ind w:left="851"/>
        <w:rPr>
          <w:sz w:val="24"/>
          <w:szCs w:val="24"/>
        </w:rPr>
      </w:pPr>
    </w:p>
    <w:p w14:paraId="7CDC7459" w14:textId="77777777" w:rsidR="008203A8" w:rsidRPr="00A137C0" w:rsidRDefault="008203A8" w:rsidP="008203A8">
      <w:pPr>
        <w:tabs>
          <w:tab w:val="left" w:pos="851"/>
        </w:tabs>
        <w:ind w:left="851" w:hanging="851"/>
        <w:rPr>
          <w:b/>
          <w:sz w:val="24"/>
          <w:szCs w:val="24"/>
        </w:rPr>
      </w:pPr>
      <w:r w:rsidRPr="00A137C0">
        <w:rPr>
          <w:b/>
          <w:sz w:val="24"/>
          <w:szCs w:val="24"/>
        </w:rPr>
        <w:t>3.7</w:t>
      </w:r>
      <w:r w:rsidRPr="00A137C0">
        <w:rPr>
          <w:b/>
          <w:sz w:val="24"/>
          <w:szCs w:val="24"/>
        </w:rPr>
        <w:tab/>
        <w:t>Anvendelse under drægtighed, laktation eller æglægning</w:t>
      </w:r>
    </w:p>
    <w:p w14:paraId="7F4D49DF" w14:textId="77777777" w:rsidR="001C6459" w:rsidRPr="00A137C0" w:rsidRDefault="001C6459" w:rsidP="00A137C0">
      <w:pPr>
        <w:ind w:left="851"/>
        <w:rPr>
          <w:sz w:val="24"/>
          <w:szCs w:val="24"/>
          <w:lang w:eastAsia="nl-NL"/>
        </w:rPr>
      </w:pPr>
      <w:bookmarkStart w:id="11" w:name="_Hlk205195070"/>
      <w:r w:rsidRPr="00A137C0">
        <w:rPr>
          <w:sz w:val="24"/>
          <w:szCs w:val="24"/>
        </w:rPr>
        <w:t>Veterinærlægemidlets sikkerhed under drægtighed eller laktation er ikke fastlagt.</w:t>
      </w:r>
    </w:p>
    <w:bookmarkEnd w:id="11"/>
    <w:p w14:paraId="5317F9CE" w14:textId="77777777" w:rsidR="001C6459" w:rsidRPr="00A137C0" w:rsidRDefault="001C6459" w:rsidP="00A137C0">
      <w:pPr>
        <w:ind w:left="851"/>
        <w:rPr>
          <w:sz w:val="24"/>
          <w:szCs w:val="24"/>
        </w:rPr>
      </w:pPr>
    </w:p>
    <w:p w14:paraId="59D7461A" w14:textId="77777777" w:rsidR="001C6459" w:rsidRPr="00A137C0" w:rsidRDefault="001C6459" w:rsidP="00A137C0">
      <w:pPr>
        <w:ind w:left="851"/>
        <w:rPr>
          <w:sz w:val="24"/>
          <w:szCs w:val="24"/>
          <w:u w:val="single"/>
        </w:rPr>
      </w:pPr>
      <w:r w:rsidRPr="00A137C0">
        <w:rPr>
          <w:sz w:val="24"/>
          <w:szCs w:val="24"/>
          <w:u w:val="single"/>
        </w:rPr>
        <w:t xml:space="preserve">Drægtighed: </w:t>
      </w:r>
    </w:p>
    <w:p w14:paraId="32A92D5C" w14:textId="28E70A3C" w:rsidR="001C6459" w:rsidRPr="00A137C0" w:rsidRDefault="001C6459" w:rsidP="00A137C0">
      <w:pPr>
        <w:ind w:left="851"/>
        <w:rPr>
          <w:sz w:val="24"/>
          <w:szCs w:val="24"/>
        </w:rPr>
      </w:pPr>
      <w:bookmarkStart w:id="12" w:name="_Hlk187656740"/>
      <w:r w:rsidRPr="00A137C0">
        <w:rPr>
          <w:sz w:val="24"/>
          <w:szCs w:val="24"/>
        </w:rPr>
        <w:t xml:space="preserve">Laboratorieundersøgelser af rotter og kaniner har afsløret evidens for </w:t>
      </w:r>
      <w:proofErr w:type="spellStart"/>
      <w:r w:rsidRPr="00A137C0">
        <w:rPr>
          <w:sz w:val="24"/>
          <w:szCs w:val="24"/>
        </w:rPr>
        <w:t>teratogene</w:t>
      </w:r>
      <w:proofErr w:type="spellEnd"/>
      <w:r w:rsidRPr="00A137C0">
        <w:rPr>
          <w:sz w:val="24"/>
          <w:szCs w:val="24"/>
        </w:rPr>
        <w:t xml:space="preserve"> virkninger ved doser, der var over de terapeutiske doser. Må ikke anvendes under drægtighed.</w:t>
      </w:r>
    </w:p>
    <w:bookmarkEnd w:id="12"/>
    <w:p w14:paraId="1F3DFB10" w14:textId="77777777" w:rsidR="001C6459" w:rsidRPr="00A137C0" w:rsidRDefault="001C6459" w:rsidP="00A137C0">
      <w:pPr>
        <w:ind w:left="851"/>
        <w:rPr>
          <w:sz w:val="24"/>
          <w:szCs w:val="24"/>
        </w:rPr>
      </w:pPr>
    </w:p>
    <w:p w14:paraId="27D56A15" w14:textId="77777777" w:rsidR="001C6459" w:rsidRPr="00A137C0" w:rsidRDefault="001C6459" w:rsidP="00A137C0">
      <w:pPr>
        <w:ind w:left="851"/>
        <w:rPr>
          <w:sz w:val="24"/>
          <w:szCs w:val="24"/>
          <w:u w:val="single"/>
        </w:rPr>
      </w:pPr>
      <w:r w:rsidRPr="00A137C0">
        <w:rPr>
          <w:sz w:val="24"/>
          <w:szCs w:val="24"/>
          <w:u w:val="single"/>
        </w:rPr>
        <w:t>Laktation:</w:t>
      </w:r>
    </w:p>
    <w:p w14:paraId="4153763B" w14:textId="77777777" w:rsidR="001C6459" w:rsidRPr="00A137C0" w:rsidRDefault="001C6459" w:rsidP="00A137C0">
      <w:pPr>
        <w:ind w:left="851"/>
        <w:rPr>
          <w:sz w:val="24"/>
          <w:szCs w:val="24"/>
        </w:rPr>
      </w:pPr>
      <w:bookmarkStart w:id="13" w:name="_Hlk187656755"/>
      <w:r w:rsidRPr="00A137C0">
        <w:rPr>
          <w:sz w:val="24"/>
          <w:szCs w:val="24"/>
        </w:rPr>
        <w:t xml:space="preserve">Ved administration til diegivende hunner, vil små mængder </w:t>
      </w:r>
      <w:proofErr w:type="spellStart"/>
      <w:r w:rsidRPr="00A137C0">
        <w:rPr>
          <w:sz w:val="24"/>
          <w:szCs w:val="24"/>
        </w:rPr>
        <w:t>trimethoprim</w:t>
      </w:r>
      <w:proofErr w:type="spellEnd"/>
      <w:r w:rsidRPr="00A137C0">
        <w:rPr>
          <w:sz w:val="24"/>
          <w:szCs w:val="24"/>
        </w:rPr>
        <w:t xml:space="preserve"> og </w:t>
      </w:r>
      <w:proofErr w:type="spellStart"/>
      <w:r w:rsidRPr="00A137C0">
        <w:rPr>
          <w:sz w:val="24"/>
          <w:szCs w:val="24"/>
        </w:rPr>
        <w:t>sulfadiazin</w:t>
      </w:r>
      <w:proofErr w:type="spellEnd"/>
      <w:r w:rsidRPr="00A137C0">
        <w:rPr>
          <w:sz w:val="24"/>
          <w:szCs w:val="24"/>
        </w:rPr>
        <w:t xml:space="preserve"> overføres til modermælken. Anvendelse frarådes under laktation.</w:t>
      </w:r>
      <w:bookmarkEnd w:id="13"/>
    </w:p>
    <w:p w14:paraId="3470BD3D" w14:textId="77777777" w:rsidR="008203A8" w:rsidRPr="00A137C0" w:rsidRDefault="008203A8" w:rsidP="008203A8">
      <w:pPr>
        <w:tabs>
          <w:tab w:val="left" w:pos="851"/>
        </w:tabs>
        <w:ind w:left="851"/>
        <w:rPr>
          <w:sz w:val="24"/>
          <w:szCs w:val="24"/>
        </w:rPr>
      </w:pPr>
    </w:p>
    <w:p w14:paraId="6418910B" w14:textId="77777777" w:rsidR="008203A8" w:rsidRPr="00A137C0" w:rsidRDefault="008203A8" w:rsidP="008203A8">
      <w:pPr>
        <w:tabs>
          <w:tab w:val="left" w:pos="851"/>
        </w:tabs>
        <w:ind w:left="851" w:hanging="851"/>
        <w:rPr>
          <w:b/>
          <w:sz w:val="24"/>
          <w:szCs w:val="24"/>
        </w:rPr>
      </w:pPr>
      <w:r w:rsidRPr="00A137C0">
        <w:rPr>
          <w:b/>
          <w:sz w:val="24"/>
          <w:szCs w:val="24"/>
        </w:rPr>
        <w:t>3.8</w:t>
      </w:r>
      <w:r w:rsidRPr="00A137C0">
        <w:rPr>
          <w:b/>
          <w:sz w:val="24"/>
          <w:szCs w:val="24"/>
        </w:rPr>
        <w:tab/>
        <w:t>Interaktion med andre lægemidler og andre former for interaktion</w:t>
      </w:r>
    </w:p>
    <w:p w14:paraId="3D15CB38" w14:textId="77777777" w:rsidR="001C6459" w:rsidRPr="00A137C0" w:rsidRDefault="001C6459" w:rsidP="00A137C0">
      <w:pPr>
        <w:ind w:left="851"/>
        <w:rPr>
          <w:sz w:val="24"/>
          <w:szCs w:val="24"/>
          <w:lang w:eastAsia="nl-NL"/>
        </w:rPr>
      </w:pPr>
      <w:r w:rsidRPr="00A137C0">
        <w:rPr>
          <w:sz w:val="24"/>
          <w:szCs w:val="24"/>
        </w:rPr>
        <w:t xml:space="preserve">Potenserede sulfonamider anvendt sammen med alfa2-adrenoceptoragonister, som for eksempel </w:t>
      </w:r>
      <w:proofErr w:type="spellStart"/>
      <w:r w:rsidRPr="00A137C0">
        <w:rPr>
          <w:sz w:val="24"/>
          <w:szCs w:val="24"/>
        </w:rPr>
        <w:t>detomidin</w:t>
      </w:r>
      <w:proofErr w:type="spellEnd"/>
      <w:r w:rsidRPr="00A137C0">
        <w:rPr>
          <w:sz w:val="24"/>
          <w:szCs w:val="24"/>
        </w:rPr>
        <w:t xml:space="preserve">, kan forårsage fatale </w:t>
      </w:r>
      <w:proofErr w:type="spellStart"/>
      <w:r w:rsidRPr="00A137C0">
        <w:rPr>
          <w:sz w:val="24"/>
          <w:szCs w:val="24"/>
        </w:rPr>
        <w:t>arytmier</w:t>
      </w:r>
      <w:proofErr w:type="spellEnd"/>
      <w:r w:rsidRPr="00A137C0">
        <w:rPr>
          <w:sz w:val="24"/>
          <w:szCs w:val="24"/>
        </w:rPr>
        <w:t xml:space="preserve"> hos heste.</w:t>
      </w:r>
    </w:p>
    <w:p w14:paraId="0821FD09" w14:textId="77777777" w:rsidR="001C6459" w:rsidRPr="00A137C0" w:rsidRDefault="001C6459" w:rsidP="00A137C0">
      <w:pPr>
        <w:ind w:left="851"/>
        <w:rPr>
          <w:sz w:val="24"/>
          <w:szCs w:val="24"/>
        </w:rPr>
      </w:pPr>
      <w:r w:rsidRPr="00A137C0">
        <w:rPr>
          <w:sz w:val="24"/>
          <w:szCs w:val="24"/>
        </w:rPr>
        <w:t xml:space="preserve">Må ikke administreres samtidig med </w:t>
      </w:r>
      <w:proofErr w:type="spellStart"/>
      <w:r w:rsidRPr="00A137C0">
        <w:rPr>
          <w:sz w:val="24"/>
          <w:szCs w:val="24"/>
        </w:rPr>
        <w:t>para</w:t>
      </w:r>
      <w:proofErr w:type="spellEnd"/>
      <w:r w:rsidRPr="00A137C0">
        <w:rPr>
          <w:sz w:val="24"/>
          <w:szCs w:val="24"/>
        </w:rPr>
        <w:t xml:space="preserve">-aminobenzoesyre (PABA). </w:t>
      </w:r>
      <w:proofErr w:type="spellStart"/>
      <w:r w:rsidRPr="00A137C0">
        <w:rPr>
          <w:sz w:val="24"/>
          <w:szCs w:val="24"/>
        </w:rPr>
        <w:t>Lokalanæstetika</w:t>
      </w:r>
      <w:proofErr w:type="spellEnd"/>
      <w:r w:rsidRPr="00A137C0">
        <w:rPr>
          <w:sz w:val="24"/>
          <w:szCs w:val="24"/>
        </w:rPr>
        <w:t xml:space="preserve"> fra gruppen af </w:t>
      </w:r>
      <w:proofErr w:type="spellStart"/>
      <w:r w:rsidRPr="00A137C0">
        <w:rPr>
          <w:sz w:val="24"/>
          <w:szCs w:val="24"/>
        </w:rPr>
        <w:t>para-aminobenzoesyreestere</w:t>
      </w:r>
      <w:proofErr w:type="spellEnd"/>
      <w:r w:rsidRPr="00A137C0">
        <w:rPr>
          <w:sz w:val="24"/>
          <w:szCs w:val="24"/>
        </w:rPr>
        <w:t xml:space="preserve"> (</w:t>
      </w:r>
      <w:proofErr w:type="spellStart"/>
      <w:r w:rsidRPr="00A137C0">
        <w:rPr>
          <w:sz w:val="24"/>
          <w:szCs w:val="24"/>
        </w:rPr>
        <w:t>procain</w:t>
      </w:r>
      <w:proofErr w:type="spellEnd"/>
      <w:r w:rsidRPr="00A137C0">
        <w:rPr>
          <w:sz w:val="24"/>
          <w:szCs w:val="24"/>
        </w:rPr>
        <w:t xml:space="preserve">, </w:t>
      </w:r>
      <w:proofErr w:type="spellStart"/>
      <w:r w:rsidRPr="00A137C0">
        <w:rPr>
          <w:sz w:val="24"/>
          <w:szCs w:val="24"/>
        </w:rPr>
        <w:t>benzocain</w:t>
      </w:r>
      <w:proofErr w:type="spellEnd"/>
      <w:r w:rsidRPr="00A137C0">
        <w:rPr>
          <w:sz w:val="24"/>
          <w:szCs w:val="24"/>
        </w:rPr>
        <w:t xml:space="preserve">, </w:t>
      </w:r>
      <w:proofErr w:type="spellStart"/>
      <w:r w:rsidRPr="00A137C0">
        <w:rPr>
          <w:sz w:val="24"/>
          <w:szCs w:val="24"/>
        </w:rPr>
        <w:t>tetracain</w:t>
      </w:r>
      <w:proofErr w:type="spellEnd"/>
      <w:r w:rsidRPr="00A137C0">
        <w:rPr>
          <w:sz w:val="24"/>
          <w:szCs w:val="24"/>
        </w:rPr>
        <w:t xml:space="preserve">) kan hæmme virkningen af sulfonamider lokalt. </w:t>
      </w:r>
    </w:p>
    <w:p w14:paraId="02E379EA" w14:textId="77777777" w:rsidR="008203A8" w:rsidRPr="00A137C0" w:rsidRDefault="008203A8" w:rsidP="008203A8">
      <w:pPr>
        <w:tabs>
          <w:tab w:val="left" w:pos="851"/>
        </w:tabs>
        <w:ind w:left="851"/>
        <w:rPr>
          <w:sz w:val="24"/>
          <w:szCs w:val="24"/>
        </w:rPr>
      </w:pPr>
    </w:p>
    <w:p w14:paraId="6BC8B330" w14:textId="77777777" w:rsidR="008203A8" w:rsidRPr="00A137C0" w:rsidRDefault="008203A8" w:rsidP="008203A8">
      <w:pPr>
        <w:tabs>
          <w:tab w:val="left" w:pos="851"/>
        </w:tabs>
        <w:ind w:left="851" w:hanging="851"/>
        <w:rPr>
          <w:b/>
          <w:sz w:val="24"/>
          <w:szCs w:val="24"/>
        </w:rPr>
      </w:pPr>
      <w:r w:rsidRPr="00A137C0">
        <w:rPr>
          <w:b/>
          <w:sz w:val="24"/>
          <w:szCs w:val="24"/>
        </w:rPr>
        <w:t>3.9</w:t>
      </w:r>
      <w:r w:rsidRPr="00A137C0">
        <w:rPr>
          <w:b/>
          <w:sz w:val="24"/>
          <w:szCs w:val="24"/>
        </w:rPr>
        <w:tab/>
        <w:t>Administrationsveje og dosering</w:t>
      </w:r>
    </w:p>
    <w:p w14:paraId="657B25DC" w14:textId="77777777" w:rsidR="001C6459" w:rsidRPr="00A137C0" w:rsidRDefault="001C6459" w:rsidP="00A137C0">
      <w:pPr>
        <w:ind w:left="851"/>
        <w:rPr>
          <w:sz w:val="24"/>
          <w:szCs w:val="24"/>
          <w:lang w:eastAsia="nl-NL"/>
        </w:rPr>
      </w:pPr>
      <w:bookmarkStart w:id="14" w:name="_Hlk187656895"/>
      <w:r w:rsidRPr="00A137C0">
        <w:rPr>
          <w:sz w:val="24"/>
          <w:szCs w:val="24"/>
        </w:rPr>
        <w:t>Anvendelse i foder.</w:t>
      </w:r>
    </w:p>
    <w:p w14:paraId="40685EA2" w14:textId="77777777" w:rsidR="001C6459" w:rsidRPr="00A137C0" w:rsidRDefault="001C6459" w:rsidP="00A137C0">
      <w:pPr>
        <w:ind w:left="851"/>
        <w:rPr>
          <w:sz w:val="24"/>
          <w:szCs w:val="24"/>
        </w:rPr>
      </w:pPr>
      <w:r w:rsidRPr="00A137C0">
        <w:rPr>
          <w:sz w:val="24"/>
          <w:szCs w:val="24"/>
        </w:rPr>
        <w:t xml:space="preserve">Den anbefalede dosis pr. administration er 30 mg kombinerede aktive stoffer pr. kg legemsvægt, hvilket vil sige 25 mg </w:t>
      </w:r>
      <w:proofErr w:type="spellStart"/>
      <w:r w:rsidRPr="00A137C0">
        <w:rPr>
          <w:sz w:val="24"/>
          <w:szCs w:val="24"/>
        </w:rPr>
        <w:t>sulfadiazin</w:t>
      </w:r>
      <w:proofErr w:type="spellEnd"/>
      <w:r w:rsidRPr="00A137C0">
        <w:rPr>
          <w:sz w:val="24"/>
          <w:szCs w:val="24"/>
        </w:rPr>
        <w:t xml:space="preserve"> og 5 mg </w:t>
      </w:r>
      <w:proofErr w:type="spellStart"/>
      <w:r w:rsidRPr="00A137C0">
        <w:rPr>
          <w:sz w:val="24"/>
          <w:szCs w:val="24"/>
        </w:rPr>
        <w:t>trimethoprim</w:t>
      </w:r>
      <w:proofErr w:type="spellEnd"/>
      <w:r w:rsidRPr="00A137C0">
        <w:rPr>
          <w:sz w:val="24"/>
          <w:szCs w:val="24"/>
        </w:rPr>
        <w:t xml:space="preserve"> pr. kg legemsvægt eller 62,5 mg veterinærlægemiddel/kg legemsvægt (svarende til 12,5 g pulver pr. 200 kg legemsvægt) administreret én gang dagligt i 5 dage.</w:t>
      </w:r>
    </w:p>
    <w:p w14:paraId="7F035466" w14:textId="77777777" w:rsidR="001C6459" w:rsidRPr="00A137C0" w:rsidRDefault="001C6459" w:rsidP="00A137C0">
      <w:pPr>
        <w:ind w:left="851"/>
        <w:rPr>
          <w:sz w:val="24"/>
          <w:szCs w:val="24"/>
        </w:rPr>
      </w:pPr>
    </w:p>
    <w:p w14:paraId="3DC9CE4E" w14:textId="77777777" w:rsidR="001C6459" w:rsidRPr="00A137C0" w:rsidRDefault="001C6459" w:rsidP="00A137C0">
      <w:pPr>
        <w:ind w:left="851"/>
        <w:rPr>
          <w:sz w:val="24"/>
          <w:szCs w:val="24"/>
        </w:rPr>
      </w:pPr>
      <w:bookmarkStart w:id="15" w:name="_Hlk205196193"/>
      <w:r w:rsidRPr="00A137C0">
        <w:rPr>
          <w:sz w:val="24"/>
          <w:szCs w:val="24"/>
        </w:rPr>
        <w:t>For at sikre korrekt dosering bør legemsvægten bestemmes så nøjagtigt som muligt.</w:t>
      </w:r>
    </w:p>
    <w:p w14:paraId="01FC6CEB" w14:textId="77777777" w:rsidR="001C6459" w:rsidRPr="00A137C0" w:rsidRDefault="001C6459" w:rsidP="00A137C0">
      <w:pPr>
        <w:ind w:left="851"/>
        <w:rPr>
          <w:sz w:val="24"/>
          <w:szCs w:val="24"/>
        </w:rPr>
      </w:pPr>
      <w:r w:rsidRPr="00A137C0">
        <w:rPr>
          <w:sz w:val="24"/>
          <w:szCs w:val="24"/>
        </w:rPr>
        <w:t>Det anbefales at anvende passende kalibreret måleudstyr.</w:t>
      </w:r>
    </w:p>
    <w:bookmarkEnd w:id="15"/>
    <w:p w14:paraId="4BEB1A09" w14:textId="77777777" w:rsidR="001C6459" w:rsidRPr="00A137C0" w:rsidRDefault="001C6459" w:rsidP="00A137C0">
      <w:pPr>
        <w:ind w:left="851"/>
        <w:rPr>
          <w:sz w:val="24"/>
          <w:szCs w:val="24"/>
        </w:rPr>
      </w:pPr>
      <w:r w:rsidRPr="00A137C0">
        <w:rPr>
          <w:sz w:val="24"/>
          <w:szCs w:val="24"/>
        </w:rPr>
        <w:t>Blandes med en lille mængde foder. Det anbefales at holde andet foder tilbage, indtil det medicinholdige foder er indtaget.</w:t>
      </w:r>
    </w:p>
    <w:p w14:paraId="5445E306" w14:textId="77777777" w:rsidR="00B30549" w:rsidRDefault="00B30549" w:rsidP="00A137C0">
      <w:pPr>
        <w:ind w:left="851"/>
        <w:rPr>
          <w:sz w:val="24"/>
          <w:szCs w:val="24"/>
        </w:rPr>
      </w:pPr>
      <w:bookmarkStart w:id="16" w:name="_Hlk205196217"/>
    </w:p>
    <w:p w14:paraId="15529AA0" w14:textId="72B63CC2" w:rsidR="001C6459" w:rsidRPr="00B30549" w:rsidRDefault="001C6459" w:rsidP="00A137C0">
      <w:pPr>
        <w:ind w:left="851"/>
        <w:rPr>
          <w:sz w:val="24"/>
          <w:szCs w:val="24"/>
        </w:rPr>
      </w:pPr>
      <w:r w:rsidRPr="00B30549">
        <w:rPr>
          <w:sz w:val="24"/>
          <w:szCs w:val="24"/>
        </w:rPr>
        <w:t>Veterinærlægemidlet er kun beregnet til administration til behandling af individuelt fodrede dyr.</w:t>
      </w:r>
      <w:bookmarkEnd w:id="14"/>
      <w:bookmarkEnd w:id="16"/>
    </w:p>
    <w:p w14:paraId="47C8137F" w14:textId="77777777" w:rsidR="008203A8" w:rsidRPr="00A137C0" w:rsidRDefault="008203A8" w:rsidP="00A137C0">
      <w:pPr>
        <w:ind w:left="851"/>
        <w:rPr>
          <w:sz w:val="24"/>
          <w:szCs w:val="24"/>
        </w:rPr>
      </w:pPr>
    </w:p>
    <w:p w14:paraId="61A0C228" w14:textId="77777777" w:rsidR="008203A8" w:rsidRPr="00A137C0" w:rsidRDefault="008203A8" w:rsidP="008203A8">
      <w:pPr>
        <w:tabs>
          <w:tab w:val="left" w:pos="851"/>
        </w:tabs>
        <w:ind w:left="851" w:hanging="851"/>
        <w:rPr>
          <w:b/>
          <w:sz w:val="24"/>
          <w:szCs w:val="24"/>
        </w:rPr>
      </w:pPr>
      <w:r w:rsidRPr="00A137C0">
        <w:rPr>
          <w:b/>
          <w:sz w:val="24"/>
          <w:szCs w:val="24"/>
        </w:rPr>
        <w:t>3.10</w:t>
      </w:r>
      <w:r w:rsidRPr="00A137C0">
        <w:rPr>
          <w:b/>
          <w:sz w:val="24"/>
          <w:szCs w:val="24"/>
        </w:rPr>
        <w:tab/>
        <w:t>Symptomer på overdosering (og, hvis relevant, nødforanstaltninger og modgift)</w:t>
      </w:r>
    </w:p>
    <w:p w14:paraId="31FE1AD5" w14:textId="77777777" w:rsidR="001C6459" w:rsidRPr="00A137C0" w:rsidRDefault="001C6459" w:rsidP="00A137C0">
      <w:pPr>
        <w:ind w:left="851"/>
        <w:rPr>
          <w:sz w:val="24"/>
          <w:szCs w:val="24"/>
          <w:lang w:eastAsia="nl-NL"/>
        </w:rPr>
      </w:pPr>
      <w:bookmarkStart w:id="17" w:name="_Hlk205195377"/>
      <w:r w:rsidRPr="00A137C0">
        <w:rPr>
          <w:sz w:val="24"/>
          <w:szCs w:val="24"/>
        </w:rPr>
        <w:t>I tilfælde af overdosering kan der ses løs afføring og diarré. Dette er generelt selvbegrænsende, men behandlingen skal seponeres, og symptomerne kan om nødvendigt behandles symptomatisk, f.eks. med væsketerapi i tilfælde af dehydrering.</w:t>
      </w:r>
      <w:bookmarkEnd w:id="17"/>
    </w:p>
    <w:p w14:paraId="52F1471D" w14:textId="77777777" w:rsidR="008203A8" w:rsidRPr="00A137C0" w:rsidRDefault="008203A8" w:rsidP="008203A8">
      <w:pPr>
        <w:tabs>
          <w:tab w:val="left" w:pos="851"/>
        </w:tabs>
        <w:ind w:left="851"/>
        <w:rPr>
          <w:sz w:val="24"/>
          <w:szCs w:val="24"/>
        </w:rPr>
      </w:pPr>
    </w:p>
    <w:p w14:paraId="0D41F62F" w14:textId="77777777" w:rsidR="008203A8" w:rsidRPr="00A137C0" w:rsidRDefault="008203A8" w:rsidP="008203A8">
      <w:pPr>
        <w:tabs>
          <w:tab w:val="left" w:pos="851"/>
        </w:tabs>
        <w:ind w:left="851" w:hanging="851"/>
        <w:rPr>
          <w:sz w:val="24"/>
          <w:szCs w:val="24"/>
        </w:rPr>
      </w:pPr>
      <w:r w:rsidRPr="00A137C0">
        <w:rPr>
          <w:b/>
          <w:sz w:val="24"/>
          <w:szCs w:val="24"/>
        </w:rPr>
        <w:t>3.11</w:t>
      </w:r>
      <w:r w:rsidRPr="00A137C0">
        <w:rPr>
          <w:sz w:val="24"/>
          <w:szCs w:val="24"/>
        </w:rPr>
        <w:tab/>
      </w:r>
      <w:r w:rsidRPr="00A137C0">
        <w:rPr>
          <w:b/>
          <w:sz w:val="24"/>
          <w:szCs w:val="24"/>
        </w:rPr>
        <w:t>Særlige begrænsninger og betingelser for anvendelse, herunder begrænsninger for anvendelsen af antimikrobielle og antiparasitære veterinærlægemidler for at begrænse risikoen for udvikling af resistens</w:t>
      </w:r>
    </w:p>
    <w:p w14:paraId="59AA9A5B" w14:textId="77777777" w:rsidR="001C6459" w:rsidRPr="00A137C0" w:rsidRDefault="001C6459" w:rsidP="00A137C0">
      <w:pPr>
        <w:ind w:left="851"/>
        <w:rPr>
          <w:sz w:val="24"/>
          <w:szCs w:val="24"/>
          <w:lang w:eastAsia="nl-NL"/>
        </w:rPr>
      </w:pPr>
      <w:r w:rsidRPr="00A137C0">
        <w:rPr>
          <w:sz w:val="24"/>
          <w:szCs w:val="24"/>
        </w:rPr>
        <w:t>Ikke relevant.</w:t>
      </w:r>
    </w:p>
    <w:p w14:paraId="06ECA7C0" w14:textId="77777777" w:rsidR="008203A8" w:rsidRPr="00A137C0" w:rsidRDefault="008203A8" w:rsidP="008203A8">
      <w:pPr>
        <w:tabs>
          <w:tab w:val="left" w:pos="851"/>
        </w:tabs>
        <w:ind w:left="851"/>
        <w:rPr>
          <w:sz w:val="24"/>
          <w:szCs w:val="24"/>
        </w:rPr>
      </w:pPr>
    </w:p>
    <w:p w14:paraId="3FEC1B03" w14:textId="77777777" w:rsidR="008203A8" w:rsidRPr="00A137C0" w:rsidRDefault="008203A8" w:rsidP="008203A8">
      <w:pPr>
        <w:tabs>
          <w:tab w:val="left" w:pos="851"/>
        </w:tabs>
        <w:ind w:left="851" w:hanging="851"/>
        <w:rPr>
          <w:b/>
          <w:sz w:val="24"/>
          <w:szCs w:val="24"/>
        </w:rPr>
      </w:pPr>
      <w:r w:rsidRPr="00A137C0">
        <w:rPr>
          <w:b/>
          <w:sz w:val="24"/>
          <w:szCs w:val="24"/>
        </w:rPr>
        <w:t>3.12</w:t>
      </w:r>
      <w:r w:rsidRPr="00A137C0">
        <w:rPr>
          <w:b/>
          <w:sz w:val="24"/>
          <w:szCs w:val="24"/>
        </w:rPr>
        <w:tab/>
        <w:t>Tilbageholdelsestid(er)</w:t>
      </w:r>
    </w:p>
    <w:p w14:paraId="542DC384" w14:textId="77777777" w:rsidR="001C6459" w:rsidRPr="00A137C0" w:rsidRDefault="001C6459" w:rsidP="00A137C0">
      <w:pPr>
        <w:ind w:left="851"/>
        <w:rPr>
          <w:sz w:val="24"/>
          <w:szCs w:val="24"/>
          <w:lang w:eastAsia="nl-NL"/>
        </w:rPr>
      </w:pPr>
      <w:bookmarkStart w:id="18" w:name="_Hlk187651624"/>
      <w:r w:rsidRPr="00A137C0">
        <w:rPr>
          <w:sz w:val="24"/>
          <w:szCs w:val="24"/>
        </w:rPr>
        <w:t>Slagtning: 6 måneder.</w:t>
      </w:r>
    </w:p>
    <w:p w14:paraId="7AB27185" w14:textId="77777777" w:rsidR="001C6459" w:rsidRPr="00A137C0" w:rsidRDefault="001C6459" w:rsidP="00A137C0">
      <w:pPr>
        <w:ind w:left="851"/>
        <w:rPr>
          <w:sz w:val="24"/>
          <w:szCs w:val="24"/>
        </w:rPr>
      </w:pPr>
      <w:bookmarkStart w:id="19" w:name="_Hlk205196239"/>
      <w:r w:rsidRPr="00A137C0">
        <w:rPr>
          <w:sz w:val="24"/>
          <w:szCs w:val="24"/>
        </w:rPr>
        <w:t>Må ikke anvendes til dyr, hvis mælk er bestemt til menneskeføde.</w:t>
      </w:r>
      <w:bookmarkEnd w:id="18"/>
      <w:bookmarkEnd w:id="19"/>
    </w:p>
    <w:p w14:paraId="0A6CEFDD" w14:textId="77777777" w:rsidR="008203A8" w:rsidRPr="00A137C0" w:rsidRDefault="008203A8" w:rsidP="008203A8">
      <w:pPr>
        <w:pStyle w:val="Sidehoved"/>
        <w:tabs>
          <w:tab w:val="clear" w:pos="4819"/>
        </w:tabs>
        <w:ind w:left="851"/>
        <w:rPr>
          <w:szCs w:val="24"/>
        </w:rPr>
      </w:pPr>
    </w:p>
    <w:p w14:paraId="103AB7CC" w14:textId="77777777" w:rsidR="008203A8" w:rsidRPr="00A137C0" w:rsidRDefault="008203A8" w:rsidP="008203A8">
      <w:pPr>
        <w:tabs>
          <w:tab w:val="left" w:pos="851"/>
        </w:tabs>
        <w:ind w:left="851"/>
        <w:rPr>
          <w:sz w:val="24"/>
          <w:szCs w:val="24"/>
        </w:rPr>
      </w:pPr>
    </w:p>
    <w:p w14:paraId="37A9BDAA" w14:textId="3822A2B4" w:rsidR="008203A8" w:rsidRPr="00A137C0" w:rsidRDefault="008203A8" w:rsidP="008203A8">
      <w:pPr>
        <w:ind w:left="851" w:hanging="851"/>
        <w:rPr>
          <w:b/>
          <w:sz w:val="24"/>
          <w:szCs w:val="24"/>
        </w:rPr>
      </w:pPr>
      <w:r w:rsidRPr="00B30549">
        <w:rPr>
          <w:b/>
          <w:sz w:val="24"/>
          <w:szCs w:val="24"/>
        </w:rPr>
        <w:t>4.</w:t>
      </w:r>
      <w:r w:rsidRPr="00B30549">
        <w:rPr>
          <w:b/>
          <w:sz w:val="24"/>
          <w:szCs w:val="24"/>
        </w:rPr>
        <w:tab/>
        <w:t>FARMAKOLOGISKE OPLYSNINGER</w:t>
      </w:r>
    </w:p>
    <w:p w14:paraId="05DDF136" w14:textId="77777777" w:rsidR="008203A8" w:rsidRPr="00A137C0" w:rsidRDefault="008203A8" w:rsidP="008203A8">
      <w:pPr>
        <w:ind w:left="851"/>
        <w:rPr>
          <w:sz w:val="24"/>
          <w:szCs w:val="24"/>
        </w:rPr>
      </w:pPr>
    </w:p>
    <w:p w14:paraId="2E7B5EEA" w14:textId="77777777" w:rsidR="008203A8" w:rsidRPr="00A137C0" w:rsidRDefault="008203A8" w:rsidP="008203A8">
      <w:pPr>
        <w:ind w:left="851" w:hanging="851"/>
        <w:rPr>
          <w:b/>
          <w:sz w:val="24"/>
          <w:szCs w:val="24"/>
        </w:rPr>
      </w:pPr>
      <w:r w:rsidRPr="00A137C0">
        <w:rPr>
          <w:b/>
          <w:sz w:val="24"/>
          <w:szCs w:val="24"/>
        </w:rPr>
        <w:t>4.1</w:t>
      </w:r>
      <w:r w:rsidRPr="00A137C0">
        <w:rPr>
          <w:b/>
          <w:sz w:val="24"/>
          <w:szCs w:val="24"/>
        </w:rPr>
        <w:tab/>
      </w:r>
      <w:proofErr w:type="spellStart"/>
      <w:r w:rsidRPr="00A137C0">
        <w:rPr>
          <w:b/>
          <w:sz w:val="24"/>
          <w:szCs w:val="24"/>
        </w:rPr>
        <w:t>ATCvet</w:t>
      </w:r>
      <w:proofErr w:type="spellEnd"/>
      <w:r w:rsidRPr="00A137C0">
        <w:rPr>
          <w:b/>
          <w:sz w:val="24"/>
          <w:szCs w:val="24"/>
        </w:rPr>
        <w:t>-kode</w:t>
      </w:r>
    </w:p>
    <w:p w14:paraId="4DF4F69F" w14:textId="67D847BF" w:rsidR="008203A8" w:rsidRPr="00A137C0" w:rsidRDefault="001C6459" w:rsidP="008203A8">
      <w:pPr>
        <w:ind w:left="851"/>
        <w:rPr>
          <w:sz w:val="24"/>
          <w:szCs w:val="24"/>
        </w:rPr>
      </w:pPr>
      <w:r w:rsidRPr="00A137C0">
        <w:rPr>
          <w:sz w:val="24"/>
          <w:szCs w:val="24"/>
        </w:rPr>
        <w:t>QJ01EW10</w:t>
      </w:r>
    </w:p>
    <w:p w14:paraId="49A613C5" w14:textId="77777777" w:rsidR="008203A8" w:rsidRPr="00A137C0" w:rsidRDefault="008203A8" w:rsidP="008203A8">
      <w:pPr>
        <w:ind w:left="851"/>
        <w:rPr>
          <w:sz w:val="24"/>
          <w:szCs w:val="24"/>
        </w:rPr>
      </w:pPr>
    </w:p>
    <w:p w14:paraId="03513686" w14:textId="77777777" w:rsidR="008203A8" w:rsidRPr="00A137C0" w:rsidRDefault="008203A8" w:rsidP="008203A8">
      <w:pPr>
        <w:tabs>
          <w:tab w:val="left" w:pos="851"/>
        </w:tabs>
        <w:ind w:left="851" w:hanging="851"/>
        <w:rPr>
          <w:b/>
          <w:sz w:val="24"/>
          <w:szCs w:val="24"/>
        </w:rPr>
      </w:pPr>
      <w:r w:rsidRPr="00B30549">
        <w:rPr>
          <w:b/>
          <w:sz w:val="24"/>
          <w:szCs w:val="24"/>
        </w:rPr>
        <w:t>4.2</w:t>
      </w:r>
      <w:r w:rsidRPr="00B30549">
        <w:rPr>
          <w:b/>
          <w:sz w:val="24"/>
          <w:szCs w:val="24"/>
        </w:rPr>
        <w:tab/>
      </w:r>
      <w:proofErr w:type="spellStart"/>
      <w:r w:rsidRPr="00B30549">
        <w:rPr>
          <w:b/>
          <w:sz w:val="24"/>
          <w:szCs w:val="24"/>
        </w:rPr>
        <w:t>Farmakodynamiske</w:t>
      </w:r>
      <w:proofErr w:type="spellEnd"/>
      <w:r w:rsidRPr="00B30549">
        <w:rPr>
          <w:b/>
          <w:sz w:val="24"/>
          <w:szCs w:val="24"/>
        </w:rPr>
        <w:t xml:space="preserve"> oplysninger</w:t>
      </w:r>
    </w:p>
    <w:p w14:paraId="3B4D84D7" w14:textId="77777777" w:rsidR="001C6459" w:rsidRPr="00A137C0" w:rsidRDefault="001C6459" w:rsidP="00A137C0">
      <w:pPr>
        <w:ind w:left="851"/>
        <w:rPr>
          <w:sz w:val="24"/>
          <w:szCs w:val="24"/>
          <w:lang w:eastAsia="nl-NL"/>
        </w:rPr>
      </w:pPr>
      <w:proofErr w:type="spellStart"/>
      <w:r w:rsidRPr="00A137C0">
        <w:rPr>
          <w:sz w:val="24"/>
          <w:szCs w:val="24"/>
        </w:rPr>
        <w:t>Sulfadiazin</w:t>
      </w:r>
      <w:proofErr w:type="spellEnd"/>
      <w:r w:rsidRPr="00A137C0">
        <w:rPr>
          <w:sz w:val="24"/>
          <w:szCs w:val="24"/>
        </w:rPr>
        <w:t xml:space="preserve"> (SDZ) tilhører gruppen af sulfonamider, </w:t>
      </w:r>
      <w:proofErr w:type="spellStart"/>
      <w:r w:rsidRPr="00A137C0">
        <w:rPr>
          <w:sz w:val="24"/>
          <w:szCs w:val="24"/>
        </w:rPr>
        <w:t>trimethoprim</w:t>
      </w:r>
      <w:proofErr w:type="spellEnd"/>
      <w:r w:rsidRPr="00A137C0">
        <w:rPr>
          <w:sz w:val="24"/>
          <w:szCs w:val="24"/>
        </w:rPr>
        <w:t xml:space="preserve"> (TMP) tilhører gruppen af </w:t>
      </w:r>
      <w:proofErr w:type="spellStart"/>
      <w:r w:rsidRPr="00A137C0">
        <w:rPr>
          <w:sz w:val="24"/>
          <w:szCs w:val="24"/>
        </w:rPr>
        <w:t>diaminopyrimidiner</w:t>
      </w:r>
      <w:proofErr w:type="spellEnd"/>
      <w:r w:rsidRPr="00A137C0">
        <w:rPr>
          <w:sz w:val="24"/>
          <w:szCs w:val="24"/>
        </w:rPr>
        <w:t>.</w:t>
      </w:r>
    </w:p>
    <w:p w14:paraId="27EDF78F" w14:textId="77777777" w:rsidR="001C6459" w:rsidRPr="00A137C0" w:rsidRDefault="001C6459" w:rsidP="00A137C0">
      <w:pPr>
        <w:ind w:left="851"/>
        <w:rPr>
          <w:sz w:val="24"/>
          <w:szCs w:val="24"/>
        </w:rPr>
      </w:pPr>
      <w:proofErr w:type="spellStart"/>
      <w:r w:rsidRPr="00A137C0">
        <w:rPr>
          <w:sz w:val="24"/>
          <w:szCs w:val="24"/>
        </w:rPr>
        <w:t>Sulfadiazin</w:t>
      </w:r>
      <w:proofErr w:type="spellEnd"/>
      <w:r w:rsidRPr="00A137C0">
        <w:rPr>
          <w:sz w:val="24"/>
          <w:szCs w:val="24"/>
        </w:rPr>
        <w:t xml:space="preserve"> hæmmer inkorporationen af </w:t>
      </w:r>
      <w:proofErr w:type="spellStart"/>
      <w:r w:rsidRPr="00A137C0">
        <w:rPr>
          <w:sz w:val="24"/>
          <w:szCs w:val="24"/>
        </w:rPr>
        <w:t>para</w:t>
      </w:r>
      <w:proofErr w:type="spellEnd"/>
      <w:r w:rsidRPr="00A137C0">
        <w:rPr>
          <w:sz w:val="24"/>
          <w:szCs w:val="24"/>
        </w:rPr>
        <w:t xml:space="preserve">-aminobenzoesyre i </w:t>
      </w:r>
      <w:proofErr w:type="spellStart"/>
      <w:r w:rsidRPr="00A137C0">
        <w:rPr>
          <w:sz w:val="24"/>
          <w:szCs w:val="24"/>
        </w:rPr>
        <w:t>folinsyre</w:t>
      </w:r>
      <w:proofErr w:type="spellEnd"/>
      <w:r w:rsidRPr="00A137C0">
        <w:rPr>
          <w:sz w:val="24"/>
          <w:szCs w:val="24"/>
        </w:rPr>
        <w:t xml:space="preserve">, og </w:t>
      </w:r>
      <w:proofErr w:type="spellStart"/>
      <w:r w:rsidRPr="00A137C0">
        <w:rPr>
          <w:sz w:val="24"/>
          <w:szCs w:val="24"/>
        </w:rPr>
        <w:t>trimethoprim</w:t>
      </w:r>
      <w:proofErr w:type="spellEnd"/>
      <w:r w:rsidRPr="00A137C0">
        <w:rPr>
          <w:sz w:val="24"/>
          <w:szCs w:val="24"/>
        </w:rPr>
        <w:t xml:space="preserve"> hæmmer enzymet </w:t>
      </w:r>
      <w:proofErr w:type="spellStart"/>
      <w:r w:rsidRPr="00A137C0">
        <w:rPr>
          <w:sz w:val="24"/>
          <w:szCs w:val="24"/>
        </w:rPr>
        <w:t>dihydrofolatreduktase</w:t>
      </w:r>
      <w:proofErr w:type="spellEnd"/>
      <w:r w:rsidRPr="00A137C0">
        <w:rPr>
          <w:sz w:val="24"/>
          <w:szCs w:val="24"/>
        </w:rPr>
        <w:t xml:space="preserve">, som omdanner </w:t>
      </w:r>
      <w:proofErr w:type="spellStart"/>
      <w:r w:rsidRPr="00A137C0">
        <w:rPr>
          <w:sz w:val="24"/>
          <w:szCs w:val="24"/>
        </w:rPr>
        <w:t>dihydrofolinsyre</w:t>
      </w:r>
      <w:proofErr w:type="spellEnd"/>
      <w:r w:rsidRPr="00A137C0">
        <w:rPr>
          <w:sz w:val="24"/>
          <w:szCs w:val="24"/>
        </w:rPr>
        <w:t xml:space="preserve"> til </w:t>
      </w:r>
      <w:proofErr w:type="spellStart"/>
      <w:r w:rsidRPr="00A137C0">
        <w:rPr>
          <w:sz w:val="24"/>
          <w:szCs w:val="24"/>
        </w:rPr>
        <w:t>tetrahydrofolinsyre</w:t>
      </w:r>
      <w:proofErr w:type="spellEnd"/>
      <w:r w:rsidRPr="00A137C0">
        <w:rPr>
          <w:sz w:val="24"/>
          <w:szCs w:val="24"/>
        </w:rPr>
        <w:t xml:space="preserve">. TMP og SDZ virker </w:t>
      </w:r>
      <w:proofErr w:type="spellStart"/>
      <w:r w:rsidRPr="00A137C0">
        <w:rPr>
          <w:sz w:val="24"/>
          <w:szCs w:val="24"/>
        </w:rPr>
        <w:t>synergistisk</w:t>
      </w:r>
      <w:proofErr w:type="spellEnd"/>
      <w:r w:rsidRPr="00A137C0">
        <w:rPr>
          <w:sz w:val="24"/>
          <w:szCs w:val="24"/>
        </w:rPr>
        <w:t xml:space="preserve"> sammen som et tidsafhængigt antimikrobielt middel med en dobbeltblokade i syntesen af </w:t>
      </w:r>
      <w:proofErr w:type="spellStart"/>
      <w:r w:rsidRPr="00A137C0">
        <w:rPr>
          <w:sz w:val="24"/>
          <w:szCs w:val="24"/>
        </w:rPr>
        <w:t>puriner</w:t>
      </w:r>
      <w:proofErr w:type="spellEnd"/>
      <w:r w:rsidRPr="00A137C0">
        <w:rPr>
          <w:sz w:val="24"/>
          <w:szCs w:val="24"/>
        </w:rPr>
        <w:t xml:space="preserve">, der er nødvendige for DNA-syntese. </w:t>
      </w:r>
    </w:p>
    <w:p w14:paraId="6F3EFF6A" w14:textId="77777777" w:rsidR="001C6459" w:rsidRPr="00A137C0" w:rsidRDefault="001C6459" w:rsidP="00A137C0">
      <w:pPr>
        <w:ind w:left="851"/>
        <w:rPr>
          <w:sz w:val="24"/>
          <w:szCs w:val="24"/>
          <w:lang w:val="nl-NL"/>
        </w:rPr>
      </w:pPr>
    </w:p>
    <w:p w14:paraId="5ED976DF" w14:textId="673B2C72" w:rsidR="001C6459" w:rsidRPr="00A137C0" w:rsidRDefault="001C6459" w:rsidP="00A137C0">
      <w:pPr>
        <w:ind w:left="851"/>
        <w:rPr>
          <w:sz w:val="24"/>
          <w:szCs w:val="24"/>
        </w:rPr>
      </w:pPr>
      <w:bookmarkStart w:id="20" w:name="_Hlk212796356"/>
      <w:r w:rsidRPr="00A137C0">
        <w:rPr>
          <w:sz w:val="24"/>
          <w:szCs w:val="24"/>
        </w:rPr>
        <w:t xml:space="preserve">TMP-SDZ-kombinationer har en bred baktericid virkning mod mange </w:t>
      </w:r>
      <w:proofErr w:type="spellStart"/>
      <w:r w:rsidRPr="00A137C0">
        <w:rPr>
          <w:sz w:val="24"/>
          <w:szCs w:val="24"/>
        </w:rPr>
        <w:t>gram-positive</w:t>
      </w:r>
      <w:proofErr w:type="spellEnd"/>
      <w:r w:rsidRPr="00A137C0">
        <w:rPr>
          <w:sz w:val="24"/>
          <w:szCs w:val="24"/>
        </w:rPr>
        <w:t xml:space="preserve"> og </w:t>
      </w:r>
      <w:proofErr w:type="spellStart"/>
      <w:r w:rsidRPr="00A137C0">
        <w:rPr>
          <w:sz w:val="24"/>
          <w:szCs w:val="24"/>
        </w:rPr>
        <w:t>gram-negative</w:t>
      </w:r>
      <w:proofErr w:type="spellEnd"/>
      <w:r w:rsidRPr="00A137C0">
        <w:rPr>
          <w:sz w:val="24"/>
          <w:szCs w:val="24"/>
        </w:rPr>
        <w:t xml:space="preserve"> aerobe bakterier, men en begrænset baktericid virkning mod anaerobe bakterier. </w:t>
      </w:r>
    </w:p>
    <w:bookmarkEnd w:id="20"/>
    <w:p w14:paraId="57B24278" w14:textId="77777777" w:rsidR="001C6459" w:rsidRPr="00A137C0" w:rsidRDefault="001C6459" w:rsidP="00A137C0">
      <w:pPr>
        <w:ind w:left="851"/>
        <w:rPr>
          <w:sz w:val="24"/>
          <w:szCs w:val="24"/>
        </w:rPr>
      </w:pPr>
    </w:p>
    <w:p w14:paraId="6CACE04A" w14:textId="0F66A9BB" w:rsidR="001C6459" w:rsidRPr="00A137C0" w:rsidRDefault="001C6459" w:rsidP="00A137C0">
      <w:pPr>
        <w:ind w:left="851"/>
        <w:rPr>
          <w:sz w:val="24"/>
          <w:szCs w:val="24"/>
        </w:rPr>
      </w:pPr>
      <w:r w:rsidRPr="00A137C0">
        <w:rPr>
          <w:sz w:val="24"/>
          <w:szCs w:val="24"/>
        </w:rPr>
        <w:t xml:space="preserve">Bakteriel resistens over for </w:t>
      </w:r>
      <w:proofErr w:type="spellStart"/>
      <w:r w:rsidRPr="00A137C0">
        <w:rPr>
          <w:sz w:val="24"/>
          <w:szCs w:val="24"/>
        </w:rPr>
        <w:t>trimethoprim</w:t>
      </w:r>
      <w:proofErr w:type="spellEnd"/>
      <w:r w:rsidRPr="00A137C0">
        <w:rPr>
          <w:sz w:val="24"/>
          <w:szCs w:val="24"/>
        </w:rPr>
        <w:t xml:space="preserve"> og sulfonamider kan medieres via fem hovedmekanismer: ændringer i permeabilitetsbarrieren og/eller </w:t>
      </w:r>
      <w:proofErr w:type="spellStart"/>
      <w:r w:rsidRPr="00A137C0">
        <w:rPr>
          <w:sz w:val="24"/>
          <w:szCs w:val="24"/>
        </w:rPr>
        <w:t>efflukspumperne</w:t>
      </w:r>
      <w:proofErr w:type="spellEnd"/>
      <w:r w:rsidRPr="00A137C0">
        <w:rPr>
          <w:sz w:val="24"/>
          <w:szCs w:val="24"/>
        </w:rPr>
        <w:t xml:space="preserve">, naturligt ufølsomme målenzymer, ændringer i målenzymerne, mutations- eller </w:t>
      </w:r>
      <w:proofErr w:type="spellStart"/>
      <w:r w:rsidRPr="00A137C0">
        <w:rPr>
          <w:sz w:val="24"/>
          <w:szCs w:val="24"/>
        </w:rPr>
        <w:t>rekombinations</w:t>
      </w:r>
      <w:r w:rsidR="005F19BB">
        <w:rPr>
          <w:sz w:val="24"/>
          <w:szCs w:val="24"/>
        </w:rPr>
        <w:softHyphen/>
      </w:r>
      <w:r w:rsidRPr="00A137C0">
        <w:rPr>
          <w:sz w:val="24"/>
          <w:szCs w:val="24"/>
        </w:rPr>
        <w:t>forandringer</w:t>
      </w:r>
      <w:proofErr w:type="spellEnd"/>
      <w:r w:rsidRPr="00A137C0">
        <w:rPr>
          <w:sz w:val="24"/>
          <w:szCs w:val="24"/>
        </w:rPr>
        <w:t xml:space="preserve"> i målenzymerne og erhvervet resistens ved lægemiddelresistente målenzymer. Der er påvist krydsresistens mellem kombinationen SDZ/TMP og kombinationer af TMP med andre sulfonamider. Spredning af resistensgenerne for TMP/SDZ er hovedsageligt kromosom-, plasmid- og </w:t>
      </w:r>
      <w:proofErr w:type="spellStart"/>
      <w:r w:rsidRPr="00A137C0">
        <w:rPr>
          <w:sz w:val="24"/>
          <w:szCs w:val="24"/>
        </w:rPr>
        <w:t>transposonkodet</w:t>
      </w:r>
      <w:proofErr w:type="spellEnd"/>
      <w:r w:rsidRPr="00A137C0">
        <w:rPr>
          <w:sz w:val="24"/>
          <w:szCs w:val="24"/>
        </w:rPr>
        <w:t>.</w:t>
      </w:r>
    </w:p>
    <w:p w14:paraId="3F2569E6" w14:textId="77777777" w:rsidR="001C6459" w:rsidRPr="00A137C0" w:rsidRDefault="001C6459" w:rsidP="00A137C0">
      <w:pPr>
        <w:ind w:left="851"/>
        <w:rPr>
          <w:sz w:val="24"/>
          <w:szCs w:val="24"/>
        </w:rPr>
      </w:pPr>
      <w:r w:rsidRPr="00A137C0">
        <w:rPr>
          <w:sz w:val="24"/>
          <w:szCs w:val="24"/>
        </w:rPr>
        <w:t>Sulfonamidresistensgener er koblet kromosomalt (</w:t>
      </w:r>
      <w:proofErr w:type="spellStart"/>
      <w:r w:rsidRPr="00A137C0">
        <w:rPr>
          <w:sz w:val="24"/>
          <w:szCs w:val="24"/>
        </w:rPr>
        <w:t>folP</w:t>
      </w:r>
      <w:proofErr w:type="spellEnd"/>
      <w:r w:rsidRPr="00A137C0">
        <w:rPr>
          <w:sz w:val="24"/>
          <w:szCs w:val="24"/>
        </w:rPr>
        <w:t xml:space="preserve">-gener) eller ekstrakromosomalt, f.eks. til </w:t>
      </w:r>
      <w:proofErr w:type="spellStart"/>
      <w:r w:rsidRPr="00A137C0">
        <w:rPr>
          <w:sz w:val="24"/>
          <w:szCs w:val="24"/>
        </w:rPr>
        <w:t>integron</w:t>
      </w:r>
      <w:proofErr w:type="spellEnd"/>
      <w:r w:rsidRPr="00A137C0">
        <w:rPr>
          <w:sz w:val="24"/>
          <w:szCs w:val="24"/>
        </w:rPr>
        <w:t xml:space="preserve"> 1 (sul1-gener) og plasmider (sul2-gener). Resultatet af ekspression af disse gener er en ændring af strukturen af </w:t>
      </w:r>
      <w:proofErr w:type="spellStart"/>
      <w:r w:rsidRPr="00A137C0">
        <w:rPr>
          <w:sz w:val="24"/>
          <w:szCs w:val="24"/>
        </w:rPr>
        <w:t>dihydropteroatsyntetaseenzymet</w:t>
      </w:r>
      <w:proofErr w:type="spellEnd"/>
      <w:r w:rsidRPr="00A137C0">
        <w:rPr>
          <w:sz w:val="24"/>
          <w:szCs w:val="24"/>
        </w:rPr>
        <w:t>, så sulfonamiderne mister deres bindingsevne, og deres virkningsmekanisme ødelægges. Der er gensidig krydsresistens i sulfonamidgruppen.</w:t>
      </w:r>
    </w:p>
    <w:p w14:paraId="195C6F81" w14:textId="708A1E1B" w:rsidR="001C6459" w:rsidRPr="00A137C0" w:rsidRDefault="001C6459" w:rsidP="00A137C0">
      <w:pPr>
        <w:ind w:left="851"/>
        <w:rPr>
          <w:sz w:val="24"/>
          <w:szCs w:val="24"/>
        </w:rPr>
      </w:pPr>
      <w:r w:rsidRPr="00A137C0">
        <w:rPr>
          <w:sz w:val="24"/>
          <w:szCs w:val="24"/>
        </w:rPr>
        <w:t>TMP-resistensgener (</w:t>
      </w:r>
      <w:proofErr w:type="spellStart"/>
      <w:r w:rsidRPr="00A137C0">
        <w:rPr>
          <w:sz w:val="24"/>
          <w:szCs w:val="24"/>
        </w:rPr>
        <w:t>dfr</w:t>
      </w:r>
      <w:proofErr w:type="spellEnd"/>
      <w:r w:rsidRPr="00A137C0">
        <w:rPr>
          <w:sz w:val="24"/>
          <w:szCs w:val="24"/>
        </w:rPr>
        <w:t xml:space="preserve">-gener) er koblet kromosomalt eller ekstrakromosomalt, f.eks. på </w:t>
      </w:r>
      <w:proofErr w:type="spellStart"/>
      <w:r w:rsidRPr="00A137C0">
        <w:rPr>
          <w:sz w:val="24"/>
          <w:szCs w:val="24"/>
        </w:rPr>
        <w:t>integron</w:t>
      </w:r>
      <w:proofErr w:type="spellEnd"/>
      <w:r w:rsidRPr="00A137C0">
        <w:rPr>
          <w:sz w:val="24"/>
          <w:szCs w:val="24"/>
        </w:rPr>
        <w:t xml:space="preserve"> 1 og 2 eller på </w:t>
      </w:r>
      <w:proofErr w:type="spellStart"/>
      <w:r w:rsidRPr="00A137C0">
        <w:rPr>
          <w:sz w:val="24"/>
          <w:szCs w:val="24"/>
        </w:rPr>
        <w:t>transposoner</w:t>
      </w:r>
      <w:proofErr w:type="spellEnd"/>
      <w:r w:rsidRPr="00A137C0">
        <w:rPr>
          <w:sz w:val="24"/>
          <w:szCs w:val="24"/>
        </w:rPr>
        <w:t xml:space="preserve">. Ekstrakromosomale </w:t>
      </w:r>
      <w:proofErr w:type="spellStart"/>
      <w:r w:rsidRPr="00A137C0">
        <w:rPr>
          <w:sz w:val="24"/>
          <w:szCs w:val="24"/>
        </w:rPr>
        <w:t>dfr</w:t>
      </w:r>
      <w:proofErr w:type="spellEnd"/>
      <w:r w:rsidRPr="00A137C0">
        <w:rPr>
          <w:sz w:val="24"/>
          <w:szCs w:val="24"/>
        </w:rPr>
        <w:t xml:space="preserve">-gener er inddelt i to undergrupper. Der findes mere end 30 beskrevne </w:t>
      </w:r>
      <w:proofErr w:type="spellStart"/>
      <w:r w:rsidRPr="00A137C0">
        <w:rPr>
          <w:sz w:val="24"/>
          <w:szCs w:val="24"/>
        </w:rPr>
        <w:t>dfr</w:t>
      </w:r>
      <w:proofErr w:type="spellEnd"/>
      <w:r w:rsidRPr="00A137C0">
        <w:rPr>
          <w:sz w:val="24"/>
          <w:szCs w:val="24"/>
        </w:rPr>
        <w:t xml:space="preserve">-gener på nuværende tidspunkt. Deres virkning manifesterer sig ved en ændring i strukturen af </w:t>
      </w:r>
      <w:proofErr w:type="spellStart"/>
      <w:r w:rsidRPr="00A137C0">
        <w:rPr>
          <w:sz w:val="24"/>
          <w:szCs w:val="24"/>
        </w:rPr>
        <w:t>dihydrofolatreduktaseenzymet</w:t>
      </w:r>
      <w:proofErr w:type="spellEnd"/>
      <w:r w:rsidRPr="00A137C0">
        <w:rPr>
          <w:sz w:val="24"/>
          <w:szCs w:val="24"/>
        </w:rPr>
        <w:t xml:space="preserve"> og dets følsomhed over for </w:t>
      </w:r>
      <w:proofErr w:type="spellStart"/>
      <w:r w:rsidRPr="00A137C0">
        <w:rPr>
          <w:sz w:val="24"/>
          <w:szCs w:val="24"/>
        </w:rPr>
        <w:t>trimethoprim</w:t>
      </w:r>
      <w:proofErr w:type="spellEnd"/>
      <w:r w:rsidRPr="00A137C0">
        <w:rPr>
          <w:sz w:val="24"/>
          <w:szCs w:val="24"/>
        </w:rPr>
        <w:t xml:space="preserve">. Kromosomalt koblet resistens manifesterer sig enten ved overproduktion af </w:t>
      </w:r>
      <w:proofErr w:type="spellStart"/>
      <w:r w:rsidRPr="00A137C0">
        <w:rPr>
          <w:sz w:val="24"/>
          <w:szCs w:val="24"/>
        </w:rPr>
        <w:t>dihydrofolatreduktase</w:t>
      </w:r>
      <w:proofErr w:type="spellEnd"/>
      <w:r w:rsidRPr="00A137C0">
        <w:rPr>
          <w:sz w:val="24"/>
          <w:szCs w:val="24"/>
        </w:rPr>
        <w:t xml:space="preserve"> eller tab af funktion af </w:t>
      </w:r>
      <w:proofErr w:type="spellStart"/>
      <w:r w:rsidRPr="00A137C0">
        <w:rPr>
          <w:sz w:val="24"/>
          <w:szCs w:val="24"/>
        </w:rPr>
        <w:t>thymidylatsyntase</w:t>
      </w:r>
      <w:r w:rsidR="005F19BB">
        <w:rPr>
          <w:sz w:val="24"/>
          <w:szCs w:val="24"/>
        </w:rPr>
        <w:softHyphen/>
      </w:r>
      <w:r w:rsidRPr="00A137C0">
        <w:rPr>
          <w:sz w:val="24"/>
          <w:szCs w:val="24"/>
        </w:rPr>
        <w:t>enzymet</w:t>
      </w:r>
      <w:proofErr w:type="spellEnd"/>
      <w:r w:rsidRPr="00A137C0">
        <w:rPr>
          <w:sz w:val="24"/>
          <w:szCs w:val="24"/>
        </w:rPr>
        <w:t>.</w:t>
      </w:r>
    </w:p>
    <w:p w14:paraId="2EE7EBB7" w14:textId="77777777" w:rsidR="008203A8" w:rsidRPr="00A137C0" w:rsidRDefault="008203A8" w:rsidP="008203A8">
      <w:pPr>
        <w:tabs>
          <w:tab w:val="left" w:pos="851"/>
        </w:tabs>
        <w:ind w:left="851"/>
        <w:rPr>
          <w:sz w:val="24"/>
          <w:szCs w:val="24"/>
        </w:rPr>
      </w:pPr>
    </w:p>
    <w:p w14:paraId="124A87A7" w14:textId="77777777" w:rsidR="008203A8" w:rsidRPr="00A137C0" w:rsidRDefault="008203A8" w:rsidP="008203A8">
      <w:pPr>
        <w:tabs>
          <w:tab w:val="left" w:pos="851"/>
        </w:tabs>
        <w:ind w:left="851" w:hanging="851"/>
        <w:rPr>
          <w:b/>
          <w:sz w:val="24"/>
          <w:szCs w:val="24"/>
        </w:rPr>
      </w:pPr>
      <w:r w:rsidRPr="00B30549">
        <w:rPr>
          <w:b/>
          <w:sz w:val="24"/>
          <w:szCs w:val="24"/>
        </w:rPr>
        <w:t>4.3</w:t>
      </w:r>
      <w:r w:rsidRPr="00B30549">
        <w:rPr>
          <w:b/>
          <w:sz w:val="24"/>
          <w:szCs w:val="24"/>
        </w:rPr>
        <w:tab/>
      </w:r>
      <w:proofErr w:type="spellStart"/>
      <w:r w:rsidRPr="00B30549">
        <w:rPr>
          <w:b/>
          <w:sz w:val="24"/>
          <w:szCs w:val="24"/>
        </w:rPr>
        <w:t>Farmakokinetiske</w:t>
      </w:r>
      <w:proofErr w:type="spellEnd"/>
      <w:r w:rsidRPr="00B30549">
        <w:rPr>
          <w:b/>
          <w:sz w:val="24"/>
          <w:szCs w:val="24"/>
        </w:rPr>
        <w:t xml:space="preserve"> oplysninger</w:t>
      </w:r>
    </w:p>
    <w:p w14:paraId="7075BCB2" w14:textId="77777777" w:rsidR="001C6459" w:rsidRPr="00A137C0" w:rsidRDefault="001C6459" w:rsidP="00A137C0">
      <w:pPr>
        <w:ind w:left="851"/>
        <w:rPr>
          <w:sz w:val="24"/>
          <w:szCs w:val="24"/>
          <w:lang w:eastAsia="nl-NL"/>
        </w:rPr>
      </w:pPr>
      <w:r w:rsidRPr="00A137C0">
        <w:rPr>
          <w:sz w:val="24"/>
          <w:szCs w:val="24"/>
        </w:rPr>
        <w:t xml:space="preserve">Ved den anbefalede dosis til heste på 30 mg aktive stoffer (det vil sige 25 mg </w:t>
      </w:r>
      <w:proofErr w:type="spellStart"/>
      <w:r w:rsidRPr="00A137C0">
        <w:rPr>
          <w:sz w:val="24"/>
          <w:szCs w:val="24"/>
        </w:rPr>
        <w:t>sulfadiazin</w:t>
      </w:r>
      <w:proofErr w:type="spellEnd"/>
      <w:r w:rsidRPr="00A137C0">
        <w:rPr>
          <w:sz w:val="24"/>
          <w:szCs w:val="24"/>
        </w:rPr>
        <w:t xml:space="preserve"> og 5 mg </w:t>
      </w:r>
      <w:proofErr w:type="spellStart"/>
      <w:r w:rsidRPr="00A137C0">
        <w:rPr>
          <w:sz w:val="24"/>
          <w:szCs w:val="24"/>
        </w:rPr>
        <w:t>trimethoprim</w:t>
      </w:r>
      <w:proofErr w:type="spellEnd"/>
      <w:r w:rsidRPr="00A137C0">
        <w:rPr>
          <w:sz w:val="24"/>
          <w:szCs w:val="24"/>
        </w:rPr>
        <w:t xml:space="preserve">) pr. kg legemsvægt opnås gennemsnitlige maksimale plasmakoncentrationer på ca. 16,8 mg </w:t>
      </w:r>
      <w:proofErr w:type="spellStart"/>
      <w:r w:rsidRPr="00A137C0">
        <w:rPr>
          <w:sz w:val="24"/>
          <w:szCs w:val="24"/>
        </w:rPr>
        <w:t>sulfadiazin</w:t>
      </w:r>
      <w:proofErr w:type="spellEnd"/>
      <w:r w:rsidRPr="00A137C0">
        <w:rPr>
          <w:sz w:val="24"/>
          <w:szCs w:val="24"/>
        </w:rPr>
        <w:t xml:space="preserve">/l og 1,9 mg </w:t>
      </w:r>
      <w:proofErr w:type="spellStart"/>
      <w:r w:rsidRPr="00A137C0">
        <w:rPr>
          <w:sz w:val="24"/>
          <w:szCs w:val="24"/>
        </w:rPr>
        <w:t>trimethoprim</w:t>
      </w:r>
      <w:proofErr w:type="spellEnd"/>
      <w:r w:rsidRPr="00A137C0">
        <w:rPr>
          <w:sz w:val="24"/>
          <w:szCs w:val="24"/>
        </w:rPr>
        <w:t xml:space="preserve">/l efter en mediantid på henholdsvis 2,6 og 0,9 timer. Plasmahalveringstiden for </w:t>
      </w:r>
      <w:proofErr w:type="spellStart"/>
      <w:r w:rsidRPr="00A137C0">
        <w:rPr>
          <w:sz w:val="24"/>
          <w:szCs w:val="24"/>
        </w:rPr>
        <w:t>sulfadiazin</w:t>
      </w:r>
      <w:proofErr w:type="spellEnd"/>
      <w:r w:rsidRPr="00A137C0">
        <w:rPr>
          <w:sz w:val="24"/>
          <w:szCs w:val="24"/>
        </w:rPr>
        <w:t xml:space="preserve"> er 7,7 timer og for </w:t>
      </w:r>
      <w:proofErr w:type="spellStart"/>
      <w:r w:rsidRPr="00A137C0">
        <w:rPr>
          <w:sz w:val="24"/>
          <w:szCs w:val="24"/>
        </w:rPr>
        <w:t>trimethoprim</w:t>
      </w:r>
      <w:proofErr w:type="spellEnd"/>
      <w:r w:rsidRPr="00A137C0">
        <w:rPr>
          <w:sz w:val="24"/>
          <w:szCs w:val="24"/>
        </w:rPr>
        <w:t xml:space="preserve"> 2,7 timer.</w:t>
      </w:r>
    </w:p>
    <w:p w14:paraId="6FD4E5D5" w14:textId="77777777" w:rsidR="001C6459" w:rsidRPr="00A137C0" w:rsidRDefault="001C6459" w:rsidP="00A137C0">
      <w:pPr>
        <w:ind w:left="851"/>
        <w:rPr>
          <w:sz w:val="24"/>
          <w:szCs w:val="24"/>
        </w:rPr>
      </w:pPr>
      <w:r w:rsidRPr="00A137C0">
        <w:rPr>
          <w:sz w:val="24"/>
          <w:szCs w:val="24"/>
        </w:rPr>
        <w:t xml:space="preserve">Begge stoffer </w:t>
      </w:r>
      <w:proofErr w:type="spellStart"/>
      <w:r w:rsidRPr="00A137C0">
        <w:rPr>
          <w:sz w:val="24"/>
          <w:szCs w:val="24"/>
        </w:rPr>
        <w:t>metaboliseres</w:t>
      </w:r>
      <w:proofErr w:type="spellEnd"/>
      <w:r w:rsidRPr="00A137C0">
        <w:rPr>
          <w:sz w:val="24"/>
          <w:szCs w:val="24"/>
        </w:rPr>
        <w:t xml:space="preserve"> i leveren; </w:t>
      </w:r>
      <w:proofErr w:type="spellStart"/>
      <w:r w:rsidRPr="00A137C0">
        <w:rPr>
          <w:sz w:val="24"/>
          <w:szCs w:val="24"/>
        </w:rPr>
        <w:t>sulfadiazin</w:t>
      </w:r>
      <w:proofErr w:type="spellEnd"/>
      <w:r w:rsidRPr="00A137C0">
        <w:rPr>
          <w:sz w:val="24"/>
          <w:szCs w:val="24"/>
        </w:rPr>
        <w:t xml:space="preserve"> ved </w:t>
      </w:r>
      <w:proofErr w:type="spellStart"/>
      <w:r w:rsidRPr="00A137C0">
        <w:rPr>
          <w:sz w:val="24"/>
          <w:szCs w:val="24"/>
        </w:rPr>
        <w:t>acetylering</w:t>
      </w:r>
      <w:proofErr w:type="spellEnd"/>
      <w:r w:rsidRPr="00A137C0">
        <w:rPr>
          <w:sz w:val="24"/>
          <w:szCs w:val="24"/>
        </w:rPr>
        <w:t xml:space="preserve"> og </w:t>
      </w:r>
      <w:proofErr w:type="spellStart"/>
      <w:r w:rsidRPr="00A137C0">
        <w:rPr>
          <w:sz w:val="24"/>
          <w:szCs w:val="24"/>
        </w:rPr>
        <w:t>glucuronidation</w:t>
      </w:r>
      <w:proofErr w:type="spellEnd"/>
      <w:r w:rsidRPr="00A137C0">
        <w:rPr>
          <w:sz w:val="24"/>
          <w:szCs w:val="24"/>
        </w:rPr>
        <w:t xml:space="preserve"> og </w:t>
      </w:r>
      <w:proofErr w:type="spellStart"/>
      <w:r w:rsidRPr="00A137C0">
        <w:rPr>
          <w:sz w:val="24"/>
          <w:szCs w:val="24"/>
        </w:rPr>
        <w:t>trimethoprim</w:t>
      </w:r>
      <w:proofErr w:type="spellEnd"/>
      <w:r w:rsidRPr="00A137C0">
        <w:rPr>
          <w:sz w:val="24"/>
          <w:szCs w:val="24"/>
        </w:rPr>
        <w:t xml:space="preserve"> ved </w:t>
      </w:r>
      <w:proofErr w:type="spellStart"/>
      <w:r w:rsidRPr="00A137C0">
        <w:rPr>
          <w:sz w:val="24"/>
          <w:szCs w:val="24"/>
        </w:rPr>
        <w:t>hydroxylering</w:t>
      </w:r>
      <w:proofErr w:type="spellEnd"/>
      <w:r w:rsidRPr="00A137C0">
        <w:rPr>
          <w:sz w:val="24"/>
          <w:szCs w:val="24"/>
        </w:rPr>
        <w:t xml:space="preserve"> og </w:t>
      </w:r>
      <w:proofErr w:type="spellStart"/>
      <w:r w:rsidRPr="00A137C0">
        <w:rPr>
          <w:sz w:val="24"/>
          <w:szCs w:val="24"/>
        </w:rPr>
        <w:t>glucuronidation</w:t>
      </w:r>
      <w:proofErr w:type="spellEnd"/>
      <w:r w:rsidRPr="00A137C0">
        <w:rPr>
          <w:sz w:val="24"/>
          <w:szCs w:val="24"/>
        </w:rPr>
        <w:t xml:space="preserve">. Udskillelse sker primært via nyrerne og kun i mindre omfang via fæces. </w:t>
      </w:r>
    </w:p>
    <w:p w14:paraId="55820F3E" w14:textId="77777777" w:rsidR="001C6459" w:rsidRPr="00A137C0" w:rsidRDefault="001C6459" w:rsidP="00A137C0">
      <w:pPr>
        <w:ind w:left="851"/>
        <w:rPr>
          <w:sz w:val="24"/>
          <w:szCs w:val="24"/>
          <w:lang w:val="nl-NL"/>
        </w:rPr>
      </w:pPr>
    </w:p>
    <w:p w14:paraId="798FA8E4" w14:textId="77777777" w:rsidR="001C6459" w:rsidRPr="00A137C0" w:rsidRDefault="001C6459" w:rsidP="00A137C0">
      <w:pPr>
        <w:ind w:left="851"/>
        <w:rPr>
          <w:b/>
          <w:bCs/>
          <w:sz w:val="24"/>
          <w:szCs w:val="24"/>
        </w:rPr>
      </w:pPr>
      <w:r w:rsidRPr="00A137C0">
        <w:rPr>
          <w:b/>
          <w:sz w:val="24"/>
          <w:szCs w:val="24"/>
        </w:rPr>
        <w:t xml:space="preserve">Miljøoplysninger </w:t>
      </w:r>
    </w:p>
    <w:p w14:paraId="174F3E33" w14:textId="77777777" w:rsidR="001C6459" w:rsidRPr="00A137C0" w:rsidRDefault="001C6459" w:rsidP="00A137C0">
      <w:pPr>
        <w:ind w:left="851"/>
        <w:rPr>
          <w:sz w:val="24"/>
          <w:szCs w:val="24"/>
        </w:rPr>
      </w:pPr>
      <w:proofErr w:type="spellStart"/>
      <w:r w:rsidRPr="00A137C0">
        <w:rPr>
          <w:sz w:val="24"/>
          <w:szCs w:val="24"/>
        </w:rPr>
        <w:t>Trimethoprim</w:t>
      </w:r>
      <w:proofErr w:type="spellEnd"/>
      <w:r w:rsidRPr="00A137C0">
        <w:rPr>
          <w:sz w:val="24"/>
          <w:szCs w:val="24"/>
        </w:rPr>
        <w:t xml:space="preserve"> er persisterende i jord.</w:t>
      </w:r>
    </w:p>
    <w:p w14:paraId="72F0A717" w14:textId="6F4546D8" w:rsidR="008203A8" w:rsidRDefault="008203A8" w:rsidP="008203A8">
      <w:pPr>
        <w:tabs>
          <w:tab w:val="left" w:pos="851"/>
        </w:tabs>
        <w:ind w:left="851"/>
        <w:rPr>
          <w:sz w:val="24"/>
          <w:szCs w:val="24"/>
        </w:rPr>
      </w:pPr>
    </w:p>
    <w:p w14:paraId="4FBBD237" w14:textId="77777777" w:rsidR="00B30549" w:rsidRPr="00A137C0" w:rsidRDefault="00B30549" w:rsidP="008203A8">
      <w:pPr>
        <w:tabs>
          <w:tab w:val="left" w:pos="851"/>
        </w:tabs>
        <w:ind w:left="851"/>
        <w:rPr>
          <w:sz w:val="24"/>
          <w:szCs w:val="24"/>
        </w:rPr>
      </w:pPr>
    </w:p>
    <w:p w14:paraId="154705E2" w14:textId="77777777" w:rsidR="008203A8" w:rsidRPr="00A137C0" w:rsidRDefault="008203A8" w:rsidP="008203A8">
      <w:pPr>
        <w:ind w:left="851" w:hanging="851"/>
        <w:rPr>
          <w:b/>
          <w:sz w:val="24"/>
          <w:szCs w:val="24"/>
        </w:rPr>
      </w:pPr>
      <w:r w:rsidRPr="00A137C0">
        <w:rPr>
          <w:b/>
          <w:sz w:val="24"/>
          <w:szCs w:val="24"/>
        </w:rPr>
        <w:t>5.</w:t>
      </w:r>
      <w:r w:rsidRPr="00A137C0">
        <w:rPr>
          <w:b/>
          <w:sz w:val="24"/>
          <w:szCs w:val="24"/>
        </w:rPr>
        <w:tab/>
        <w:t>FARMACEUTISKE OPLYSNINGER</w:t>
      </w:r>
    </w:p>
    <w:p w14:paraId="60B97190" w14:textId="77777777" w:rsidR="008203A8" w:rsidRPr="00A137C0" w:rsidRDefault="008203A8" w:rsidP="008203A8">
      <w:pPr>
        <w:tabs>
          <w:tab w:val="left" w:pos="851"/>
        </w:tabs>
        <w:ind w:left="851"/>
        <w:rPr>
          <w:sz w:val="24"/>
          <w:szCs w:val="24"/>
        </w:rPr>
      </w:pPr>
    </w:p>
    <w:p w14:paraId="45467F93" w14:textId="77777777" w:rsidR="008203A8" w:rsidRPr="00A137C0" w:rsidRDefault="008203A8" w:rsidP="008203A8">
      <w:pPr>
        <w:ind w:left="851" w:hanging="851"/>
        <w:rPr>
          <w:b/>
          <w:sz w:val="24"/>
          <w:szCs w:val="24"/>
        </w:rPr>
      </w:pPr>
      <w:r w:rsidRPr="00A137C0">
        <w:rPr>
          <w:b/>
          <w:sz w:val="24"/>
          <w:szCs w:val="24"/>
        </w:rPr>
        <w:t>5.1</w:t>
      </w:r>
      <w:r w:rsidRPr="00A137C0">
        <w:rPr>
          <w:b/>
          <w:sz w:val="24"/>
          <w:szCs w:val="24"/>
        </w:rPr>
        <w:tab/>
        <w:t>Væsentlige uforligeligheder</w:t>
      </w:r>
    </w:p>
    <w:p w14:paraId="304E7AC1" w14:textId="77777777" w:rsidR="001C6459" w:rsidRPr="00A137C0" w:rsidRDefault="001C6459" w:rsidP="00A137C0">
      <w:pPr>
        <w:ind w:left="851"/>
        <w:rPr>
          <w:iCs/>
          <w:sz w:val="24"/>
          <w:szCs w:val="24"/>
          <w:lang w:eastAsia="nl-NL"/>
        </w:rPr>
      </w:pPr>
      <w:r w:rsidRPr="00A137C0">
        <w:rPr>
          <w:sz w:val="24"/>
          <w:szCs w:val="24"/>
        </w:rPr>
        <w:t>Da der ikke er undersøgelser vedrørende eventuelle uforligeligheder, må dette veterinærlægemiddel ikke blandes med andre veterinærlægemidler.</w:t>
      </w:r>
    </w:p>
    <w:p w14:paraId="526A710B" w14:textId="77777777" w:rsidR="008203A8" w:rsidRPr="00A137C0" w:rsidRDefault="008203A8" w:rsidP="008203A8">
      <w:pPr>
        <w:tabs>
          <w:tab w:val="left" w:pos="851"/>
        </w:tabs>
        <w:ind w:left="851"/>
        <w:rPr>
          <w:sz w:val="24"/>
          <w:szCs w:val="24"/>
        </w:rPr>
      </w:pPr>
    </w:p>
    <w:p w14:paraId="587F9753" w14:textId="77777777" w:rsidR="008203A8" w:rsidRPr="00A137C0" w:rsidRDefault="008203A8" w:rsidP="008203A8">
      <w:pPr>
        <w:ind w:left="851" w:hanging="851"/>
        <w:rPr>
          <w:b/>
          <w:sz w:val="24"/>
          <w:szCs w:val="24"/>
        </w:rPr>
      </w:pPr>
      <w:r w:rsidRPr="00A137C0">
        <w:rPr>
          <w:b/>
          <w:sz w:val="24"/>
          <w:szCs w:val="24"/>
        </w:rPr>
        <w:t>5.2</w:t>
      </w:r>
      <w:r w:rsidRPr="00A137C0">
        <w:rPr>
          <w:b/>
          <w:sz w:val="24"/>
          <w:szCs w:val="24"/>
        </w:rPr>
        <w:tab/>
        <w:t>Opbevaringstid</w:t>
      </w:r>
    </w:p>
    <w:p w14:paraId="16465353" w14:textId="77777777" w:rsidR="001C6459" w:rsidRPr="00A137C0" w:rsidRDefault="001C6459" w:rsidP="00A137C0">
      <w:pPr>
        <w:ind w:left="851"/>
        <w:rPr>
          <w:sz w:val="24"/>
          <w:szCs w:val="24"/>
          <w:lang w:eastAsia="nl-NL"/>
        </w:rPr>
      </w:pPr>
      <w:r w:rsidRPr="00A137C0">
        <w:rPr>
          <w:sz w:val="24"/>
          <w:szCs w:val="24"/>
        </w:rPr>
        <w:t xml:space="preserve">Opbevaringstid for veterinærlægemidlet i salgspakning: </w:t>
      </w:r>
    </w:p>
    <w:p w14:paraId="22F764B5" w14:textId="77777777" w:rsidR="001C6459" w:rsidRPr="00B30549" w:rsidRDefault="001C6459" w:rsidP="00B30549">
      <w:pPr>
        <w:pStyle w:val="Listeafsnit"/>
        <w:numPr>
          <w:ilvl w:val="0"/>
          <w:numId w:val="6"/>
        </w:numPr>
        <w:ind w:left="1276" w:hanging="425"/>
        <w:rPr>
          <w:sz w:val="24"/>
          <w:szCs w:val="24"/>
        </w:rPr>
      </w:pPr>
      <w:r w:rsidRPr="00B30549">
        <w:rPr>
          <w:sz w:val="24"/>
          <w:szCs w:val="24"/>
        </w:rPr>
        <w:t>Beholder: 3 år.</w:t>
      </w:r>
    </w:p>
    <w:p w14:paraId="07DF2729" w14:textId="77777777" w:rsidR="001C6459" w:rsidRPr="00B30549" w:rsidRDefault="001C6459" w:rsidP="00B30549">
      <w:pPr>
        <w:pStyle w:val="Listeafsnit"/>
        <w:numPr>
          <w:ilvl w:val="0"/>
          <w:numId w:val="6"/>
        </w:numPr>
        <w:ind w:left="1276" w:hanging="425"/>
        <w:rPr>
          <w:sz w:val="24"/>
          <w:szCs w:val="24"/>
        </w:rPr>
      </w:pPr>
      <w:r w:rsidRPr="00B30549">
        <w:rPr>
          <w:sz w:val="24"/>
          <w:szCs w:val="24"/>
        </w:rPr>
        <w:t>Brev: 2 år.</w:t>
      </w:r>
    </w:p>
    <w:p w14:paraId="3C363F36" w14:textId="4E8927D5" w:rsidR="005F19BB" w:rsidRDefault="005F19BB">
      <w:pPr>
        <w:rPr>
          <w:sz w:val="24"/>
          <w:szCs w:val="24"/>
        </w:rPr>
      </w:pPr>
      <w:r>
        <w:rPr>
          <w:sz w:val="24"/>
          <w:szCs w:val="24"/>
        </w:rPr>
        <w:br w:type="page"/>
      </w:r>
    </w:p>
    <w:p w14:paraId="7EC9E4FA" w14:textId="77777777" w:rsidR="00B30549" w:rsidRDefault="00B30549" w:rsidP="00A137C0">
      <w:pPr>
        <w:ind w:left="851"/>
        <w:rPr>
          <w:sz w:val="24"/>
          <w:szCs w:val="24"/>
        </w:rPr>
      </w:pPr>
    </w:p>
    <w:p w14:paraId="16EDF43D" w14:textId="4AD3D8F0" w:rsidR="001C6459" w:rsidRPr="00A137C0" w:rsidRDefault="001C6459" w:rsidP="00A137C0">
      <w:pPr>
        <w:ind w:left="851"/>
        <w:rPr>
          <w:sz w:val="24"/>
          <w:szCs w:val="24"/>
        </w:rPr>
      </w:pPr>
      <w:r w:rsidRPr="00A137C0">
        <w:rPr>
          <w:sz w:val="24"/>
          <w:szCs w:val="24"/>
        </w:rPr>
        <w:t xml:space="preserve">Opbevaringstid efter første åbning af den indre emballage: </w:t>
      </w:r>
    </w:p>
    <w:p w14:paraId="41BF7F4F" w14:textId="56AC77BE" w:rsidR="001C6459" w:rsidRPr="00B30549" w:rsidRDefault="001C6459" w:rsidP="00B30549">
      <w:pPr>
        <w:pStyle w:val="Listeafsnit"/>
        <w:numPr>
          <w:ilvl w:val="0"/>
          <w:numId w:val="6"/>
        </w:numPr>
        <w:ind w:left="1276" w:hanging="425"/>
        <w:rPr>
          <w:sz w:val="24"/>
          <w:szCs w:val="24"/>
        </w:rPr>
      </w:pPr>
      <w:bookmarkStart w:id="21" w:name="_Hlk187657074"/>
      <w:r w:rsidRPr="00B30549">
        <w:rPr>
          <w:sz w:val="24"/>
          <w:szCs w:val="24"/>
        </w:rPr>
        <w:t>Beholder: 3 måneder.</w:t>
      </w:r>
    </w:p>
    <w:p w14:paraId="6A83C78C" w14:textId="61AB19F3" w:rsidR="001C6459" w:rsidRPr="00B30549" w:rsidRDefault="001C6459" w:rsidP="00B30549">
      <w:pPr>
        <w:pStyle w:val="Listeafsnit"/>
        <w:numPr>
          <w:ilvl w:val="0"/>
          <w:numId w:val="6"/>
        </w:numPr>
        <w:ind w:left="1276" w:hanging="425"/>
        <w:rPr>
          <w:sz w:val="24"/>
          <w:szCs w:val="24"/>
        </w:rPr>
      </w:pPr>
      <w:r w:rsidRPr="00B30549">
        <w:rPr>
          <w:sz w:val="24"/>
          <w:szCs w:val="24"/>
        </w:rPr>
        <w:t>Brev: anvendes straks.</w:t>
      </w:r>
    </w:p>
    <w:p w14:paraId="1F2D4D13" w14:textId="77777777" w:rsidR="00B30549" w:rsidRDefault="00B30549" w:rsidP="00A137C0">
      <w:pPr>
        <w:ind w:left="851"/>
        <w:rPr>
          <w:sz w:val="24"/>
          <w:szCs w:val="24"/>
        </w:rPr>
      </w:pPr>
      <w:bookmarkStart w:id="22" w:name="_Hlk205196321"/>
    </w:p>
    <w:p w14:paraId="5C8B3B7F" w14:textId="3C1F7DE3" w:rsidR="001C6459" w:rsidRPr="00A137C0" w:rsidRDefault="001C6459" w:rsidP="00A137C0">
      <w:pPr>
        <w:ind w:left="851"/>
        <w:rPr>
          <w:sz w:val="24"/>
          <w:szCs w:val="24"/>
        </w:rPr>
      </w:pPr>
      <w:r w:rsidRPr="00A137C0">
        <w:rPr>
          <w:sz w:val="24"/>
          <w:szCs w:val="24"/>
        </w:rPr>
        <w:t>Opbevaringstid efter iblanding i foder: anvendes straks.</w:t>
      </w:r>
      <w:bookmarkEnd w:id="21"/>
      <w:bookmarkEnd w:id="22"/>
    </w:p>
    <w:p w14:paraId="0D200798" w14:textId="77777777" w:rsidR="008203A8" w:rsidRPr="00A137C0" w:rsidRDefault="008203A8" w:rsidP="008203A8">
      <w:pPr>
        <w:tabs>
          <w:tab w:val="left" w:pos="851"/>
        </w:tabs>
        <w:ind w:left="851"/>
        <w:rPr>
          <w:sz w:val="24"/>
          <w:szCs w:val="24"/>
        </w:rPr>
      </w:pPr>
    </w:p>
    <w:p w14:paraId="20D0082B" w14:textId="77777777" w:rsidR="008203A8" w:rsidRPr="00A137C0" w:rsidRDefault="008203A8" w:rsidP="008203A8">
      <w:pPr>
        <w:ind w:left="851" w:hanging="851"/>
        <w:rPr>
          <w:b/>
          <w:sz w:val="24"/>
          <w:szCs w:val="24"/>
        </w:rPr>
      </w:pPr>
      <w:r w:rsidRPr="00A137C0">
        <w:rPr>
          <w:b/>
          <w:sz w:val="24"/>
          <w:szCs w:val="24"/>
        </w:rPr>
        <w:t>5.3</w:t>
      </w:r>
      <w:r w:rsidRPr="00A137C0">
        <w:rPr>
          <w:b/>
          <w:sz w:val="24"/>
          <w:szCs w:val="24"/>
        </w:rPr>
        <w:tab/>
        <w:t>Særlige forholdsregler vedrørende opbevaring</w:t>
      </w:r>
    </w:p>
    <w:p w14:paraId="77408C1C" w14:textId="77777777" w:rsidR="001C6459" w:rsidRPr="00A137C0" w:rsidRDefault="001C6459" w:rsidP="00A137C0">
      <w:pPr>
        <w:ind w:left="851"/>
        <w:rPr>
          <w:sz w:val="24"/>
          <w:szCs w:val="24"/>
          <w:lang w:eastAsia="nl-NL"/>
        </w:rPr>
      </w:pPr>
      <w:bookmarkStart w:id="23" w:name="_Hlk205196273"/>
      <w:r w:rsidRPr="00A137C0">
        <w:rPr>
          <w:sz w:val="24"/>
          <w:szCs w:val="24"/>
        </w:rPr>
        <w:t>Der er ingen særlige krav vedrørende opbevaringstemperaturer for dette veterinærlægemiddel.</w:t>
      </w:r>
    </w:p>
    <w:p w14:paraId="024C077C" w14:textId="77777777" w:rsidR="001C6459" w:rsidRPr="00A137C0" w:rsidRDefault="001C6459" w:rsidP="00A137C0">
      <w:pPr>
        <w:ind w:left="851"/>
        <w:rPr>
          <w:sz w:val="24"/>
          <w:szCs w:val="24"/>
        </w:rPr>
      </w:pPr>
      <w:r w:rsidRPr="00A137C0">
        <w:rPr>
          <w:sz w:val="24"/>
          <w:szCs w:val="24"/>
        </w:rPr>
        <w:t>Opbevares i den originale pakning for at beskytte mod lys.</w:t>
      </w:r>
      <w:bookmarkEnd w:id="23"/>
    </w:p>
    <w:p w14:paraId="1E3F1607" w14:textId="77777777" w:rsidR="008203A8" w:rsidRPr="00A137C0" w:rsidRDefault="008203A8" w:rsidP="008203A8">
      <w:pPr>
        <w:tabs>
          <w:tab w:val="left" w:pos="851"/>
        </w:tabs>
        <w:ind w:left="851"/>
        <w:rPr>
          <w:sz w:val="24"/>
          <w:szCs w:val="24"/>
        </w:rPr>
      </w:pPr>
    </w:p>
    <w:p w14:paraId="753CBEC4" w14:textId="77777777" w:rsidR="008203A8" w:rsidRPr="00A137C0" w:rsidRDefault="008203A8" w:rsidP="008203A8">
      <w:pPr>
        <w:ind w:left="851" w:hanging="851"/>
        <w:rPr>
          <w:b/>
          <w:sz w:val="24"/>
          <w:szCs w:val="24"/>
        </w:rPr>
      </w:pPr>
      <w:r w:rsidRPr="00A137C0">
        <w:rPr>
          <w:b/>
          <w:sz w:val="24"/>
          <w:szCs w:val="24"/>
        </w:rPr>
        <w:t>5.4</w:t>
      </w:r>
      <w:r w:rsidRPr="00A137C0">
        <w:rPr>
          <w:b/>
          <w:sz w:val="24"/>
          <w:szCs w:val="24"/>
        </w:rPr>
        <w:tab/>
        <w:t>Den indre emballages art og indhold</w:t>
      </w:r>
    </w:p>
    <w:p w14:paraId="4F8F4C66" w14:textId="77777777" w:rsidR="001C6459" w:rsidRPr="00A137C0" w:rsidRDefault="001C6459" w:rsidP="00A137C0">
      <w:pPr>
        <w:ind w:left="851"/>
        <w:rPr>
          <w:sz w:val="24"/>
          <w:szCs w:val="24"/>
          <w:lang w:eastAsia="nl-NL"/>
        </w:rPr>
      </w:pPr>
      <w:r w:rsidRPr="00A137C0">
        <w:rPr>
          <w:sz w:val="24"/>
          <w:szCs w:val="24"/>
        </w:rPr>
        <w:t xml:space="preserve">Beholder: Hvid cylinderformet beholder af polypropylen, der er dækket med et låg af </w:t>
      </w:r>
      <w:proofErr w:type="spellStart"/>
      <w:r w:rsidRPr="00A137C0">
        <w:rPr>
          <w:sz w:val="24"/>
          <w:szCs w:val="24"/>
        </w:rPr>
        <w:t>lavdensitetspolyethylen</w:t>
      </w:r>
      <w:proofErr w:type="spellEnd"/>
      <w:r w:rsidRPr="00A137C0">
        <w:rPr>
          <w:sz w:val="24"/>
          <w:szCs w:val="24"/>
        </w:rPr>
        <w:t>.</w:t>
      </w:r>
    </w:p>
    <w:p w14:paraId="4772B334" w14:textId="77777777" w:rsidR="001C6459" w:rsidRPr="00A137C0" w:rsidRDefault="001C6459" w:rsidP="00A137C0">
      <w:pPr>
        <w:ind w:left="851"/>
        <w:rPr>
          <w:sz w:val="24"/>
          <w:szCs w:val="24"/>
        </w:rPr>
      </w:pPr>
      <w:r w:rsidRPr="00A137C0">
        <w:rPr>
          <w:sz w:val="24"/>
          <w:szCs w:val="24"/>
        </w:rPr>
        <w:t>Beholder indeholder 500 g eller 800 g veterinærlægemiddel.</w:t>
      </w:r>
    </w:p>
    <w:p w14:paraId="1651BD0A" w14:textId="77777777" w:rsidR="001C6459" w:rsidRPr="00A137C0" w:rsidRDefault="001C6459" w:rsidP="00A137C0">
      <w:pPr>
        <w:ind w:left="851"/>
        <w:rPr>
          <w:sz w:val="24"/>
          <w:szCs w:val="24"/>
        </w:rPr>
      </w:pPr>
      <w:r w:rsidRPr="00A137C0">
        <w:rPr>
          <w:sz w:val="24"/>
          <w:szCs w:val="24"/>
        </w:rPr>
        <w:t xml:space="preserve">Brev: Hvidt varmeforseglet 4-lags engangsbrev med et indvendigt lag af </w:t>
      </w:r>
      <w:proofErr w:type="spellStart"/>
      <w:r w:rsidRPr="00A137C0">
        <w:rPr>
          <w:sz w:val="24"/>
          <w:szCs w:val="24"/>
        </w:rPr>
        <w:t>coekstruderingscopolymer</w:t>
      </w:r>
      <w:proofErr w:type="spellEnd"/>
      <w:r w:rsidRPr="00A137C0">
        <w:rPr>
          <w:sz w:val="24"/>
          <w:szCs w:val="24"/>
        </w:rPr>
        <w:t xml:space="preserve"> +PE. Brevene indeholder 12,5 g, 37,5 g eller 50 g veterinærlægemiddel. </w:t>
      </w:r>
    </w:p>
    <w:p w14:paraId="58CDF8BB" w14:textId="77777777" w:rsidR="001C6459" w:rsidRPr="00A137C0" w:rsidRDefault="001C6459" w:rsidP="00A137C0">
      <w:pPr>
        <w:ind w:left="851"/>
        <w:rPr>
          <w:sz w:val="24"/>
          <w:szCs w:val="24"/>
          <w:lang w:val="nl-NL"/>
        </w:rPr>
      </w:pPr>
    </w:p>
    <w:p w14:paraId="70CBFE70" w14:textId="77777777" w:rsidR="001C6459" w:rsidRPr="00A137C0" w:rsidRDefault="001C6459" w:rsidP="00A137C0">
      <w:pPr>
        <w:ind w:left="851"/>
        <w:rPr>
          <w:sz w:val="24"/>
          <w:szCs w:val="24"/>
        </w:rPr>
      </w:pPr>
      <w:r w:rsidRPr="00A137C0">
        <w:rPr>
          <w:sz w:val="24"/>
          <w:szCs w:val="24"/>
        </w:rPr>
        <w:t>Pakningsstørrelser:</w:t>
      </w:r>
    </w:p>
    <w:p w14:paraId="5CED0D17" w14:textId="233336E2" w:rsidR="001C6459" w:rsidRPr="005F19BB" w:rsidRDefault="001C6459" w:rsidP="005F19BB">
      <w:pPr>
        <w:pStyle w:val="Listeafsnit"/>
        <w:numPr>
          <w:ilvl w:val="0"/>
          <w:numId w:val="6"/>
        </w:numPr>
        <w:ind w:left="1276" w:hanging="425"/>
        <w:rPr>
          <w:sz w:val="24"/>
          <w:szCs w:val="24"/>
        </w:rPr>
      </w:pPr>
      <w:r w:rsidRPr="005F19BB">
        <w:rPr>
          <w:sz w:val="24"/>
          <w:szCs w:val="24"/>
        </w:rPr>
        <w:t>Breve med 12,5 g pakket i en papæske indeholdende 15 eller 100 breve.</w:t>
      </w:r>
    </w:p>
    <w:p w14:paraId="0D1C15AF" w14:textId="4CB8FD35" w:rsidR="001C6459" w:rsidRPr="005F19BB" w:rsidRDefault="001C6459" w:rsidP="005F19BB">
      <w:pPr>
        <w:pStyle w:val="Listeafsnit"/>
        <w:numPr>
          <w:ilvl w:val="0"/>
          <w:numId w:val="6"/>
        </w:numPr>
        <w:ind w:left="1276" w:hanging="425"/>
        <w:rPr>
          <w:sz w:val="24"/>
          <w:szCs w:val="24"/>
        </w:rPr>
      </w:pPr>
      <w:r w:rsidRPr="005F19BB">
        <w:rPr>
          <w:sz w:val="24"/>
          <w:szCs w:val="24"/>
        </w:rPr>
        <w:t>Breve med 37,5 g pakket i en papæske indeholdende 5, 10 eller 100 breve.</w:t>
      </w:r>
    </w:p>
    <w:p w14:paraId="09788463" w14:textId="36FD51AA" w:rsidR="001C6459" w:rsidRPr="005F19BB" w:rsidRDefault="001C6459" w:rsidP="005F19BB">
      <w:pPr>
        <w:pStyle w:val="Listeafsnit"/>
        <w:numPr>
          <w:ilvl w:val="0"/>
          <w:numId w:val="6"/>
        </w:numPr>
        <w:ind w:left="1276" w:hanging="425"/>
        <w:rPr>
          <w:sz w:val="24"/>
          <w:szCs w:val="24"/>
        </w:rPr>
      </w:pPr>
      <w:r w:rsidRPr="005F19BB">
        <w:rPr>
          <w:sz w:val="24"/>
          <w:szCs w:val="24"/>
        </w:rPr>
        <w:t>Breve med 50 g pakket i en papæske indeholdende 5, 10 eller 100 breve.</w:t>
      </w:r>
    </w:p>
    <w:p w14:paraId="6F7B8B13" w14:textId="77777777" w:rsidR="001C6459" w:rsidRPr="00A137C0" w:rsidRDefault="001C6459" w:rsidP="00A137C0">
      <w:pPr>
        <w:ind w:left="851"/>
        <w:rPr>
          <w:sz w:val="24"/>
          <w:szCs w:val="24"/>
          <w:lang w:val="nl-NL"/>
        </w:rPr>
      </w:pPr>
    </w:p>
    <w:p w14:paraId="7193522F" w14:textId="77777777" w:rsidR="001C6459" w:rsidRPr="00A137C0" w:rsidRDefault="001C6459" w:rsidP="00A137C0">
      <w:pPr>
        <w:ind w:left="851"/>
        <w:rPr>
          <w:sz w:val="24"/>
          <w:szCs w:val="24"/>
        </w:rPr>
      </w:pPr>
      <w:r w:rsidRPr="00A137C0">
        <w:rPr>
          <w:sz w:val="24"/>
          <w:szCs w:val="24"/>
        </w:rPr>
        <w:t>Ikke alle pakningsstørrelser er nødvendigvis markedsført.</w:t>
      </w:r>
    </w:p>
    <w:p w14:paraId="684A92B4" w14:textId="77777777" w:rsidR="008203A8" w:rsidRPr="00A137C0" w:rsidRDefault="008203A8" w:rsidP="008203A8">
      <w:pPr>
        <w:tabs>
          <w:tab w:val="left" w:pos="851"/>
        </w:tabs>
        <w:ind w:left="851"/>
        <w:rPr>
          <w:sz w:val="24"/>
          <w:szCs w:val="24"/>
        </w:rPr>
      </w:pPr>
    </w:p>
    <w:p w14:paraId="0FEAFBBB" w14:textId="77777777" w:rsidR="008203A8" w:rsidRPr="00A137C0" w:rsidRDefault="008203A8" w:rsidP="008203A8">
      <w:pPr>
        <w:tabs>
          <w:tab w:val="left" w:pos="851"/>
        </w:tabs>
        <w:ind w:left="851" w:hanging="851"/>
        <w:rPr>
          <w:sz w:val="24"/>
          <w:szCs w:val="24"/>
        </w:rPr>
      </w:pPr>
      <w:r w:rsidRPr="00A137C0">
        <w:rPr>
          <w:b/>
          <w:sz w:val="24"/>
          <w:szCs w:val="24"/>
        </w:rPr>
        <w:t>5.5</w:t>
      </w:r>
      <w:r w:rsidRPr="00A137C0">
        <w:rPr>
          <w:b/>
          <w:sz w:val="24"/>
          <w:szCs w:val="24"/>
        </w:rPr>
        <w:tab/>
        <w:t>Særlige forholdsregler vedrørende bortskaffelse af ubrugte veterinærlægemidler eller affaldsmaterialer fra brugen heraf</w:t>
      </w:r>
    </w:p>
    <w:p w14:paraId="3A04F53A" w14:textId="77777777" w:rsidR="001C6459" w:rsidRPr="00A137C0" w:rsidRDefault="001C6459" w:rsidP="00A137C0">
      <w:pPr>
        <w:ind w:left="851"/>
        <w:rPr>
          <w:sz w:val="24"/>
          <w:szCs w:val="24"/>
          <w:lang w:eastAsia="nl-NL"/>
        </w:rPr>
      </w:pPr>
      <w:r w:rsidRPr="00A137C0">
        <w:rPr>
          <w:sz w:val="24"/>
          <w:szCs w:val="24"/>
        </w:rPr>
        <w:t>Lægemidler må ikke bortskaffes sammen med spildevand eller husholdningsaffald.</w:t>
      </w:r>
    </w:p>
    <w:p w14:paraId="6B407D39" w14:textId="77777777" w:rsidR="001C6459" w:rsidRPr="00A137C0" w:rsidRDefault="001C6459" w:rsidP="00A137C0">
      <w:pPr>
        <w:ind w:left="851"/>
        <w:rPr>
          <w:sz w:val="24"/>
          <w:szCs w:val="24"/>
        </w:rPr>
      </w:pPr>
    </w:p>
    <w:p w14:paraId="2410D4AB" w14:textId="77777777" w:rsidR="001C6459" w:rsidRPr="00A137C0" w:rsidRDefault="001C6459" w:rsidP="00A137C0">
      <w:pPr>
        <w:ind w:left="851"/>
        <w:rPr>
          <w:sz w:val="24"/>
          <w:szCs w:val="24"/>
        </w:rPr>
      </w:pPr>
      <w:r w:rsidRPr="00A137C0">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7C8E2846" w14:textId="77777777" w:rsidR="008203A8" w:rsidRPr="00A137C0" w:rsidRDefault="008203A8" w:rsidP="008203A8">
      <w:pPr>
        <w:tabs>
          <w:tab w:val="left" w:pos="851"/>
        </w:tabs>
        <w:ind w:left="851"/>
        <w:rPr>
          <w:sz w:val="24"/>
          <w:szCs w:val="24"/>
        </w:rPr>
      </w:pPr>
    </w:p>
    <w:p w14:paraId="74AC100B" w14:textId="77777777" w:rsidR="008203A8" w:rsidRPr="00A137C0" w:rsidRDefault="008203A8" w:rsidP="008203A8">
      <w:pPr>
        <w:tabs>
          <w:tab w:val="left" w:pos="851"/>
        </w:tabs>
        <w:ind w:left="851" w:hanging="851"/>
        <w:rPr>
          <w:b/>
          <w:sz w:val="24"/>
          <w:szCs w:val="24"/>
        </w:rPr>
      </w:pPr>
      <w:r w:rsidRPr="00A137C0">
        <w:rPr>
          <w:b/>
          <w:sz w:val="24"/>
          <w:szCs w:val="24"/>
        </w:rPr>
        <w:t>6.</w:t>
      </w:r>
      <w:r w:rsidRPr="00A137C0">
        <w:rPr>
          <w:b/>
          <w:sz w:val="24"/>
          <w:szCs w:val="24"/>
        </w:rPr>
        <w:tab/>
        <w:t>NAVN PÅ INDEHAVEREN AF MARKEDSFØRINGSTILLADELSEN</w:t>
      </w:r>
    </w:p>
    <w:p w14:paraId="7BCF9EAF" w14:textId="17282E23" w:rsidR="001C6459" w:rsidRPr="00A137C0" w:rsidRDefault="001C6459" w:rsidP="00A137C0">
      <w:pPr>
        <w:ind w:left="851"/>
        <w:rPr>
          <w:sz w:val="24"/>
          <w:szCs w:val="24"/>
          <w:lang w:eastAsia="nl-NL"/>
        </w:rPr>
      </w:pPr>
      <w:r w:rsidRPr="00A137C0">
        <w:rPr>
          <w:sz w:val="24"/>
          <w:szCs w:val="24"/>
        </w:rPr>
        <w:fldChar w:fldCharType="begin"/>
      </w:r>
      <w:r w:rsidRPr="00A137C0">
        <w:rPr>
          <w:sz w:val="24"/>
          <w:szCs w:val="24"/>
        </w:rPr>
        <w:instrText xml:space="preserve"> SEQ CHAPTER \h \r 1</w:instrText>
      </w:r>
      <w:r w:rsidRPr="00A137C0">
        <w:rPr>
          <w:sz w:val="24"/>
          <w:szCs w:val="24"/>
        </w:rPr>
        <w:fldChar w:fldCharType="end"/>
      </w:r>
      <w:proofErr w:type="spellStart"/>
      <w:r w:rsidRPr="00A137C0">
        <w:rPr>
          <w:sz w:val="24"/>
          <w:szCs w:val="24"/>
        </w:rPr>
        <w:t>Dopharma</w:t>
      </w:r>
      <w:proofErr w:type="spellEnd"/>
      <w:r w:rsidRPr="00A137C0">
        <w:rPr>
          <w:sz w:val="24"/>
          <w:szCs w:val="24"/>
        </w:rPr>
        <w:t xml:space="preserve"> Research B.V.</w:t>
      </w:r>
    </w:p>
    <w:p w14:paraId="67079463" w14:textId="77777777" w:rsidR="001C6459" w:rsidRPr="00A137C0" w:rsidRDefault="001C6459" w:rsidP="00A137C0">
      <w:pPr>
        <w:ind w:left="851"/>
        <w:rPr>
          <w:iCs/>
          <w:sz w:val="24"/>
          <w:szCs w:val="24"/>
        </w:rPr>
      </w:pPr>
      <w:proofErr w:type="spellStart"/>
      <w:r w:rsidRPr="00A137C0">
        <w:rPr>
          <w:iCs/>
          <w:sz w:val="24"/>
          <w:szCs w:val="24"/>
        </w:rPr>
        <w:t>Zalmweg</w:t>
      </w:r>
      <w:proofErr w:type="spellEnd"/>
      <w:r w:rsidRPr="00A137C0">
        <w:rPr>
          <w:iCs/>
          <w:sz w:val="24"/>
          <w:szCs w:val="24"/>
        </w:rPr>
        <w:t xml:space="preserve"> 24</w:t>
      </w:r>
    </w:p>
    <w:p w14:paraId="28D47AB3" w14:textId="77777777" w:rsidR="001C6459" w:rsidRPr="00A137C0" w:rsidRDefault="001C6459" w:rsidP="00A137C0">
      <w:pPr>
        <w:ind w:left="851"/>
        <w:rPr>
          <w:iCs/>
          <w:sz w:val="24"/>
          <w:szCs w:val="24"/>
          <w:lang w:val="nl-NL"/>
        </w:rPr>
      </w:pPr>
      <w:r w:rsidRPr="00A137C0">
        <w:rPr>
          <w:iCs/>
          <w:sz w:val="24"/>
          <w:szCs w:val="24"/>
          <w:lang w:val="nl-NL"/>
        </w:rPr>
        <w:t>NL 4941 VX Raamsdonksveer</w:t>
      </w:r>
    </w:p>
    <w:p w14:paraId="7A73EB9B" w14:textId="77777777" w:rsidR="001C6459" w:rsidRPr="00A137C0" w:rsidRDefault="001C6459" w:rsidP="00A137C0">
      <w:pPr>
        <w:ind w:left="851"/>
        <w:rPr>
          <w:sz w:val="24"/>
          <w:szCs w:val="24"/>
        </w:rPr>
      </w:pPr>
      <w:r w:rsidRPr="00A137C0">
        <w:rPr>
          <w:sz w:val="24"/>
          <w:szCs w:val="24"/>
        </w:rPr>
        <w:t>Holland</w:t>
      </w:r>
    </w:p>
    <w:p w14:paraId="0AF076EC" w14:textId="77777777" w:rsidR="008203A8" w:rsidRPr="00A137C0" w:rsidRDefault="008203A8" w:rsidP="008203A8">
      <w:pPr>
        <w:tabs>
          <w:tab w:val="left" w:pos="851"/>
        </w:tabs>
        <w:ind w:left="851"/>
        <w:rPr>
          <w:sz w:val="24"/>
          <w:szCs w:val="24"/>
        </w:rPr>
      </w:pPr>
    </w:p>
    <w:p w14:paraId="460EE7B8" w14:textId="77777777" w:rsidR="008203A8" w:rsidRPr="00A137C0" w:rsidRDefault="008203A8" w:rsidP="008203A8">
      <w:pPr>
        <w:ind w:left="851" w:hanging="851"/>
        <w:rPr>
          <w:b/>
          <w:sz w:val="24"/>
          <w:szCs w:val="24"/>
        </w:rPr>
      </w:pPr>
      <w:r w:rsidRPr="00A137C0">
        <w:rPr>
          <w:b/>
          <w:sz w:val="24"/>
          <w:szCs w:val="24"/>
        </w:rPr>
        <w:t>7.</w:t>
      </w:r>
      <w:r w:rsidRPr="00A137C0">
        <w:rPr>
          <w:b/>
          <w:sz w:val="24"/>
          <w:szCs w:val="24"/>
        </w:rPr>
        <w:tab/>
        <w:t>MARKEDSFØRINGSTILLADELSESNUMMER (-NUMRE)</w:t>
      </w:r>
    </w:p>
    <w:p w14:paraId="44DC4939" w14:textId="200B2C12" w:rsidR="008203A8" w:rsidRPr="00A137C0" w:rsidRDefault="001C6459" w:rsidP="008203A8">
      <w:pPr>
        <w:tabs>
          <w:tab w:val="left" w:pos="851"/>
        </w:tabs>
        <w:ind w:left="851"/>
        <w:rPr>
          <w:sz w:val="24"/>
          <w:szCs w:val="24"/>
        </w:rPr>
      </w:pPr>
      <w:r w:rsidRPr="00A137C0">
        <w:rPr>
          <w:sz w:val="24"/>
          <w:szCs w:val="24"/>
        </w:rPr>
        <w:t>73258</w:t>
      </w:r>
    </w:p>
    <w:p w14:paraId="51F1DF35" w14:textId="77777777" w:rsidR="008203A8" w:rsidRPr="00A137C0" w:rsidRDefault="008203A8" w:rsidP="008203A8">
      <w:pPr>
        <w:tabs>
          <w:tab w:val="left" w:pos="851"/>
        </w:tabs>
        <w:ind w:left="851"/>
        <w:rPr>
          <w:sz w:val="24"/>
          <w:szCs w:val="24"/>
        </w:rPr>
      </w:pPr>
    </w:p>
    <w:p w14:paraId="470CC361" w14:textId="77777777" w:rsidR="008203A8" w:rsidRPr="00A137C0" w:rsidRDefault="008203A8" w:rsidP="008203A8">
      <w:pPr>
        <w:tabs>
          <w:tab w:val="left" w:pos="851"/>
        </w:tabs>
        <w:ind w:left="851" w:hanging="851"/>
        <w:rPr>
          <w:b/>
          <w:sz w:val="24"/>
          <w:szCs w:val="24"/>
        </w:rPr>
      </w:pPr>
      <w:r w:rsidRPr="00A137C0">
        <w:rPr>
          <w:b/>
          <w:sz w:val="24"/>
          <w:szCs w:val="24"/>
        </w:rPr>
        <w:t>8.</w:t>
      </w:r>
      <w:r w:rsidRPr="00A137C0">
        <w:rPr>
          <w:b/>
          <w:sz w:val="24"/>
          <w:szCs w:val="24"/>
        </w:rPr>
        <w:tab/>
        <w:t>DATO FOR FØRSTE TILLADELSE</w:t>
      </w:r>
    </w:p>
    <w:p w14:paraId="4FB032E2" w14:textId="4008424D" w:rsidR="008203A8" w:rsidRPr="00A137C0" w:rsidRDefault="00E17124" w:rsidP="008203A8">
      <w:pPr>
        <w:tabs>
          <w:tab w:val="left" w:pos="851"/>
        </w:tabs>
        <w:ind w:left="851"/>
        <w:rPr>
          <w:sz w:val="24"/>
          <w:szCs w:val="24"/>
        </w:rPr>
      </w:pPr>
      <w:r>
        <w:rPr>
          <w:sz w:val="24"/>
          <w:szCs w:val="24"/>
        </w:rPr>
        <w:t>23. januar 2026</w:t>
      </w:r>
      <w:bookmarkStart w:id="24" w:name="_GoBack"/>
      <w:bookmarkEnd w:id="24"/>
    </w:p>
    <w:p w14:paraId="359CEF5B" w14:textId="77777777" w:rsidR="008203A8" w:rsidRPr="00A137C0" w:rsidRDefault="008203A8" w:rsidP="008203A8">
      <w:pPr>
        <w:tabs>
          <w:tab w:val="left" w:pos="851"/>
        </w:tabs>
        <w:ind w:left="851"/>
        <w:rPr>
          <w:sz w:val="24"/>
          <w:szCs w:val="24"/>
        </w:rPr>
      </w:pPr>
    </w:p>
    <w:p w14:paraId="60973512" w14:textId="77777777" w:rsidR="008203A8" w:rsidRPr="00A137C0" w:rsidRDefault="008203A8" w:rsidP="008203A8">
      <w:pPr>
        <w:tabs>
          <w:tab w:val="left" w:pos="851"/>
        </w:tabs>
        <w:ind w:left="851" w:hanging="851"/>
        <w:rPr>
          <w:b/>
          <w:sz w:val="24"/>
          <w:szCs w:val="24"/>
        </w:rPr>
      </w:pPr>
      <w:r w:rsidRPr="00A137C0">
        <w:rPr>
          <w:b/>
          <w:sz w:val="24"/>
          <w:szCs w:val="24"/>
        </w:rPr>
        <w:t>9.</w:t>
      </w:r>
      <w:r w:rsidRPr="00A137C0">
        <w:rPr>
          <w:b/>
          <w:sz w:val="24"/>
          <w:szCs w:val="24"/>
        </w:rPr>
        <w:tab/>
        <w:t>DATO FOR SENESTE ÆNDRING AF PRODUKTRESUMÉET</w:t>
      </w:r>
    </w:p>
    <w:p w14:paraId="23DBEA87" w14:textId="498C35B6" w:rsidR="008203A8" w:rsidRPr="00A137C0" w:rsidRDefault="001C6459" w:rsidP="008203A8">
      <w:pPr>
        <w:tabs>
          <w:tab w:val="left" w:pos="851"/>
        </w:tabs>
        <w:ind w:left="851"/>
        <w:rPr>
          <w:sz w:val="24"/>
          <w:szCs w:val="24"/>
        </w:rPr>
      </w:pPr>
      <w:r w:rsidRPr="00A137C0">
        <w:rPr>
          <w:sz w:val="24"/>
          <w:szCs w:val="24"/>
        </w:rPr>
        <w:t>-</w:t>
      </w:r>
    </w:p>
    <w:p w14:paraId="46C1019A" w14:textId="433BAE47" w:rsidR="005F19BB" w:rsidRDefault="005F19BB">
      <w:pPr>
        <w:rPr>
          <w:sz w:val="24"/>
          <w:szCs w:val="24"/>
        </w:rPr>
      </w:pPr>
      <w:r>
        <w:rPr>
          <w:sz w:val="24"/>
          <w:szCs w:val="24"/>
        </w:rPr>
        <w:br w:type="page"/>
      </w:r>
    </w:p>
    <w:p w14:paraId="6399C311" w14:textId="77777777" w:rsidR="008203A8" w:rsidRPr="00A137C0" w:rsidRDefault="008203A8" w:rsidP="008203A8">
      <w:pPr>
        <w:tabs>
          <w:tab w:val="left" w:pos="851"/>
        </w:tabs>
        <w:ind w:left="851"/>
        <w:rPr>
          <w:sz w:val="24"/>
          <w:szCs w:val="24"/>
        </w:rPr>
      </w:pPr>
    </w:p>
    <w:p w14:paraId="75675280" w14:textId="77777777" w:rsidR="008203A8" w:rsidRPr="00A137C0" w:rsidRDefault="008203A8" w:rsidP="008203A8">
      <w:pPr>
        <w:tabs>
          <w:tab w:val="left" w:pos="851"/>
        </w:tabs>
        <w:ind w:left="851" w:hanging="851"/>
        <w:rPr>
          <w:b/>
          <w:sz w:val="24"/>
          <w:szCs w:val="24"/>
        </w:rPr>
      </w:pPr>
      <w:r w:rsidRPr="00A137C0">
        <w:rPr>
          <w:b/>
          <w:sz w:val="24"/>
          <w:szCs w:val="24"/>
        </w:rPr>
        <w:t>10.</w:t>
      </w:r>
      <w:r w:rsidRPr="00A137C0">
        <w:rPr>
          <w:b/>
          <w:sz w:val="24"/>
          <w:szCs w:val="24"/>
        </w:rPr>
        <w:tab/>
        <w:t>KLASSIFICERING AF VETERINÆRLÆGEMIDLER</w:t>
      </w:r>
    </w:p>
    <w:p w14:paraId="7109C643" w14:textId="77777777" w:rsidR="001C6459" w:rsidRPr="00A137C0" w:rsidRDefault="001C6459" w:rsidP="00A137C0">
      <w:pPr>
        <w:ind w:left="851"/>
        <w:rPr>
          <w:b/>
          <w:bCs/>
          <w:caps/>
          <w:sz w:val="24"/>
          <w:szCs w:val="24"/>
          <w:lang w:eastAsia="nl-NL"/>
        </w:rPr>
      </w:pPr>
      <w:r w:rsidRPr="00A137C0">
        <w:rPr>
          <w:sz w:val="24"/>
          <w:szCs w:val="24"/>
        </w:rPr>
        <w:t>BP</w:t>
      </w:r>
    </w:p>
    <w:p w14:paraId="1F07E2E4" w14:textId="77777777" w:rsidR="001C6459" w:rsidRPr="00B30549" w:rsidRDefault="001C6459" w:rsidP="00A137C0">
      <w:pPr>
        <w:ind w:left="851"/>
        <w:rPr>
          <w:bCs/>
          <w:caps/>
          <w:sz w:val="24"/>
          <w:szCs w:val="24"/>
          <w:lang w:val="nl-NL"/>
        </w:rPr>
      </w:pPr>
    </w:p>
    <w:p w14:paraId="5D704481" w14:textId="388E25DC" w:rsidR="0003527F" w:rsidRPr="00A137C0" w:rsidRDefault="001C6459" w:rsidP="00A137C0">
      <w:pPr>
        <w:ind w:left="851"/>
        <w:rPr>
          <w:sz w:val="24"/>
          <w:szCs w:val="24"/>
          <w:lang w:val="nl-NL"/>
        </w:rPr>
      </w:pPr>
      <w:bookmarkStart w:id="25" w:name="_Hlk73467306"/>
      <w:r w:rsidRPr="00A137C0">
        <w:rPr>
          <w:sz w:val="24"/>
          <w:szCs w:val="24"/>
        </w:rPr>
        <w:t>Der findes detaljerede oplysninger om dette veterinærlægemiddel i EU-lægemiddel</w:t>
      </w:r>
      <w:r w:rsidR="00B30549">
        <w:rPr>
          <w:sz w:val="24"/>
          <w:szCs w:val="24"/>
        </w:rPr>
        <w:softHyphen/>
      </w:r>
      <w:r w:rsidRPr="00A137C0">
        <w:rPr>
          <w:sz w:val="24"/>
          <w:szCs w:val="24"/>
        </w:rPr>
        <w:t>databasen (</w:t>
      </w:r>
      <w:hyperlink r:id="rId9" w:history="1">
        <w:r w:rsidRPr="00A137C0">
          <w:rPr>
            <w:rStyle w:val="Hyperlink"/>
            <w:sz w:val="24"/>
            <w:szCs w:val="24"/>
          </w:rPr>
          <w:t>https://medicines.health.europa.eu/veterinary</w:t>
        </w:r>
      </w:hyperlink>
      <w:r w:rsidRPr="00A137C0">
        <w:rPr>
          <w:sz w:val="24"/>
          <w:szCs w:val="24"/>
        </w:rPr>
        <w:t>).</w:t>
      </w:r>
      <w:bookmarkEnd w:id="25"/>
    </w:p>
    <w:sectPr w:rsidR="0003527F" w:rsidRPr="00A137C0" w:rsidSect="00C479BF">
      <w:headerReference w:type="default"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E746B" w14:textId="77777777" w:rsidR="00FC7E69" w:rsidRDefault="00FC7E69">
      <w:r>
        <w:separator/>
      </w:r>
    </w:p>
  </w:endnote>
  <w:endnote w:type="continuationSeparator" w:id="0">
    <w:p w14:paraId="4A050588" w14:textId="77777777" w:rsidR="00FC7E69" w:rsidRDefault="00FC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5963" w14:textId="77777777" w:rsidR="004A62CC" w:rsidRDefault="004A62CC">
    <w:pPr>
      <w:pStyle w:val="Sidefod"/>
      <w:pBdr>
        <w:bottom w:val="single" w:sz="6" w:space="1" w:color="auto"/>
      </w:pBdr>
      <w:tabs>
        <w:tab w:val="clear" w:pos="4819"/>
        <w:tab w:val="left" w:pos="8647"/>
      </w:tabs>
      <w:rPr>
        <w:i/>
        <w:snapToGrid w:val="0"/>
        <w:sz w:val="18"/>
      </w:rPr>
    </w:pPr>
  </w:p>
  <w:p w14:paraId="301EF033" w14:textId="77777777" w:rsidR="004A62CC" w:rsidRDefault="004A62CC">
    <w:pPr>
      <w:pStyle w:val="Sidefod"/>
      <w:tabs>
        <w:tab w:val="clear" w:pos="4819"/>
        <w:tab w:val="left" w:pos="8647"/>
      </w:tabs>
      <w:rPr>
        <w:i/>
        <w:snapToGrid w:val="0"/>
        <w:sz w:val="18"/>
      </w:rPr>
    </w:pPr>
  </w:p>
  <w:p w14:paraId="2DF1A813" w14:textId="1A32A6AB"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7212C3">
      <w:rPr>
        <w:i/>
        <w:noProof/>
        <w:snapToGrid w:val="0"/>
        <w:sz w:val="18"/>
      </w:rPr>
      <w:t>Cubarmix Vet., oralt pulver 400+80 mg-g.docx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D071" w14:textId="77777777" w:rsidR="004A62CC" w:rsidRDefault="004A62CC">
    <w:pPr>
      <w:pStyle w:val="Sidefod"/>
      <w:pBdr>
        <w:bottom w:val="single" w:sz="6" w:space="1" w:color="auto"/>
      </w:pBdr>
      <w:tabs>
        <w:tab w:val="clear" w:pos="4819"/>
        <w:tab w:val="left" w:pos="8647"/>
      </w:tabs>
      <w:rPr>
        <w:i/>
        <w:snapToGrid w:val="0"/>
        <w:sz w:val="18"/>
      </w:rPr>
    </w:pPr>
  </w:p>
  <w:p w14:paraId="027D75E4" w14:textId="77777777" w:rsidR="004A62CC" w:rsidRDefault="004A62CC">
    <w:pPr>
      <w:pStyle w:val="Sidefod"/>
      <w:tabs>
        <w:tab w:val="clear" w:pos="4819"/>
        <w:tab w:val="left" w:pos="8647"/>
      </w:tabs>
      <w:rPr>
        <w:i/>
        <w:snapToGrid w:val="0"/>
        <w:sz w:val="18"/>
      </w:rPr>
    </w:pPr>
  </w:p>
  <w:p w14:paraId="2220629A" w14:textId="7A9CE644"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7212C3">
      <w:rPr>
        <w:i/>
        <w:noProof/>
        <w:snapToGrid w:val="0"/>
        <w:sz w:val="18"/>
      </w:rPr>
      <w:t>Cubarmix Vet., oralt pulver 400+80 mg-g.docx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398E8" w14:textId="77777777" w:rsidR="00FC7E69" w:rsidRDefault="00FC7E69">
      <w:r>
        <w:separator/>
      </w:r>
    </w:p>
  </w:footnote>
  <w:footnote w:type="continuationSeparator" w:id="0">
    <w:p w14:paraId="1CCE5637" w14:textId="77777777" w:rsidR="00FC7E69" w:rsidRDefault="00FC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2D8F"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1BDE"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618E"/>
    <w:multiLevelType w:val="hybridMultilevel"/>
    <w:tmpl w:val="82021032"/>
    <w:lvl w:ilvl="0" w:tplc="725CCACC">
      <w:start w:val="5"/>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20447E92"/>
    <w:multiLevelType w:val="hybridMultilevel"/>
    <w:tmpl w:val="F9527044"/>
    <w:lvl w:ilvl="0" w:tplc="725CCACC">
      <w:start w:val="5"/>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3CD45927"/>
    <w:multiLevelType w:val="hybridMultilevel"/>
    <w:tmpl w:val="7C6A5FC0"/>
    <w:lvl w:ilvl="0" w:tplc="725CCACC">
      <w:start w:val="5"/>
      <w:numFmt w:val="bullet"/>
      <w:lvlText w:val="-"/>
      <w:lvlJc w:val="left"/>
      <w:pPr>
        <w:ind w:left="720" w:hanging="360"/>
      </w:pPr>
      <w:rPr>
        <w:rFonts w:ascii="Times New Roman" w:eastAsia="Times New Roma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DB02EF6"/>
    <w:multiLevelType w:val="hybridMultilevel"/>
    <w:tmpl w:val="C0005DFE"/>
    <w:lvl w:ilvl="0" w:tplc="725CCACC">
      <w:start w:val="5"/>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69"/>
    <w:rsid w:val="000241E8"/>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C6459"/>
    <w:rsid w:val="001D3CC5"/>
    <w:rsid w:val="00202A14"/>
    <w:rsid w:val="00207C0E"/>
    <w:rsid w:val="00235CB1"/>
    <w:rsid w:val="002C3E74"/>
    <w:rsid w:val="002E304C"/>
    <w:rsid w:val="002E7439"/>
    <w:rsid w:val="002F3591"/>
    <w:rsid w:val="00322BDE"/>
    <w:rsid w:val="00340679"/>
    <w:rsid w:val="00371CA6"/>
    <w:rsid w:val="003E4B6F"/>
    <w:rsid w:val="00406EE7"/>
    <w:rsid w:val="00407013"/>
    <w:rsid w:val="00412537"/>
    <w:rsid w:val="00415D7C"/>
    <w:rsid w:val="00417225"/>
    <w:rsid w:val="00451FEF"/>
    <w:rsid w:val="004A62CC"/>
    <w:rsid w:val="004C733C"/>
    <w:rsid w:val="00514C36"/>
    <w:rsid w:val="0053504C"/>
    <w:rsid w:val="005512C8"/>
    <w:rsid w:val="00565A74"/>
    <w:rsid w:val="005B0036"/>
    <w:rsid w:val="005D1DAA"/>
    <w:rsid w:val="005E336B"/>
    <w:rsid w:val="005F19B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212C3"/>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D66C6"/>
    <w:rsid w:val="009E300C"/>
    <w:rsid w:val="009E5184"/>
    <w:rsid w:val="009F1F5E"/>
    <w:rsid w:val="00A137C0"/>
    <w:rsid w:val="00A31E52"/>
    <w:rsid w:val="00A74A8A"/>
    <w:rsid w:val="00A85606"/>
    <w:rsid w:val="00A86C63"/>
    <w:rsid w:val="00A957A6"/>
    <w:rsid w:val="00A96525"/>
    <w:rsid w:val="00AA0D25"/>
    <w:rsid w:val="00AC012D"/>
    <w:rsid w:val="00AD4D77"/>
    <w:rsid w:val="00AE29E5"/>
    <w:rsid w:val="00AE5757"/>
    <w:rsid w:val="00B25EB8"/>
    <w:rsid w:val="00B30549"/>
    <w:rsid w:val="00B73F71"/>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17124"/>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C7E69"/>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0800C"/>
  <w15:chartTrackingRefBased/>
  <w15:docId w15:val="{FB0E1994-C4C1-4F6E-9434-1184A531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1C6459"/>
    <w:pPr>
      <w:keepNext/>
      <w:keepLines/>
      <w:snapToGrid w:val="0"/>
      <w:spacing w:before="260" w:line="260" w:lineRule="atLeast"/>
      <w:outlineLvl w:val="3"/>
    </w:pPr>
    <w:rPr>
      <w:b/>
      <w:bCs/>
      <w:i/>
      <w:iCs/>
      <w:kern w:val="16"/>
      <w:sz w:val="22"/>
      <w:szCs w:val="22"/>
      <w:lang w:eastAsia="nl-NL"/>
    </w:rPr>
  </w:style>
  <w:style w:type="paragraph" w:styleId="Overskrift5">
    <w:name w:val="heading 5"/>
    <w:basedOn w:val="Normal"/>
    <w:next w:val="Normal"/>
    <w:link w:val="Overskrift5Tegn"/>
    <w:uiPriority w:val="9"/>
    <w:semiHidden/>
    <w:unhideWhenUsed/>
    <w:qFormat/>
    <w:rsid w:val="001C6459"/>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customStyle="1" w:styleId="Overskrift4Tegn">
    <w:name w:val="Overskrift 4 Tegn"/>
    <w:basedOn w:val="Standardskrifttypeiafsnit"/>
    <w:link w:val="Overskrift4"/>
    <w:semiHidden/>
    <w:rsid w:val="001C6459"/>
    <w:rPr>
      <w:b/>
      <w:bCs/>
      <w:i/>
      <w:iCs/>
      <w:kern w:val="16"/>
      <w:sz w:val="22"/>
      <w:szCs w:val="22"/>
      <w:lang w:eastAsia="nl-NL"/>
    </w:rPr>
  </w:style>
  <w:style w:type="character" w:customStyle="1" w:styleId="Overskrift5Tegn">
    <w:name w:val="Overskrift 5 Tegn"/>
    <w:basedOn w:val="Standardskrifttypeiafsnit"/>
    <w:link w:val="Overskrift5"/>
    <w:uiPriority w:val="9"/>
    <w:semiHidden/>
    <w:rsid w:val="001C6459"/>
    <w:rPr>
      <w:rFonts w:asciiTheme="majorHAnsi" w:eastAsiaTheme="majorEastAsia" w:hAnsiTheme="majorHAnsi" w:cstheme="majorBidi"/>
      <w:color w:val="2E74B5" w:themeColor="accent1" w:themeShade="BF"/>
      <w:sz w:val="23"/>
      <w:lang w:eastAsia="en-US"/>
    </w:rPr>
  </w:style>
  <w:style w:type="paragraph" w:styleId="Listeafsnit">
    <w:name w:val="List Paragraph"/>
    <w:basedOn w:val="Normal"/>
    <w:uiPriority w:val="34"/>
    <w:qFormat/>
    <w:rsid w:val="001C6459"/>
    <w:pPr>
      <w:snapToGrid w:val="0"/>
      <w:spacing w:line="260" w:lineRule="atLeast"/>
      <w:ind w:left="720"/>
      <w:contextualSpacing/>
    </w:pPr>
    <w:rPr>
      <w:kern w:val="14"/>
      <w:sz w:val="22"/>
      <w:szCs w:val="22"/>
      <w:lang w:eastAsia="nl-NL"/>
    </w:rPr>
  </w:style>
  <w:style w:type="character" w:styleId="Hyperlink">
    <w:name w:val="Hyperlink"/>
    <w:semiHidden/>
    <w:unhideWhenUsed/>
    <w:rsid w:val="001C6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0079">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93980195">
      <w:bodyDiv w:val="1"/>
      <w:marLeft w:val="0"/>
      <w:marRight w:val="0"/>
      <w:marTop w:val="0"/>
      <w:marBottom w:val="0"/>
      <w:divBdr>
        <w:top w:val="none" w:sz="0" w:space="0" w:color="auto"/>
        <w:left w:val="none" w:sz="0" w:space="0" w:color="auto"/>
        <w:bottom w:val="none" w:sz="0" w:space="0" w:color="auto"/>
        <w:right w:val="none" w:sz="0" w:space="0" w:color="auto"/>
      </w:divBdr>
    </w:div>
    <w:div w:id="144317846">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91982792">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11071626">
      <w:bodyDiv w:val="1"/>
      <w:marLeft w:val="0"/>
      <w:marRight w:val="0"/>
      <w:marTop w:val="0"/>
      <w:marBottom w:val="0"/>
      <w:divBdr>
        <w:top w:val="none" w:sz="0" w:space="0" w:color="auto"/>
        <w:left w:val="none" w:sz="0" w:space="0" w:color="auto"/>
        <w:bottom w:val="none" w:sz="0" w:space="0" w:color="auto"/>
        <w:right w:val="none" w:sz="0" w:space="0" w:color="auto"/>
      </w:divBdr>
    </w:div>
    <w:div w:id="529879363">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80619849">
      <w:bodyDiv w:val="1"/>
      <w:marLeft w:val="0"/>
      <w:marRight w:val="0"/>
      <w:marTop w:val="0"/>
      <w:marBottom w:val="0"/>
      <w:divBdr>
        <w:top w:val="none" w:sz="0" w:space="0" w:color="auto"/>
        <w:left w:val="none" w:sz="0" w:space="0" w:color="auto"/>
        <w:bottom w:val="none" w:sz="0" w:space="0" w:color="auto"/>
        <w:right w:val="none" w:sz="0" w:space="0" w:color="auto"/>
      </w:divBdr>
    </w:div>
    <w:div w:id="744031525">
      <w:bodyDiv w:val="1"/>
      <w:marLeft w:val="0"/>
      <w:marRight w:val="0"/>
      <w:marTop w:val="0"/>
      <w:marBottom w:val="0"/>
      <w:divBdr>
        <w:top w:val="none" w:sz="0" w:space="0" w:color="auto"/>
        <w:left w:val="none" w:sz="0" w:space="0" w:color="auto"/>
        <w:bottom w:val="none" w:sz="0" w:space="0" w:color="auto"/>
        <w:right w:val="none" w:sz="0" w:space="0" w:color="auto"/>
      </w:divBdr>
    </w:div>
    <w:div w:id="762728766">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2013670">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14437685">
      <w:bodyDiv w:val="1"/>
      <w:marLeft w:val="0"/>
      <w:marRight w:val="0"/>
      <w:marTop w:val="0"/>
      <w:marBottom w:val="0"/>
      <w:divBdr>
        <w:top w:val="none" w:sz="0" w:space="0" w:color="auto"/>
        <w:left w:val="none" w:sz="0" w:space="0" w:color="auto"/>
        <w:bottom w:val="none" w:sz="0" w:space="0" w:color="auto"/>
        <w:right w:val="none" w:sz="0" w:space="0" w:color="auto"/>
      </w:divBdr>
    </w:div>
    <w:div w:id="952322234">
      <w:bodyDiv w:val="1"/>
      <w:marLeft w:val="0"/>
      <w:marRight w:val="0"/>
      <w:marTop w:val="0"/>
      <w:marBottom w:val="0"/>
      <w:divBdr>
        <w:top w:val="none" w:sz="0" w:space="0" w:color="auto"/>
        <w:left w:val="none" w:sz="0" w:space="0" w:color="auto"/>
        <w:bottom w:val="none" w:sz="0" w:space="0" w:color="auto"/>
        <w:right w:val="none" w:sz="0" w:space="0" w:color="auto"/>
      </w:divBdr>
    </w:div>
    <w:div w:id="995649672">
      <w:bodyDiv w:val="1"/>
      <w:marLeft w:val="0"/>
      <w:marRight w:val="0"/>
      <w:marTop w:val="0"/>
      <w:marBottom w:val="0"/>
      <w:divBdr>
        <w:top w:val="none" w:sz="0" w:space="0" w:color="auto"/>
        <w:left w:val="none" w:sz="0" w:space="0" w:color="auto"/>
        <w:bottom w:val="none" w:sz="0" w:space="0" w:color="auto"/>
        <w:right w:val="none" w:sz="0" w:space="0" w:color="auto"/>
      </w:divBdr>
    </w:div>
    <w:div w:id="1092966234">
      <w:bodyDiv w:val="1"/>
      <w:marLeft w:val="0"/>
      <w:marRight w:val="0"/>
      <w:marTop w:val="0"/>
      <w:marBottom w:val="0"/>
      <w:divBdr>
        <w:top w:val="none" w:sz="0" w:space="0" w:color="auto"/>
        <w:left w:val="none" w:sz="0" w:space="0" w:color="auto"/>
        <w:bottom w:val="none" w:sz="0" w:space="0" w:color="auto"/>
        <w:right w:val="none" w:sz="0" w:space="0" w:color="auto"/>
      </w:divBdr>
    </w:div>
    <w:div w:id="1142578148">
      <w:bodyDiv w:val="1"/>
      <w:marLeft w:val="0"/>
      <w:marRight w:val="0"/>
      <w:marTop w:val="0"/>
      <w:marBottom w:val="0"/>
      <w:divBdr>
        <w:top w:val="none" w:sz="0" w:space="0" w:color="auto"/>
        <w:left w:val="none" w:sz="0" w:space="0" w:color="auto"/>
        <w:bottom w:val="none" w:sz="0" w:space="0" w:color="auto"/>
        <w:right w:val="none" w:sz="0" w:space="0" w:color="auto"/>
      </w:divBdr>
    </w:div>
    <w:div w:id="1143086599">
      <w:bodyDiv w:val="1"/>
      <w:marLeft w:val="0"/>
      <w:marRight w:val="0"/>
      <w:marTop w:val="0"/>
      <w:marBottom w:val="0"/>
      <w:divBdr>
        <w:top w:val="none" w:sz="0" w:space="0" w:color="auto"/>
        <w:left w:val="none" w:sz="0" w:space="0" w:color="auto"/>
        <w:bottom w:val="none" w:sz="0" w:space="0" w:color="auto"/>
        <w:right w:val="none" w:sz="0" w:space="0" w:color="auto"/>
      </w:divBdr>
    </w:div>
    <w:div w:id="1174803424">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52008614">
      <w:bodyDiv w:val="1"/>
      <w:marLeft w:val="0"/>
      <w:marRight w:val="0"/>
      <w:marTop w:val="0"/>
      <w:marBottom w:val="0"/>
      <w:divBdr>
        <w:top w:val="none" w:sz="0" w:space="0" w:color="auto"/>
        <w:left w:val="none" w:sz="0" w:space="0" w:color="auto"/>
        <w:bottom w:val="none" w:sz="0" w:space="0" w:color="auto"/>
        <w:right w:val="none" w:sz="0" w:space="0" w:color="auto"/>
      </w:divBdr>
    </w:div>
    <w:div w:id="1365474918">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95411035">
      <w:bodyDiv w:val="1"/>
      <w:marLeft w:val="0"/>
      <w:marRight w:val="0"/>
      <w:marTop w:val="0"/>
      <w:marBottom w:val="0"/>
      <w:divBdr>
        <w:top w:val="none" w:sz="0" w:space="0" w:color="auto"/>
        <w:left w:val="none" w:sz="0" w:space="0" w:color="auto"/>
        <w:bottom w:val="none" w:sz="0" w:space="0" w:color="auto"/>
        <w:right w:val="none" w:sz="0" w:space="0" w:color="auto"/>
      </w:divBdr>
    </w:div>
    <w:div w:id="1692220198">
      <w:bodyDiv w:val="1"/>
      <w:marLeft w:val="0"/>
      <w:marRight w:val="0"/>
      <w:marTop w:val="0"/>
      <w:marBottom w:val="0"/>
      <w:divBdr>
        <w:top w:val="none" w:sz="0" w:space="0" w:color="auto"/>
        <w:left w:val="none" w:sz="0" w:space="0" w:color="auto"/>
        <w:bottom w:val="none" w:sz="0" w:space="0" w:color="auto"/>
        <w:right w:val="none" w:sz="0" w:space="0" w:color="auto"/>
      </w:divBdr>
    </w:div>
    <w:div w:id="1741097233">
      <w:bodyDiv w:val="1"/>
      <w:marLeft w:val="0"/>
      <w:marRight w:val="0"/>
      <w:marTop w:val="0"/>
      <w:marBottom w:val="0"/>
      <w:divBdr>
        <w:top w:val="none" w:sz="0" w:space="0" w:color="auto"/>
        <w:left w:val="none" w:sz="0" w:space="0" w:color="auto"/>
        <w:bottom w:val="none" w:sz="0" w:space="0" w:color="auto"/>
        <w:right w:val="none" w:sz="0" w:space="0" w:color="auto"/>
      </w:divBdr>
    </w:div>
    <w:div w:id="1956600823">
      <w:bodyDiv w:val="1"/>
      <w:marLeft w:val="0"/>
      <w:marRight w:val="0"/>
      <w:marTop w:val="0"/>
      <w:marBottom w:val="0"/>
      <w:divBdr>
        <w:top w:val="none" w:sz="0" w:space="0" w:color="auto"/>
        <w:left w:val="none" w:sz="0" w:space="0" w:color="auto"/>
        <w:bottom w:val="none" w:sz="0" w:space="0" w:color="auto"/>
        <w:right w:val="none" w:sz="0" w:space="0" w:color="auto"/>
      </w:divBdr>
    </w:div>
    <w:div w:id="21034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2D836-3A5F-44E5-9857-58EFA65B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167-00-SKB SPC Vet skabelon (NY-QRDv9).dotx</Template>
  <TotalTime>37</TotalTime>
  <Pages>7</Pages>
  <Words>1570</Words>
  <Characters>11095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2025015128, MT</dc:description>
  <cp:lastModifiedBy>Gitte Jørgensen</cp:lastModifiedBy>
  <cp:revision>10</cp:revision>
  <cp:lastPrinted>2022-05-18T14:03:00Z</cp:lastPrinted>
  <dcterms:created xsi:type="dcterms:W3CDTF">2026-01-22T08:51:00Z</dcterms:created>
  <dcterms:modified xsi:type="dcterms:W3CDTF">2026-01-23T12:03:00Z</dcterms:modified>
</cp:coreProperties>
</file>