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550" w:rsidRPr="008F49E1" w:rsidRDefault="00883550" w:rsidP="00883550">
      <w:pPr>
        <w:rPr>
          <w:sz w:val="24"/>
          <w:szCs w:val="24"/>
        </w:rPr>
      </w:pPr>
      <w:r w:rsidRPr="005B0036">
        <w:rPr>
          <w:noProof/>
          <w:sz w:val="24"/>
          <w:szCs w:val="24"/>
          <w:lang w:eastAsia="da-DK"/>
        </w:rPr>
        <w:drawing>
          <wp:inline distT="0" distB="0" distL="0" distR="0" wp14:anchorId="2965FE30" wp14:editId="48D5401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83550" w:rsidRPr="00C20AF7" w:rsidRDefault="00883550" w:rsidP="00883550">
      <w:pPr>
        <w:rPr>
          <w:sz w:val="24"/>
          <w:szCs w:val="24"/>
        </w:rPr>
      </w:pPr>
    </w:p>
    <w:p w:rsidR="00883550" w:rsidRPr="00406EE7" w:rsidRDefault="00702450" w:rsidP="004F425D">
      <w:pPr>
        <w:tabs>
          <w:tab w:val="right" w:pos="9356"/>
        </w:tabs>
        <w:jc w:val="right"/>
        <w:rPr>
          <w:b/>
          <w:sz w:val="24"/>
          <w:szCs w:val="24"/>
        </w:rPr>
      </w:pPr>
      <w:r>
        <w:rPr>
          <w:b/>
          <w:sz w:val="24"/>
          <w:szCs w:val="24"/>
        </w:rPr>
        <w:t>23</w:t>
      </w:r>
      <w:r w:rsidR="004F425D">
        <w:rPr>
          <w:b/>
          <w:sz w:val="24"/>
          <w:szCs w:val="24"/>
        </w:rPr>
        <w:t xml:space="preserve">. </w:t>
      </w:r>
      <w:r>
        <w:rPr>
          <w:b/>
          <w:sz w:val="24"/>
          <w:szCs w:val="24"/>
        </w:rPr>
        <w:t>februar</w:t>
      </w:r>
      <w:r w:rsidR="004F425D">
        <w:rPr>
          <w:b/>
          <w:sz w:val="24"/>
          <w:szCs w:val="24"/>
        </w:rPr>
        <w:t xml:space="preserve"> 202</w:t>
      </w:r>
      <w:r>
        <w:rPr>
          <w:b/>
          <w:sz w:val="24"/>
          <w:szCs w:val="24"/>
        </w:rPr>
        <w:t>2</w:t>
      </w:r>
    </w:p>
    <w:p w:rsidR="00883550" w:rsidRDefault="00883550" w:rsidP="00883550">
      <w:pPr>
        <w:rPr>
          <w:sz w:val="24"/>
          <w:szCs w:val="24"/>
        </w:rPr>
      </w:pPr>
    </w:p>
    <w:p w:rsidR="00883550" w:rsidRPr="00406EE7" w:rsidRDefault="00883550" w:rsidP="00883550">
      <w:pPr>
        <w:rPr>
          <w:sz w:val="24"/>
          <w:szCs w:val="24"/>
        </w:rPr>
      </w:pPr>
    </w:p>
    <w:p w:rsidR="00883550" w:rsidRPr="00406EE7" w:rsidRDefault="00883550" w:rsidP="00883550">
      <w:pPr>
        <w:rPr>
          <w:sz w:val="24"/>
          <w:szCs w:val="24"/>
        </w:rPr>
      </w:pPr>
    </w:p>
    <w:p w:rsidR="00883550" w:rsidRPr="00406EE7" w:rsidRDefault="00883550" w:rsidP="00883550">
      <w:pPr>
        <w:tabs>
          <w:tab w:val="left" w:pos="8222"/>
        </w:tabs>
        <w:jc w:val="center"/>
        <w:rPr>
          <w:b/>
          <w:sz w:val="24"/>
          <w:szCs w:val="24"/>
        </w:rPr>
      </w:pPr>
      <w:r w:rsidRPr="00406EE7">
        <w:rPr>
          <w:b/>
          <w:sz w:val="24"/>
          <w:szCs w:val="24"/>
        </w:rPr>
        <w:t>PRODUKTRESUMÉ</w:t>
      </w:r>
    </w:p>
    <w:p w:rsidR="00883550" w:rsidRPr="00406EE7" w:rsidRDefault="00883550" w:rsidP="00883550">
      <w:pPr>
        <w:tabs>
          <w:tab w:val="left" w:pos="8222"/>
        </w:tabs>
        <w:jc w:val="center"/>
        <w:rPr>
          <w:b/>
          <w:sz w:val="24"/>
          <w:szCs w:val="24"/>
        </w:rPr>
      </w:pPr>
    </w:p>
    <w:p w:rsidR="00883550" w:rsidRPr="00406EE7" w:rsidRDefault="00883550" w:rsidP="00883550">
      <w:pPr>
        <w:tabs>
          <w:tab w:val="left" w:pos="8222"/>
        </w:tabs>
        <w:jc w:val="center"/>
        <w:rPr>
          <w:b/>
          <w:sz w:val="24"/>
          <w:szCs w:val="24"/>
        </w:rPr>
      </w:pPr>
      <w:r w:rsidRPr="00406EE7">
        <w:rPr>
          <w:b/>
          <w:sz w:val="24"/>
          <w:szCs w:val="24"/>
        </w:rPr>
        <w:t>for</w:t>
      </w:r>
    </w:p>
    <w:p w:rsidR="00883550" w:rsidRPr="00406EE7" w:rsidRDefault="00883550" w:rsidP="00883550">
      <w:pPr>
        <w:tabs>
          <w:tab w:val="left" w:pos="8222"/>
        </w:tabs>
        <w:jc w:val="center"/>
        <w:rPr>
          <w:b/>
          <w:sz w:val="24"/>
          <w:szCs w:val="24"/>
        </w:rPr>
      </w:pPr>
    </w:p>
    <w:p w:rsidR="00883550" w:rsidRPr="00DA3C30" w:rsidRDefault="00883550" w:rsidP="00883550">
      <w:pPr>
        <w:tabs>
          <w:tab w:val="left" w:pos="8222"/>
        </w:tabs>
        <w:jc w:val="center"/>
        <w:rPr>
          <w:b/>
          <w:sz w:val="24"/>
          <w:szCs w:val="24"/>
        </w:rPr>
      </w:pPr>
      <w:proofErr w:type="spellStart"/>
      <w:r w:rsidRPr="00DA3C30">
        <w:rPr>
          <w:b/>
          <w:sz w:val="24"/>
          <w:szCs w:val="24"/>
        </w:rPr>
        <w:t>Curofen</w:t>
      </w:r>
      <w:proofErr w:type="spellEnd"/>
      <w:r w:rsidRPr="00DA3C30">
        <w:rPr>
          <w:b/>
          <w:sz w:val="24"/>
          <w:szCs w:val="24"/>
        </w:rPr>
        <w:t>, oralt pulver</w:t>
      </w:r>
    </w:p>
    <w:p w:rsidR="00883550" w:rsidRPr="00406EE7" w:rsidRDefault="00883550" w:rsidP="00883550">
      <w:pPr>
        <w:tabs>
          <w:tab w:val="left" w:pos="8222"/>
        </w:tabs>
        <w:jc w:val="both"/>
        <w:rPr>
          <w:sz w:val="24"/>
          <w:szCs w:val="24"/>
        </w:rPr>
      </w:pPr>
    </w:p>
    <w:p w:rsidR="00883550" w:rsidRPr="00263D91" w:rsidRDefault="00883550" w:rsidP="00883550">
      <w:pPr>
        <w:ind w:left="851" w:hanging="851"/>
        <w:jc w:val="both"/>
        <w:rPr>
          <w:sz w:val="24"/>
          <w:szCs w:val="24"/>
        </w:rPr>
      </w:pPr>
    </w:p>
    <w:p w:rsidR="00883550" w:rsidRPr="00263D91" w:rsidRDefault="00883550" w:rsidP="00883550">
      <w:pPr>
        <w:ind w:left="851" w:hanging="851"/>
        <w:rPr>
          <w:b/>
          <w:sz w:val="24"/>
          <w:szCs w:val="24"/>
        </w:rPr>
      </w:pPr>
      <w:r w:rsidRPr="00263D91">
        <w:rPr>
          <w:b/>
          <w:sz w:val="24"/>
          <w:szCs w:val="24"/>
        </w:rPr>
        <w:t>0.</w:t>
      </w:r>
      <w:r w:rsidRPr="00263D91">
        <w:rPr>
          <w:b/>
          <w:sz w:val="24"/>
          <w:szCs w:val="24"/>
        </w:rPr>
        <w:tab/>
        <w:t>D.SP.NR.</w:t>
      </w:r>
    </w:p>
    <w:p w:rsidR="00883550" w:rsidRPr="00263D91" w:rsidRDefault="00883550" w:rsidP="00883550">
      <w:pPr>
        <w:ind w:left="851"/>
        <w:rPr>
          <w:sz w:val="24"/>
          <w:szCs w:val="24"/>
        </w:rPr>
      </w:pPr>
      <w:r w:rsidRPr="00263D91">
        <w:rPr>
          <w:sz w:val="24"/>
          <w:szCs w:val="24"/>
        </w:rPr>
        <w:t>29483</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1.</w:t>
      </w:r>
      <w:r w:rsidRPr="00263D91">
        <w:rPr>
          <w:b/>
          <w:sz w:val="24"/>
          <w:szCs w:val="24"/>
        </w:rPr>
        <w:tab/>
        <w:t>VETERINÆRLÆGEMIDLETS NAVN</w:t>
      </w:r>
    </w:p>
    <w:p w:rsidR="00883550" w:rsidRPr="00263D91" w:rsidRDefault="00883550" w:rsidP="00883550">
      <w:pPr>
        <w:ind w:left="851"/>
        <w:rPr>
          <w:sz w:val="24"/>
          <w:szCs w:val="24"/>
        </w:rPr>
      </w:pPr>
      <w:proofErr w:type="spellStart"/>
      <w:r w:rsidRPr="00263D91">
        <w:rPr>
          <w:sz w:val="24"/>
          <w:szCs w:val="24"/>
        </w:rPr>
        <w:t>Curofen</w:t>
      </w:r>
      <w:proofErr w:type="spellEnd"/>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2.</w:t>
      </w:r>
      <w:r w:rsidRPr="00263D91">
        <w:rPr>
          <w:b/>
          <w:sz w:val="24"/>
          <w:szCs w:val="24"/>
        </w:rPr>
        <w:tab/>
        <w:t>KVALITATIV OG KVANTITATIV SAMMENSÆTNING</w:t>
      </w:r>
    </w:p>
    <w:p w:rsidR="00883550" w:rsidRPr="00263D91" w:rsidRDefault="00883550" w:rsidP="00883550">
      <w:pPr>
        <w:ind w:left="851"/>
        <w:rPr>
          <w:sz w:val="24"/>
          <w:szCs w:val="24"/>
          <w:lang w:eastAsia="da-DK"/>
        </w:rPr>
      </w:pPr>
      <w:r w:rsidRPr="00263D91">
        <w:rPr>
          <w:sz w:val="24"/>
          <w:szCs w:val="24"/>
        </w:rPr>
        <w:t>Hvert g indeholder:</w:t>
      </w:r>
    </w:p>
    <w:p w:rsidR="00883550" w:rsidRPr="00263D91" w:rsidRDefault="00883550" w:rsidP="00883550">
      <w:pPr>
        <w:ind w:left="851" w:hanging="851"/>
        <w:rPr>
          <w:sz w:val="24"/>
          <w:szCs w:val="24"/>
        </w:rPr>
      </w:pPr>
    </w:p>
    <w:p w:rsidR="00883550" w:rsidRPr="00263D91" w:rsidRDefault="00883550" w:rsidP="00883550">
      <w:pPr>
        <w:ind w:left="851"/>
        <w:rPr>
          <w:b/>
          <w:sz w:val="24"/>
          <w:szCs w:val="24"/>
        </w:rPr>
      </w:pPr>
      <w:r w:rsidRPr="00263D91">
        <w:rPr>
          <w:b/>
          <w:sz w:val="24"/>
          <w:szCs w:val="24"/>
        </w:rPr>
        <w:t>Aktivt stof:</w:t>
      </w:r>
    </w:p>
    <w:p w:rsidR="00883550" w:rsidRPr="00263D91" w:rsidRDefault="00883550" w:rsidP="00883550">
      <w:pPr>
        <w:ind w:left="851"/>
        <w:rPr>
          <w:sz w:val="24"/>
          <w:szCs w:val="24"/>
        </w:rPr>
      </w:pPr>
      <w:proofErr w:type="spellStart"/>
      <w:r w:rsidRPr="00263D91">
        <w:rPr>
          <w:sz w:val="24"/>
          <w:szCs w:val="24"/>
        </w:rPr>
        <w:t>Fenbendazol</w:t>
      </w:r>
      <w:proofErr w:type="spellEnd"/>
      <w:r w:rsidRPr="00263D91">
        <w:rPr>
          <w:sz w:val="24"/>
          <w:szCs w:val="24"/>
        </w:rPr>
        <w:tab/>
        <w:t>50 mg</w:t>
      </w:r>
    </w:p>
    <w:p w:rsidR="00883550" w:rsidRPr="00263D91" w:rsidRDefault="00883550" w:rsidP="00883550">
      <w:pPr>
        <w:ind w:left="851" w:hanging="851"/>
        <w:rPr>
          <w:iCs/>
          <w:sz w:val="24"/>
          <w:szCs w:val="24"/>
        </w:rPr>
      </w:pPr>
    </w:p>
    <w:p w:rsidR="00883550" w:rsidRPr="00263D91" w:rsidRDefault="00883550" w:rsidP="00883550">
      <w:pPr>
        <w:ind w:left="851"/>
        <w:rPr>
          <w:sz w:val="24"/>
          <w:szCs w:val="24"/>
        </w:rPr>
      </w:pPr>
      <w:r w:rsidRPr="00263D91">
        <w:rPr>
          <w:b/>
          <w:sz w:val="24"/>
          <w:szCs w:val="24"/>
        </w:rPr>
        <w:t>Hjælpestoffer:</w:t>
      </w:r>
    </w:p>
    <w:p w:rsidR="00883550" w:rsidRPr="00263D91" w:rsidRDefault="00883550" w:rsidP="00883550">
      <w:pPr>
        <w:ind w:left="851"/>
        <w:rPr>
          <w:sz w:val="24"/>
          <w:szCs w:val="24"/>
        </w:rPr>
      </w:pPr>
      <w:r w:rsidRPr="00263D91">
        <w:rPr>
          <w:sz w:val="24"/>
          <w:szCs w:val="24"/>
        </w:rPr>
        <w:t>Alle hjælpestoffer er anført under pkt. 6.1.</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3.</w:t>
      </w:r>
      <w:r w:rsidRPr="00263D91">
        <w:rPr>
          <w:b/>
          <w:sz w:val="24"/>
          <w:szCs w:val="24"/>
        </w:rPr>
        <w:tab/>
        <w:t>LÆGEMIDDELFORM</w:t>
      </w:r>
    </w:p>
    <w:p w:rsidR="00883550" w:rsidRPr="00263D91" w:rsidRDefault="00883550" w:rsidP="00883550">
      <w:pPr>
        <w:ind w:left="851"/>
        <w:rPr>
          <w:sz w:val="24"/>
          <w:szCs w:val="24"/>
          <w:lang w:eastAsia="da-DK"/>
        </w:rPr>
      </w:pPr>
      <w:r w:rsidRPr="00263D91">
        <w:rPr>
          <w:sz w:val="24"/>
          <w:szCs w:val="24"/>
        </w:rPr>
        <w:t>Oralt pulver.</w:t>
      </w:r>
    </w:p>
    <w:p w:rsidR="00883550" w:rsidRPr="00263D91" w:rsidRDefault="00883550" w:rsidP="00883550">
      <w:pPr>
        <w:ind w:left="851"/>
        <w:rPr>
          <w:sz w:val="24"/>
          <w:szCs w:val="24"/>
        </w:rPr>
      </w:pPr>
      <w:r w:rsidRPr="00263D91">
        <w:rPr>
          <w:sz w:val="24"/>
          <w:szCs w:val="24"/>
        </w:rPr>
        <w:t>Hvidt pulver.</w:t>
      </w:r>
    </w:p>
    <w:p w:rsidR="00883550" w:rsidRPr="00263D91" w:rsidRDefault="00883550" w:rsidP="00883550">
      <w:pPr>
        <w:ind w:left="851" w:hanging="851"/>
        <w:rPr>
          <w:sz w:val="24"/>
          <w:szCs w:val="24"/>
        </w:rPr>
      </w:pP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w:t>
      </w:r>
      <w:r w:rsidRPr="00263D91">
        <w:rPr>
          <w:b/>
          <w:sz w:val="24"/>
          <w:szCs w:val="24"/>
        </w:rPr>
        <w:tab/>
        <w:t>KLINISKE OPLYSNINGER</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u w:val="single"/>
        </w:rPr>
      </w:pPr>
      <w:r w:rsidRPr="00263D91">
        <w:rPr>
          <w:b/>
          <w:sz w:val="24"/>
          <w:szCs w:val="24"/>
        </w:rPr>
        <w:t>4.1</w:t>
      </w:r>
      <w:r w:rsidRPr="00263D91">
        <w:rPr>
          <w:b/>
          <w:sz w:val="24"/>
          <w:szCs w:val="24"/>
        </w:rPr>
        <w:tab/>
        <w:t>Dyrearter</w:t>
      </w:r>
    </w:p>
    <w:p w:rsidR="00883550" w:rsidRPr="00263D91" w:rsidRDefault="00883550" w:rsidP="00883550">
      <w:pPr>
        <w:ind w:left="851"/>
        <w:rPr>
          <w:sz w:val="24"/>
          <w:szCs w:val="24"/>
          <w:lang w:eastAsia="da-DK"/>
        </w:rPr>
      </w:pPr>
      <w:r w:rsidRPr="00263D91">
        <w:rPr>
          <w:sz w:val="24"/>
          <w:szCs w:val="24"/>
        </w:rPr>
        <w:t>Svin.</w:t>
      </w:r>
    </w:p>
    <w:p w:rsidR="00883550" w:rsidRPr="00263D91" w:rsidRDefault="00883550" w:rsidP="00883550">
      <w:pPr>
        <w:ind w:left="851" w:hanging="851"/>
        <w:rPr>
          <w:sz w:val="24"/>
          <w:szCs w:val="24"/>
        </w:rPr>
      </w:pPr>
    </w:p>
    <w:p w:rsidR="00883550" w:rsidRPr="00263D91" w:rsidRDefault="00883550" w:rsidP="00883550">
      <w:pPr>
        <w:pStyle w:val="Sidehoved"/>
        <w:tabs>
          <w:tab w:val="clear" w:pos="4819"/>
          <w:tab w:val="clear" w:pos="9638"/>
        </w:tabs>
        <w:ind w:left="851" w:hanging="851"/>
        <w:rPr>
          <w:b/>
          <w:szCs w:val="24"/>
        </w:rPr>
      </w:pPr>
      <w:r w:rsidRPr="00263D91">
        <w:rPr>
          <w:b/>
          <w:szCs w:val="24"/>
        </w:rPr>
        <w:t>4.2</w:t>
      </w:r>
      <w:r w:rsidRPr="00263D91">
        <w:rPr>
          <w:b/>
          <w:szCs w:val="24"/>
        </w:rPr>
        <w:tab/>
        <w:t>Terapeutiske indikationer</w:t>
      </w:r>
    </w:p>
    <w:p w:rsidR="00883550" w:rsidRPr="00263D91" w:rsidRDefault="00883550" w:rsidP="00883550">
      <w:pPr>
        <w:ind w:left="851"/>
        <w:rPr>
          <w:sz w:val="24"/>
          <w:szCs w:val="24"/>
          <w:lang w:eastAsia="da-DK"/>
        </w:rPr>
      </w:pPr>
      <w:r w:rsidRPr="00263D91">
        <w:rPr>
          <w:sz w:val="24"/>
          <w:szCs w:val="24"/>
        </w:rPr>
        <w:t xml:space="preserve">Til behandling af </w:t>
      </w:r>
      <w:proofErr w:type="spellStart"/>
      <w:r w:rsidRPr="00263D91">
        <w:rPr>
          <w:sz w:val="24"/>
          <w:szCs w:val="24"/>
        </w:rPr>
        <w:t>benzimidazolfølsomme</w:t>
      </w:r>
      <w:proofErr w:type="spellEnd"/>
      <w:r w:rsidRPr="00263D91">
        <w:rPr>
          <w:sz w:val="24"/>
          <w:szCs w:val="24"/>
        </w:rPr>
        <w:t xml:space="preserve"> modne og umodne (L</w:t>
      </w:r>
      <w:r w:rsidRPr="00263D91">
        <w:rPr>
          <w:spacing w:val="1"/>
          <w:sz w:val="24"/>
          <w:szCs w:val="24"/>
          <w:vertAlign w:val="subscript"/>
        </w:rPr>
        <w:t>4</w:t>
      </w:r>
      <w:r w:rsidRPr="00263D91">
        <w:rPr>
          <w:sz w:val="24"/>
          <w:szCs w:val="24"/>
        </w:rPr>
        <w:t>) former af følgende rundorme i mave-tarm-kanalen og luftvejene hos grise:</w:t>
      </w:r>
    </w:p>
    <w:p w:rsidR="00883550" w:rsidRPr="00263D91" w:rsidRDefault="00883550" w:rsidP="00883550">
      <w:pPr>
        <w:ind w:left="851" w:hanging="851"/>
        <w:rPr>
          <w:sz w:val="24"/>
          <w:szCs w:val="24"/>
        </w:rPr>
      </w:pPr>
    </w:p>
    <w:p w:rsidR="00883550" w:rsidRPr="00263D91" w:rsidRDefault="00883550" w:rsidP="00883550">
      <w:pPr>
        <w:ind w:left="851"/>
        <w:rPr>
          <w:sz w:val="24"/>
          <w:szCs w:val="24"/>
          <w:lang w:val="en-US"/>
        </w:rPr>
      </w:pPr>
      <w:proofErr w:type="spellStart"/>
      <w:r w:rsidRPr="00263D91">
        <w:rPr>
          <w:i/>
          <w:spacing w:val="-1"/>
          <w:sz w:val="24"/>
          <w:szCs w:val="24"/>
          <w:lang w:val="en-US"/>
        </w:rPr>
        <w:t>Hyostrongylus</w:t>
      </w:r>
      <w:proofErr w:type="spellEnd"/>
      <w:r w:rsidRPr="00263D91">
        <w:rPr>
          <w:i/>
          <w:spacing w:val="-1"/>
          <w:sz w:val="24"/>
          <w:szCs w:val="24"/>
          <w:lang w:val="en-US"/>
        </w:rPr>
        <w:t xml:space="preserve"> </w:t>
      </w:r>
      <w:proofErr w:type="spellStart"/>
      <w:r w:rsidRPr="00263D91">
        <w:rPr>
          <w:i/>
          <w:spacing w:val="-1"/>
          <w:sz w:val="24"/>
          <w:szCs w:val="24"/>
          <w:lang w:val="en-US"/>
        </w:rPr>
        <w:t>rubidus</w:t>
      </w:r>
      <w:proofErr w:type="spellEnd"/>
      <w:r w:rsidRPr="00263D91">
        <w:rPr>
          <w:spacing w:val="-1"/>
          <w:sz w:val="24"/>
          <w:szCs w:val="24"/>
          <w:lang w:val="en-US"/>
        </w:rPr>
        <w:t xml:space="preserve"> (</w:t>
      </w:r>
      <w:proofErr w:type="spellStart"/>
      <w:r w:rsidRPr="00263D91">
        <w:rPr>
          <w:spacing w:val="-1"/>
          <w:sz w:val="24"/>
          <w:szCs w:val="24"/>
          <w:lang w:val="en-US"/>
        </w:rPr>
        <w:t>rød</w:t>
      </w:r>
      <w:proofErr w:type="spellEnd"/>
      <w:r w:rsidRPr="00263D91">
        <w:rPr>
          <w:spacing w:val="-1"/>
          <w:sz w:val="24"/>
          <w:szCs w:val="24"/>
          <w:lang w:val="en-US"/>
        </w:rPr>
        <w:t xml:space="preserve"> </w:t>
      </w:r>
      <w:proofErr w:type="spellStart"/>
      <w:r w:rsidRPr="00263D91">
        <w:rPr>
          <w:spacing w:val="-1"/>
          <w:sz w:val="24"/>
          <w:szCs w:val="24"/>
          <w:lang w:val="en-US"/>
        </w:rPr>
        <w:t>maveorm</w:t>
      </w:r>
      <w:proofErr w:type="spellEnd"/>
      <w:r w:rsidRPr="00263D91">
        <w:rPr>
          <w:spacing w:val="-1"/>
          <w:sz w:val="24"/>
          <w:szCs w:val="24"/>
          <w:lang w:val="en-US"/>
        </w:rPr>
        <w:t>)</w:t>
      </w:r>
    </w:p>
    <w:p w:rsidR="00883550" w:rsidRPr="00263D91" w:rsidRDefault="00883550" w:rsidP="00883550">
      <w:pPr>
        <w:ind w:left="851" w:hanging="851"/>
        <w:rPr>
          <w:sz w:val="24"/>
          <w:szCs w:val="24"/>
          <w:lang w:val="en-US"/>
        </w:rPr>
      </w:pPr>
    </w:p>
    <w:p w:rsidR="00883550" w:rsidRPr="00263D91" w:rsidRDefault="00883550" w:rsidP="00883550">
      <w:pPr>
        <w:ind w:left="851"/>
        <w:rPr>
          <w:sz w:val="24"/>
          <w:szCs w:val="24"/>
          <w:lang w:val="en-US"/>
        </w:rPr>
      </w:pPr>
      <w:proofErr w:type="spellStart"/>
      <w:r w:rsidRPr="00263D91">
        <w:rPr>
          <w:i/>
          <w:spacing w:val="-1"/>
          <w:sz w:val="24"/>
          <w:szCs w:val="24"/>
          <w:lang w:val="en-US"/>
        </w:rPr>
        <w:t>Oesophagostomum</w:t>
      </w:r>
      <w:proofErr w:type="spellEnd"/>
      <w:r w:rsidRPr="00263D91">
        <w:rPr>
          <w:spacing w:val="-1"/>
          <w:sz w:val="24"/>
          <w:szCs w:val="24"/>
          <w:lang w:val="en-US"/>
        </w:rPr>
        <w:t xml:space="preserve"> spp. (</w:t>
      </w:r>
      <w:proofErr w:type="spellStart"/>
      <w:r w:rsidRPr="00263D91">
        <w:rPr>
          <w:spacing w:val="-1"/>
          <w:sz w:val="24"/>
          <w:szCs w:val="24"/>
          <w:lang w:val="en-US"/>
        </w:rPr>
        <w:t>knudeorm</w:t>
      </w:r>
      <w:proofErr w:type="spellEnd"/>
      <w:r w:rsidRPr="00263D91">
        <w:rPr>
          <w:spacing w:val="-1"/>
          <w:sz w:val="24"/>
          <w:szCs w:val="24"/>
          <w:lang w:val="en-US"/>
        </w:rPr>
        <w:t>)</w:t>
      </w:r>
    </w:p>
    <w:p w:rsidR="00883550" w:rsidRPr="00263D91" w:rsidRDefault="00883550" w:rsidP="00883550">
      <w:pPr>
        <w:ind w:left="851" w:hanging="851"/>
        <w:rPr>
          <w:spacing w:val="-1"/>
          <w:sz w:val="24"/>
          <w:szCs w:val="24"/>
          <w:lang w:val="en-US"/>
        </w:rPr>
      </w:pPr>
    </w:p>
    <w:p w:rsidR="00883550" w:rsidRPr="00263D91" w:rsidRDefault="00883550" w:rsidP="00883550">
      <w:pPr>
        <w:ind w:left="851"/>
        <w:rPr>
          <w:sz w:val="24"/>
          <w:szCs w:val="24"/>
          <w:lang w:val="en-US"/>
        </w:rPr>
      </w:pPr>
      <w:r w:rsidRPr="00263D91">
        <w:rPr>
          <w:i/>
          <w:spacing w:val="-1"/>
          <w:sz w:val="24"/>
          <w:szCs w:val="24"/>
          <w:lang w:val="en-US"/>
        </w:rPr>
        <w:t xml:space="preserve">Ascaris </w:t>
      </w:r>
      <w:proofErr w:type="spellStart"/>
      <w:r w:rsidRPr="00263D91">
        <w:rPr>
          <w:i/>
          <w:spacing w:val="-1"/>
          <w:sz w:val="24"/>
          <w:szCs w:val="24"/>
          <w:lang w:val="en-US"/>
        </w:rPr>
        <w:t>suum</w:t>
      </w:r>
      <w:proofErr w:type="spellEnd"/>
      <w:r w:rsidRPr="00263D91">
        <w:rPr>
          <w:i/>
          <w:spacing w:val="-1"/>
          <w:sz w:val="24"/>
          <w:szCs w:val="24"/>
          <w:lang w:val="en-US"/>
        </w:rPr>
        <w:t xml:space="preserve"> </w:t>
      </w:r>
      <w:r w:rsidRPr="00263D91">
        <w:rPr>
          <w:spacing w:val="-1"/>
          <w:sz w:val="24"/>
          <w:szCs w:val="24"/>
          <w:lang w:val="en-US"/>
        </w:rPr>
        <w:t>(</w:t>
      </w:r>
      <w:proofErr w:type="spellStart"/>
      <w:r w:rsidRPr="00263D91">
        <w:rPr>
          <w:spacing w:val="-1"/>
          <w:sz w:val="24"/>
          <w:szCs w:val="24"/>
          <w:lang w:val="en-US"/>
        </w:rPr>
        <w:t>spolorm</w:t>
      </w:r>
      <w:proofErr w:type="spellEnd"/>
      <w:r w:rsidRPr="00263D91">
        <w:rPr>
          <w:spacing w:val="-1"/>
          <w:sz w:val="24"/>
          <w:szCs w:val="24"/>
          <w:lang w:val="en-US"/>
        </w:rPr>
        <w:t xml:space="preserve">) </w:t>
      </w:r>
    </w:p>
    <w:p w:rsidR="00883550" w:rsidRPr="00263D91" w:rsidRDefault="00883550" w:rsidP="00883550">
      <w:pPr>
        <w:ind w:left="851"/>
        <w:rPr>
          <w:sz w:val="24"/>
          <w:szCs w:val="24"/>
          <w:lang w:val="en-US"/>
        </w:rPr>
      </w:pPr>
      <w:r w:rsidRPr="00263D91">
        <w:rPr>
          <w:i/>
          <w:sz w:val="24"/>
          <w:szCs w:val="24"/>
          <w:lang w:val="en-US"/>
        </w:rPr>
        <w:t xml:space="preserve">Trichuris </w:t>
      </w:r>
      <w:proofErr w:type="spellStart"/>
      <w:r w:rsidRPr="00263D91">
        <w:rPr>
          <w:i/>
          <w:sz w:val="24"/>
          <w:szCs w:val="24"/>
          <w:lang w:val="en-US"/>
        </w:rPr>
        <w:t>suis</w:t>
      </w:r>
      <w:proofErr w:type="spellEnd"/>
      <w:r w:rsidRPr="00263D91">
        <w:rPr>
          <w:sz w:val="24"/>
          <w:szCs w:val="24"/>
          <w:lang w:val="en-US"/>
        </w:rPr>
        <w:t xml:space="preserve"> (</w:t>
      </w:r>
      <w:proofErr w:type="spellStart"/>
      <w:r w:rsidRPr="00263D91">
        <w:rPr>
          <w:sz w:val="24"/>
          <w:szCs w:val="24"/>
          <w:lang w:val="en-US"/>
        </w:rPr>
        <w:t>piskeorm</w:t>
      </w:r>
      <w:proofErr w:type="spellEnd"/>
      <w:r w:rsidRPr="00263D91">
        <w:rPr>
          <w:sz w:val="24"/>
          <w:szCs w:val="24"/>
          <w:lang w:val="en-US"/>
        </w:rPr>
        <w:t xml:space="preserve">) </w:t>
      </w:r>
    </w:p>
    <w:p w:rsidR="00883550" w:rsidRPr="00263D91" w:rsidRDefault="00883550" w:rsidP="00883550">
      <w:pPr>
        <w:ind w:left="851"/>
        <w:rPr>
          <w:sz w:val="24"/>
          <w:szCs w:val="24"/>
          <w:lang w:val="sv-SE"/>
        </w:rPr>
      </w:pPr>
      <w:proofErr w:type="spellStart"/>
      <w:r w:rsidRPr="00263D91">
        <w:rPr>
          <w:i/>
          <w:iCs/>
          <w:spacing w:val="-1"/>
          <w:sz w:val="24"/>
          <w:szCs w:val="24"/>
          <w:lang w:val="sv-SE"/>
        </w:rPr>
        <w:lastRenderedPageBreak/>
        <w:t>Metastrongylus</w:t>
      </w:r>
      <w:proofErr w:type="spellEnd"/>
      <w:r w:rsidRPr="00263D91">
        <w:rPr>
          <w:i/>
          <w:iCs/>
          <w:spacing w:val="-1"/>
          <w:sz w:val="24"/>
          <w:szCs w:val="24"/>
          <w:lang w:val="sv-SE"/>
        </w:rPr>
        <w:t xml:space="preserve"> </w:t>
      </w:r>
      <w:proofErr w:type="spellStart"/>
      <w:r w:rsidRPr="00263D91">
        <w:rPr>
          <w:i/>
          <w:iCs/>
          <w:spacing w:val="-1"/>
          <w:sz w:val="24"/>
          <w:szCs w:val="24"/>
          <w:lang w:val="sv-SE"/>
        </w:rPr>
        <w:t>apri</w:t>
      </w:r>
      <w:proofErr w:type="spellEnd"/>
      <w:r w:rsidRPr="00263D91">
        <w:rPr>
          <w:spacing w:val="-1"/>
          <w:sz w:val="24"/>
          <w:szCs w:val="24"/>
          <w:lang w:val="sv-SE"/>
        </w:rPr>
        <w:t xml:space="preserve"> (</w:t>
      </w:r>
      <w:r w:rsidRPr="00263D91">
        <w:rPr>
          <w:i/>
          <w:spacing w:val="-1"/>
          <w:sz w:val="24"/>
          <w:szCs w:val="24"/>
          <w:lang w:val="sv-SE"/>
        </w:rPr>
        <w:t xml:space="preserve">syn. M. </w:t>
      </w:r>
      <w:proofErr w:type="spellStart"/>
      <w:r w:rsidRPr="00263D91">
        <w:rPr>
          <w:i/>
          <w:spacing w:val="-1"/>
          <w:sz w:val="24"/>
          <w:szCs w:val="24"/>
          <w:lang w:val="sv-SE"/>
        </w:rPr>
        <w:t>elongatus</w:t>
      </w:r>
      <w:proofErr w:type="spellEnd"/>
      <w:r w:rsidRPr="00263D91">
        <w:rPr>
          <w:spacing w:val="-1"/>
          <w:sz w:val="24"/>
          <w:szCs w:val="24"/>
          <w:lang w:val="sv-SE"/>
        </w:rPr>
        <w:t>) (</w:t>
      </w:r>
      <w:proofErr w:type="spellStart"/>
      <w:r w:rsidRPr="00263D91">
        <w:rPr>
          <w:spacing w:val="-1"/>
          <w:sz w:val="24"/>
          <w:szCs w:val="24"/>
          <w:lang w:val="sv-SE"/>
        </w:rPr>
        <w:t>lungeorm</w:t>
      </w:r>
      <w:proofErr w:type="spellEnd"/>
      <w:r w:rsidRPr="00263D91">
        <w:rPr>
          <w:spacing w:val="-1"/>
          <w:sz w:val="24"/>
          <w:szCs w:val="24"/>
          <w:lang w:val="sv-SE"/>
        </w:rPr>
        <w:t>)</w:t>
      </w:r>
    </w:p>
    <w:p w:rsidR="00883550" w:rsidRPr="00263D91" w:rsidRDefault="00883550" w:rsidP="00883550">
      <w:pPr>
        <w:pStyle w:val="Sidehoved"/>
        <w:tabs>
          <w:tab w:val="clear" w:pos="4819"/>
          <w:tab w:val="clear" w:pos="9638"/>
        </w:tabs>
        <w:ind w:left="851" w:hanging="851"/>
        <w:rPr>
          <w:szCs w:val="24"/>
          <w:lang w:val="en-US"/>
        </w:rPr>
      </w:pPr>
    </w:p>
    <w:p w:rsidR="00883550" w:rsidRPr="00263D91" w:rsidRDefault="00883550" w:rsidP="00883550">
      <w:pPr>
        <w:pStyle w:val="Sidehoved"/>
        <w:tabs>
          <w:tab w:val="clear" w:pos="4819"/>
          <w:tab w:val="clear" w:pos="9638"/>
        </w:tabs>
        <w:ind w:left="851" w:hanging="851"/>
        <w:rPr>
          <w:b/>
          <w:szCs w:val="24"/>
        </w:rPr>
      </w:pPr>
      <w:r w:rsidRPr="00263D91">
        <w:rPr>
          <w:b/>
          <w:szCs w:val="24"/>
        </w:rPr>
        <w:t>4.3</w:t>
      </w:r>
      <w:r w:rsidRPr="00263D91">
        <w:rPr>
          <w:b/>
          <w:szCs w:val="24"/>
        </w:rPr>
        <w:tab/>
        <w:t>Kontraindikationer</w:t>
      </w:r>
    </w:p>
    <w:p w:rsidR="00883550" w:rsidRPr="00263D91" w:rsidRDefault="00883550" w:rsidP="00883550">
      <w:pPr>
        <w:ind w:left="851"/>
        <w:rPr>
          <w:sz w:val="24"/>
          <w:szCs w:val="24"/>
        </w:rPr>
      </w:pPr>
      <w:r w:rsidRPr="00263D91">
        <w:rPr>
          <w:sz w:val="24"/>
          <w:szCs w:val="24"/>
        </w:rPr>
        <w:t xml:space="preserve">Bør ikke anvendes i tilfælde af overfølsomhed over for det aktive stof, </w:t>
      </w:r>
      <w:r w:rsidR="004F425D" w:rsidRPr="001D35D6">
        <w:rPr>
          <w:rFonts w:asciiTheme="majorBidi" w:hAnsiTheme="majorBidi" w:cstheme="majorBidi"/>
          <w:szCs w:val="22"/>
        </w:rPr>
        <w:t xml:space="preserve">andre </w:t>
      </w:r>
      <w:proofErr w:type="spellStart"/>
      <w:r w:rsidR="004F425D" w:rsidRPr="001D35D6">
        <w:rPr>
          <w:rFonts w:asciiTheme="majorBidi" w:hAnsiTheme="majorBidi" w:cstheme="majorBidi"/>
          <w:szCs w:val="22"/>
        </w:rPr>
        <w:t>benzimidazoler</w:t>
      </w:r>
      <w:proofErr w:type="spellEnd"/>
      <w:r w:rsidR="004F425D" w:rsidRPr="001D35D6">
        <w:rPr>
          <w:rFonts w:asciiTheme="majorBidi" w:hAnsiTheme="majorBidi" w:cstheme="majorBidi"/>
          <w:szCs w:val="22"/>
        </w:rPr>
        <w:t xml:space="preserve"> </w:t>
      </w:r>
      <w:r w:rsidRPr="00263D91">
        <w:rPr>
          <w:sz w:val="24"/>
          <w:szCs w:val="24"/>
        </w:rPr>
        <w:t>eller over for et eller flere af hjælpestofferne.</w:t>
      </w:r>
    </w:p>
    <w:p w:rsidR="00883550" w:rsidRPr="00263D91" w:rsidRDefault="00883550" w:rsidP="00883550">
      <w:pPr>
        <w:pStyle w:val="Sidehoved"/>
        <w:tabs>
          <w:tab w:val="clear" w:pos="4819"/>
          <w:tab w:val="clear" w:pos="9638"/>
        </w:tabs>
        <w:ind w:left="851" w:hanging="851"/>
        <w:rPr>
          <w:szCs w:val="24"/>
        </w:rPr>
      </w:pPr>
    </w:p>
    <w:p w:rsidR="00883550" w:rsidRPr="00263D91" w:rsidRDefault="00883550" w:rsidP="00883550">
      <w:pPr>
        <w:ind w:left="851" w:hanging="851"/>
        <w:rPr>
          <w:b/>
          <w:sz w:val="24"/>
          <w:szCs w:val="24"/>
        </w:rPr>
      </w:pPr>
      <w:r w:rsidRPr="00263D91">
        <w:rPr>
          <w:b/>
          <w:sz w:val="24"/>
          <w:szCs w:val="24"/>
        </w:rPr>
        <w:t>4.4</w:t>
      </w:r>
      <w:r w:rsidRPr="00263D91">
        <w:rPr>
          <w:b/>
          <w:sz w:val="24"/>
          <w:szCs w:val="24"/>
        </w:rPr>
        <w:tab/>
        <w:t>Særlige advarsler</w:t>
      </w:r>
    </w:p>
    <w:p w:rsidR="00883550" w:rsidRPr="00263D91" w:rsidRDefault="00883550" w:rsidP="00883550">
      <w:pPr>
        <w:ind w:left="851"/>
        <w:rPr>
          <w:sz w:val="24"/>
          <w:szCs w:val="24"/>
          <w:lang w:eastAsia="da-DK"/>
        </w:rPr>
      </w:pPr>
      <w:r w:rsidRPr="00263D91">
        <w:rPr>
          <w:sz w:val="24"/>
          <w:szCs w:val="24"/>
        </w:rPr>
        <w:t>Følgende fremgangsmåder bør undgås, da de øger risikoen for udvikling af resistens og i sidste ende kan resultere i ineffektiv behandling:</w:t>
      </w:r>
    </w:p>
    <w:p w:rsidR="00883550" w:rsidRPr="00263D91" w:rsidRDefault="00883550" w:rsidP="00883550">
      <w:pPr>
        <w:ind w:left="851" w:hanging="851"/>
        <w:rPr>
          <w:sz w:val="24"/>
          <w:szCs w:val="24"/>
        </w:rPr>
      </w:pPr>
    </w:p>
    <w:p w:rsidR="00883550" w:rsidRPr="004F425D" w:rsidRDefault="00883550" w:rsidP="004F425D">
      <w:pPr>
        <w:pStyle w:val="Listeafsnit"/>
        <w:numPr>
          <w:ilvl w:val="0"/>
          <w:numId w:val="4"/>
        </w:numPr>
        <w:rPr>
          <w:sz w:val="24"/>
          <w:szCs w:val="24"/>
        </w:rPr>
      </w:pPr>
      <w:r w:rsidRPr="004F425D">
        <w:rPr>
          <w:sz w:val="24"/>
          <w:szCs w:val="24"/>
        </w:rPr>
        <w:t xml:space="preserve">Hyppig og gentagen brug af </w:t>
      </w:r>
      <w:proofErr w:type="spellStart"/>
      <w:r w:rsidRPr="004F425D">
        <w:rPr>
          <w:sz w:val="24"/>
          <w:szCs w:val="24"/>
        </w:rPr>
        <w:t>anthelmintika</w:t>
      </w:r>
      <w:proofErr w:type="spellEnd"/>
      <w:r w:rsidRPr="004F425D">
        <w:rPr>
          <w:sz w:val="24"/>
          <w:szCs w:val="24"/>
        </w:rPr>
        <w:t xml:space="preserve"> fra samme klasse over længere tid.</w:t>
      </w:r>
    </w:p>
    <w:p w:rsidR="00883550" w:rsidRPr="004F425D" w:rsidRDefault="00883550" w:rsidP="004F425D">
      <w:pPr>
        <w:pStyle w:val="Listeafsnit"/>
        <w:numPr>
          <w:ilvl w:val="0"/>
          <w:numId w:val="4"/>
        </w:numPr>
        <w:rPr>
          <w:sz w:val="24"/>
          <w:szCs w:val="24"/>
        </w:rPr>
      </w:pPr>
      <w:r w:rsidRPr="004F425D">
        <w:rPr>
          <w:sz w:val="24"/>
          <w:szCs w:val="24"/>
        </w:rPr>
        <w:t>Underdosering, som kan skyldes undervurdering af legemsvægt, forkert administration af produktet eller manglende kalibrering af doseringsenheden.</w:t>
      </w:r>
    </w:p>
    <w:p w:rsidR="00883550" w:rsidRPr="00263D91" w:rsidRDefault="00883550" w:rsidP="00883550">
      <w:pPr>
        <w:ind w:left="851" w:hanging="851"/>
        <w:rPr>
          <w:sz w:val="24"/>
          <w:szCs w:val="24"/>
        </w:rPr>
      </w:pPr>
    </w:p>
    <w:p w:rsidR="00883550" w:rsidRPr="00263D91" w:rsidRDefault="00883550" w:rsidP="00883550">
      <w:pPr>
        <w:ind w:left="851"/>
        <w:rPr>
          <w:sz w:val="24"/>
          <w:szCs w:val="24"/>
        </w:rPr>
      </w:pPr>
      <w:r w:rsidRPr="00263D91">
        <w:rPr>
          <w:sz w:val="24"/>
          <w:szCs w:val="24"/>
        </w:rPr>
        <w:t xml:space="preserve">Ved mistanke om kliniske tilfælde af resistens over for </w:t>
      </w:r>
      <w:proofErr w:type="spellStart"/>
      <w:r w:rsidRPr="00263D91">
        <w:rPr>
          <w:sz w:val="24"/>
          <w:szCs w:val="24"/>
        </w:rPr>
        <w:t>anthelmintika</w:t>
      </w:r>
      <w:proofErr w:type="spellEnd"/>
      <w:r w:rsidRPr="00263D91">
        <w:rPr>
          <w:sz w:val="24"/>
          <w:szCs w:val="24"/>
        </w:rPr>
        <w:t xml:space="preserve"> bør der foretages yderligere undersøgelser ved hjælp af hensigtsmæssige test (f.eks. fækal </w:t>
      </w:r>
      <w:proofErr w:type="spellStart"/>
      <w:r w:rsidRPr="00263D91">
        <w:rPr>
          <w:sz w:val="24"/>
          <w:szCs w:val="24"/>
        </w:rPr>
        <w:t>ægreduktionstest</w:t>
      </w:r>
      <w:proofErr w:type="spellEnd"/>
      <w:r w:rsidRPr="00263D91">
        <w:rPr>
          <w:sz w:val="24"/>
          <w:szCs w:val="24"/>
        </w:rPr>
        <w:t xml:space="preserve">). Hvis testresultaterne tyder på resistens over for et bestemt </w:t>
      </w:r>
      <w:proofErr w:type="spellStart"/>
      <w:r w:rsidRPr="00263D91">
        <w:rPr>
          <w:sz w:val="24"/>
          <w:szCs w:val="24"/>
        </w:rPr>
        <w:t>anthelmintikum</w:t>
      </w:r>
      <w:proofErr w:type="spellEnd"/>
      <w:r w:rsidRPr="00263D91">
        <w:rPr>
          <w:sz w:val="24"/>
          <w:szCs w:val="24"/>
        </w:rPr>
        <w:t xml:space="preserve">, bør der anvendes et andet </w:t>
      </w:r>
      <w:proofErr w:type="spellStart"/>
      <w:r w:rsidRPr="00263D91">
        <w:rPr>
          <w:sz w:val="24"/>
          <w:szCs w:val="24"/>
        </w:rPr>
        <w:t>anthelmintikum</w:t>
      </w:r>
      <w:proofErr w:type="spellEnd"/>
      <w:r w:rsidRPr="00263D91">
        <w:rPr>
          <w:sz w:val="24"/>
          <w:szCs w:val="24"/>
        </w:rPr>
        <w:t xml:space="preserve"> fra en anden lægemiddelklasse med en anden virkningsmekanisme.</w:t>
      </w:r>
    </w:p>
    <w:p w:rsidR="00883550" w:rsidRPr="00263D91" w:rsidRDefault="00883550" w:rsidP="00883550">
      <w:pPr>
        <w:pStyle w:val="Sidehoved"/>
        <w:tabs>
          <w:tab w:val="clear" w:pos="4819"/>
          <w:tab w:val="clear" w:pos="9638"/>
        </w:tabs>
        <w:ind w:left="851" w:hanging="851"/>
        <w:rPr>
          <w:szCs w:val="24"/>
        </w:rPr>
      </w:pPr>
    </w:p>
    <w:p w:rsidR="00883550" w:rsidRPr="00263D91" w:rsidRDefault="00883550" w:rsidP="00883550">
      <w:pPr>
        <w:ind w:left="851" w:hanging="851"/>
        <w:rPr>
          <w:b/>
          <w:sz w:val="24"/>
          <w:szCs w:val="24"/>
        </w:rPr>
      </w:pPr>
      <w:r w:rsidRPr="00263D91">
        <w:rPr>
          <w:b/>
          <w:sz w:val="24"/>
          <w:szCs w:val="24"/>
        </w:rPr>
        <w:t>4.5</w:t>
      </w:r>
      <w:r w:rsidRPr="00263D91">
        <w:rPr>
          <w:b/>
          <w:sz w:val="24"/>
          <w:szCs w:val="24"/>
        </w:rPr>
        <w:tab/>
        <w:t>Særlige forsigtighedsregler vedrørende brugen</w:t>
      </w:r>
    </w:p>
    <w:p w:rsidR="00883550" w:rsidRPr="00263D91" w:rsidRDefault="00883550" w:rsidP="00883550">
      <w:pPr>
        <w:ind w:left="851" w:hanging="851"/>
        <w:rPr>
          <w:sz w:val="24"/>
          <w:szCs w:val="24"/>
        </w:rPr>
      </w:pPr>
    </w:p>
    <w:p w:rsidR="00883550" w:rsidRPr="00263D91" w:rsidRDefault="00883550" w:rsidP="00883550">
      <w:pPr>
        <w:ind w:left="851"/>
        <w:rPr>
          <w:b/>
          <w:sz w:val="24"/>
          <w:szCs w:val="24"/>
        </w:rPr>
      </w:pPr>
      <w:r w:rsidRPr="00263D91">
        <w:rPr>
          <w:b/>
          <w:sz w:val="24"/>
          <w:szCs w:val="24"/>
        </w:rPr>
        <w:t>Særlige forsigtighedsregler for dyret</w:t>
      </w:r>
    </w:p>
    <w:p w:rsidR="00883550" w:rsidRPr="00263D91" w:rsidRDefault="004F425D" w:rsidP="00883550">
      <w:pPr>
        <w:ind w:left="851"/>
        <w:rPr>
          <w:sz w:val="24"/>
          <w:szCs w:val="24"/>
          <w:lang w:eastAsia="da-DK"/>
        </w:rPr>
      </w:pPr>
      <w:r>
        <w:rPr>
          <w:sz w:val="24"/>
          <w:szCs w:val="24"/>
        </w:rPr>
        <w:t>Ingen.</w:t>
      </w:r>
    </w:p>
    <w:p w:rsidR="00883550" w:rsidRPr="00263D91" w:rsidRDefault="00883550" w:rsidP="00883550">
      <w:pPr>
        <w:ind w:left="851" w:hanging="851"/>
        <w:rPr>
          <w:sz w:val="24"/>
          <w:szCs w:val="24"/>
        </w:rPr>
      </w:pPr>
    </w:p>
    <w:p w:rsidR="00883550" w:rsidRPr="004F425D" w:rsidRDefault="00883550" w:rsidP="00883550">
      <w:pPr>
        <w:ind w:left="851"/>
        <w:rPr>
          <w:b/>
          <w:sz w:val="24"/>
          <w:szCs w:val="24"/>
        </w:rPr>
      </w:pPr>
      <w:r w:rsidRPr="004F425D">
        <w:rPr>
          <w:b/>
          <w:sz w:val="24"/>
          <w:szCs w:val="24"/>
        </w:rPr>
        <w:t>Særlige forsigtighedsregler for personer, der administrerer lægemidlet</w:t>
      </w:r>
    </w:p>
    <w:p w:rsidR="004F425D" w:rsidRPr="004F425D" w:rsidRDefault="004F425D" w:rsidP="004F425D">
      <w:pPr>
        <w:ind w:left="851"/>
        <w:rPr>
          <w:sz w:val="24"/>
          <w:szCs w:val="24"/>
        </w:rPr>
      </w:pPr>
      <w:r w:rsidRPr="004F425D">
        <w:rPr>
          <w:sz w:val="24"/>
          <w:szCs w:val="24"/>
        </w:rPr>
        <w:t>Embryotoksiske virkninger kan ikke udelukkes. Gravide kvinder skal være ekstra forsigtige ved håndtering af dette lægemiddel.</w:t>
      </w:r>
    </w:p>
    <w:p w:rsidR="004F425D" w:rsidRPr="004F425D" w:rsidRDefault="004F425D" w:rsidP="004F425D">
      <w:pPr>
        <w:ind w:left="851"/>
        <w:rPr>
          <w:sz w:val="24"/>
          <w:szCs w:val="24"/>
        </w:rPr>
      </w:pPr>
    </w:p>
    <w:p w:rsidR="004F425D" w:rsidRPr="004F425D" w:rsidRDefault="004F425D" w:rsidP="004F425D">
      <w:pPr>
        <w:ind w:left="851"/>
        <w:rPr>
          <w:sz w:val="24"/>
          <w:szCs w:val="24"/>
        </w:rPr>
      </w:pPr>
      <w:r w:rsidRPr="004F425D">
        <w:rPr>
          <w:sz w:val="24"/>
          <w:szCs w:val="24"/>
        </w:rPr>
        <w:t xml:space="preserve">Dette lægemiddel kan forårsage allergiske reaktioner. Ved overfølsomhed over for </w:t>
      </w:r>
      <w:proofErr w:type="spellStart"/>
      <w:r w:rsidRPr="004F425D">
        <w:rPr>
          <w:sz w:val="24"/>
          <w:szCs w:val="24"/>
        </w:rPr>
        <w:t>fenbendazol</w:t>
      </w:r>
      <w:proofErr w:type="spellEnd"/>
      <w:r w:rsidRPr="004F425D">
        <w:rPr>
          <w:sz w:val="24"/>
          <w:szCs w:val="24"/>
        </w:rPr>
        <w:t xml:space="preserve"> bør kontakt med lægemidlet undgås.</w:t>
      </w:r>
    </w:p>
    <w:p w:rsidR="004F425D" w:rsidRPr="004F425D" w:rsidRDefault="004F425D" w:rsidP="004F425D">
      <w:pPr>
        <w:ind w:left="851"/>
        <w:rPr>
          <w:sz w:val="24"/>
          <w:szCs w:val="24"/>
        </w:rPr>
      </w:pPr>
    </w:p>
    <w:p w:rsidR="004F425D" w:rsidRPr="004F425D" w:rsidRDefault="004F425D" w:rsidP="004F425D">
      <w:pPr>
        <w:ind w:left="851"/>
        <w:rPr>
          <w:sz w:val="24"/>
          <w:szCs w:val="24"/>
        </w:rPr>
      </w:pPr>
      <w:r w:rsidRPr="004F425D">
        <w:rPr>
          <w:sz w:val="24"/>
          <w:szCs w:val="24"/>
        </w:rPr>
        <w:t xml:space="preserve">Undgå hudkontakt i forbindelse med håndtering af dette produkt. </w:t>
      </w:r>
    </w:p>
    <w:p w:rsidR="004F425D" w:rsidRPr="004F425D" w:rsidRDefault="004F425D" w:rsidP="004F425D">
      <w:pPr>
        <w:ind w:left="851"/>
        <w:rPr>
          <w:sz w:val="24"/>
          <w:szCs w:val="24"/>
        </w:rPr>
      </w:pPr>
      <w:r w:rsidRPr="004F425D">
        <w:rPr>
          <w:sz w:val="24"/>
          <w:szCs w:val="24"/>
        </w:rPr>
        <w:t xml:space="preserve">Når lægemidlet håndteres eller blandes, er det vigtigt at sørge for, at det ikke kommer i kontakt med huden, og at pulverstøvet ikke inhaleres. Brug beskyttelsestøj, inklusive uigennemtrængelige handsker og ansigtsmaske. Det anbefales at anvende en filtrerende engangshalvmaske, der opfylder europæisk standard EN 149, eller et genanvendeligt åndedrætsværn af europæisk standard EN 140 med et filter af standard EN 143. </w:t>
      </w:r>
    </w:p>
    <w:p w:rsidR="004F425D" w:rsidRPr="004F425D" w:rsidRDefault="004F425D" w:rsidP="004F425D">
      <w:pPr>
        <w:ind w:left="851"/>
        <w:rPr>
          <w:sz w:val="24"/>
          <w:szCs w:val="24"/>
        </w:rPr>
      </w:pPr>
      <w:r w:rsidRPr="004F425D">
        <w:rPr>
          <w:sz w:val="24"/>
          <w:szCs w:val="24"/>
        </w:rPr>
        <w:t>I tilfælde af hud- eller øjenkontakt rens øjeblikkeligt med rigelige mængder vand.</w:t>
      </w:r>
    </w:p>
    <w:p w:rsidR="004F425D" w:rsidRPr="004F425D" w:rsidRDefault="004F425D" w:rsidP="004F425D">
      <w:pPr>
        <w:ind w:left="851"/>
        <w:rPr>
          <w:sz w:val="24"/>
          <w:szCs w:val="24"/>
        </w:rPr>
      </w:pPr>
    </w:p>
    <w:p w:rsidR="004F425D" w:rsidRPr="004F425D" w:rsidRDefault="004F425D" w:rsidP="004F425D">
      <w:pPr>
        <w:ind w:left="851"/>
        <w:rPr>
          <w:sz w:val="24"/>
          <w:szCs w:val="24"/>
        </w:rPr>
      </w:pPr>
      <w:r w:rsidRPr="004F425D">
        <w:rPr>
          <w:sz w:val="24"/>
          <w:szCs w:val="24"/>
        </w:rPr>
        <w:t>Vask hænder efter brug.</w:t>
      </w:r>
    </w:p>
    <w:p w:rsidR="004F425D" w:rsidRPr="004F425D" w:rsidRDefault="004F425D" w:rsidP="004F425D">
      <w:pPr>
        <w:ind w:left="851"/>
        <w:rPr>
          <w:sz w:val="24"/>
          <w:szCs w:val="24"/>
        </w:rPr>
      </w:pPr>
    </w:p>
    <w:p w:rsidR="00883550" w:rsidRPr="004F425D" w:rsidRDefault="004F425D" w:rsidP="004F425D">
      <w:pPr>
        <w:ind w:left="851"/>
        <w:rPr>
          <w:sz w:val="24"/>
          <w:szCs w:val="24"/>
        </w:rPr>
      </w:pPr>
      <w:r w:rsidRPr="004F425D">
        <w:rPr>
          <w:sz w:val="24"/>
          <w:szCs w:val="24"/>
        </w:rPr>
        <w:t>Undgå at indtage lægemidlet. I tilfælde af selvindgivelse ved hændeligt uheld skyl munden med rigelige mængder vand og søg lægehjælp.</w:t>
      </w:r>
    </w:p>
    <w:p w:rsidR="00883550" w:rsidRPr="004F425D" w:rsidRDefault="00883550" w:rsidP="00883550">
      <w:pPr>
        <w:ind w:left="851" w:hanging="851"/>
        <w:rPr>
          <w:sz w:val="24"/>
          <w:szCs w:val="24"/>
        </w:rPr>
      </w:pPr>
    </w:p>
    <w:p w:rsidR="00883550" w:rsidRPr="00263D91" w:rsidRDefault="00883550" w:rsidP="00883550">
      <w:pPr>
        <w:ind w:left="851"/>
        <w:rPr>
          <w:b/>
          <w:sz w:val="24"/>
          <w:szCs w:val="24"/>
        </w:rPr>
      </w:pPr>
      <w:r w:rsidRPr="00263D91">
        <w:rPr>
          <w:b/>
          <w:sz w:val="24"/>
          <w:szCs w:val="24"/>
        </w:rPr>
        <w:t>Andre forsigtighedsregler</w:t>
      </w:r>
    </w:p>
    <w:p w:rsidR="00883550" w:rsidRPr="00263D91" w:rsidRDefault="00883550" w:rsidP="00883550">
      <w:pPr>
        <w:ind w:left="851"/>
        <w:rPr>
          <w:spacing w:val="-1"/>
          <w:sz w:val="24"/>
          <w:szCs w:val="24"/>
        </w:rPr>
      </w:pPr>
      <w:r w:rsidRPr="00263D91">
        <w:rPr>
          <w:sz w:val="24"/>
          <w:szCs w:val="24"/>
        </w:rPr>
        <w:t>Veterinærlægemidlet bør ikke komme i kontakt med overfladevand, da det har skadelige virkninger på vandorganismer.</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4.6</w:t>
      </w:r>
      <w:r w:rsidRPr="00263D91">
        <w:rPr>
          <w:b/>
          <w:sz w:val="24"/>
          <w:szCs w:val="24"/>
        </w:rPr>
        <w:tab/>
        <w:t>Bivirkninger</w:t>
      </w:r>
    </w:p>
    <w:p w:rsidR="00883550" w:rsidRPr="00263D91" w:rsidRDefault="00883550" w:rsidP="00883550">
      <w:pPr>
        <w:ind w:left="851"/>
        <w:rPr>
          <w:sz w:val="24"/>
          <w:szCs w:val="24"/>
          <w:lang w:eastAsia="da-DK"/>
        </w:rPr>
      </w:pPr>
      <w:r w:rsidRPr="00263D91">
        <w:rPr>
          <w:sz w:val="24"/>
          <w:szCs w:val="24"/>
        </w:rPr>
        <w:t>Ingen kendte.</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4.7</w:t>
      </w:r>
      <w:r w:rsidRPr="00263D91">
        <w:rPr>
          <w:b/>
          <w:sz w:val="24"/>
          <w:szCs w:val="24"/>
        </w:rPr>
        <w:tab/>
        <w:t>Drægtighed, diegivning eller æglægning</w:t>
      </w:r>
    </w:p>
    <w:p w:rsidR="00883550" w:rsidRPr="00263D91" w:rsidRDefault="00883550" w:rsidP="00883550">
      <w:pPr>
        <w:ind w:left="851"/>
        <w:rPr>
          <w:sz w:val="24"/>
          <w:szCs w:val="24"/>
          <w:lang w:eastAsia="da-DK"/>
        </w:rPr>
      </w:pPr>
      <w:r w:rsidRPr="00263D91">
        <w:rPr>
          <w:sz w:val="24"/>
          <w:szCs w:val="24"/>
        </w:rPr>
        <w:t xml:space="preserve">Lægemidlet kan anvendes hos drægtige eller diegivende søer. </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4.8</w:t>
      </w:r>
      <w:r w:rsidRPr="00263D91">
        <w:rPr>
          <w:b/>
          <w:sz w:val="24"/>
          <w:szCs w:val="24"/>
        </w:rPr>
        <w:tab/>
        <w:t>Interaktion med andre lægemidler og andre former for interaktion</w:t>
      </w:r>
    </w:p>
    <w:p w:rsidR="004F425D" w:rsidRPr="004F425D" w:rsidRDefault="004F425D" w:rsidP="004F425D">
      <w:pPr>
        <w:tabs>
          <w:tab w:val="left" w:pos="851"/>
        </w:tabs>
        <w:ind w:left="851" w:hanging="851"/>
        <w:rPr>
          <w:sz w:val="24"/>
          <w:szCs w:val="24"/>
        </w:rPr>
      </w:pPr>
      <w:r>
        <w:rPr>
          <w:spacing w:val="-1"/>
        </w:rPr>
        <w:tab/>
      </w:r>
      <w:r w:rsidRPr="004F425D">
        <w:rPr>
          <w:spacing w:val="-1"/>
          <w:sz w:val="24"/>
          <w:szCs w:val="24"/>
        </w:rPr>
        <w:t xml:space="preserve">Ved indtagelse af </w:t>
      </w:r>
      <w:proofErr w:type="spellStart"/>
      <w:r w:rsidRPr="004F425D">
        <w:rPr>
          <w:spacing w:val="-1"/>
          <w:sz w:val="24"/>
          <w:szCs w:val="24"/>
        </w:rPr>
        <w:t>fenbendazol</w:t>
      </w:r>
      <w:proofErr w:type="spellEnd"/>
      <w:r w:rsidRPr="004F425D">
        <w:rPr>
          <w:spacing w:val="-1"/>
          <w:sz w:val="24"/>
          <w:szCs w:val="24"/>
        </w:rPr>
        <w:t xml:space="preserve"> kan forværring af paracetamol-induceret </w:t>
      </w:r>
      <w:proofErr w:type="spellStart"/>
      <w:r w:rsidRPr="004F425D">
        <w:rPr>
          <w:spacing w:val="-1"/>
          <w:sz w:val="24"/>
          <w:szCs w:val="24"/>
        </w:rPr>
        <w:t>levertoksisitet</w:t>
      </w:r>
      <w:proofErr w:type="spellEnd"/>
      <w:r w:rsidRPr="004F425D">
        <w:rPr>
          <w:spacing w:val="-1"/>
          <w:sz w:val="24"/>
          <w:szCs w:val="24"/>
        </w:rPr>
        <w:t xml:space="preserve"> ikke udelukkes.</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4.9</w:t>
      </w:r>
      <w:r w:rsidRPr="00263D91">
        <w:rPr>
          <w:b/>
          <w:sz w:val="24"/>
          <w:szCs w:val="24"/>
        </w:rPr>
        <w:tab/>
        <w:t>Dosering og indgivelsesmåde</w:t>
      </w:r>
    </w:p>
    <w:p w:rsidR="00883550" w:rsidRPr="00263D91" w:rsidRDefault="00883550" w:rsidP="00883550">
      <w:pPr>
        <w:ind w:left="851"/>
        <w:rPr>
          <w:sz w:val="24"/>
          <w:szCs w:val="24"/>
          <w:lang w:eastAsia="da-DK"/>
        </w:rPr>
      </w:pPr>
      <w:r w:rsidRPr="00263D91">
        <w:rPr>
          <w:sz w:val="24"/>
          <w:szCs w:val="24"/>
        </w:rPr>
        <w:t xml:space="preserve">Til oral </w:t>
      </w:r>
      <w:r w:rsidR="004F425D" w:rsidRPr="001D35D6">
        <w:rPr>
          <w:rFonts w:asciiTheme="majorBidi" w:hAnsiTheme="majorBidi" w:cstheme="majorBidi"/>
          <w:szCs w:val="22"/>
        </w:rPr>
        <w:t xml:space="preserve">anvendelse </w:t>
      </w:r>
      <w:r w:rsidRPr="00263D91">
        <w:rPr>
          <w:sz w:val="24"/>
          <w:szCs w:val="24"/>
        </w:rPr>
        <w:t>via tilsætning af små mængder i foderet umiddelbart før indtagelse hos individuelle grise.</w:t>
      </w:r>
    </w:p>
    <w:p w:rsidR="00883550" w:rsidRPr="00263D91" w:rsidRDefault="00883550" w:rsidP="00883550">
      <w:pPr>
        <w:ind w:left="851" w:hanging="851"/>
        <w:rPr>
          <w:sz w:val="24"/>
          <w:szCs w:val="24"/>
        </w:rPr>
      </w:pPr>
    </w:p>
    <w:p w:rsidR="00883550" w:rsidRPr="00263D91" w:rsidRDefault="00883550" w:rsidP="00883550">
      <w:pPr>
        <w:ind w:left="851"/>
        <w:rPr>
          <w:sz w:val="24"/>
          <w:szCs w:val="24"/>
          <w:u w:val="single"/>
        </w:rPr>
      </w:pPr>
      <w:r w:rsidRPr="00263D91">
        <w:rPr>
          <w:sz w:val="24"/>
          <w:szCs w:val="24"/>
          <w:u w:val="single"/>
        </w:rPr>
        <w:t>Individuel behandling – enkeltdosis</w:t>
      </w:r>
    </w:p>
    <w:p w:rsidR="00883550" w:rsidRPr="00263D91" w:rsidRDefault="00883550" w:rsidP="00883550">
      <w:pPr>
        <w:ind w:left="851"/>
        <w:rPr>
          <w:sz w:val="24"/>
          <w:szCs w:val="24"/>
        </w:rPr>
      </w:pPr>
      <w:r w:rsidRPr="00263D91">
        <w:rPr>
          <w:sz w:val="24"/>
          <w:szCs w:val="24"/>
        </w:rPr>
        <w:t xml:space="preserve">Den anbefalede terapeutiske dosis er 5 mg </w:t>
      </w:r>
      <w:proofErr w:type="spellStart"/>
      <w:r w:rsidRPr="00263D91">
        <w:rPr>
          <w:sz w:val="24"/>
          <w:szCs w:val="24"/>
        </w:rPr>
        <w:t>fenbendazol</w:t>
      </w:r>
      <w:proofErr w:type="spellEnd"/>
      <w:r w:rsidRPr="00263D91">
        <w:rPr>
          <w:sz w:val="24"/>
          <w:szCs w:val="24"/>
        </w:rPr>
        <w:t xml:space="preserve"> pr. kg legemsvægt som individuel behandling med en enkelt dosis, hvilket svarer til 1 g af produktet pr. 10 kg legemsvægt eller 5 g af produktet pr. 50 kg legemsvægt eller 20 g af produktet pr. 200 kg. legemsvægt.</w:t>
      </w:r>
    </w:p>
    <w:p w:rsidR="00883550" w:rsidRPr="00263D91" w:rsidRDefault="00883550" w:rsidP="00883550">
      <w:pPr>
        <w:ind w:left="851" w:hanging="851"/>
        <w:rPr>
          <w:sz w:val="24"/>
          <w:szCs w:val="24"/>
        </w:rPr>
      </w:pPr>
    </w:p>
    <w:p w:rsidR="00883550" w:rsidRPr="00263D91" w:rsidRDefault="00883550" w:rsidP="00883550">
      <w:pPr>
        <w:ind w:left="851"/>
        <w:rPr>
          <w:sz w:val="24"/>
          <w:szCs w:val="24"/>
        </w:rPr>
      </w:pPr>
      <w:r w:rsidRPr="00263D91">
        <w:rPr>
          <w:sz w:val="24"/>
          <w:szCs w:val="24"/>
        </w:rPr>
        <w:t>For at sikre korrekt dosering og undgå potentiel underdosering bør legemsvægten og mængden af lægemiddel, der skal administreres, bestemmes så præcist som muligt. Der bør anvendes en tilpas kalibreret vægt til at afmåle den korrekte mængde lægemiddel.</w:t>
      </w:r>
    </w:p>
    <w:p w:rsidR="00883550" w:rsidRPr="00263D91" w:rsidRDefault="00883550" w:rsidP="00883550">
      <w:pPr>
        <w:ind w:left="851"/>
        <w:rPr>
          <w:sz w:val="24"/>
          <w:szCs w:val="24"/>
        </w:rPr>
      </w:pPr>
      <w:r w:rsidRPr="00263D91">
        <w:rPr>
          <w:sz w:val="24"/>
          <w:szCs w:val="24"/>
        </w:rPr>
        <w:t>Den anbefalede mængde af veterinærlægemidlet bør opblandes grundigt i en lille portion af det enkelte dyrs beregnede daglige fodermængde i en spand eller lignende beholder umiddelbart før tildeling.</w:t>
      </w:r>
    </w:p>
    <w:p w:rsidR="00883550" w:rsidRPr="00263D91" w:rsidRDefault="00883550" w:rsidP="00883550">
      <w:pPr>
        <w:ind w:left="851"/>
        <w:rPr>
          <w:sz w:val="24"/>
          <w:szCs w:val="24"/>
        </w:rPr>
      </w:pPr>
      <w:r w:rsidRPr="00263D91">
        <w:rPr>
          <w:sz w:val="24"/>
          <w:szCs w:val="24"/>
        </w:rPr>
        <w:t xml:space="preserve">Medicineret foder bør administreres umiddelbart efter klargøring. </w:t>
      </w:r>
    </w:p>
    <w:p w:rsidR="00883550" w:rsidRPr="00263D91" w:rsidRDefault="00883550" w:rsidP="00883550">
      <w:pPr>
        <w:ind w:left="851"/>
        <w:rPr>
          <w:strike/>
          <w:sz w:val="24"/>
          <w:szCs w:val="24"/>
        </w:rPr>
      </w:pPr>
      <w:r w:rsidRPr="00263D91">
        <w:rPr>
          <w:sz w:val="24"/>
          <w:szCs w:val="24"/>
        </w:rPr>
        <w:t>Ikke indtaget foder skal bortskaffes sammen med andet affaldsfoder og må ikke gives til andre dyr.</w:t>
      </w:r>
    </w:p>
    <w:p w:rsidR="00883550" w:rsidRPr="00263D91" w:rsidRDefault="00883550" w:rsidP="00883550">
      <w:pPr>
        <w:ind w:left="851" w:hanging="851"/>
        <w:rPr>
          <w:iCs/>
          <w:sz w:val="24"/>
          <w:szCs w:val="24"/>
        </w:rPr>
      </w:pPr>
    </w:p>
    <w:p w:rsidR="00883550" w:rsidRPr="00263D91" w:rsidRDefault="00883550" w:rsidP="00883550">
      <w:pPr>
        <w:ind w:left="851"/>
        <w:rPr>
          <w:sz w:val="24"/>
          <w:szCs w:val="24"/>
        </w:rPr>
      </w:pPr>
      <w:r w:rsidRPr="00263D91">
        <w:rPr>
          <w:sz w:val="24"/>
          <w:szCs w:val="24"/>
        </w:rPr>
        <w:t>Doseringstabel:</w:t>
      </w:r>
    </w:p>
    <w:p w:rsidR="00883550" w:rsidRPr="00263D91" w:rsidRDefault="00883550" w:rsidP="00883550">
      <w:pPr>
        <w:ind w:left="851" w:hanging="851"/>
        <w:rPr>
          <w:sz w:val="24"/>
          <w:szCs w:val="24"/>
        </w:rPr>
      </w:pPr>
    </w:p>
    <w:tbl>
      <w:tblPr>
        <w:tblW w:w="0" w:type="auto"/>
        <w:tblInd w:w="841" w:type="dxa"/>
        <w:tblCellMar>
          <w:left w:w="0" w:type="dxa"/>
          <w:right w:w="0" w:type="dxa"/>
        </w:tblCellMar>
        <w:tblLook w:val="04A0" w:firstRow="1" w:lastRow="0" w:firstColumn="1" w:lastColumn="0" w:noHBand="0" w:noVBand="1"/>
      </w:tblPr>
      <w:tblGrid>
        <w:gridCol w:w="2507"/>
        <w:gridCol w:w="2551"/>
      </w:tblGrid>
      <w:tr w:rsidR="00883550" w:rsidRPr="00263D91" w:rsidTr="00AB5E79">
        <w:tc>
          <w:tcPr>
            <w:tcW w:w="2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b/>
                <w:sz w:val="24"/>
                <w:szCs w:val="24"/>
              </w:rPr>
            </w:pPr>
            <w:r w:rsidRPr="00263D91">
              <w:rPr>
                <w:b/>
                <w:sz w:val="24"/>
                <w:szCs w:val="24"/>
              </w:rPr>
              <w:t>Grisens legemsvægt (kg)</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b/>
                <w:sz w:val="24"/>
                <w:szCs w:val="24"/>
              </w:rPr>
            </w:pPr>
            <w:r w:rsidRPr="00263D91">
              <w:rPr>
                <w:b/>
                <w:sz w:val="24"/>
                <w:szCs w:val="24"/>
              </w:rPr>
              <w:t>Mængde (g)</w:t>
            </w:r>
            <w:r>
              <w:rPr>
                <w:b/>
                <w:sz w:val="24"/>
                <w:szCs w:val="24"/>
              </w:rPr>
              <w:t xml:space="preserve"> </w:t>
            </w:r>
            <w:r w:rsidRPr="00263D91">
              <w:rPr>
                <w:b/>
                <w:sz w:val="24"/>
                <w:szCs w:val="24"/>
              </w:rPr>
              <w:t>af produktet</w:t>
            </w:r>
          </w:p>
        </w:tc>
      </w:tr>
      <w:tr w:rsidR="00883550" w:rsidRPr="00263D91" w:rsidTr="00AB5E79">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50 kg</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5g</w:t>
            </w:r>
          </w:p>
        </w:tc>
      </w:tr>
      <w:tr w:rsidR="00883550" w:rsidRPr="00263D91" w:rsidTr="00AB5E79">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100 kg</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10g</w:t>
            </w:r>
          </w:p>
        </w:tc>
      </w:tr>
      <w:tr w:rsidR="00883550" w:rsidRPr="00263D91" w:rsidTr="00AB5E79">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150 kg</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15g</w:t>
            </w:r>
          </w:p>
        </w:tc>
      </w:tr>
      <w:tr w:rsidR="00883550" w:rsidRPr="00263D91" w:rsidTr="00AB5E79">
        <w:tc>
          <w:tcPr>
            <w:tcW w:w="2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200 kg</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3550" w:rsidRPr="00263D91" w:rsidRDefault="00883550" w:rsidP="00AB5E79">
            <w:pPr>
              <w:rPr>
                <w:rFonts w:eastAsia="Calibri"/>
                <w:sz w:val="24"/>
                <w:szCs w:val="24"/>
              </w:rPr>
            </w:pPr>
            <w:r w:rsidRPr="00263D91">
              <w:rPr>
                <w:sz w:val="24"/>
                <w:szCs w:val="24"/>
              </w:rPr>
              <w:t>20g</w:t>
            </w:r>
          </w:p>
        </w:tc>
      </w:tr>
    </w:tbl>
    <w:p w:rsidR="00883550" w:rsidRPr="00263D91" w:rsidRDefault="00883550" w:rsidP="00883550">
      <w:pPr>
        <w:ind w:left="851" w:hanging="851"/>
        <w:rPr>
          <w:rFonts w:eastAsia="Calibri"/>
          <w:sz w:val="24"/>
          <w:szCs w:val="24"/>
          <w:lang w:bidi="da-DK"/>
        </w:rPr>
      </w:pPr>
    </w:p>
    <w:p w:rsidR="00883550" w:rsidRPr="00263D91" w:rsidRDefault="00883550" w:rsidP="00883550">
      <w:pPr>
        <w:ind w:left="851"/>
        <w:rPr>
          <w:sz w:val="24"/>
          <w:szCs w:val="24"/>
        </w:rPr>
      </w:pPr>
      <w:r w:rsidRPr="00263D91">
        <w:rPr>
          <w:sz w:val="24"/>
          <w:szCs w:val="24"/>
        </w:rPr>
        <w:t>Til brug hos individuelle grise på gårde, hvor kun et lille antal grise skal have veterinærlægemidlet. Større grupper bør ormebehandles med et velegnet premix til foderlægemiddel.</w:t>
      </w:r>
    </w:p>
    <w:p w:rsidR="00883550" w:rsidRPr="00263D91" w:rsidRDefault="00883550" w:rsidP="00883550">
      <w:pPr>
        <w:ind w:left="851" w:hanging="851"/>
        <w:rPr>
          <w:bCs/>
          <w:sz w:val="24"/>
          <w:szCs w:val="24"/>
        </w:rPr>
      </w:pPr>
    </w:p>
    <w:p w:rsidR="00883550" w:rsidRPr="00263D91" w:rsidRDefault="00883550" w:rsidP="00883550">
      <w:pPr>
        <w:ind w:left="851"/>
        <w:rPr>
          <w:b/>
          <w:bCs/>
          <w:sz w:val="24"/>
          <w:szCs w:val="24"/>
        </w:rPr>
      </w:pPr>
      <w:r w:rsidRPr="00263D91">
        <w:rPr>
          <w:b/>
          <w:sz w:val="24"/>
          <w:szCs w:val="24"/>
        </w:rPr>
        <w:t xml:space="preserve">Behandling af specifikke infektioner </w:t>
      </w:r>
    </w:p>
    <w:p w:rsidR="00883550" w:rsidRPr="00263D91" w:rsidRDefault="00883550" w:rsidP="00883550">
      <w:pPr>
        <w:ind w:left="851"/>
        <w:rPr>
          <w:sz w:val="24"/>
          <w:szCs w:val="24"/>
        </w:rPr>
      </w:pPr>
      <w:r w:rsidRPr="00263D91">
        <w:rPr>
          <w:sz w:val="24"/>
          <w:szCs w:val="24"/>
        </w:rPr>
        <w:t xml:space="preserve">Til behandling af </w:t>
      </w:r>
      <w:proofErr w:type="spellStart"/>
      <w:r w:rsidRPr="00263D91">
        <w:rPr>
          <w:i/>
          <w:iCs/>
          <w:sz w:val="24"/>
          <w:szCs w:val="24"/>
        </w:rPr>
        <w:t>Trichuris</w:t>
      </w:r>
      <w:proofErr w:type="spellEnd"/>
      <w:r w:rsidRPr="00263D91">
        <w:rPr>
          <w:i/>
          <w:iCs/>
          <w:sz w:val="24"/>
          <w:szCs w:val="24"/>
        </w:rPr>
        <w:t xml:space="preserve"> </w:t>
      </w:r>
      <w:proofErr w:type="spellStart"/>
      <w:r w:rsidRPr="00263D91">
        <w:rPr>
          <w:i/>
          <w:iCs/>
          <w:sz w:val="24"/>
          <w:szCs w:val="24"/>
        </w:rPr>
        <w:t>suis</w:t>
      </w:r>
      <w:proofErr w:type="spellEnd"/>
      <w:r w:rsidRPr="00263D91">
        <w:rPr>
          <w:sz w:val="24"/>
          <w:szCs w:val="24"/>
        </w:rPr>
        <w:t xml:space="preserve"> anbefales det at opdele dosen og administrere den over syv dage.</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4.10</w:t>
      </w:r>
      <w:r w:rsidRPr="00263D91">
        <w:rPr>
          <w:b/>
          <w:sz w:val="24"/>
          <w:szCs w:val="24"/>
        </w:rPr>
        <w:tab/>
        <w:t>Overdosering</w:t>
      </w:r>
    </w:p>
    <w:p w:rsidR="00883550" w:rsidRPr="00263D91" w:rsidRDefault="00883550" w:rsidP="00883550">
      <w:pPr>
        <w:ind w:left="851"/>
        <w:rPr>
          <w:sz w:val="24"/>
          <w:szCs w:val="24"/>
        </w:rPr>
      </w:pPr>
      <w:r w:rsidRPr="00263D91">
        <w:rPr>
          <w:sz w:val="24"/>
          <w:szCs w:val="24"/>
        </w:rPr>
        <w:t>Ingen kendte.</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4.11</w:t>
      </w:r>
      <w:r w:rsidRPr="00263D91">
        <w:rPr>
          <w:b/>
          <w:sz w:val="24"/>
          <w:szCs w:val="24"/>
        </w:rPr>
        <w:tab/>
        <w:t>Tilbageholdelsestid</w:t>
      </w:r>
    </w:p>
    <w:p w:rsidR="00883550" w:rsidRPr="00263D91" w:rsidRDefault="00883550" w:rsidP="00883550">
      <w:pPr>
        <w:ind w:left="851"/>
        <w:rPr>
          <w:sz w:val="24"/>
          <w:szCs w:val="24"/>
          <w:lang w:eastAsia="da-DK"/>
        </w:rPr>
      </w:pPr>
      <w:r w:rsidRPr="00263D91">
        <w:rPr>
          <w:sz w:val="24"/>
          <w:szCs w:val="24"/>
        </w:rPr>
        <w:t>Slagtning: 6 dage.</w:t>
      </w:r>
    </w:p>
    <w:p w:rsidR="00883550" w:rsidRPr="00263D91" w:rsidRDefault="00883550" w:rsidP="00883550">
      <w:pPr>
        <w:pStyle w:val="Sidehoved"/>
        <w:tabs>
          <w:tab w:val="clear" w:pos="4819"/>
          <w:tab w:val="clear" w:pos="9638"/>
        </w:tabs>
        <w:ind w:left="851" w:hanging="851"/>
        <w:rPr>
          <w:szCs w:val="24"/>
        </w:rPr>
      </w:pPr>
    </w:p>
    <w:p w:rsidR="00883550" w:rsidRPr="00263D91" w:rsidRDefault="00883550" w:rsidP="00883550">
      <w:pPr>
        <w:ind w:left="851" w:hanging="851"/>
        <w:rPr>
          <w:sz w:val="24"/>
          <w:szCs w:val="24"/>
        </w:rPr>
      </w:pPr>
    </w:p>
    <w:p w:rsidR="00883550" w:rsidRPr="00D421C5" w:rsidRDefault="00883550" w:rsidP="00883550">
      <w:pPr>
        <w:ind w:left="851" w:hanging="851"/>
        <w:rPr>
          <w:b/>
          <w:sz w:val="24"/>
          <w:szCs w:val="24"/>
        </w:rPr>
      </w:pPr>
      <w:r w:rsidRPr="00D421C5">
        <w:rPr>
          <w:b/>
          <w:sz w:val="24"/>
          <w:szCs w:val="24"/>
        </w:rPr>
        <w:t>5.</w:t>
      </w:r>
      <w:r w:rsidRPr="00D421C5">
        <w:rPr>
          <w:b/>
          <w:sz w:val="24"/>
          <w:szCs w:val="24"/>
        </w:rPr>
        <w:tab/>
        <w:t>FARMAKOLOGISKE EGENSKABER</w:t>
      </w:r>
    </w:p>
    <w:p w:rsidR="00883550" w:rsidRPr="00D421C5" w:rsidRDefault="00883550" w:rsidP="00883550">
      <w:pPr>
        <w:ind w:left="851" w:hanging="851"/>
        <w:rPr>
          <w:sz w:val="24"/>
          <w:szCs w:val="24"/>
        </w:rPr>
      </w:pPr>
    </w:p>
    <w:p w:rsidR="00883550" w:rsidRPr="00D421C5" w:rsidRDefault="00883550" w:rsidP="00883550">
      <w:pPr>
        <w:ind w:left="851"/>
        <w:rPr>
          <w:sz w:val="24"/>
          <w:szCs w:val="24"/>
          <w:lang w:eastAsia="da-DK"/>
        </w:rPr>
      </w:pPr>
      <w:proofErr w:type="spellStart"/>
      <w:r w:rsidRPr="00D421C5">
        <w:rPr>
          <w:sz w:val="24"/>
          <w:szCs w:val="24"/>
        </w:rPr>
        <w:t>Farmakoterapeutisk</w:t>
      </w:r>
      <w:proofErr w:type="spellEnd"/>
      <w:r w:rsidRPr="00D421C5">
        <w:rPr>
          <w:sz w:val="24"/>
          <w:szCs w:val="24"/>
        </w:rPr>
        <w:t xml:space="preserve"> gruppe: </w:t>
      </w:r>
      <w:proofErr w:type="spellStart"/>
      <w:r w:rsidRPr="00D421C5">
        <w:rPr>
          <w:sz w:val="24"/>
          <w:szCs w:val="24"/>
        </w:rPr>
        <w:t>Anthelmintika</w:t>
      </w:r>
      <w:proofErr w:type="spellEnd"/>
      <w:r w:rsidRPr="00D421C5">
        <w:rPr>
          <w:sz w:val="24"/>
          <w:szCs w:val="24"/>
        </w:rPr>
        <w:t xml:space="preserve">, </w:t>
      </w:r>
      <w:proofErr w:type="spellStart"/>
      <w:r w:rsidRPr="00D421C5">
        <w:rPr>
          <w:sz w:val="24"/>
          <w:szCs w:val="24"/>
        </w:rPr>
        <w:t>benzimidazolderivater</w:t>
      </w:r>
      <w:proofErr w:type="spellEnd"/>
      <w:r w:rsidRPr="00D421C5">
        <w:rPr>
          <w:sz w:val="24"/>
          <w:szCs w:val="24"/>
        </w:rPr>
        <w:t xml:space="preserve"> - </w:t>
      </w:r>
      <w:proofErr w:type="spellStart"/>
      <w:r w:rsidRPr="00D421C5">
        <w:rPr>
          <w:sz w:val="24"/>
          <w:szCs w:val="24"/>
        </w:rPr>
        <w:t>fenbendazol</w:t>
      </w:r>
      <w:proofErr w:type="spellEnd"/>
      <w:r w:rsidRPr="00D421C5">
        <w:rPr>
          <w:sz w:val="24"/>
          <w:szCs w:val="24"/>
        </w:rPr>
        <w:t>.</w:t>
      </w:r>
    </w:p>
    <w:p w:rsidR="00883550" w:rsidRPr="00D421C5" w:rsidRDefault="00883550" w:rsidP="00883550">
      <w:pPr>
        <w:ind w:left="851"/>
        <w:rPr>
          <w:sz w:val="24"/>
          <w:szCs w:val="24"/>
        </w:rPr>
      </w:pPr>
      <w:proofErr w:type="spellStart"/>
      <w:r w:rsidRPr="00D421C5">
        <w:rPr>
          <w:sz w:val="24"/>
          <w:szCs w:val="24"/>
        </w:rPr>
        <w:t>ATCvet</w:t>
      </w:r>
      <w:proofErr w:type="spellEnd"/>
      <w:r w:rsidRPr="00D421C5">
        <w:rPr>
          <w:sz w:val="24"/>
          <w:szCs w:val="24"/>
        </w:rPr>
        <w:t>-kode: QP</w:t>
      </w:r>
      <w:r>
        <w:rPr>
          <w:sz w:val="24"/>
          <w:szCs w:val="24"/>
        </w:rPr>
        <w:t xml:space="preserve"> </w:t>
      </w:r>
      <w:r w:rsidRPr="00D421C5">
        <w:rPr>
          <w:sz w:val="24"/>
          <w:szCs w:val="24"/>
        </w:rPr>
        <w:t>52</w:t>
      </w:r>
      <w:r>
        <w:rPr>
          <w:sz w:val="24"/>
          <w:szCs w:val="24"/>
        </w:rPr>
        <w:t xml:space="preserve"> </w:t>
      </w:r>
      <w:r w:rsidRPr="00D421C5">
        <w:rPr>
          <w:sz w:val="24"/>
          <w:szCs w:val="24"/>
        </w:rPr>
        <w:t>AC</w:t>
      </w:r>
      <w:r>
        <w:rPr>
          <w:sz w:val="24"/>
          <w:szCs w:val="24"/>
        </w:rPr>
        <w:t xml:space="preserve"> </w:t>
      </w:r>
      <w:r w:rsidRPr="00D421C5">
        <w:rPr>
          <w:sz w:val="24"/>
          <w:szCs w:val="24"/>
        </w:rPr>
        <w:t>13.</w:t>
      </w:r>
    </w:p>
    <w:p w:rsidR="00883550" w:rsidRPr="00D421C5" w:rsidRDefault="00883550" w:rsidP="00883550">
      <w:pPr>
        <w:ind w:left="851" w:hanging="851"/>
        <w:rPr>
          <w:sz w:val="24"/>
          <w:szCs w:val="24"/>
        </w:rPr>
      </w:pPr>
    </w:p>
    <w:p w:rsidR="00883550" w:rsidRPr="00D421C5" w:rsidRDefault="00883550" w:rsidP="00883550">
      <w:pPr>
        <w:ind w:left="851" w:hanging="851"/>
        <w:rPr>
          <w:b/>
          <w:sz w:val="24"/>
          <w:szCs w:val="24"/>
        </w:rPr>
      </w:pPr>
      <w:r w:rsidRPr="00D421C5">
        <w:rPr>
          <w:b/>
          <w:sz w:val="24"/>
          <w:szCs w:val="24"/>
        </w:rPr>
        <w:t>5.1</w:t>
      </w:r>
      <w:r w:rsidRPr="00D421C5">
        <w:rPr>
          <w:b/>
          <w:sz w:val="24"/>
          <w:szCs w:val="24"/>
        </w:rPr>
        <w:tab/>
      </w:r>
      <w:proofErr w:type="spellStart"/>
      <w:r w:rsidRPr="00D421C5">
        <w:rPr>
          <w:b/>
          <w:sz w:val="24"/>
          <w:szCs w:val="24"/>
        </w:rPr>
        <w:t>Farmakodynamiske</w:t>
      </w:r>
      <w:proofErr w:type="spellEnd"/>
      <w:r w:rsidRPr="00D421C5">
        <w:rPr>
          <w:b/>
          <w:sz w:val="24"/>
          <w:szCs w:val="24"/>
        </w:rPr>
        <w:t xml:space="preserve"> egenskaber</w:t>
      </w:r>
    </w:p>
    <w:p w:rsidR="00883550" w:rsidRPr="00D421C5" w:rsidRDefault="009D15CA" w:rsidP="00883550">
      <w:pPr>
        <w:ind w:left="851"/>
        <w:rPr>
          <w:sz w:val="24"/>
          <w:szCs w:val="24"/>
          <w:lang w:eastAsia="da-DK"/>
        </w:rPr>
      </w:pPr>
      <w:proofErr w:type="spellStart"/>
      <w:r w:rsidRPr="009D15CA">
        <w:rPr>
          <w:sz w:val="24"/>
          <w:szCs w:val="24"/>
          <w:lang w:eastAsia="da-DK"/>
        </w:rPr>
        <w:t>Fenbendazol</w:t>
      </w:r>
      <w:proofErr w:type="spellEnd"/>
      <w:r w:rsidRPr="009D15CA">
        <w:rPr>
          <w:sz w:val="24"/>
          <w:szCs w:val="24"/>
          <w:lang w:eastAsia="da-DK"/>
        </w:rPr>
        <w:t xml:space="preserve"> er et bredspektret </w:t>
      </w:r>
      <w:proofErr w:type="spellStart"/>
      <w:r w:rsidRPr="009D15CA">
        <w:rPr>
          <w:sz w:val="24"/>
          <w:szCs w:val="24"/>
          <w:lang w:eastAsia="da-DK"/>
        </w:rPr>
        <w:t>anthelmintikum</w:t>
      </w:r>
      <w:proofErr w:type="spellEnd"/>
      <w:r w:rsidRPr="009D15CA">
        <w:rPr>
          <w:sz w:val="24"/>
          <w:szCs w:val="24"/>
          <w:lang w:eastAsia="da-DK"/>
        </w:rPr>
        <w:t xml:space="preserve"> (ormemiddel) fra </w:t>
      </w:r>
      <w:proofErr w:type="spellStart"/>
      <w:r w:rsidRPr="009D15CA">
        <w:rPr>
          <w:sz w:val="24"/>
          <w:szCs w:val="24"/>
          <w:lang w:eastAsia="da-DK"/>
        </w:rPr>
        <w:t>benzimidazol</w:t>
      </w:r>
      <w:proofErr w:type="spellEnd"/>
      <w:r w:rsidRPr="009D15CA">
        <w:rPr>
          <w:sz w:val="24"/>
          <w:szCs w:val="24"/>
          <w:lang w:eastAsia="da-DK"/>
        </w:rPr>
        <w:t>-</w:t>
      </w:r>
      <w:proofErr w:type="spellStart"/>
      <w:r w:rsidRPr="009D15CA">
        <w:rPr>
          <w:sz w:val="24"/>
          <w:szCs w:val="24"/>
          <w:lang w:eastAsia="da-DK"/>
        </w:rPr>
        <w:t>carbamat</w:t>
      </w:r>
      <w:proofErr w:type="spellEnd"/>
      <w:r w:rsidRPr="009D15CA">
        <w:rPr>
          <w:sz w:val="24"/>
          <w:szCs w:val="24"/>
          <w:lang w:eastAsia="da-DK"/>
        </w:rPr>
        <w:t xml:space="preserve">-gruppen. </w:t>
      </w:r>
      <w:proofErr w:type="spellStart"/>
      <w:r w:rsidRPr="009D15CA">
        <w:rPr>
          <w:sz w:val="24"/>
          <w:szCs w:val="24"/>
          <w:lang w:eastAsia="da-DK"/>
        </w:rPr>
        <w:t>Benzimidazol</w:t>
      </w:r>
      <w:proofErr w:type="spellEnd"/>
      <w:r w:rsidRPr="009D15CA">
        <w:rPr>
          <w:sz w:val="24"/>
          <w:szCs w:val="24"/>
          <w:lang w:eastAsia="da-DK"/>
        </w:rPr>
        <w:t xml:space="preserve"> binder sig til </w:t>
      </w:r>
      <w:proofErr w:type="spellStart"/>
      <w:r w:rsidRPr="009D15CA">
        <w:rPr>
          <w:sz w:val="24"/>
          <w:szCs w:val="24"/>
          <w:lang w:eastAsia="da-DK"/>
        </w:rPr>
        <w:t>tubulin</w:t>
      </w:r>
      <w:proofErr w:type="spellEnd"/>
      <w:r w:rsidRPr="009D15CA">
        <w:rPr>
          <w:sz w:val="24"/>
          <w:szCs w:val="24"/>
          <w:lang w:eastAsia="da-DK"/>
        </w:rPr>
        <w:t xml:space="preserve">, et protein nødvendigt for dannelse og funktionsdygtighed af </w:t>
      </w:r>
      <w:proofErr w:type="spellStart"/>
      <w:r w:rsidRPr="009D15CA">
        <w:rPr>
          <w:sz w:val="24"/>
          <w:szCs w:val="24"/>
          <w:lang w:eastAsia="da-DK"/>
        </w:rPr>
        <w:t>mikrotubuli</w:t>
      </w:r>
      <w:proofErr w:type="spellEnd"/>
      <w:r w:rsidRPr="009D15CA">
        <w:rPr>
          <w:sz w:val="24"/>
          <w:szCs w:val="24"/>
          <w:lang w:eastAsia="da-DK"/>
        </w:rPr>
        <w:t xml:space="preserve"> hos rundorm. Bindingen foregår primært i rundormens absorberende tarmceller og resulterer i et komplet fravær af </w:t>
      </w:r>
      <w:proofErr w:type="spellStart"/>
      <w:r w:rsidRPr="009D15CA">
        <w:rPr>
          <w:sz w:val="24"/>
          <w:szCs w:val="24"/>
          <w:lang w:eastAsia="da-DK"/>
        </w:rPr>
        <w:t>mikrotubuli</w:t>
      </w:r>
      <w:proofErr w:type="spellEnd"/>
      <w:r w:rsidRPr="009D15CA">
        <w:rPr>
          <w:sz w:val="24"/>
          <w:szCs w:val="24"/>
          <w:lang w:eastAsia="da-DK"/>
        </w:rPr>
        <w:t xml:space="preserve"> i disse tarmceller. Denne binding gør, at disse celler ikke kan optage næringsstoffer, hvilket leder til reduktion i glykogen og dermed udsultning af parasitten. Der er påvist strukturelle forskelle mellem </w:t>
      </w:r>
      <w:proofErr w:type="spellStart"/>
      <w:r w:rsidRPr="009D15CA">
        <w:rPr>
          <w:sz w:val="24"/>
          <w:szCs w:val="24"/>
          <w:lang w:eastAsia="da-DK"/>
        </w:rPr>
        <w:t>tubulin</w:t>
      </w:r>
      <w:proofErr w:type="spellEnd"/>
      <w:r w:rsidRPr="009D15CA">
        <w:rPr>
          <w:sz w:val="24"/>
          <w:szCs w:val="24"/>
          <w:lang w:eastAsia="da-DK"/>
        </w:rPr>
        <w:t xml:space="preserve"> fra hhv. pattedyr og orm, som bevirker, at </w:t>
      </w:r>
      <w:proofErr w:type="spellStart"/>
      <w:r w:rsidRPr="009D15CA">
        <w:rPr>
          <w:sz w:val="24"/>
          <w:szCs w:val="24"/>
          <w:lang w:eastAsia="da-DK"/>
        </w:rPr>
        <w:t>fenbendazol</w:t>
      </w:r>
      <w:proofErr w:type="spellEnd"/>
      <w:r w:rsidRPr="009D15CA">
        <w:rPr>
          <w:sz w:val="24"/>
          <w:szCs w:val="24"/>
          <w:lang w:eastAsia="da-DK"/>
        </w:rPr>
        <w:t xml:space="preserve"> fortrinsvist er toksisk for ormen og ikke dens vært. </w:t>
      </w:r>
      <w:proofErr w:type="spellStart"/>
      <w:r w:rsidRPr="009D15CA">
        <w:rPr>
          <w:sz w:val="24"/>
          <w:szCs w:val="24"/>
          <w:lang w:eastAsia="da-DK"/>
        </w:rPr>
        <w:t>Fenbendazol</w:t>
      </w:r>
      <w:proofErr w:type="spellEnd"/>
      <w:r w:rsidRPr="009D15CA">
        <w:rPr>
          <w:sz w:val="24"/>
          <w:szCs w:val="24"/>
          <w:lang w:eastAsia="da-DK"/>
        </w:rPr>
        <w:t xml:space="preserve"> kan også hæmme energiproduktion hos orm ved at hæmme både glukoseoptag og nedbrydning af </w:t>
      </w:r>
      <w:proofErr w:type="spellStart"/>
      <w:r w:rsidRPr="009D15CA">
        <w:rPr>
          <w:sz w:val="24"/>
          <w:szCs w:val="24"/>
          <w:lang w:eastAsia="da-DK"/>
        </w:rPr>
        <w:t>glycogen</w:t>
      </w:r>
      <w:proofErr w:type="spellEnd"/>
      <w:r w:rsidRPr="009D15CA">
        <w:rPr>
          <w:sz w:val="24"/>
          <w:szCs w:val="24"/>
          <w:lang w:eastAsia="da-DK"/>
        </w:rPr>
        <w:t>.</w:t>
      </w:r>
    </w:p>
    <w:p w:rsidR="00883550" w:rsidRPr="00D421C5" w:rsidRDefault="00883550" w:rsidP="00883550">
      <w:pPr>
        <w:ind w:left="851" w:hanging="851"/>
        <w:rPr>
          <w:sz w:val="24"/>
          <w:szCs w:val="24"/>
        </w:rPr>
      </w:pPr>
    </w:p>
    <w:p w:rsidR="00883550" w:rsidRPr="00D421C5" w:rsidRDefault="00883550" w:rsidP="00883550">
      <w:pPr>
        <w:ind w:left="851" w:hanging="851"/>
        <w:rPr>
          <w:b/>
          <w:sz w:val="24"/>
          <w:szCs w:val="24"/>
        </w:rPr>
      </w:pPr>
      <w:r w:rsidRPr="00D421C5">
        <w:rPr>
          <w:b/>
          <w:sz w:val="24"/>
          <w:szCs w:val="24"/>
        </w:rPr>
        <w:t>5.2</w:t>
      </w:r>
      <w:r w:rsidRPr="00D421C5">
        <w:rPr>
          <w:b/>
          <w:sz w:val="24"/>
          <w:szCs w:val="24"/>
        </w:rPr>
        <w:tab/>
      </w:r>
      <w:proofErr w:type="spellStart"/>
      <w:r w:rsidRPr="00D421C5">
        <w:rPr>
          <w:b/>
          <w:sz w:val="24"/>
          <w:szCs w:val="24"/>
        </w:rPr>
        <w:t>Farmakokinetiske</w:t>
      </w:r>
      <w:proofErr w:type="spellEnd"/>
      <w:r w:rsidRPr="00D421C5">
        <w:rPr>
          <w:b/>
          <w:sz w:val="24"/>
          <w:szCs w:val="24"/>
        </w:rPr>
        <w:t xml:space="preserve"> egenskaber</w:t>
      </w:r>
    </w:p>
    <w:p w:rsidR="00883550" w:rsidRPr="00D421C5" w:rsidRDefault="00883550" w:rsidP="00883550">
      <w:pPr>
        <w:ind w:left="851"/>
        <w:rPr>
          <w:sz w:val="24"/>
          <w:szCs w:val="24"/>
          <w:lang w:eastAsia="da-DK"/>
        </w:rPr>
      </w:pPr>
      <w:proofErr w:type="spellStart"/>
      <w:r w:rsidRPr="00D421C5">
        <w:rPr>
          <w:sz w:val="24"/>
          <w:szCs w:val="24"/>
        </w:rPr>
        <w:t>Fenbendazol</w:t>
      </w:r>
      <w:proofErr w:type="spellEnd"/>
      <w:r w:rsidRPr="00D421C5">
        <w:rPr>
          <w:sz w:val="24"/>
          <w:szCs w:val="24"/>
        </w:rPr>
        <w:t xml:space="preserve"> har ringe vandopløselighed og absorberes derfor i ringe grad efter oral administration. De vigtigste nedbrydningsprodukter er </w:t>
      </w:r>
      <w:proofErr w:type="spellStart"/>
      <w:r w:rsidRPr="00D421C5">
        <w:rPr>
          <w:sz w:val="24"/>
          <w:szCs w:val="24"/>
        </w:rPr>
        <w:t>oxfendazol</w:t>
      </w:r>
      <w:proofErr w:type="spellEnd"/>
      <w:r w:rsidRPr="00D421C5">
        <w:rPr>
          <w:sz w:val="24"/>
          <w:szCs w:val="24"/>
        </w:rPr>
        <w:t xml:space="preserve"> (</w:t>
      </w:r>
      <w:proofErr w:type="spellStart"/>
      <w:r w:rsidRPr="00D421C5">
        <w:rPr>
          <w:sz w:val="24"/>
          <w:szCs w:val="24"/>
        </w:rPr>
        <w:t>fenbendazolsulfoxid</w:t>
      </w:r>
      <w:proofErr w:type="spellEnd"/>
      <w:r w:rsidRPr="00D421C5">
        <w:rPr>
          <w:sz w:val="24"/>
          <w:szCs w:val="24"/>
        </w:rPr>
        <w:t xml:space="preserve">) og </w:t>
      </w:r>
      <w:proofErr w:type="spellStart"/>
      <w:r w:rsidRPr="00D421C5">
        <w:rPr>
          <w:sz w:val="24"/>
          <w:szCs w:val="24"/>
        </w:rPr>
        <w:t>fenbendazolsulfon</w:t>
      </w:r>
      <w:proofErr w:type="spellEnd"/>
      <w:r w:rsidRPr="00D421C5">
        <w:rPr>
          <w:sz w:val="24"/>
          <w:szCs w:val="24"/>
        </w:rPr>
        <w:t>.</w:t>
      </w:r>
    </w:p>
    <w:p w:rsidR="00883550" w:rsidRPr="00D421C5" w:rsidRDefault="00883550" w:rsidP="00883550">
      <w:pPr>
        <w:ind w:left="851" w:hanging="851"/>
        <w:rPr>
          <w:sz w:val="24"/>
          <w:szCs w:val="24"/>
        </w:rPr>
      </w:pPr>
    </w:p>
    <w:p w:rsidR="00883550" w:rsidRPr="00263D91" w:rsidRDefault="00883550" w:rsidP="00883550">
      <w:pPr>
        <w:ind w:left="851" w:hanging="851"/>
        <w:rPr>
          <w:b/>
          <w:sz w:val="24"/>
          <w:szCs w:val="24"/>
        </w:rPr>
      </w:pPr>
      <w:r w:rsidRPr="00D421C5">
        <w:rPr>
          <w:b/>
          <w:sz w:val="24"/>
          <w:szCs w:val="24"/>
        </w:rPr>
        <w:t>5.3</w:t>
      </w:r>
      <w:r w:rsidRPr="00D421C5">
        <w:rPr>
          <w:b/>
          <w:sz w:val="24"/>
          <w:szCs w:val="24"/>
        </w:rPr>
        <w:tab/>
        <w:t>Miljømæssige forhold</w:t>
      </w:r>
    </w:p>
    <w:p w:rsidR="00883550" w:rsidRPr="00263D91" w:rsidRDefault="00883550" w:rsidP="00883550">
      <w:pPr>
        <w:ind w:left="851"/>
        <w:rPr>
          <w:sz w:val="24"/>
          <w:szCs w:val="24"/>
        </w:rPr>
      </w:pPr>
      <w:r w:rsidRPr="00263D91">
        <w:rPr>
          <w:sz w:val="24"/>
          <w:szCs w:val="24"/>
        </w:rPr>
        <w:t>-</w:t>
      </w:r>
    </w:p>
    <w:p w:rsidR="00883550" w:rsidRPr="00263D91" w:rsidRDefault="00883550" w:rsidP="00883550">
      <w:pPr>
        <w:ind w:left="851" w:hanging="851"/>
        <w:rPr>
          <w:sz w:val="24"/>
          <w:szCs w:val="24"/>
        </w:rPr>
      </w:pP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w:t>
      </w:r>
      <w:r w:rsidRPr="00263D91">
        <w:rPr>
          <w:b/>
          <w:sz w:val="24"/>
          <w:szCs w:val="24"/>
        </w:rPr>
        <w:tab/>
        <w:t>FARMACEUTISKE OPLYSNINGER</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6.1</w:t>
      </w:r>
      <w:r w:rsidRPr="00263D91">
        <w:rPr>
          <w:b/>
          <w:sz w:val="24"/>
          <w:szCs w:val="24"/>
        </w:rPr>
        <w:tab/>
        <w:t>Hjælpestoffer</w:t>
      </w:r>
    </w:p>
    <w:p w:rsidR="00883550" w:rsidRPr="00263D91" w:rsidRDefault="00883550" w:rsidP="00883550">
      <w:pPr>
        <w:ind w:left="851"/>
        <w:rPr>
          <w:sz w:val="24"/>
          <w:szCs w:val="24"/>
          <w:lang w:eastAsia="da-DK"/>
        </w:rPr>
      </w:pPr>
      <w:proofErr w:type="spellStart"/>
      <w:r w:rsidRPr="00263D91">
        <w:rPr>
          <w:sz w:val="24"/>
          <w:szCs w:val="24"/>
        </w:rPr>
        <w:t>Glucosemonohydrat</w:t>
      </w:r>
      <w:proofErr w:type="spellEnd"/>
      <w:r w:rsidRPr="00263D91">
        <w:rPr>
          <w:sz w:val="24"/>
          <w:szCs w:val="24"/>
        </w:rPr>
        <w:t xml:space="preserve"> </w:t>
      </w:r>
    </w:p>
    <w:p w:rsidR="008F2D01" w:rsidRPr="008F2D01" w:rsidRDefault="008F2D01" w:rsidP="008F2D01">
      <w:pPr>
        <w:tabs>
          <w:tab w:val="left" w:pos="851"/>
        </w:tabs>
        <w:rPr>
          <w:rFonts w:asciiTheme="majorBidi" w:hAnsiTheme="majorBidi" w:cstheme="majorBidi"/>
          <w:sz w:val="24"/>
          <w:szCs w:val="24"/>
        </w:rPr>
      </w:pPr>
      <w:r>
        <w:rPr>
          <w:rFonts w:asciiTheme="majorBidi" w:hAnsiTheme="majorBidi" w:cstheme="majorBidi"/>
          <w:szCs w:val="22"/>
        </w:rPr>
        <w:tab/>
      </w:r>
      <w:proofErr w:type="spellStart"/>
      <w:r w:rsidRPr="008F2D01">
        <w:rPr>
          <w:rFonts w:asciiTheme="majorBidi" w:hAnsiTheme="majorBidi" w:cstheme="majorBidi"/>
          <w:sz w:val="24"/>
          <w:szCs w:val="24"/>
        </w:rPr>
        <w:t>Silica</w:t>
      </w:r>
      <w:proofErr w:type="spellEnd"/>
      <w:r w:rsidRPr="008F2D01">
        <w:rPr>
          <w:rFonts w:asciiTheme="majorBidi" w:hAnsiTheme="majorBidi" w:cstheme="majorBidi"/>
          <w:sz w:val="24"/>
          <w:szCs w:val="24"/>
        </w:rPr>
        <w:t xml:space="preserve">, kolloid vandfri </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6.2</w:t>
      </w:r>
      <w:r w:rsidRPr="00263D91">
        <w:rPr>
          <w:b/>
          <w:sz w:val="24"/>
          <w:szCs w:val="24"/>
        </w:rPr>
        <w:tab/>
        <w:t>Uforligeligheder</w:t>
      </w:r>
    </w:p>
    <w:p w:rsidR="00883550" w:rsidRPr="00263D91" w:rsidRDefault="00883550" w:rsidP="00883550">
      <w:pPr>
        <w:ind w:left="851"/>
        <w:rPr>
          <w:sz w:val="24"/>
          <w:szCs w:val="24"/>
          <w:lang w:eastAsia="da-DK"/>
        </w:rPr>
      </w:pPr>
      <w:r w:rsidRPr="00263D91">
        <w:rPr>
          <w:sz w:val="24"/>
          <w:szCs w:val="24"/>
        </w:rPr>
        <w:t>Da der ikke foreligger undersøgelser vedrørende eventuelle uforligeligheder, bør dette lægemiddel ikke blandes med andre lægemidler.</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6.3</w:t>
      </w:r>
      <w:r w:rsidRPr="00263D91">
        <w:rPr>
          <w:b/>
          <w:sz w:val="24"/>
          <w:szCs w:val="24"/>
        </w:rPr>
        <w:tab/>
        <w:t>Opbevaringstid</w:t>
      </w:r>
    </w:p>
    <w:p w:rsidR="00883550" w:rsidRPr="00263D91" w:rsidRDefault="00883550" w:rsidP="00883550">
      <w:pPr>
        <w:ind w:left="851"/>
        <w:rPr>
          <w:sz w:val="24"/>
          <w:szCs w:val="24"/>
          <w:lang w:eastAsia="da-DK"/>
        </w:rPr>
      </w:pPr>
      <w:r w:rsidRPr="00263D91">
        <w:rPr>
          <w:sz w:val="24"/>
          <w:szCs w:val="24"/>
        </w:rPr>
        <w:t>I salgspakning: 3 år</w:t>
      </w:r>
    </w:p>
    <w:p w:rsidR="00883550" w:rsidRPr="00263D91" w:rsidRDefault="00883550" w:rsidP="00883550">
      <w:pPr>
        <w:ind w:left="851"/>
        <w:rPr>
          <w:sz w:val="24"/>
          <w:szCs w:val="24"/>
        </w:rPr>
      </w:pPr>
      <w:r w:rsidRPr="00263D91">
        <w:rPr>
          <w:sz w:val="24"/>
          <w:szCs w:val="24"/>
        </w:rPr>
        <w:t>Efter første åbning af den indre emballage: 28 dage</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6.4</w:t>
      </w:r>
      <w:r w:rsidRPr="00263D91">
        <w:rPr>
          <w:b/>
          <w:sz w:val="24"/>
          <w:szCs w:val="24"/>
        </w:rPr>
        <w:tab/>
        <w:t>Særlige opbevaringsforhold</w:t>
      </w:r>
    </w:p>
    <w:p w:rsidR="00883550" w:rsidRPr="00263D91" w:rsidRDefault="00883550" w:rsidP="00883550">
      <w:pPr>
        <w:ind w:left="851"/>
        <w:rPr>
          <w:sz w:val="24"/>
          <w:szCs w:val="24"/>
          <w:lang w:eastAsia="da-DK"/>
        </w:rPr>
      </w:pPr>
      <w:r w:rsidRPr="00263D91">
        <w:rPr>
          <w:sz w:val="24"/>
          <w:szCs w:val="24"/>
        </w:rPr>
        <w:t>Opbevares tørt.</w:t>
      </w:r>
    </w:p>
    <w:p w:rsidR="00883550" w:rsidRPr="00263D91" w:rsidRDefault="00883550" w:rsidP="00883550">
      <w:pPr>
        <w:ind w:left="851"/>
        <w:rPr>
          <w:sz w:val="24"/>
          <w:szCs w:val="24"/>
        </w:rPr>
      </w:pPr>
      <w:r w:rsidRPr="00263D91">
        <w:rPr>
          <w:sz w:val="24"/>
          <w:szCs w:val="24"/>
        </w:rPr>
        <w:t>Opbevares i den originale beholder for at beskytte mod lys.</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6.5</w:t>
      </w:r>
      <w:r w:rsidRPr="00263D91">
        <w:rPr>
          <w:b/>
          <w:sz w:val="24"/>
          <w:szCs w:val="24"/>
        </w:rPr>
        <w:tab/>
        <w:t>Emballage</w:t>
      </w:r>
    </w:p>
    <w:p w:rsidR="00883550" w:rsidRPr="00263D91" w:rsidRDefault="00883550" w:rsidP="00883550">
      <w:pPr>
        <w:ind w:left="851"/>
        <w:rPr>
          <w:sz w:val="24"/>
          <w:szCs w:val="24"/>
          <w:lang w:eastAsia="da-DK"/>
        </w:rPr>
      </w:pPr>
      <w:r w:rsidRPr="00263D91">
        <w:rPr>
          <w:sz w:val="24"/>
          <w:szCs w:val="24"/>
        </w:rPr>
        <w:t xml:space="preserve">Pose af klar </w:t>
      </w:r>
      <w:proofErr w:type="spellStart"/>
      <w:r w:rsidRPr="00263D91">
        <w:rPr>
          <w:sz w:val="24"/>
          <w:szCs w:val="24"/>
        </w:rPr>
        <w:t>lavdensitetspolyethylen</w:t>
      </w:r>
      <w:proofErr w:type="spellEnd"/>
      <w:r w:rsidRPr="00263D91">
        <w:rPr>
          <w:sz w:val="24"/>
          <w:szCs w:val="24"/>
        </w:rPr>
        <w:t xml:space="preserve"> (LDPE) lamineret med metalliseret polyester indeholdende 200 g og 1 kg. </w:t>
      </w:r>
    </w:p>
    <w:p w:rsidR="00883550" w:rsidRPr="00263D91" w:rsidRDefault="00883550" w:rsidP="00883550">
      <w:pPr>
        <w:ind w:left="851"/>
        <w:rPr>
          <w:sz w:val="24"/>
          <w:szCs w:val="24"/>
        </w:rPr>
      </w:pPr>
      <w:r w:rsidRPr="00263D91">
        <w:rPr>
          <w:sz w:val="24"/>
          <w:szCs w:val="24"/>
        </w:rPr>
        <w:t xml:space="preserve">Pose af klar </w:t>
      </w:r>
      <w:proofErr w:type="spellStart"/>
      <w:r w:rsidRPr="00263D91">
        <w:rPr>
          <w:sz w:val="24"/>
          <w:szCs w:val="24"/>
        </w:rPr>
        <w:t>lavdensitetspolyethylen</w:t>
      </w:r>
      <w:proofErr w:type="spellEnd"/>
      <w:r w:rsidRPr="00263D91">
        <w:rPr>
          <w:sz w:val="24"/>
          <w:szCs w:val="24"/>
        </w:rPr>
        <w:t xml:space="preserve"> (LDPE) indeholdende 1 kg.</w:t>
      </w:r>
    </w:p>
    <w:p w:rsidR="00883550" w:rsidRPr="00263D91" w:rsidRDefault="00883550" w:rsidP="00883550">
      <w:pPr>
        <w:ind w:left="851" w:hanging="851"/>
        <w:rPr>
          <w:sz w:val="24"/>
          <w:szCs w:val="24"/>
        </w:rPr>
      </w:pPr>
    </w:p>
    <w:p w:rsidR="008F2D01" w:rsidRDefault="008F2D01">
      <w:pPr>
        <w:rPr>
          <w:rFonts w:asciiTheme="majorBidi" w:hAnsiTheme="majorBidi" w:cstheme="majorBidi"/>
          <w:sz w:val="24"/>
          <w:szCs w:val="24"/>
        </w:rPr>
      </w:pPr>
      <w:r>
        <w:rPr>
          <w:rFonts w:asciiTheme="majorBidi" w:hAnsiTheme="majorBidi" w:cstheme="majorBidi"/>
          <w:sz w:val="24"/>
          <w:szCs w:val="24"/>
        </w:rPr>
        <w:br w:type="page"/>
      </w:r>
    </w:p>
    <w:p w:rsidR="008F2D01" w:rsidRDefault="008F2D01" w:rsidP="00883550">
      <w:pPr>
        <w:ind w:left="851"/>
        <w:rPr>
          <w:sz w:val="24"/>
          <w:szCs w:val="24"/>
        </w:rPr>
      </w:pPr>
      <w:r w:rsidRPr="008F2D01">
        <w:rPr>
          <w:rFonts w:asciiTheme="majorBidi" w:hAnsiTheme="majorBidi" w:cstheme="majorBidi"/>
          <w:sz w:val="24"/>
          <w:szCs w:val="24"/>
        </w:rPr>
        <w:lastRenderedPageBreak/>
        <w:t>Pakningstørrelser</w:t>
      </w:r>
      <w:r>
        <w:rPr>
          <w:sz w:val="24"/>
          <w:szCs w:val="24"/>
        </w:rPr>
        <w:t>:</w:t>
      </w:r>
    </w:p>
    <w:p w:rsidR="00883550" w:rsidRPr="00263D91" w:rsidRDefault="00883550" w:rsidP="00883550">
      <w:pPr>
        <w:ind w:left="851"/>
        <w:rPr>
          <w:spacing w:val="1"/>
          <w:sz w:val="24"/>
          <w:szCs w:val="24"/>
        </w:rPr>
      </w:pPr>
      <w:r w:rsidRPr="00263D91">
        <w:rPr>
          <w:sz w:val="24"/>
          <w:szCs w:val="24"/>
        </w:rPr>
        <w:t>Kartonæske indeholdende 5 x 200 g i LDPE-laminerede poser</w:t>
      </w:r>
    </w:p>
    <w:p w:rsidR="00883550" w:rsidRPr="00263D91" w:rsidRDefault="00883550" w:rsidP="00883550">
      <w:pPr>
        <w:ind w:left="851"/>
        <w:rPr>
          <w:spacing w:val="1"/>
          <w:sz w:val="24"/>
          <w:szCs w:val="24"/>
        </w:rPr>
      </w:pPr>
      <w:r w:rsidRPr="00263D91">
        <w:rPr>
          <w:sz w:val="24"/>
          <w:szCs w:val="24"/>
        </w:rPr>
        <w:t xml:space="preserve">LDPE-lamineret pose indeholdende 1 kg </w:t>
      </w:r>
    </w:p>
    <w:p w:rsidR="00883550" w:rsidRPr="00263D91" w:rsidRDefault="00883550" w:rsidP="00883550">
      <w:pPr>
        <w:ind w:left="851"/>
        <w:rPr>
          <w:spacing w:val="1"/>
          <w:sz w:val="24"/>
          <w:szCs w:val="24"/>
        </w:rPr>
      </w:pPr>
      <w:r w:rsidRPr="00263D91">
        <w:rPr>
          <w:sz w:val="24"/>
          <w:szCs w:val="24"/>
        </w:rPr>
        <w:t>LDPE-pose i en hvid polypropylenbeholder indeholdende 1 kg</w:t>
      </w:r>
    </w:p>
    <w:p w:rsidR="00883550" w:rsidRPr="00263D91" w:rsidRDefault="00883550" w:rsidP="00883550">
      <w:pPr>
        <w:ind w:left="851" w:hanging="851"/>
        <w:rPr>
          <w:spacing w:val="1"/>
          <w:sz w:val="24"/>
          <w:szCs w:val="24"/>
        </w:rPr>
      </w:pPr>
    </w:p>
    <w:p w:rsidR="00883550" w:rsidRPr="00263D91" w:rsidRDefault="00883550" w:rsidP="00883550">
      <w:pPr>
        <w:ind w:left="851"/>
        <w:rPr>
          <w:spacing w:val="1"/>
          <w:sz w:val="24"/>
          <w:szCs w:val="24"/>
        </w:rPr>
      </w:pPr>
      <w:r w:rsidRPr="00263D91">
        <w:rPr>
          <w:sz w:val="24"/>
          <w:szCs w:val="24"/>
        </w:rPr>
        <w:t xml:space="preserve">Ikke alle pakningsstørrelser er nødvendigvis markedsført. </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6.6</w:t>
      </w:r>
      <w:r w:rsidRPr="00263D91">
        <w:rPr>
          <w:b/>
          <w:sz w:val="24"/>
          <w:szCs w:val="24"/>
        </w:rPr>
        <w:tab/>
        <w:t>Særlige forholdsregler ved bortskaffelse af rester af lægemidlet eller affald</w:t>
      </w:r>
    </w:p>
    <w:p w:rsidR="00883550" w:rsidRPr="00263D91" w:rsidRDefault="00883550" w:rsidP="00883550">
      <w:pPr>
        <w:ind w:left="851"/>
        <w:rPr>
          <w:sz w:val="24"/>
          <w:szCs w:val="24"/>
          <w:lang w:eastAsia="da-DK"/>
        </w:rPr>
      </w:pPr>
      <w:r w:rsidRPr="00263D91">
        <w:rPr>
          <w:sz w:val="24"/>
          <w:szCs w:val="24"/>
        </w:rPr>
        <w:t xml:space="preserve">Ikke anvendte veterinærlægemidler samt affald heraf bør destrueres i henhold til lokale retningslinjer. </w:t>
      </w:r>
      <w:proofErr w:type="spellStart"/>
      <w:r w:rsidRPr="00263D91">
        <w:rPr>
          <w:sz w:val="24"/>
          <w:szCs w:val="24"/>
        </w:rPr>
        <w:t>Curofen</w:t>
      </w:r>
      <w:proofErr w:type="spellEnd"/>
      <w:r w:rsidRPr="00263D91">
        <w:rPr>
          <w:sz w:val="24"/>
          <w:szCs w:val="24"/>
        </w:rPr>
        <w:t xml:space="preserve"> må ikke udledes i vandløb, da dette kan være farligt for fisk og andre organismer i vandet.</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7.</w:t>
      </w:r>
      <w:r w:rsidRPr="00263D91">
        <w:rPr>
          <w:b/>
          <w:sz w:val="24"/>
          <w:szCs w:val="24"/>
        </w:rPr>
        <w:tab/>
        <w:t>INDEHAVER AF MARKEDSFØRINGSTILLADELSEN</w:t>
      </w:r>
    </w:p>
    <w:p w:rsidR="00883550" w:rsidRPr="00263D91" w:rsidRDefault="00883550" w:rsidP="00883550">
      <w:pPr>
        <w:ind w:left="851"/>
        <w:rPr>
          <w:sz w:val="24"/>
          <w:szCs w:val="24"/>
          <w:lang w:eastAsia="da-DK"/>
        </w:rPr>
      </w:pPr>
      <w:proofErr w:type="spellStart"/>
      <w:r w:rsidRPr="00263D91">
        <w:rPr>
          <w:sz w:val="24"/>
          <w:szCs w:val="24"/>
        </w:rPr>
        <w:t>Univet</w:t>
      </w:r>
      <w:proofErr w:type="spellEnd"/>
      <w:r w:rsidRPr="00263D91">
        <w:rPr>
          <w:sz w:val="24"/>
          <w:szCs w:val="24"/>
        </w:rPr>
        <w:t xml:space="preserve"> Ltd. </w:t>
      </w:r>
    </w:p>
    <w:p w:rsidR="00883550" w:rsidRPr="00263D91" w:rsidRDefault="00883550" w:rsidP="00883550">
      <w:pPr>
        <w:ind w:left="851"/>
        <w:rPr>
          <w:sz w:val="24"/>
          <w:szCs w:val="24"/>
          <w:lang w:val="en-US"/>
        </w:rPr>
      </w:pPr>
      <w:proofErr w:type="spellStart"/>
      <w:r w:rsidRPr="00263D91">
        <w:rPr>
          <w:sz w:val="24"/>
          <w:szCs w:val="24"/>
          <w:lang w:val="en-US"/>
        </w:rPr>
        <w:t>Tullyvin</w:t>
      </w:r>
      <w:proofErr w:type="spellEnd"/>
      <w:r w:rsidRPr="00263D91">
        <w:rPr>
          <w:sz w:val="24"/>
          <w:szCs w:val="24"/>
          <w:lang w:val="en-US"/>
        </w:rPr>
        <w:t xml:space="preserve"> </w:t>
      </w:r>
    </w:p>
    <w:p w:rsidR="00883550" w:rsidRPr="00263D91" w:rsidRDefault="00883550" w:rsidP="00883550">
      <w:pPr>
        <w:ind w:left="851"/>
        <w:rPr>
          <w:sz w:val="24"/>
          <w:szCs w:val="24"/>
          <w:lang w:val="en-US"/>
        </w:rPr>
      </w:pPr>
      <w:proofErr w:type="spellStart"/>
      <w:r w:rsidRPr="00263D91">
        <w:rPr>
          <w:sz w:val="24"/>
          <w:szCs w:val="24"/>
          <w:lang w:val="en-US"/>
        </w:rPr>
        <w:t>Cootehill</w:t>
      </w:r>
      <w:proofErr w:type="spellEnd"/>
      <w:r w:rsidRPr="00263D91">
        <w:rPr>
          <w:sz w:val="24"/>
          <w:szCs w:val="24"/>
          <w:lang w:val="en-US"/>
        </w:rPr>
        <w:t xml:space="preserve"> </w:t>
      </w:r>
    </w:p>
    <w:p w:rsidR="00883550" w:rsidRPr="00263D91" w:rsidRDefault="00883550" w:rsidP="00883550">
      <w:pPr>
        <w:ind w:left="851"/>
        <w:rPr>
          <w:sz w:val="24"/>
          <w:szCs w:val="24"/>
          <w:lang w:val="en-US"/>
        </w:rPr>
      </w:pPr>
      <w:r w:rsidRPr="00263D91">
        <w:rPr>
          <w:sz w:val="24"/>
          <w:szCs w:val="24"/>
          <w:lang w:val="en-US"/>
        </w:rPr>
        <w:t xml:space="preserve">Co. </w:t>
      </w:r>
      <w:proofErr w:type="spellStart"/>
      <w:r w:rsidRPr="00263D91">
        <w:rPr>
          <w:sz w:val="24"/>
          <w:szCs w:val="24"/>
          <w:lang w:val="en-US"/>
        </w:rPr>
        <w:t>Cavan</w:t>
      </w:r>
      <w:proofErr w:type="spellEnd"/>
      <w:r w:rsidRPr="00263D91">
        <w:rPr>
          <w:sz w:val="24"/>
          <w:szCs w:val="24"/>
          <w:lang w:val="en-US"/>
        </w:rPr>
        <w:t xml:space="preserve"> </w:t>
      </w:r>
    </w:p>
    <w:p w:rsidR="00883550" w:rsidRPr="00263D91" w:rsidRDefault="00883550" w:rsidP="00883550">
      <w:pPr>
        <w:ind w:left="851"/>
        <w:rPr>
          <w:sz w:val="24"/>
          <w:szCs w:val="24"/>
          <w:lang w:val="en-US"/>
        </w:rPr>
      </w:pPr>
      <w:proofErr w:type="spellStart"/>
      <w:r w:rsidRPr="00263D91">
        <w:rPr>
          <w:sz w:val="24"/>
          <w:szCs w:val="24"/>
          <w:lang w:val="en-US"/>
        </w:rPr>
        <w:t>Irland</w:t>
      </w:r>
      <w:proofErr w:type="spellEnd"/>
    </w:p>
    <w:p w:rsidR="00883550" w:rsidRPr="00263D91" w:rsidRDefault="00883550" w:rsidP="00883550">
      <w:pPr>
        <w:ind w:left="851" w:hanging="851"/>
        <w:rPr>
          <w:sz w:val="24"/>
          <w:szCs w:val="24"/>
          <w:lang w:val="en-US"/>
        </w:rPr>
      </w:pPr>
    </w:p>
    <w:p w:rsidR="00883550" w:rsidRPr="00D421C5" w:rsidRDefault="00883550" w:rsidP="00883550">
      <w:pPr>
        <w:ind w:left="851"/>
        <w:rPr>
          <w:b/>
          <w:sz w:val="24"/>
          <w:szCs w:val="24"/>
          <w:lang w:val="en-US"/>
        </w:rPr>
      </w:pPr>
      <w:proofErr w:type="spellStart"/>
      <w:r w:rsidRPr="00D421C5">
        <w:rPr>
          <w:b/>
          <w:sz w:val="24"/>
          <w:szCs w:val="24"/>
          <w:lang w:val="en-US"/>
        </w:rPr>
        <w:t>Repræsentant</w:t>
      </w:r>
      <w:proofErr w:type="spellEnd"/>
    </w:p>
    <w:p w:rsidR="00883550" w:rsidRPr="00D421C5" w:rsidRDefault="00883550" w:rsidP="00883550">
      <w:pPr>
        <w:ind w:left="851"/>
        <w:rPr>
          <w:sz w:val="24"/>
          <w:szCs w:val="24"/>
          <w:lang w:val="en-US"/>
        </w:rPr>
      </w:pPr>
      <w:proofErr w:type="spellStart"/>
      <w:r w:rsidRPr="00D421C5">
        <w:rPr>
          <w:sz w:val="24"/>
          <w:szCs w:val="24"/>
          <w:lang w:val="en-US"/>
        </w:rPr>
        <w:t>Salfarm</w:t>
      </w:r>
      <w:proofErr w:type="spellEnd"/>
      <w:r w:rsidRPr="00D421C5">
        <w:rPr>
          <w:sz w:val="24"/>
          <w:szCs w:val="24"/>
          <w:lang w:val="en-US"/>
        </w:rPr>
        <w:t xml:space="preserve"> </w:t>
      </w:r>
      <w:proofErr w:type="spellStart"/>
      <w:r w:rsidRPr="00D421C5">
        <w:rPr>
          <w:sz w:val="24"/>
          <w:szCs w:val="24"/>
          <w:lang w:val="en-US"/>
        </w:rPr>
        <w:t>Danmark</w:t>
      </w:r>
      <w:proofErr w:type="spellEnd"/>
      <w:r w:rsidRPr="00D421C5">
        <w:rPr>
          <w:sz w:val="24"/>
          <w:szCs w:val="24"/>
          <w:lang w:val="en-US"/>
        </w:rPr>
        <w:t xml:space="preserve"> A/S</w:t>
      </w:r>
    </w:p>
    <w:p w:rsidR="00702450" w:rsidRPr="00702450" w:rsidRDefault="00702450" w:rsidP="00702450">
      <w:pPr>
        <w:ind w:left="851"/>
        <w:rPr>
          <w:sz w:val="24"/>
          <w:szCs w:val="24"/>
          <w:lang w:val="en-US"/>
        </w:rPr>
      </w:pPr>
      <w:proofErr w:type="spellStart"/>
      <w:r w:rsidRPr="00702450">
        <w:rPr>
          <w:sz w:val="24"/>
          <w:szCs w:val="24"/>
          <w:lang w:val="en-US"/>
        </w:rPr>
        <w:t>Nordager</w:t>
      </w:r>
      <w:proofErr w:type="spellEnd"/>
      <w:r w:rsidRPr="00702450">
        <w:rPr>
          <w:sz w:val="24"/>
          <w:szCs w:val="24"/>
          <w:lang w:val="en-US"/>
        </w:rPr>
        <w:t xml:space="preserve"> 19</w:t>
      </w:r>
    </w:p>
    <w:p w:rsidR="00883550" w:rsidRDefault="00702450" w:rsidP="00702450">
      <w:pPr>
        <w:ind w:left="851"/>
        <w:rPr>
          <w:sz w:val="24"/>
          <w:szCs w:val="24"/>
          <w:lang w:val="en-US"/>
        </w:rPr>
      </w:pPr>
      <w:bookmarkStart w:id="0" w:name="_GoBack"/>
      <w:bookmarkEnd w:id="0"/>
      <w:r w:rsidRPr="00702450">
        <w:rPr>
          <w:sz w:val="24"/>
          <w:szCs w:val="24"/>
          <w:lang w:val="en-US"/>
        </w:rPr>
        <w:t>6000 Kolding</w:t>
      </w:r>
    </w:p>
    <w:p w:rsidR="00702450" w:rsidRPr="00263D91" w:rsidRDefault="00702450" w:rsidP="007024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8.</w:t>
      </w:r>
      <w:r w:rsidRPr="00263D91">
        <w:rPr>
          <w:b/>
          <w:sz w:val="24"/>
          <w:szCs w:val="24"/>
        </w:rPr>
        <w:tab/>
        <w:t>MARKEDSFØRINGSTILLADELSESNUMMER (NUMRE)</w:t>
      </w:r>
    </w:p>
    <w:p w:rsidR="00883550" w:rsidRPr="00263D91" w:rsidRDefault="00883550" w:rsidP="00883550">
      <w:pPr>
        <w:ind w:left="851"/>
        <w:rPr>
          <w:sz w:val="24"/>
          <w:szCs w:val="24"/>
        </w:rPr>
      </w:pPr>
      <w:r w:rsidRPr="00263D91">
        <w:rPr>
          <w:sz w:val="24"/>
          <w:szCs w:val="24"/>
        </w:rPr>
        <w:t>54881</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9.</w:t>
      </w:r>
      <w:r w:rsidRPr="00263D91">
        <w:rPr>
          <w:b/>
          <w:sz w:val="24"/>
          <w:szCs w:val="24"/>
        </w:rPr>
        <w:tab/>
        <w:t>DATO FOR FØRSTE MARKEDSFØRINGSTILLADELSE</w:t>
      </w:r>
    </w:p>
    <w:p w:rsidR="00883550" w:rsidRPr="00263D91" w:rsidRDefault="00883550" w:rsidP="00883550">
      <w:pPr>
        <w:ind w:left="851"/>
        <w:rPr>
          <w:sz w:val="24"/>
          <w:szCs w:val="24"/>
        </w:rPr>
      </w:pPr>
      <w:r w:rsidRPr="00263D91">
        <w:rPr>
          <w:sz w:val="24"/>
          <w:szCs w:val="24"/>
        </w:rPr>
        <w:t>7. december 2015</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10.</w:t>
      </w:r>
      <w:r w:rsidRPr="00263D91">
        <w:rPr>
          <w:b/>
          <w:sz w:val="24"/>
          <w:szCs w:val="24"/>
        </w:rPr>
        <w:tab/>
        <w:t>DATO FOR ÆNDRING AF TEKSTEN</w:t>
      </w:r>
    </w:p>
    <w:p w:rsidR="00883550" w:rsidRPr="00263D91" w:rsidRDefault="00702450" w:rsidP="00883550">
      <w:pPr>
        <w:ind w:left="851"/>
        <w:rPr>
          <w:sz w:val="24"/>
          <w:szCs w:val="24"/>
        </w:rPr>
      </w:pPr>
      <w:r>
        <w:rPr>
          <w:sz w:val="24"/>
          <w:szCs w:val="24"/>
        </w:rPr>
        <w:t>23. februar 2022</w:t>
      </w:r>
    </w:p>
    <w:p w:rsidR="00883550" w:rsidRPr="00263D91" w:rsidRDefault="00883550" w:rsidP="00883550">
      <w:pPr>
        <w:ind w:left="851" w:hanging="851"/>
        <w:rPr>
          <w:sz w:val="24"/>
          <w:szCs w:val="24"/>
        </w:rPr>
      </w:pPr>
    </w:p>
    <w:p w:rsidR="00883550" w:rsidRPr="00263D91" w:rsidRDefault="00883550" w:rsidP="00883550">
      <w:pPr>
        <w:ind w:left="851" w:hanging="851"/>
        <w:rPr>
          <w:b/>
          <w:sz w:val="24"/>
          <w:szCs w:val="24"/>
        </w:rPr>
      </w:pPr>
      <w:r w:rsidRPr="00263D91">
        <w:rPr>
          <w:b/>
          <w:sz w:val="24"/>
          <w:szCs w:val="24"/>
        </w:rPr>
        <w:t>11.</w:t>
      </w:r>
      <w:r w:rsidRPr="00263D91">
        <w:rPr>
          <w:b/>
          <w:sz w:val="24"/>
          <w:szCs w:val="24"/>
        </w:rPr>
        <w:tab/>
        <w:t>UDLEVERINGSBESTEMMELSE</w:t>
      </w:r>
    </w:p>
    <w:p w:rsidR="00883550" w:rsidRPr="00263D91" w:rsidRDefault="00883550" w:rsidP="00883550">
      <w:pPr>
        <w:pStyle w:val="Sidehoved"/>
        <w:tabs>
          <w:tab w:val="clear" w:pos="4819"/>
          <w:tab w:val="clear" w:pos="9638"/>
        </w:tabs>
        <w:ind w:left="851"/>
        <w:rPr>
          <w:szCs w:val="24"/>
        </w:rPr>
      </w:pPr>
      <w:r w:rsidRPr="00263D91">
        <w:rPr>
          <w:szCs w:val="24"/>
        </w:rPr>
        <w:t>BP</w:t>
      </w:r>
    </w:p>
    <w:p w:rsidR="00883550" w:rsidRPr="003E4066" w:rsidRDefault="00883550" w:rsidP="00883550"/>
    <w:p w:rsidR="0003527F" w:rsidRPr="00883550" w:rsidRDefault="0003527F" w:rsidP="00883550"/>
    <w:sectPr w:rsidR="0003527F" w:rsidRPr="0088355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550" w:rsidRDefault="00883550">
      <w:r>
        <w:separator/>
      </w:r>
    </w:p>
  </w:endnote>
  <w:endnote w:type="continuationSeparator" w:id="0">
    <w:p w:rsidR="00883550" w:rsidRDefault="0088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F425D">
      <w:rPr>
        <w:i/>
        <w:noProof/>
        <w:snapToGrid w:val="0"/>
        <w:sz w:val="18"/>
      </w:rPr>
      <w:t>Curofen, oralt pulver 50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F425D">
      <w:rPr>
        <w:i/>
        <w:noProof/>
        <w:snapToGrid w:val="0"/>
        <w:sz w:val="18"/>
      </w:rPr>
      <w:t>Curofen, oralt pulver 50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550" w:rsidRDefault="00883550">
      <w:r>
        <w:separator/>
      </w:r>
    </w:p>
  </w:footnote>
  <w:footnote w:type="continuationSeparator" w:id="0">
    <w:p w:rsidR="00883550" w:rsidRDefault="0088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581"/>
    <w:multiLevelType w:val="hybridMultilevel"/>
    <w:tmpl w:val="62CA658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50"/>
    <w:rsid w:val="0003527F"/>
    <w:rsid w:val="00065C7D"/>
    <w:rsid w:val="000B73FA"/>
    <w:rsid w:val="000C6CD4"/>
    <w:rsid w:val="001577E4"/>
    <w:rsid w:val="001858CA"/>
    <w:rsid w:val="001C4AEF"/>
    <w:rsid w:val="001D3CC5"/>
    <w:rsid w:val="00322BDE"/>
    <w:rsid w:val="00406EE7"/>
    <w:rsid w:val="00407013"/>
    <w:rsid w:val="004A62CC"/>
    <w:rsid w:val="004F425D"/>
    <w:rsid w:val="00565A74"/>
    <w:rsid w:val="005B0036"/>
    <w:rsid w:val="005F5831"/>
    <w:rsid w:val="00662012"/>
    <w:rsid w:val="00666B01"/>
    <w:rsid w:val="006B1539"/>
    <w:rsid w:val="006D4B41"/>
    <w:rsid w:val="006F5621"/>
    <w:rsid w:val="00702450"/>
    <w:rsid w:val="007E2A00"/>
    <w:rsid w:val="008010F2"/>
    <w:rsid w:val="00883550"/>
    <w:rsid w:val="008F2D01"/>
    <w:rsid w:val="009202AE"/>
    <w:rsid w:val="00932676"/>
    <w:rsid w:val="009C5E59"/>
    <w:rsid w:val="009D15CA"/>
    <w:rsid w:val="009D66C6"/>
    <w:rsid w:val="00A96525"/>
    <w:rsid w:val="00AE29E5"/>
    <w:rsid w:val="00AE5757"/>
    <w:rsid w:val="00B25EB8"/>
    <w:rsid w:val="00BC634B"/>
    <w:rsid w:val="00BF2AE0"/>
    <w:rsid w:val="00C479BF"/>
    <w:rsid w:val="00D567AA"/>
    <w:rsid w:val="00D56DE6"/>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A19D7"/>
  <w15:chartTrackingRefBased/>
  <w15:docId w15:val="{CB6D8891-10FB-4428-995B-D971461E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4F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5D85-D737-4306-BBEC-28DB1D6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Vet</Template>
  <TotalTime>2</TotalTime>
  <Pages>5</Pages>
  <Words>998</Words>
  <Characters>6507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2021123494_x000d_
Ændring af repræsentant adresse</dc:description>
  <cp:lastModifiedBy>Marianne Ott Jensen</cp:lastModifiedBy>
  <cp:revision>3</cp:revision>
  <dcterms:created xsi:type="dcterms:W3CDTF">2022-02-23T09:28:00Z</dcterms:created>
  <dcterms:modified xsi:type="dcterms:W3CDTF">2022-02-23T09:30:00Z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