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FB0E4"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733E60A" wp14:editId="5D0CD27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E61E3F6" w14:textId="77777777" w:rsidR="008203A8" w:rsidRDefault="008203A8" w:rsidP="008203A8">
      <w:pPr>
        <w:rPr>
          <w:sz w:val="24"/>
          <w:szCs w:val="24"/>
        </w:rPr>
      </w:pPr>
    </w:p>
    <w:p w14:paraId="7C7312A1" w14:textId="7B56C2A9" w:rsidR="008203A8" w:rsidRPr="00406EE7" w:rsidRDefault="008203A8" w:rsidP="008203A8">
      <w:pPr>
        <w:tabs>
          <w:tab w:val="right" w:pos="9356"/>
        </w:tabs>
        <w:rPr>
          <w:b/>
          <w:sz w:val="24"/>
          <w:szCs w:val="24"/>
        </w:rPr>
      </w:pPr>
      <w:r>
        <w:rPr>
          <w:b/>
          <w:sz w:val="24"/>
          <w:szCs w:val="24"/>
        </w:rPr>
        <w:tab/>
      </w:r>
      <w:r w:rsidR="006E59E8">
        <w:rPr>
          <w:b/>
          <w:sz w:val="24"/>
          <w:szCs w:val="24"/>
        </w:rPr>
        <w:t>12. september 2023</w:t>
      </w:r>
    </w:p>
    <w:p w14:paraId="659EA884" w14:textId="77777777" w:rsidR="008203A8" w:rsidRDefault="008203A8" w:rsidP="008203A8">
      <w:pPr>
        <w:rPr>
          <w:sz w:val="24"/>
          <w:szCs w:val="24"/>
        </w:rPr>
      </w:pPr>
    </w:p>
    <w:p w14:paraId="12B3BDE0" w14:textId="77777777" w:rsidR="008203A8" w:rsidRDefault="008203A8" w:rsidP="008203A8">
      <w:pPr>
        <w:jc w:val="center"/>
        <w:rPr>
          <w:b/>
          <w:sz w:val="24"/>
          <w:szCs w:val="24"/>
        </w:rPr>
      </w:pPr>
    </w:p>
    <w:p w14:paraId="1487FFC3" w14:textId="77777777" w:rsidR="008203A8" w:rsidRPr="00406EE7" w:rsidRDefault="008203A8" w:rsidP="008203A8">
      <w:pPr>
        <w:jc w:val="center"/>
        <w:rPr>
          <w:b/>
          <w:sz w:val="24"/>
          <w:szCs w:val="24"/>
        </w:rPr>
      </w:pPr>
      <w:r w:rsidRPr="00406EE7">
        <w:rPr>
          <w:b/>
          <w:sz w:val="24"/>
          <w:szCs w:val="24"/>
        </w:rPr>
        <w:t>PRODUKTRESUMÉ</w:t>
      </w:r>
    </w:p>
    <w:p w14:paraId="406B96F5" w14:textId="77777777" w:rsidR="008203A8" w:rsidRPr="00406EE7" w:rsidRDefault="008203A8" w:rsidP="008203A8">
      <w:pPr>
        <w:jc w:val="center"/>
        <w:rPr>
          <w:b/>
          <w:sz w:val="24"/>
          <w:szCs w:val="24"/>
        </w:rPr>
      </w:pPr>
    </w:p>
    <w:p w14:paraId="7A8B1AE7" w14:textId="77777777" w:rsidR="008203A8" w:rsidRPr="00406EE7" w:rsidRDefault="008203A8" w:rsidP="008203A8">
      <w:pPr>
        <w:jc w:val="center"/>
        <w:rPr>
          <w:b/>
          <w:sz w:val="24"/>
          <w:szCs w:val="24"/>
        </w:rPr>
      </w:pPr>
      <w:r w:rsidRPr="00406EE7">
        <w:rPr>
          <w:b/>
          <w:sz w:val="24"/>
          <w:szCs w:val="24"/>
        </w:rPr>
        <w:t>for</w:t>
      </w:r>
    </w:p>
    <w:p w14:paraId="45941152" w14:textId="77777777" w:rsidR="008203A8" w:rsidRPr="00406EE7" w:rsidRDefault="008203A8" w:rsidP="008203A8">
      <w:pPr>
        <w:jc w:val="center"/>
        <w:rPr>
          <w:b/>
          <w:sz w:val="24"/>
          <w:szCs w:val="24"/>
        </w:rPr>
      </w:pPr>
    </w:p>
    <w:p w14:paraId="5C6944F0" w14:textId="5C7E8E40" w:rsidR="008203A8" w:rsidRPr="00565A74" w:rsidRDefault="006E59E8" w:rsidP="008203A8">
      <w:pPr>
        <w:jc w:val="center"/>
        <w:rPr>
          <w:b/>
          <w:sz w:val="24"/>
          <w:szCs w:val="24"/>
        </w:rPr>
      </w:pPr>
      <w:proofErr w:type="spellStart"/>
      <w:r w:rsidRPr="006E59E8">
        <w:rPr>
          <w:b/>
          <w:sz w:val="24"/>
          <w:szCs w:val="24"/>
        </w:rPr>
        <w:t>Cyclix</w:t>
      </w:r>
      <w:proofErr w:type="spellEnd"/>
      <w:r w:rsidRPr="006E59E8">
        <w:rPr>
          <w:b/>
          <w:sz w:val="24"/>
          <w:szCs w:val="24"/>
        </w:rPr>
        <w:t>, injektionsvæske, opløsning</w:t>
      </w:r>
    </w:p>
    <w:p w14:paraId="4D869656" w14:textId="77777777" w:rsidR="008203A8" w:rsidRPr="00406EE7" w:rsidRDefault="008203A8" w:rsidP="008203A8">
      <w:pPr>
        <w:jc w:val="both"/>
        <w:rPr>
          <w:sz w:val="24"/>
          <w:szCs w:val="24"/>
        </w:rPr>
      </w:pPr>
    </w:p>
    <w:p w14:paraId="3F423157" w14:textId="77777777" w:rsidR="008203A8" w:rsidRDefault="008203A8" w:rsidP="008203A8">
      <w:pPr>
        <w:jc w:val="both"/>
        <w:rPr>
          <w:sz w:val="24"/>
          <w:szCs w:val="24"/>
        </w:rPr>
      </w:pPr>
    </w:p>
    <w:p w14:paraId="696BB71C" w14:textId="77777777" w:rsidR="008203A8" w:rsidRPr="00406EE7" w:rsidRDefault="008203A8" w:rsidP="008203A8">
      <w:pPr>
        <w:jc w:val="both"/>
        <w:rPr>
          <w:sz w:val="24"/>
          <w:szCs w:val="24"/>
        </w:rPr>
      </w:pPr>
    </w:p>
    <w:p w14:paraId="645CAB93"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522F10A6" w14:textId="5E818715" w:rsidR="008203A8" w:rsidRPr="00406EE7" w:rsidRDefault="006E59E8" w:rsidP="008203A8">
      <w:pPr>
        <w:ind w:left="851"/>
        <w:rPr>
          <w:sz w:val="24"/>
          <w:szCs w:val="24"/>
        </w:rPr>
      </w:pPr>
      <w:r w:rsidRPr="006E59E8">
        <w:rPr>
          <w:sz w:val="24"/>
          <w:szCs w:val="24"/>
        </w:rPr>
        <w:t>23018</w:t>
      </w:r>
    </w:p>
    <w:p w14:paraId="729E9FDF" w14:textId="77777777" w:rsidR="008203A8" w:rsidRPr="00406EE7" w:rsidRDefault="008203A8" w:rsidP="008203A8">
      <w:pPr>
        <w:ind w:left="851"/>
        <w:rPr>
          <w:sz w:val="24"/>
          <w:szCs w:val="24"/>
        </w:rPr>
      </w:pPr>
    </w:p>
    <w:p w14:paraId="4A68199C"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16AB4938" w14:textId="28B59BCC" w:rsidR="008203A8" w:rsidRDefault="006E59E8" w:rsidP="008203A8">
      <w:pPr>
        <w:ind w:left="851"/>
        <w:rPr>
          <w:sz w:val="24"/>
          <w:szCs w:val="24"/>
        </w:rPr>
      </w:pPr>
      <w:proofErr w:type="spellStart"/>
      <w:r w:rsidRPr="006E59E8">
        <w:rPr>
          <w:sz w:val="24"/>
          <w:szCs w:val="24"/>
        </w:rPr>
        <w:t>Cyclix</w:t>
      </w:r>
      <w:proofErr w:type="spellEnd"/>
    </w:p>
    <w:p w14:paraId="4424B120" w14:textId="77777777" w:rsidR="008203A8" w:rsidRDefault="008203A8" w:rsidP="008203A8">
      <w:pPr>
        <w:ind w:left="851"/>
        <w:rPr>
          <w:sz w:val="24"/>
          <w:szCs w:val="24"/>
        </w:rPr>
      </w:pPr>
    </w:p>
    <w:p w14:paraId="4EABF2EA" w14:textId="41A56D00" w:rsidR="008203A8" w:rsidRPr="00776C2C" w:rsidRDefault="008203A8" w:rsidP="008203A8">
      <w:pPr>
        <w:ind w:left="851"/>
        <w:rPr>
          <w:sz w:val="24"/>
          <w:szCs w:val="24"/>
        </w:rPr>
      </w:pPr>
      <w:r w:rsidRPr="00776C2C">
        <w:rPr>
          <w:sz w:val="24"/>
          <w:szCs w:val="24"/>
        </w:rPr>
        <w:t xml:space="preserve">Lægemiddelform: </w:t>
      </w:r>
      <w:r w:rsidR="006E59E8" w:rsidRPr="006E59E8">
        <w:rPr>
          <w:sz w:val="24"/>
          <w:szCs w:val="24"/>
        </w:rPr>
        <w:t>injektionsvæske, opløsning</w:t>
      </w:r>
    </w:p>
    <w:p w14:paraId="3592D021" w14:textId="2BF2AA37" w:rsidR="008203A8" w:rsidRPr="00776C2C" w:rsidRDefault="008203A8" w:rsidP="008203A8">
      <w:pPr>
        <w:ind w:left="851"/>
        <w:rPr>
          <w:sz w:val="24"/>
          <w:szCs w:val="24"/>
        </w:rPr>
      </w:pPr>
      <w:r w:rsidRPr="00776C2C">
        <w:rPr>
          <w:sz w:val="24"/>
          <w:szCs w:val="24"/>
        </w:rPr>
        <w:t xml:space="preserve">Styrke(r): </w:t>
      </w:r>
      <w:r w:rsidR="006E59E8" w:rsidRPr="006E59E8">
        <w:rPr>
          <w:sz w:val="24"/>
          <w:szCs w:val="24"/>
        </w:rPr>
        <w:t>250 mikrogram /ml</w:t>
      </w:r>
    </w:p>
    <w:p w14:paraId="5C4742A6" w14:textId="77777777" w:rsidR="008203A8" w:rsidRPr="00406EE7" w:rsidRDefault="008203A8" w:rsidP="008203A8">
      <w:pPr>
        <w:ind w:left="851"/>
        <w:rPr>
          <w:sz w:val="24"/>
          <w:szCs w:val="24"/>
        </w:rPr>
      </w:pPr>
    </w:p>
    <w:p w14:paraId="34D4D12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2A3494F0" w14:textId="77777777" w:rsidR="006E59E8" w:rsidRPr="006E59E8" w:rsidRDefault="006E59E8" w:rsidP="006E59E8">
      <w:pPr>
        <w:tabs>
          <w:tab w:val="left" w:pos="1304"/>
        </w:tabs>
        <w:ind w:left="851"/>
        <w:rPr>
          <w:sz w:val="24"/>
          <w:szCs w:val="24"/>
        </w:rPr>
      </w:pPr>
      <w:r w:rsidRPr="006E59E8">
        <w:rPr>
          <w:sz w:val="24"/>
          <w:szCs w:val="24"/>
        </w:rPr>
        <w:t>Hver ml indeholder:</w:t>
      </w:r>
    </w:p>
    <w:p w14:paraId="3E428AB0" w14:textId="77777777" w:rsidR="006E59E8" w:rsidRPr="006E59E8" w:rsidRDefault="006E59E8" w:rsidP="006E59E8">
      <w:pPr>
        <w:tabs>
          <w:tab w:val="left" w:pos="1304"/>
        </w:tabs>
        <w:ind w:left="851"/>
        <w:rPr>
          <w:sz w:val="24"/>
          <w:szCs w:val="24"/>
        </w:rPr>
      </w:pPr>
    </w:p>
    <w:p w14:paraId="19CF5110" w14:textId="77777777" w:rsidR="006E59E8" w:rsidRPr="006E59E8" w:rsidRDefault="006E59E8" w:rsidP="006E59E8">
      <w:pPr>
        <w:tabs>
          <w:tab w:val="left" w:pos="1304"/>
        </w:tabs>
        <w:ind w:left="851"/>
        <w:rPr>
          <w:b/>
          <w:bCs/>
          <w:sz w:val="24"/>
          <w:szCs w:val="24"/>
        </w:rPr>
      </w:pPr>
      <w:r w:rsidRPr="006E59E8">
        <w:rPr>
          <w:b/>
          <w:bCs/>
          <w:sz w:val="24"/>
          <w:szCs w:val="24"/>
        </w:rPr>
        <w:t>Aktivt stof:</w:t>
      </w:r>
    </w:p>
    <w:p w14:paraId="4165A575" w14:textId="77777777" w:rsidR="006E59E8" w:rsidRPr="006E59E8" w:rsidRDefault="006E59E8" w:rsidP="006E59E8">
      <w:pPr>
        <w:ind w:left="851"/>
        <w:rPr>
          <w:sz w:val="24"/>
          <w:szCs w:val="24"/>
        </w:rPr>
      </w:pPr>
      <w:proofErr w:type="spellStart"/>
      <w:r w:rsidRPr="006E59E8">
        <w:rPr>
          <w:sz w:val="24"/>
          <w:szCs w:val="24"/>
        </w:rPr>
        <w:t>Cloprostenolnatrium</w:t>
      </w:r>
      <w:proofErr w:type="spellEnd"/>
      <w:r w:rsidRPr="006E59E8">
        <w:rPr>
          <w:sz w:val="24"/>
          <w:szCs w:val="24"/>
        </w:rPr>
        <w:t xml:space="preserve"> 263 mikrogram</w:t>
      </w:r>
    </w:p>
    <w:p w14:paraId="738960C1" w14:textId="77777777" w:rsidR="006E59E8" w:rsidRPr="006E59E8" w:rsidRDefault="006E59E8" w:rsidP="006E59E8">
      <w:pPr>
        <w:tabs>
          <w:tab w:val="left" w:pos="1304"/>
        </w:tabs>
        <w:ind w:left="851"/>
        <w:rPr>
          <w:sz w:val="24"/>
          <w:szCs w:val="24"/>
        </w:rPr>
      </w:pPr>
      <w:r w:rsidRPr="006E59E8">
        <w:rPr>
          <w:sz w:val="24"/>
          <w:szCs w:val="24"/>
        </w:rPr>
        <w:t xml:space="preserve">(svarende til 250 mikrogram </w:t>
      </w:r>
      <w:proofErr w:type="spellStart"/>
      <w:r w:rsidRPr="006E59E8">
        <w:rPr>
          <w:sz w:val="24"/>
          <w:szCs w:val="24"/>
        </w:rPr>
        <w:t>cloprostenol</w:t>
      </w:r>
      <w:proofErr w:type="spellEnd"/>
      <w:r w:rsidRPr="006E59E8">
        <w:rPr>
          <w:sz w:val="24"/>
          <w:szCs w:val="24"/>
        </w:rPr>
        <w:t>)</w:t>
      </w:r>
    </w:p>
    <w:p w14:paraId="7851B17D" w14:textId="77777777" w:rsidR="006E59E8" w:rsidRPr="006E59E8" w:rsidRDefault="006E59E8" w:rsidP="006E59E8">
      <w:pPr>
        <w:tabs>
          <w:tab w:val="left" w:pos="1304"/>
        </w:tabs>
        <w:ind w:left="851"/>
        <w:rPr>
          <w:sz w:val="24"/>
          <w:szCs w:val="24"/>
        </w:rPr>
      </w:pPr>
    </w:p>
    <w:p w14:paraId="7112FF78" w14:textId="77777777" w:rsidR="006E59E8" w:rsidRPr="006E59E8" w:rsidRDefault="006E59E8" w:rsidP="006E59E8">
      <w:pPr>
        <w:ind w:left="851"/>
        <w:rPr>
          <w:b/>
          <w:sz w:val="24"/>
          <w:szCs w:val="24"/>
        </w:rPr>
      </w:pPr>
      <w:r w:rsidRPr="006E59E8">
        <w:rPr>
          <w:b/>
          <w:sz w:val="24"/>
          <w:szCs w:val="24"/>
        </w:rPr>
        <w:t>Hjælpestoffer:</w:t>
      </w:r>
    </w:p>
    <w:p w14:paraId="00DF9090" w14:textId="77777777" w:rsidR="006E59E8" w:rsidRPr="006E59E8" w:rsidRDefault="006E59E8" w:rsidP="006E59E8">
      <w:pPr>
        <w:tabs>
          <w:tab w:val="left" w:pos="1304"/>
        </w:tabs>
        <w:ind w:left="851"/>
        <w:rPr>
          <w:sz w:val="24"/>
          <w:szCs w:val="24"/>
        </w:rPr>
      </w:pPr>
    </w:p>
    <w:tbl>
      <w:tblPr>
        <w:tblW w:w="90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6E59E8" w14:paraId="7C61A473" w14:textId="77777777" w:rsidTr="006E59E8">
        <w:tc>
          <w:tcPr>
            <w:tcW w:w="4521" w:type="dxa"/>
            <w:tcBorders>
              <w:top w:val="single" w:sz="4" w:space="0" w:color="000000"/>
              <w:left w:val="single" w:sz="4" w:space="0" w:color="000000"/>
              <w:bottom w:val="single" w:sz="4" w:space="0" w:color="000000"/>
              <w:right w:val="single" w:sz="4" w:space="0" w:color="000000"/>
            </w:tcBorders>
            <w:vAlign w:val="center"/>
            <w:hideMark/>
          </w:tcPr>
          <w:p w14:paraId="1BB9A26E" w14:textId="77777777" w:rsidR="006E59E8" w:rsidRDefault="006E59E8">
            <w:pPr>
              <w:rPr>
                <w:rFonts w:asciiTheme="majorBidi" w:hAnsiTheme="majorBidi" w:cstheme="majorBidi"/>
                <w:b/>
                <w:bCs/>
                <w:iCs/>
              </w:rPr>
            </w:pPr>
            <w:r>
              <w:rPr>
                <w:rFonts w:asciiTheme="majorBidi" w:hAnsiTheme="majorBidi" w:cstheme="majorBidi"/>
                <w:b/>
                <w:bCs/>
                <w:iCs/>
              </w:rPr>
              <w:t>Kvalitativ sammensætning af hjælpestoffer og andre bestanddele</w:t>
            </w:r>
          </w:p>
        </w:tc>
        <w:tc>
          <w:tcPr>
            <w:tcW w:w="4540" w:type="dxa"/>
            <w:tcBorders>
              <w:top w:val="single" w:sz="4" w:space="0" w:color="000000"/>
              <w:left w:val="single" w:sz="4" w:space="0" w:color="000000"/>
              <w:bottom w:val="single" w:sz="4" w:space="0" w:color="000000"/>
              <w:right w:val="single" w:sz="4" w:space="0" w:color="000000"/>
            </w:tcBorders>
            <w:vAlign w:val="center"/>
            <w:hideMark/>
          </w:tcPr>
          <w:p w14:paraId="3B991FB1" w14:textId="77777777" w:rsidR="006E59E8" w:rsidRDefault="006E59E8">
            <w:pPr>
              <w:rPr>
                <w:rFonts w:asciiTheme="majorBidi" w:hAnsiTheme="majorBidi" w:cstheme="majorBidi"/>
                <w:b/>
                <w:bCs/>
                <w:iCs/>
              </w:rPr>
            </w:pPr>
            <w:r>
              <w:rPr>
                <w:rFonts w:asciiTheme="majorBidi" w:hAnsiTheme="majorBidi" w:cstheme="majorBidi"/>
                <w:b/>
                <w:bCs/>
                <w:iCs/>
              </w:rPr>
              <w:t>Kvantitativ sammensætning, hvis oplysningen er vigtig for korrekt administration af veterinærlægemidlet</w:t>
            </w:r>
          </w:p>
        </w:tc>
      </w:tr>
      <w:tr w:rsidR="006E59E8" w14:paraId="6315FB89" w14:textId="77777777" w:rsidTr="006E59E8">
        <w:tc>
          <w:tcPr>
            <w:tcW w:w="4521" w:type="dxa"/>
            <w:tcBorders>
              <w:top w:val="single" w:sz="4" w:space="0" w:color="000000"/>
              <w:left w:val="single" w:sz="4" w:space="0" w:color="000000"/>
              <w:bottom w:val="single" w:sz="4" w:space="0" w:color="000000"/>
              <w:right w:val="single" w:sz="4" w:space="0" w:color="000000"/>
            </w:tcBorders>
            <w:hideMark/>
          </w:tcPr>
          <w:p w14:paraId="48EEBB86" w14:textId="77777777" w:rsidR="006E59E8" w:rsidRDefault="006E59E8">
            <w:pPr>
              <w:tabs>
                <w:tab w:val="left" w:pos="851"/>
                <w:tab w:val="left" w:pos="8222"/>
              </w:tabs>
              <w:rPr>
                <w:sz w:val="24"/>
                <w:szCs w:val="24"/>
              </w:rPr>
            </w:pPr>
            <w:proofErr w:type="spellStart"/>
            <w:r>
              <w:t>Benzylalkohol</w:t>
            </w:r>
            <w:proofErr w:type="spellEnd"/>
            <w:r>
              <w:t xml:space="preserve"> (E1519)</w:t>
            </w:r>
          </w:p>
        </w:tc>
        <w:tc>
          <w:tcPr>
            <w:tcW w:w="4540" w:type="dxa"/>
            <w:tcBorders>
              <w:top w:val="single" w:sz="4" w:space="0" w:color="000000"/>
              <w:left w:val="single" w:sz="4" w:space="0" w:color="000000"/>
              <w:bottom w:val="single" w:sz="4" w:space="0" w:color="000000"/>
              <w:right w:val="single" w:sz="4" w:space="0" w:color="000000"/>
            </w:tcBorders>
            <w:vAlign w:val="center"/>
            <w:hideMark/>
          </w:tcPr>
          <w:p w14:paraId="099CE551" w14:textId="77777777" w:rsidR="006E59E8" w:rsidRDefault="006E59E8">
            <w:pPr>
              <w:rPr>
                <w:rFonts w:asciiTheme="majorBidi" w:hAnsiTheme="majorBidi" w:cstheme="majorBidi"/>
                <w:iCs/>
                <w:sz w:val="22"/>
              </w:rPr>
            </w:pPr>
            <w:r>
              <w:rPr>
                <w:rFonts w:asciiTheme="majorBidi" w:hAnsiTheme="majorBidi" w:cstheme="majorBidi"/>
                <w:iCs/>
              </w:rPr>
              <w:t>20 mg</w:t>
            </w:r>
          </w:p>
        </w:tc>
      </w:tr>
      <w:tr w:rsidR="006E59E8" w14:paraId="32FD29A8" w14:textId="77777777" w:rsidTr="006E59E8">
        <w:tc>
          <w:tcPr>
            <w:tcW w:w="4521" w:type="dxa"/>
            <w:tcBorders>
              <w:top w:val="single" w:sz="4" w:space="0" w:color="000000"/>
              <w:left w:val="single" w:sz="4" w:space="0" w:color="000000"/>
              <w:bottom w:val="single" w:sz="4" w:space="0" w:color="000000"/>
              <w:right w:val="single" w:sz="4" w:space="0" w:color="000000"/>
            </w:tcBorders>
            <w:hideMark/>
          </w:tcPr>
          <w:p w14:paraId="5D5FAFED" w14:textId="77777777" w:rsidR="006E59E8" w:rsidRDefault="006E59E8">
            <w:pPr>
              <w:rPr>
                <w:rFonts w:asciiTheme="majorBidi" w:hAnsiTheme="majorBidi" w:cstheme="majorBidi"/>
                <w:iCs/>
              </w:rPr>
            </w:pPr>
            <w:r>
              <w:t>Citronsyre monohydrat som pH-regulator</w:t>
            </w:r>
          </w:p>
        </w:tc>
        <w:tc>
          <w:tcPr>
            <w:tcW w:w="4540" w:type="dxa"/>
            <w:tcBorders>
              <w:top w:val="single" w:sz="4" w:space="0" w:color="000000"/>
              <w:left w:val="single" w:sz="4" w:space="0" w:color="000000"/>
              <w:bottom w:val="single" w:sz="4" w:space="0" w:color="000000"/>
              <w:right w:val="single" w:sz="4" w:space="0" w:color="000000"/>
            </w:tcBorders>
            <w:vAlign w:val="center"/>
          </w:tcPr>
          <w:p w14:paraId="3AED0C49" w14:textId="77777777" w:rsidR="006E59E8" w:rsidRDefault="006E59E8">
            <w:pPr>
              <w:rPr>
                <w:rFonts w:asciiTheme="majorBidi" w:hAnsiTheme="majorBidi" w:cstheme="majorBidi"/>
                <w:iCs/>
              </w:rPr>
            </w:pPr>
          </w:p>
        </w:tc>
      </w:tr>
      <w:tr w:rsidR="006E59E8" w14:paraId="1A08A452" w14:textId="77777777" w:rsidTr="006E59E8">
        <w:tc>
          <w:tcPr>
            <w:tcW w:w="4521" w:type="dxa"/>
            <w:tcBorders>
              <w:top w:val="single" w:sz="4" w:space="0" w:color="000000"/>
              <w:left w:val="single" w:sz="4" w:space="0" w:color="000000"/>
              <w:bottom w:val="single" w:sz="4" w:space="0" w:color="000000"/>
              <w:right w:val="single" w:sz="4" w:space="0" w:color="000000"/>
            </w:tcBorders>
            <w:hideMark/>
          </w:tcPr>
          <w:p w14:paraId="3533E368" w14:textId="77777777" w:rsidR="006E59E8" w:rsidRDefault="006E59E8">
            <w:pPr>
              <w:rPr>
                <w:rFonts w:asciiTheme="majorBidi" w:hAnsiTheme="majorBidi" w:cstheme="majorBidi"/>
                <w:iCs/>
              </w:rPr>
            </w:pPr>
            <w:r>
              <w:t xml:space="preserve">Trinatriumcitrat </w:t>
            </w:r>
            <w:proofErr w:type="spellStart"/>
            <w:r>
              <w:t>dihydrat</w:t>
            </w:r>
            <w:proofErr w:type="spellEnd"/>
          </w:p>
        </w:tc>
        <w:tc>
          <w:tcPr>
            <w:tcW w:w="4540" w:type="dxa"/>
            <w:tcBorders>
              <w:top w:val="single" w:sz="4" w:space="0" w:color="000000"/>
              <w:left w:val="single" w:sz="4" w:space="0" w:color="000000"/>
              <w:bottom w:val="single" w:sz="4" w:space="0" w:color="000000"/>
              <w:right w:val="single" w:sz="4" w:space="0" w:color="000000"/>
            </w:tcBorders>
            <w:vAlign w:val="center"/>
          </w:tcPr>
          <w:p w14:paraId="22A7CA4D" w14:textId="77777777" w:rsidR="006E59E8" w:rsidRDefault="006E59E8">
            <w:pPr>
              <w:rPr>
                <w:rFonts w:asciiTheme="majorBidi" w:hAnsiTheme="majorBidi" w:cstheme="majorBidi"/>
                <w:iCs/>
              </w:rPr>
            </w:pPr>
          </w:p>
        </w:tc>
      </w:tr>
      <w:tr w:rsidR="006E59E8" w14:paraId="3B138E07" w14:textId="77777777" w:rsidTr="006E59E8">
        <w:tc>
          <w:tcPr>
            <w:tcW w:w="4521" w:type="dxa"/>
            <w:tcBorders>
              <w:top w:val="single" w:sz="4" w:space="0" w:color="000000"/>
              <w:left w:val="single" w:sz="4" w:space="0" w:color="000000"/>
              <w:bottom w:val="single" w:sz="4" w:space="0" w:color="000000"/>
              <w:right w:val="single" w:sz="4" w:space="0" w:color="000000"/>
            </w:tcBorders>
            <w:hideMark/>
          </w:tcPr>
          <w:p w14:paraId="5894A80B" w14:textId="77777777" w:rsidR="006E59E8" w:rsidRDefault="006E59E8">
            <w:pPr>
              <w:ind w:left="567" w:hanging="567"/>
              <w:rPr>
                <w:rFonts w:asciiTheme="majorBidi" w:hAnsiTheme="majorBidi" w:cstheme="majorBidi"/>
                <w:b/>
                <w:bCs/>
                <w:iCs/>
              </w:rPr>
            </w:pPr>
            <w:proofErr w:type="spellStart"/>
            <w:r>
              <w:t>Natriumchlorid</w:t>
            </w:r>
            <w:proofErr w:type="spellEnd"/>
          </w:p>
        </w:tc>
        <w:tc>
          <w:tcPr>
            <w:tcW w:w="4540" w:type="dxa"/>
            <w:tcBorders>
              <w:top w:val="single" w:sz="4" w:space="0" w:color="000000"/>
              <w:left w:val="single" w:sz="4" w:space="0" w:color="000000"/>
              <w:bottom w:val="single" w:sz="4" w:space="0" w:color="000000"/>
              <w:right w:val="single" w:sz="4" w:space="0" w:color="000000"/>
            </w:tcBorders>
            <w:vAlign w:val="center"/>
          </w:tcPr>
          <w:p w14:paraId="59FF880F" w14:textId="77777777" w:rsidR="006E59E8" w:rsidRDefault="006E59E8">
            <w:pPr>
              <w:rPr>
                <w:rFonts w:asciiTheme="majorBidi" w:hAnsiTheme="majorBidi" w:cstheme="majorBidi"/>
                <w:iCs/>
              </w:rPr>
            </w:pPr>
          </w:p>
        </w:tc>
      </w:tr>
      <w:tr w:rsidR="006E59E8" w14:paraId="733BD496" w14:textId="77777777" w:rsidTr="006E59E8">
        <w:tc>
          <w:tcPr>
            <w:tcW w:w="4521" w:type="dxa"/>
            <w:tcBorders>
              <w:top w:val="single" w:sz="4" w:space="0" w:color="000000"/>
              <w:left w:val="single" w:sz="4" w:space="0" w:color="000000"/>
              <w:bottom w:val="single" w:sz="4" w:space="0" w:color="000000"/>
              <w:right w:val="single" w:sz="4" w:space="0" w:color="000000"/>
            </w:tcBorders>
            <w:hideMark/>
          </w:tcPr>
          <w:p w14:paraId="783C6F91" w14:textId="77777777" w:rsidR="006E59E8" w:rsidRDefault="006E59E8">
            <w:pPr>
              <w:tabs>
                <w:tab w:val="left" w:pos="851"/>
                <w:tab w:val="left" w:pos="8222"/>
              </w:tabs>
              <w:ind w:left="851" w:hanging="851"/>
              <w:rPr>
                <w:rFonts w:asciiTheme="majorBidi" w:hAnsiTheme="majorBidi" w:cstheme="majorBidi"/>
                <w:iCs/>
              </w:rPr>
            </w:pPr>
            <w:r>
              <w:t>Natriumhydroxid som pH-regulator</w:t>
            </w:r>
          </w:p>
        </w:tc>
        <w:tc>
          <w:tcPr>
            <w:tcW w:w="4540" w:type="dxa"/>
            <w:tcBorders>
              <w:top w:val="single" w:sz="4" w:space="0" w:color="000000"/>
              <w:left w:val="single" w:sz="4" w:space="0" w:color="000000"/>
              <w:bottom w:val="single" w:sz="4" w:space="0" w:color="000000"/>
              <w:right w:val="single" w:sz="4" w:space="0" w:color="000000"/>
            </w:tcBorders>
            <w:vAlign w:val="center"/>
          </w:tcPr>
          <w:p w14:paraId="41910363" w14:textId="77777777" w:rsidR="006E59E8" w:rsidRDefault="006E59E8">
            <w:pPr>
              <w:rPr>
                <w:rFonts w:asciiTheme="majorBidi" w:hAnsiTheme="majorBidi" w:cstheme="majorBidi"/>
                <w:iCs/>
              </w:rPr>
            </w:pPr>
          </w:p>
        </w:tc>
      </w:tr>
      <w:tr w:rsidR="006E59E8" w14:paraId="2C5272AD" w14:textId="77777777" w:rsidTr="006E59E8">
        <w:tc>
          <w:tcPr>
            <w:tcW w:w="4521" w:type="dxa"/>
            <w:tcBorders>
              <w:top w:val="single" w:sz="4" w:space="0" w:color="000000"/>
              <w:left w:val="single" w:sz="4" w:space="0" w:color="000000"/>
              <w:bottom w:val="single" w:sz="4" w:space="0" w:color="000000"/>
              <w:right w:val="single" w:sz="4" w:space="0" w:color="000000"/>
            </w:tcBorders>
            <w:hideMark/>
          </w:tcPr>
          <w:p w14:paraId="595786B6" w14:textId="77777777" w:rsidR="006E59E8" w:rsidRDefault="006E59E8">
            <w:pPr>
              <w:tabs>
                <w:tab w:val="left" w:pos="851"/>
                <w:tab w:val="left" w:pos="8222"/>
              </w:tabs>
              <w:ind w:left="851" w:hanging="851"/>
              <w:rPr>
                <w:sz w:val="24"/>
              </w:rPr>
            </w:pPr>
            <w:r>
              <w:t>Vand til injektionsvæsker</w:t>
            </w:r>
          </w:p>
        </w:tc>
        <w:tc>
          <w:tcPr>
            <w:tcW w:w="4540" w:type="dxa"/>
            <w:tcBorders>
              <w:top w:val="single" w:sz="4" w:space="0" w:color="000000"/>
              <w:left w:val="single" w:sz="4" w:space="0" w:color="000000"/>
              <w:bottom w:val="single" w:sz="4" w:space="0" w:color="000000"/>
              <w:right w:val="single" w:sz="4" w:space="0" w:color="000000"/>
            </w:tcBorders>
            <w:vAlign w:val="center"/>
          </w:tcPr>
          <w:p w14:paraId="0DD7D6A7" w14:textId="77777777" w:rsidR="006E59E8" w:rsidRDefault="006E59E8">
            <w:pPr>
              <w:rPr>
                <w:rFonts w:asciiTheme="majorBidi" w:hAnsiTheme="majorBidi" w:cstheme="majorBidi"/>
                <w:iCs/>
                <w:sz w:val="22"/>
              </w:rPr>
            </w:pPr>
          </w:p>
        </w:tc>
      </w:tr>
    </w:tbl>
    <w:p w14:paraId="72061E8D" w14:textId="77777777" w:rsidR="006E59E8" w:rsidRPr="006E59E8" w:rsidRDefault="006E59E8" w:rsidP="006E59E8">
      <w:pPr>
        <w:tabs>
          <w:tab w:val="left" w:pos="720"/>
        </w:tabs>
        <w:ind w:left="851"/>
        <w:rPr>
          <w:rFonts w:asciiTheme="majorBidi" w:hAnsiTheme="majorBidi" w:cstheme="majorBidi"/>
          <w:sz w:val="24"/>
          <w:szCs w:val="24"/>
        </w:rPr>
      </w:pPr>
    </w:p>
    <w:p w14:paraId="63682F10" w14:textId="6FCF00E7" w:rsidR="008203A8" w:rsidRPr="006E59E8" w:rsidRDefault="006E59E8" w:rsidP="006E59E8">
      <w:pPr>
        <w:ind w:left="851"/>
        <w:rPr>
          <w:sz w:val="24"/>
          <w:szCs w:val="24"/>
        </w:rPr>
      </w:pPr>
      <w:r w:rsidRPr="006E59E8">
        <w:rPr>
          <w:sz w:val="24"/>
          <w:szCs w:val="24"/>
        </w:rPr>
        <w:t>Farveløs opløsning</w:t>
      </w:r>
    </w:p>
    <w:p w14:paraId="2EE2629D" w14:textId="77777777" w:rsidR="008203A8" w:rsidRPr="006E59E8" w:rsidRDefault="008203A8" w:rsidP="006E59E8">
      <w:pPr>
        <w:ind w:left="851"/>
        <w:rPr>
          <w:sz w:val="24"/>
          <w:szCs w:val="24"/>
        </w:rPr>
      </w:pPr>
    </w:p>
    <w:p w14:paraId="3DEDE6CB" w14:textId="77777777" w:rsidR="008203A8" w:rsidRPr="006E59E8" w:rsidRDefault="008203A8" w:rsidP="006E59E8">
      <w:pPr>
        <w:ind w:left="851"/>
        <w:rPr>
          <w:sz w:val="24"/>
          <w:szCs w:val="24"/>
        </w:rPr>
      </w:pPr>
    </w:p>
    <w:p w14:paraId="6ABBD7B4"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434F0C0D" w14:textId="77777777" w:rsidR="008203A8" w:rsidRPr="00406EE7" w:rsidRDefault="008203A8" w:rsidP="008203A8">
      <w:pPr>
        <w:tabs>
          <w:tab w:val="left" w:pos="851"/>
        </w:tabs>
        <w:ind w:left="851"/>
        <w:rPr>
          <w:sz w:val="24"/>
          <w:szCs w:val="24"/>
        </w:rPr>
      </w:pPr>
    </w:p>
    <w:p w14:paraId="4A8E2BA2"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4B2CC8AE" w14:textId="3D0EC5F2" w:rsidR="008203A8" w:rsidRPr="00406EE7" w:rsidRDefault="006E59E8" w:rsidP="008203A8">
      <w:pPr>
        <w:ind w:left="851"/>
        <w:rPr>
          <w:sz w:val="24"/>
          <w:szCs w:val="24"/>
        </w:rPr>
      </w:pPr>
      <w:r w:rsidRPr="006E59E8">
        <w:rPr>
          <w:sz w:val="24"/>
          <w:szCs w:val="24"/>
        </w:rPr>
        <w:t>Kvæg (køer og kvier).</w:t>
      </w:r>
    </w:p>
    <w:p w14:paraId="101BAB75" w14:textId="77777777" w:rsidR="008203A8" w:rsidRPr="00406EE7" w:rsidRDefault="008203A8" w:rsidP="008203A8">
      <w:pPr>
        <w:ind w:left="851"/>
        <w:rPr>
          <w:sz w:val="24"/>
          <w:szCs w:val="24"/>
        </w:rPr>
      </w:pPr>
    </w:p>
    <w:p w14:paraId="108D5EBB"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A77DA64" w14:textId="39779343" w:rsidR="008203A8" w:rsidRDefault="006E59E8" w:rsidP="008203A8">
      <w:pPr>
        <w:pStyle w:val="Sidehoved"/>
        <w:ind w:left="851"/>
        <w:rPr>
          <w:szCs w:val="24"/>
        </w:rPr>
      </w:pPr>
      <w:r w:rsidRPr="006E59E8">
        <w:rPr>
          <w:szCs w:val="24"/>
        </w:rPr>
        <w:t xml:space="preserve">Induktion af </w:t>
      </w:r>
      <w:proofErr w:type="spellStart"/>
      <w:r w:rsidRPr="006E59E8">
        <w:rPr>
          <w:szCs w:val="24"/>
        </w:rPr>
        <w:t>luteolysis</w:t>
      </w:r>
      <w:proofErr w:type="spellEnd"/>
      <w:r w:rsidRPr="006E59E8">
        <w:rPr>
          <w:szCs w:val="24"/>
        </w:rPr>
        <w:t xml:space="preserve"> under </w:t>
      </w:r>
      <w:proofErr w:type="spellStart"/>
      <w:r w:rsidRPr="006E59E8">
        <w:rPr>
          <w:szCs w:val="24"/>
        </w:rPr>
        <w:t>diøstrus</w:t>
      </w:r>
      <w:proofErr w:type="spellEnd"/>
      <w:r w:rsidRPr="006E59E8">
        <w:rPr>
          <w:szCs w:val="24"/>
        </w:rPr>
        <w:t xml:space="preserve"> for opnåelse af brunst og ovulation hos køer og kvier i cyklus; brunstsynkronisering (inden for 2 til 5 dage) ved samtidig behandling af køer og kvier i cyklus; behandling af stille brunst og uteruslidelser i forbindelse med persisterende corpus </w:t>
      </w:r>
      <w:proofErr w:type="spellStart"/>
      <w:r w:rsidRPr="006E59E8">
        <w:rPr>
          <w:szCs w:val="24"/>
        </w:rPr>
        <w:t>luteum</w:t>
      </w:r>
      <w:proofErr w:type="spellEnd"/>
      <w:r w:rsidRPr="006E59E8">
        <w:rPr>
          <w:szCs w:val="24"/>
        </w:rPr>
        <w:t xml:space="preserve"> (</w:t>
      </w:r>
      <w:proofErr w:type="spellStart"/>
      <w:r w:rsidRPr="006E59E8">
        <w:rPr>
          <w:szCs w:val="24"/>
        </w:rPr>
        <w:t>endometritis</w:t>
      </w:r>
      <w:proofErr w:type="spellEnd"/>
      <w:r w:rsidRPr="006E59E8">
        <w:rPr>
          <w:szCs w:val="24"/>
        </w:rPr>
        <w:t xml:space="preserve">, </w:t>
      </w:r>
      <w:proofErr w:type="spellStart"/>
      <w:r w:rsidRPr="006E59E8">
        <w:rPr>
          <w:szCs w:val="24"/>
        </w:rPr>
        <w:t>pyometra</w:t>
      </w:r>
      <w:proofErr w:type="spellEnd"/>
      <w:r w:rsidRPr="006E59E8">
        <w:rPr>
          <w:szCs w:val="24"/>
        </w:rPr>
        <w:t xml:space="preserve">); behandling af </w:t>
      </w:r>
      <w:proofErr w:type="spellStart"/>
      <w:r w:rsidRPr="006E59E8">
        <w:rPr>
          <w:szCs w:val="24"/>
        </w:rPr>
        <w:t>lutein</w:t>
      </w:r>
      <w:proofErr w:type="spellEnd"/>
      <w:r w:rsidRPr="006E59E8">
        <w:rPr>
          <w:szCs w:val="24"/>
        </w:rPr>
        <w:t xml:space="preserve"> cyster; induktion af abort indtil dag 150 i drægtigheden; uddrivning af </w:t>
      </w:r>
      <w:proofErr w:type="spellStart"/>
      <w:r w:rsidRPr="006E59E8">
        <w:rPr>
          <w:szCs w:val="24"/>
        </w:rPr>
        <w:t>mummificerede</w:t>
      </w:r>
      <w:proofErr w:type="spellEnd"/>
      <w:r w:rsidRPr="006E59E8">
        <w:rPr>
          <w:szCs w:val="24"/>
        </w:rPr>
        <w:t xml:space="preserve"> fostre; fødselsinduktion.</w:t>
      </w:r>
    </w:p>
    <w:p w14:paraId="0301F97C" w14:textId="77777777" w:rsidR="008203A8" w:rsidRDefault="008203A8" w:rsidP="008203A8">
      <w:pPr>
        <w:pStyle w:val="Sidehoved"/>
        <w:ind w:left="851"/>
        <w:rPr>
          <w:szCs w:val="24"/>
        </w:rPr>
      </w:pPr>
    </w:p>
    <w:p w14:paraId="7DCCC4A3"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3C1CBB12" w14:textId="77777777" w:rsidR="006E59E8" w:rsidRPr="006E59E8" w:rsidRDefault="006E59E8" w:rsidP="006E59E8">
      <w:pPr>
        <w:pStyle w:val="Sidehoved"/>
        <w:ind w:left="851"/>
        <w:rPr>
          <w:szCs w:val="24"/>
        </w:rPr>
      </w:pPr>
      <w:r w:rsidRPr="006E59E8">
        <w:rPr>
          <w:szCs w:val="24"/>
        </w:rPr>
        <w:t xml:space="preserve">Må ikke anvendes til drægtige dyr, hvor induktion af abort eller fødsel ikke ønskes. </w:t>
      </w:r>
    </w:p>
    <w:p w14:paraId="35417A7B" w14:textId="77777777" w:rsidR="006E59E8" w:rsidRPr="006E59E8" w:rsidRDefault="006E59E8" w:rsidP="006E59E8">
      <w:pPr>
        <w:pStyle w:val="Sidehoved"/>
        <w:ind w:left="851"/>
        <w:rPr>
          <w:szCs w:val="24"/>
        </w:rPr>
      </w:pPr>
      <w:r w:rsidRPr="006E59E8">
        <w:rPr>
          <w:szCs w:val="24"/>
        </w:rPr>
        <w:t xml:space="preserve">Må ikke anvendes til dyr med spastiske sygdomme i luftvejene eller </w:t>
      </w:r>
      <w:proofErr w:type="spellStart"/>
      <w:r w:rsidRPr="006E59E8">
        <w:rPr>
          <w:szCs w:val="24"/>
        </w:rPr>
        <w:t>mave-tarmkanalen</w:t>
      </w:r>
      <w:proofErr w:type="spellEnd"/>
      <w:r w:rsidRPr="006E59E8">
        <w:rPr>
          <w:szCs w:val="24"/>
        </w:rPr>
        <w:t>.</w:t>
      </w:r>
    </w:p>
    <w:p w14:paraId="33A0A312" w14:textId="2C048B77" w:rsidR="008203A8" w:rsidRPr="00406EE7" w:rsidRDefault="006E59E8" w:rsidP="006E59E8">
      <w:pPr>
        <w:pStyle w:val="Sidehoved"/>
        <w:tabs>
          <w:tab w:val="clear" w:pos="4819"/>
        </w:tabs>
        <w:ind w:left="851"/>
        <w:rPr>
          <w:szCs w:val="24"/>
        </w:rPr>
      </w:pPr>
      <w:r w:rsidRPr="006E59E8">
        <w:rPr>
          <w:szCs w:val="24"/>
        </w:rPr>
        <w:t>Må ikke anvendes i tilfælde af overfølsomhed over for det aktive stof), eller over for et eller flere af hjælpestofferne.</w:t>
      </w:r>
    </w:p>
    <w:p w14:paraId="349CABB4" w14:textId="77777777" w:rsidR="008203A8" w:rsidRPr="00406EE7" w:rsidRDefault="008203A8" w:rsidP="008203A8">
      <w:pPr>
        <w:pStyle w:val="Sidehoved"/>
        <w:tabs>
          <w:tab w:val="clear" w:pos="4819"/>
        </w:tabs>
        <w:ind w:left="851"/>
        <w:rPr>
          <w:szCs w:val="24"/>
        </w:rPr>
      </w:pPr>
    </w:p>
    <w:p w14:paraId="7973DAC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6C9CDB95" w14:textId="3936AA90" w:rsidR="008203A8" w:rsidRPr="00406EE7" w:rsidRDefault="006E59E8" w:rsidP="008203A8">
      <w:pPr>
        <w:tabs>
          <w:tab w:val="left" w:pos="851"/>
        </w:tabs>
        <w:ind w:left="851"/>
        <w:rPr>
          <w:sz w:val="24"/>
          <w:szCs w:val="24"/>
        </w:rPr>
      </w:pPr>
      <w:r>
        <w:rPr>
          <w:sz w:val="24"/>
          <w:szCs w:val="24"/>
        </w:rPr>
        <w:t>Ingen</w:t>
      </w:r>
    </w:p>
    <w:p w14:paraId="58A0D47F" w14:textId="77777777" w:rsidR="008203A8" w:rsidRPr="00406EE7" w:rsidRDefault="008203A8" w:rsidP="008203A8">
      <w:pPr>
        <w:pStyle w:val="Sidehoved"/>
        <w:tabs>
          <w:tab w:val="clear" w:pos="4819"/>
        </w:tabs>
        <w:ind w:left="851"/>
        <w:rPr>
          <w:szCs w:val="24"/>
        </w:rPr>
      </w:pPr>
    </w:p>
    <w:p w14:paraId="2D04DF3C"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2EF4C522" w14:textId="77777777" w:rsidR="008203A8" w:rsidRPr="002374DA" w:rsidRDefault="008203A8" w:rsidP="008203A8">
      <w:pPr>
        <w:tabs>
          <w:tab w:val="left" w:pos="851"/>
        </w:tabs>
        <w:ind w:left="851"/>
        <w:rPr>
          <w:sz w:val="24"/>
          <w:szCs w:val="24"/>
        </w:rPr>
      </w:pPr>
    </w:p>
    <w:p w14:paraId="7F3B7600"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272AD73C" w14:textId="6BB7AF34" w:rsidR="008203A8" w:rsidRDefault="006E59E8" w:rsidP="008203A8">
      <w:pPr>
        <w:tabs>
          <w:tab w:val="left" w:pos="851"/>
        </w:tabs>
        <w:ind w:left="851"/>
        <w:rPr>
          <w:sz w:val="24"/>
          <w:szCs w:val="24"/>
        </w:rPr>
      </w:pPr>
      <w:r w:rsidRPr="006E59E8">
        <w:rPr>
          <w:sz w:val="24"/>
          <w:szCs w:val="24"/>
        </w:rPr>
        <w:t>Som ved enhver parenteral administration, skal grundlæggende aseptiske forholdsregler følges. Rengør og desinficer injektionsstedet grundigt for at minimere risikoen for infektioner med anaerobe bakterier.</w:t>
      </w:r>
    </w:p>
    <w:p w14:paraId="318FEEBE" w14:textId="77777777" w:rsidR="008203A8" w:rsidRPr="00406EE7" w:rsidRDefault="008203A8" w:rsidP="008203A8">
      <w:pPr>
        <w:tabs>
          <w:tab w:val="left" w:pos="851"/>
        </w:tabs>
        <w:ind w:left="851"/>
        <w:rPr>
          <w:sz w:val="24"/>
          <w:szCs w:val="24"/>
        </w:rPr>
      </w:pPr>
    </w:p>
    <w:p w14:paraId="79C6AF9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102286F" w14:textId="77777777" w:rsidR="006E59E8" w:rsidRPr="006E59E8" w:rsidRDefault="006E59E8" w:rsidP="006E59E8">
      <w:pPr>
        <w:tabs>
          <w:tab w:val="left" w:pos="851"/>
        </w:tabs>
        <w:ind w:left="851"/>
        <w:rPr>
          <w:sz w:val="24"/>
          <w:szCs w:val="24"/>
        </w:rPr>
      </w:pPr>
      <w:r w:rsidRPr="006E59E8">
        <w:rPr>
          <w:sz w:val="24"/>
          <w:szCs w:val="24"/>
        </w:rPr>
        <w:t xml:space="preserve">Ved overfølsomhed over for </w:t>
      </w:r>
      <w:proofErr w:type="spellStart"/>
      <w:r w:rsidRPr="006E59E8">
        <w:rPr>
          <w:sz w:val="24"/>
          <w:szCs w:val="24"/>
        </w:rPr>
        <w:t>benzylalkohol</w:t>
      </w:r>
      <w:proofErr w:type="spellEnd"/>
      <w:r w:rsidRPr="006E59E8">
        <w:rPr>
          <w:sz w:val="24"/>
          <w:szCs w:val="24"/>
        </w:rPr>
        <w:t>, bør kontakt med veterinærlægemidlet undgås.</w:t>
      </w:r>
    </w:p>
    <w:p w14:paraId="5AD608F5" w14:textId="4DEFA722" w:rsidR="006E59E8" w:rsidRPr="006E59E8" w:rsidRDefault="006E59E8" w:rsidP="006E59E8">
      <w:pPr>
        <w:tabs>
          <w:tab w:val="left" w:pos="851"/>
        </w:tabs>
        <w:ind w:left="851"/>
        <w:rPr>
          <w:sz w:val="24"/>
          <w:szCs w:val="24"/>
        </w:rPr>
      </w:pPr>
      <w:r w:rsidRPr="006E59E8">
        <w:rPr>
          <w:sz w:val="24"/>
          <w:szCs w:val="24"/>
        </w:rPr>
        <w:t>Undgå at spise, drikke og ryge medens veterinærlægemidlet håndteres</w:t>
      </w:r>
      <w:r>
        <w:rPr>
          <w:sz w:val="24"/>
          <w:szCs w:val="24"/>
        </w:rPr>
        <w:t>.</w:t>
      </w:r>
    </w:p>
    <w:p w14:paraId="602288A7" w14:textId="7DEB9731" w:rsidR="006E59E8" w:rsidRPr="006E59E8" w:rsidRDefault="006E59E8" w:rsidP="006E59E8">
      <w:pPr>
        <w:tabs>
          <w:tab w:val="left" w:pos="851"/>
        </w:tabs>
        <w:ind w:left="851"/>
        <w:rPr>
          <w:sz w:val="24"/>
          <w:szCs w:val="24"/>
        </w:rPr>
      </w:pPr>
      <w:r w:rsidRPr="006E59E8">
        <w:rPr>
          <w:sz w:val="24"/>
          <w:szCs w:val="24"/>
        </w:rPr>
        <w:t>Direkte kontakt med hud eller slimhinder hos den person, som indgiver veterinær</w:t>
      </w:r>
      <w:r>
        <w:rPr>
          <w:sz w:val="24"/>
          <w:szCs w:val="24"/>
        </w:rPr>
        <w:softHyphen/>
      </w:r>
      <w:r w:rsidRPr="006E59E8">
        <w:rPr>
          <w:sz w:val="24"/>
          <w:szCs w:val="24"/>
        </w:rPr>
        <w:t xml:space="preserve">lægemidlet, bør undgås. </w:t>
      </w:r>
      <w:proofErr w:type="spellStart"/>
      <w:r w:rsidRPr="006E59E8">
        <w:rPr>
          <w:sz w:val="24"/>
          <w:szCs w:val="24"/>
        </w:rPr>
        <w:t>Prostaglandiner</w:t>
      </w:r>
      <w:proofErr w:type="spellEnd"/>
      <w:r w:rsidRPr="006E59E8">
        <w:rPr>
          <w:sz w:val="24"/>
          <w:szCs w:val="24"/>
        </w:rPr>
        <w:t xml:space="preserve"> af typen F2α kan optages gennem huden og kan forårsage </w:t>
      </w:r>
      <w:proofErr w:type="spellStart"/>
      <w:r w:rsidRPr="006E59E8">
        <w:rPr>
          <w:sz w:val="24"/>
          <w:szCs w:val="24"/>
        </w:rPr>
        <w:t>bronchospasma</w:t>
      </w:r>
      <w:proofErr w:type="spellEnd"/>
      <w:r w:rsidRPr="006E59E8">
        <w:rPr>
          <w:sz w:val="24"/>
          <w:szCs w:val="24"/>
        </w:rPr>
        <w:t xml:space="preserve"> eller abort. Veterinærlægemidlet skal håndteres forsigtigt for at undgå SELVINJEKTION VED HÆNDELIGT UHELD ELLER HUDKONTAKT. Gravide, kvinder i den fødedygtige alder, astmatikere og personer med andre luftvejssygdomme bør udvise forsigtighed ved håndtering af </w:t>
      </w:r>
      <w:proofErr w:type="spellStart"/>
      <w:r w:rsidRPr="006E59E8">
        <w:rPr>
          <w:sz w:val="24"/>
          <w:szCs w:val="24"/>
        </w:rPr>
        <w:t>cloprostenol</w:t>
      </w:r>
      <w:proofErr w:type="spellEnd"/>
      <w:r w:rsidRPr="006E59E8">
        <w:rPr>
          <w:sz w:val="24"/>
          <w:szCs w:val="24"/>
        </w:rPr>
        <w:t>. Disse personer skal anvende gummi (eller plastik) handsker under administrationen af veterinærlægemidlet. Utilsigtet spild på huden bør øjeblikkeligt vaskes af med vand og sæbe.</w:t>
      </w:r>
    </w:p>
    <w:p w14:paraId="564BE38A" w14:textId="27E14CDB" w:rsidR="008203A8" w:rsidRPr="00406EE7" w:rsidRDefault="006E59E8" w:rsidP="006E59E8">
      <w:pPr>
        <w:tabs>
          <w:tab w:val="left" w:pos="851"/>
        </w:tabs>
        <w:ind w:left="851"/>
        <w:rPr>
          <w:sz w:val="24"/>
          <w:szCs w:val="24"/>
        </w:rPr>
      </w:pPr>
      <w:r w:rsidRPr="006E59E8">
        <w:rPr>
          <w:sz w:val="24"/>
          <w:szCs w:val="24"/>
        </w:rPr>
        <w:t>I tilfælde af selvinjektion ved hændeligt uheld skal der straks søges lægehjælp, og indlægssedlen eller etiketten bør vises til lægen.</w:t>
      </w:r>
    </w:p>
    <w:p w14:paraId="38650651" w14:textId="77777777" w:rsidR="008203A8" w:rsidRDefault="008203A8" w:rsidP="008203A8">
      <w:pPr>
        <w:tabs>
          <w:tab w:val="left" w:pos="851"/>
        </w:tabs>
        <w:ind w:left="851"/>
        <w:rPr>
          <w:sz w:val="24"/>
          <w:szCs w:val="24"/>
        </w:rPr>
      </w:pPr>
    </w:p>
    <w:p w14:paraId="16B01B75"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7D1A1CA9" w14:textId="3298AF34" w:rsidR="008203A8" w:rsidRPr="002E304C" w:rsidRDefault="006E59E8" w:rsidP="006E59E8">
      <w:pPr>
        <w:tabs>
          <w:tab w:val="left" w:pos="851"/>
        </w:tabs>
        <w:ind w:left="851"/>
        <w:rPr>
          <w:sz w:val="24"/>
          <w:szCs w:val="24"/>
        </w:rPr>
      </w:pPr>
      <w:r w:rsidRPr="006E59E8">
        <w:rPr>
          <w:sz w:val="24"/>
          <w:szCs w:val="24"/>
        </w:rPr>
        <w:t>Ikke relevant.</w:t>
      </w:r>
    </w:p>
    <w:p w14:paraId="6DCA7255" w14:textId="77777777" w:rsidR="008203A8" w:rsidRPr="00406EE7" w:rsidRDefault="008203A8" w:rsidP="008203A8">
      <w:pPr>
        <w:tabs>
          <w:tab w:val="left" w:pos="851"/>
        </w:tabs>
        <w:ind w:left="851"/>
        <w:rPr>
          <w:sz w:val="24"/>
          <w:szCs w:val="24"/>
        </w:rPr>
      </w:pPr>
    </w:p>
    <w:p w14:paraId="33472BB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18F2DB90" w14:textId="77777777" w:rsidR="006E59E8" w:rsidRPr="006E59E8" w:rsidRDefault="006E59E8" w:rsidP="006E59E8">
      <w:pPr>
        <w:tabs>
          <w:tab w:val="left" w:pos="8222"/>
        </w:tabs>
        <w:ind w:left="851"/>
        <w:jc w:val="both"/>
        <w:rPr>
          <w:sz w:val="24"/>
          <w:szCs w:val="24"/>
        </w:rPr>
      </w:pPr>
      <w:r w:rsidRPr="006E59E8">
        <w:rPr>
          <w:sz w:val="24"/>
          <w:szCs w:val="24"/>
        </w:rPr>
        <w:t>Kvæg (køer og kvier):</w:t>
      </w:r>
    </w:p>
    <w:p w14:paraId="37DDEB52" w14:textId="77777777" w:rsidR="006E59E8" w:rsidRDefault="006E59E8" w:rsidP="006E59E8">
      <w:pPr>
        <w:tabs>
          <w:tab w:val="left" w:pos="1304"/>
        </w:tabs>
        <w:rPr>
          <w:sz w:val="22"/>
          <w:szCs w:val="22"/>
        </w:rPr>
      </w:pP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6E59E8" w14:paraId="444272B7" w14:textId="77777777" w:rsidTr="006E59E8">
        <w:tc>
          <w:tcPr>
            <w:tcW w:w="2266" w:type="pct"/>
            <w:tcBorders>
              <w:top w:val="single" w:sz="4" w:space="0" w:color="auto"/>
              <w:left w:val="single" w:sz="4" w:space="0" w:color="auto"/>
              <w:bottom w:val="single" w:sz="4" w:space="0" w:color="auto"/>
              <w:right w:val="single" w:sz="4" w:space="0" w:color="auto"/>
            </w:tcBorders>
            <w:hideMark/>
          </w:tcPr>
          <w:p w14:paraId="5799719E" w14:textId="77777777" w:rsidR="006E59E8" w:rsidRDefault="006E59E8">
            <w:pPr>
              <w:rPr>
                <w:rFonts w:asciiTheme="majorBidi" w:hAnsiTheme="majorBidi" w:cstheme="majorBidi"/>
              </w:rPr>
            </w:pPr>
            <w:r>
              <w:rPr>
                <w:rFonts w:asciiTheme="majorBidi" w:hAnsiTheme="majorBidi" w:cstheme="majorBidi"/>
              </w:rPr>
              <w:t>Meget sjælden</w:t>
            </w:r>
          </w:p>
          <w:p w14:paraId="34A8A985" w14:textId="77777777" w:rsidR="006E59E8" w:rsidRDefault="006E59E8">
            <w:pPr>
              <w:rPr>
                <w:rFonts w:asciiTheme="majorBidi" w:hAnsiTheme="majorBidi" w:cstheme="majorBidi"/>
              </w:rPr>
            </w:pPr>
            <w:r>
              <w:rPr>
                <w:rFonts w:asciiTheme="majorBidi" w:hAnsiTheme="majorBidi" w:cstheme="majorBidi"/>
              </w:rPr>
              <w:t>(&lt; 1 dyr ud af 10 000 behandlede dyr, herunder enkeltstående indberetninger):</w:t>
            </w:r>
          </w:p>
        </w:tc>
        <w:tc>
          <w:tcPr>
            <w:tcW w:w="2734" w:type="pct"/>
            <w:tcBorders>
              <w:top w:val="single" w:sz="4" w:space="0" w:color="auto"/>
              <w:left w:val="single" w:sz="4" w:space="0" w:color="auto"/>
              <w:bottom w:val="single" w:sz="4" w:space="0" w:color="auto"/>
              <w:right w:val="single" w:sz="4" w:space="0" w:color="auto"/>
            </w:tcBorders>
            <w:hideMark/>
          </w:tcPr>
          <w:p w14:paraId="457C151A" w14:textId="77777777" w:rsidR="006E59E8" w:rsidRDefault="006E59E8">
            <w:pPr>
              <w:rPr>
                <w:rFonts w:asciiTheme="majorBidi" w:hAnsiTheme="majorBidi" w:cstheme="majorBidi"/>
                <w:iCs/>
              </w:rPr>
            </w:pPr>
            <w:proofErr w:type="spellStart"/>
            <w:r>
              <w:t>Anafylaktisk</w:t>
            </w:r>
            <w:proofErr w:type="spellEnd"/>
            <w:r>
              <w:t xml:space="preserve"> reaktion*</w:t>
            </w:r>
          </w:p>
        </w:tc>
      </w:tr>
      <w:tr w:rsidR="006E59E8" w14:paraId="73713E11" w14:textId="77777777" w:rsidTr="006E59E8">
        <w:tc>
          <w:tcPr>
            <w:tcW w:w="2266" w:type="pct"/>
            <w:tcBorders>
              <w:top w:val="single" w:sz="4" w:space="0" w:color="auto"/>
              <w:left w:val="single" w:sz="4" w:space="0" w:color="auto"/>
              <w:bottom w:val="single" w:sz="4" w:space="0" w:color="auto"/>
              <w:right w:val="single" w:sz="4" w:space="0" w:color="auto"/>
            </w:tcBorders>
            <w:hideMark/>
          </w:tcPr>
          <w:p w14:paraId="4437C261" w14:textId="77777777" w:rsidR="006E59E8" w:rsidRDefault="006E59E8">
            <w:pPr>
              <w:rPr>
                <w:rFonts w:asciiTheme="majorBidi" w:hAnsiTheme="majorBidi" w:cstheme="majorBidi"/>
              </w:rPr>
            </w:pPr>
            <w:r>
              <w:rPr>
                <w:szCs w:val="22"/>
              </w:rPr>
              <w:t>Ikke kendt (kan ikke estimeres ud fra forhåndenværende data)</w:t>
            </w:r>
          </w:p>
        </w:tc>
        <w:tc>
          <w:tcPr>
            <w:tcW w:w="2734" w:type="pct"/>
            <w:tcBorders>
              <w:top w:val="single" w:sz="4" w:space="0" w:color="auto"/>
              <w:left w:val="single" w:sz="4" w:space="0" w:color="auto"/>
              <w:bottom w:val="single" w:sz="4" w:space="0" w:color="auto"/>
              <w:right w:val="single" w:sz="4" w:space="0" w:color="auto"/>
            </w:tcBorders>
            <w:hideMark/>
          </w:tcPr>
          <w:p w14:paraId="2A28CC4C" w14:textId="77777777" w:rsidR="006E59E8" w:rsidRDefault="006E59E8">
            <w:r>
              <w:t>Infektion på injektionsstedet**</w:t>
            </w:r>
          </w:p>
          <w:p w14:paraId="7A3236E7" w14:textId="77777777" w:rsidR="006E59E8" w:rsidRDefault="006E59E8">
            <w:r>
              <w:rPr>
                <w:bCs/>
                <w:szCs w:val="24"/>
              </w:rPr>
              <w:t>Tilbageholdt efterbyrd</w:t>
            </w:r>
            <w:r>
              <w:t>***</w:t>
            </w:r>
          </w:p>
        </w:tc>
      </w:tr>
    </w:tbl>
    <w:p w14:paraId="5A66FFA5" w14:textId="77777777" w:rsidR="006E59E8" w:rsidRDefault="006E59E8" w:rsidP="006E59E8">
      <w:pPr>
        <w:ind w:left="851"/>
        <w:rPr>
          <w:sz w:val="22"/>
        </w:rPr>
      </w:pPr>
      <w:r>
        <w:rPr>
          <w:rFonts w:asciiTheme="majorBidi" w:hAnsiTheme="majorBidi" w:cstheme="majorBidi"/>
        </w:rPr>
        <w:t>*</w:t>
      </w:r>
      <w:r>
        <w:t xml:space="preserve"> Der kan ses anafylaktiske reaktioner, som kan være livstruende og kræve hurtig medicinsk behandling.</w:t>
      </w:r>
    </w:p>
    <w:p w14:paraId="3C6A4551" w14:textId="77777777" w:rsidR="006E59E8" w:rsidRDefault="006E59E8" w:rsidP="006E59E8">
      <w:pPr>
        <w:ind w:left="851"/>
        <w:jc w:val="both"/>
        <w:rPr>
          <w:sz w:val="24"/>
          <w:szCs w:val="24"/>
        </w:rPr>
      </w:pPr>
      <w:r>
        <w:rPr>
          <w:szCs w:val="22"/>
        </w:rPr>
        <w:t>**</w:t>
      </w:r>
      <w:r>
        <w:rPr>
          <w:szCs w:val="24"/>
        </w:rPr>
        <w:t xml:space="preserve"> Der kan forekomme infektioner, hvis anaerobe bakterier trænger gennem huden på injektionsstedet, især efter intramuskulær injektion. </w:t>
      </w:r>
    </w:p>
    <w:p w14:paraId="53F20F3D" w14:textId="77777777" w:rsidR="006E59E8" w:rsidRDefault="006E59E8" w:rsidP="006E59E8">
      <w:pPr>
        <w:ind w:left="851"/>
        <w:rPr>
          <w:bCs/>
          <w:sz w:val="24"/>
          <w:szCs w:val="24"/>
        </w:rPr>
      </w:pPr>
      <w:r>
        <w:rPr>
          <w:szCs w:val="22"/>
        </w:rPr>
        <w:t xml:space="preserve">*** </w:t>
      </w:r>
      <w:r>
        <w:rPr>
          <w:bCs/>
          <w:szCs w:val="24"/>
        </w:rPr>
        <w:t>Ved anvendelse til fødselsinduktion, og afhængig af behandlingstidspunktet i forhold til konceptionstidspunktet, er risikoen for tilbageholdt efterbyrd forøget.</w:t>
      </w:r>
    </w:p>
    <w:p w14:paraId="083F76B3" w14:textId="77777777" w:rsidR="006E59E8" w:rsidRPr="006E59E8" w:rsidRDefault="006E59E8" w:rsidP="006E59E8">
      <w:pPr>
        <w:ind w:left="851"/>
        <w:rPr>
          <w:rFonts w:asciiTheme="majorBidi" w:hAnsiTheme="majorBidi" w:cstheme="majorBidi"/>
          <w:sz w:val="24"/>
          <w:szCs w:val="24"/>
        </w:rPr>
      </w:pPr>
    </w:p>
    <w:p w14:paraId="05B954D9" w14:textId="77777777" w:rsidR="006E59E8" w:rsidRPr="006E59E8" w:rsidRDefault="006E59E8" w:rsidP="006E59E8">
      <w:pPr>
        <w:ind w:left="851"/>
        <w:rPr>
          <w:sz w:val="24"/>
          <w:szCs w:val="24"/>
          <w:lang w:eastAsia="da-DK"/>
        </w:rPr>
      </w:pPr>
      <w:r w:rsidRPr="006E59E8">
        <w:rPr>
          <w:rFonts w:asciiTheme="majorBidi" w:hAnsiTheme="majorBidi" w:cstheme="majorBidi"/>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r w:rsidRPr="006E59E8">
        <w:rPr>
          <w:sz w:val="24"/>
          <w:szCs w:val="24"/>
          <w:lang w:eastAsia="da-DK"/>
        </w:rPr>
        <w:t xml:space="preserve"> </w:t>
      </w:r>
    </w:p>
    <w:p w14:paraId="7D6423CF" w14:textId="77777777" w:rsidR="008203A8" w:rsidRPr="00406EE7" w:rsidRDefault="008203A8" w:rsidP="008203A8">
      <w:pPr>
        <w:tabs>
          <w:tab w:val="left" w:pos="851"/>
        </w:tabs>
        <w:ind w:left="851"/>
        <w:rPr>
          <w:sz w:val="24"/>
          <w:szCs w:val="24"/>
        </w:rPr>
      </w:pPr>
    </w:p>
    <w:p w14:paraId="05BEB031"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F7A022B" w14:textId="6003A876" w:rsidR="008203A8" w:rsidRPr="006E59E8" w:rsidRDefault="008203A8" w:rsidP="006E59E8">
      <w:pPr>
        <w:ind w:left="851"/>
        <w:rPr>
          <w:sz w:val="24"/>
          <w:szCs w:val="24"/>
        </w:rPr>
      </w:pPr>
    </w:p>
    <w:p w14:paraId="612623B5" w14:textId="77777777" w:rsidR="006E59E8" w:rsidRPr="006E59E8" w:rsidRDefault="006E59E8" w:rsidP="006E59E8">
      <w:pPr>
        <w:ind w:left="851"/>
        <w:rPr>
          <w:sz w:val="24"/>
          <w:szCs w:val="24"/>
          <w:u w:val="single"/>
        </w:rPr>
      </w:pPr>
      <w:r w:rsidRPr="006E59E8">
        <w:rPr>
          <w:sz w:val="24"/>
          <w:szCs w:val="24"/>
          <w:u w:val="single"/>
        </w:rPr>
        <w:t xml:space="preserve">Drægtighed: </w:t>
      </w:r>
    </w:p>
    <w:p w14:paraId="0F34CA4C" w14:textId="77777777" w:rsidR="006E59E8" w:rsidRPr="006E59E8" w:rsidRDefault="006E59E8" w:rsidP="006E59E8">
      <w:pPr>
        <w:ind w:left="851"/>
        <w:rPr>
          <w:sz w:val="24"/>
          <w:szCs w:val="24"/>
        </w:rPr>
      </w:pPr>
      <w:r w:rsidRPr="006E59E8">
        <w:rPr>
          <w:sz w:val="24"/>
          <w:szCs w:val="24"/>
        </w:rPr>
        <w:t>Må ikke anvendes under hele eller en del af drægtigheden, hvis abort eller fødselsinduktion ikke ønskes.</w:t>
      </w:r>
    </w:p>
    <w:p w14:paraId="77417C87" w14:textId="77777777" w:rsidR="006E59E8" w:rsidRPr="006E59E8" w:rsidRDefault="006E59E8" w:rsidP="006E59E8">
      <w:pPr>
        <w:ind w:left="851"/>
        <w:rPr>
          <w:sz w:val="24"/>
          <w:szCs w:val="24"/>
        </w:rPr>
      </w:pPr>
    </w:p>
    <w:p w14:paraId="26534CB8" w14:textId="77777777" w:rsidR="006E59E8" w:rsidRPr="006E59E8" w:rsidRDefault="006E59E8" w:rsidP="006E59E8">
      <w:pPr>
        <w:ind w:left="851"/>
        <w:rPr>
          <w:sz w:val="24"/>
          <w:szCs w:val="24"/>
        </w:rPr>
      </w:pPr>
      <w:r w:rsidRPr="006E59E8">
        <w:rPr>
          <w:sz w:val="24"/>
          <w:szCs w:val="24"/>
          <w:u w:val="single"/>
        </w:rPr>
        <w:t>Diegivning:</w:t>
      </w:r>
    </w:p>
    <w:p w14:paraId="64B2E41E" w14:textId="77777777" w:rsidR="006E59E8" w:rsidRPr="006E59E8" w:rsidRDefault="006E59E8" w:rsidP="006E59E8">
      <w:pPr>
        <w:ind w:left="851"/>
        <w:rPr>
          <w:sz w:val="24"/>
          <w:szCs w:val="24"/>
        </w:rPr>
      </w:pPr>
      <w:r w:rsidRPr="006E59E8">
        <w:rPr>
          <w:sz w:val="24"/>
          <w:szCs w:val="24"/>
        </w:rPr>
        <w:t>Veterinærlægemidlet kan anvendes.</w:t>
      </w:r>
    </w:p>
    <w:p w14:paraId="06B21892" w14:textId="77777777" w:rsidR="008203A8" w:rsidRPr="00406EE7" w:rsidRDefault="008203A8" w:rsidP="008203A8">
      <w:pPr>
        <w:tabs>
          <w:tab w:val="left" w:pos="851"/>
        </w:tabs>
        <w:ind w:left="851"/>
        <w:rPr>
          <w:sz w:val="24"/>
          <w:szCs w:val="24"/>
        </w:rPr>
      </w:pPr>
    </w:p>
    <w:p w14:paraId="796550B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0452FBBB" w14:textId="77777777" w:rsidR="006E59E8" w:rsidRPr="006E59E8" w:rsidRDefault="006E59E8" w:rsidP="006E59E8">
      <w:pPr>
        <w:ind w:left="851"/>
        <w:rPr>
          <w:sz w:val="24"/>
          <w:szCs w:val="24"/>
        </w:rPr>
      </w:pPr>
      <w:r w:rsidRPr="006E59E8">
        <w:rPr>
          <w:sz w:val="24"/>
          <w:szCs w:val="24"/>
        </w:rPr>
        <w:t xml:space="preserve">Samtidig anvendelse af </w:t>
      </w:r>
      <w:proofErr w:type="spellStart"/>
      <w:r w:rsidRPr="006E59E8">
        <w:rPr>
          <w:sz w:val="24"/>
          <w:szCs w:val="24"/>
        </w:rPr>
        <w:t>oxytocin</w:t>
      </w:r>
      <w:proofErr w:type="spellEnd"/>
      <w:r w:rsidRPr="006E59E8">
        <w:rPr>
          <w:sz w:val="24"/>
          <w:szCs w:val="24"/>
        </w:rPr>
        <w:t xml:space="preserve"> og </w:t>
      </w:r>
      <w:proofErr w:type="spellStart"/>
      <w:r w:rsidRPr="006E59E8">
        <w:rPr>
          <w:sz w:val="24"/>
          <w:szCs w:val="24"/>
        </w:rPr>
        <w:t>cloprostenol</w:t>
      </w:r>
      <w:proofErr w:type="spellEnd"/>
      <w:r w:rsidRPr="006E59E8">
        <w:rPr>
          <w:sz w:val="24"/>
          <w:szCs w:val="24"/>
        </w:rPr>
        <w:t xml:space="preserve"> øger disses virkning på uterus. </w:t>
      </w:r>
    </w:p>
    <w:p w14:paraId="7E8FF4FE" w14:textId="77777777" w:rsidR="006E59E8" w:rsidRPr="006E59E8" w:rsidRDefault="006E59E8" w:rsidP="006E59E8">
      <w:pPr>
        <w:ind w:left="851"/>
        <w:rPr>
          <w:sz w:val="24"/>
          <w:szCs w:val="24"/>
        </w:rPr>
      </w:pPr>
      <w:r w:rsidRPr="006E59E8">
        <w:rPr>
          <w:sz w:val="24"/>
          <w:szCs w:val="24"/>
        </w:rPr>
        <w:t xml:space="preserve">Andre </w:t>
      </w:r>
      <w:proofErr w:type="spellStart"/>
      <w:r w:rsidRPr="006E59E8">
        <w:rPr>
          <w:sz w:val="24"/>
          <w:szCs w:val="24"/>
        </w:rPr>
        <w:t>oxitociske</w:t>
      </w:r>
      <w:proofErr w:type="spellEnd"/>
      <w:r w:rsidRPr="006E59E8">
        <w:rPr>
          <w:sz w:val="24"/>
          <w:szCs w:val="24"/>
        </w:rPr>
        <w:t xml:space="preserve"> veterinærlægemidlers aktivitet kan øges efter indgivelse af </w:t>
      </w:r>
      <w:proofErr w:type="spellStart"/>
      <w:r w:rsidRPr="006E59E8">
        <w:rPr>
          <w:sz w:val="24"/>
          <w:szCs w:val="24"/>
        </w:rPr>
        <w:t>cloprostenol</w:t>
      </w:r>
      <w:proofErr w:type="spellEnd"/>
      <w:r w:rsidRPr="006E59E8">
        <w:rPr>
          <w:sz w:val="24"/>
          <w:szCs w:val="24"/>
        </w:rPr>
        <w:t>.</w:t>
      </w:r>
    </w:p>
    <w:p w14:paraId="73B6C016" w14:textId="77777777" w:rsidR="006E59E8" w:rsidRPr="006E59E8" w:rsidRDefault="006E59E8" w:rsidP="006E59E8">
      <w:pPr>
        <w:ind w:left="851"/>
        <w:rPr>
          <w:sz w:val="24"/>
          <w:szCs w:val="24"/>
        </w:rPr>
      </w:pPr>
    </w:p>
    <w:p w14:paraId="3ED62E62" w14:textId="44F40A19" w:rsidR="008203A8" w:rsidRPr="006E59E8" w:rsidRDefault="006E59E8" w:rsidP="006E59E8">
      <w:pPr>
        <w:tabs>
          <w:tab w:val="left" w:pos="851"/>
        </w:tabs>
        <w:ind w:left="851"/>
        <w:rPr>
          <w:sz w:val="24"/>
          <w:szCs w:val="24"/>
        </w:rPr>
      </w:pPr>
      <w:r w:rsidRPr="006E59E8">
        <w:rPr>
          <w:sz w:val="24"/>
          <w:szCs w:val="24"/>
        </w:rPr>
        <w:t>Anvend ikke veterinærlægemidlet til dyr, der behandles med non-</w:t>
      </w:r>
      <w:proofErr w:type="spellStart"/>
      <w:r w:rsidRPr="006E59E8">
        <w:rPr>
          <w:sz w:val="24"/>
          <w:szCs w:val="24"/>
        </w:rPr>
        <w:t>steroide</w:t>
      </w:r>
      <w:proofErr w:type="spellEnd"/>
      <w:r w:rsidRPr="006E59E8">
        <w:rPr>
          <w:sz w:val="24"/>
          <w:szCs w:val="24"/>
        </w:rPr>
        <w:t xml:space="preserve"> anti-inflammatoriske midler, idet syntesen af endogene </w:t>
      </w:r>
      <w:proofErr w:type="spellStart"/>
      <w:r w:rsidRPr="006E59E8">
        <w:rPr>
          <w:sz w:val="24"/>
          <w:szCs w:val="24"/>
        </w:rPr>
        <w:t>prostaglandiner</w:t>
      </w:r>
      <w:proofErr w:type="spellEnd"/>
      <w:r w:rsidRPr="006E59E8">
        <w:rPr>
          <w:sz w:val="24"/>
          <w:szCs w:val="24"/>
        </w:rPr>
        <w:t xml:space="preserve"> derved nedsættes.</w:t>
      </w:r>
    </w:p>
    <w:p w14:paraId="39BE3E8B" w14:textId="77777777" w:rsidR="008203A8" w:rsidRPr="00406EE7" w:rsidRDefault="008203A8" w:rsidP="006E59E8">
      <w:pPr>
        <w:tabs>
          <w:tab w:val="left" w:pos="851"/>
        </w:tabs>
        <w:ind w:left="851"/>
        <w:rPr>
          <w:sz w:val="24"/>
          <w:szCs w:val="24"/>
        </w:rPr>
      </w:pPr>
    </w:p>
    <w:p w14:paraId="5272254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5438DD6B" w14:textId="77777777" w:rsidR="00C74D59" w:rsidRPr="00C74D59" w:rsidRDefault="00C74D59" w:rsidP="00C74D59">
      <w:pPr>
        <w:tabs>
          <w:tab w:val="left" w:pos="851"/>
        </w:tabs>
        <w:ind w:left="851"/>
        <w:rPr>
          <w:sz w:val="24"/>
          <w:szCs w:val="24"/>
        </w:rPr>
      </w:pPr>
      <w:r w:rsidRPr="00C74D59">
        <w:rPr>
          <w:sz w:val="24"/>
          <w:szCs w:val="24"/>
        </w:rPr>
        <w:t xml:space="preserve">Intramuskulær anvendelse. </w:t>
      </w:r>
    </w:p>
    <w:p w14:paraId="24933F45" w14:textId="77777777" w:rsidR="00C74D59" w:rsidRPr="00C74D59" w:rsidRDefault="00C74D59" w:rsidP="00C74D59">
      <w:pPr>
        <w:tabs>
          <w:tab w:val="left" w:pos="851"/>
        </w:tabs>
        <w:ind w:left="851"/>
        <w:rPr>
          <w:sz w:val="24"/>
          <w:szCs w:val="24"/>
        </w:rPr>
      </w:pPr>
    </w:p>
    <w:p w14:paraId="3FEEF509" w14:textId="2E771B1F" w:rsidR="00C74D59" w:rsidRPr="00C74D59" w:rsidRDefault="00C74D59" w:rsidP="00C74D59">
      <w:pPr>
        <w:tabs>
          <w:tab w:val="left" w:pos="851"/>
        </w:tabs>
        <w:ind w:left="851"/>
        <w:rPr>
          <w:sz w:val="24"/>
          <w:szCs w:val="24"/>
        </w:rPr>
      </w:pPr>
      <w:r w:rsidRPr="00C74D59">
        <w:rPr>
          <w:sz w:val="24"/>
          <w:szCs w:val="24"/>
        </w:rPr>
        <w:t xml:space="preserve">Dosis for alle indikationer er 0,5 mg </w:t>
      </w:r>
      <w:proofErr w:type="spellStart"/>
      <w:r w:rsidRPr="00C74D59">
        <w:rPr>
          <w:sz w:val="24"/>
          <w:szCs w:val="24"/>
        </w:rPr>
        <w:t>cloprostenol</w:t>
      </w:r>
      <w:proofErr w:type="spellEnd"/>
      <w:r w:rsidRPr="00C74D59">
        <w:rPr>
          <w:sz w:val="24"/>
          <w:szCs w:val="24"/>
        </w:rPr>
        <w:t xml:space="preserve"> pr. dyr svarende til 2 ml af veterinærlægemidlet givet intramuskulært. </w:t>
      </w:r>
    </w:p>
    <w:p w14:paraId="4D3B323C" w14:textId="77777777" w:rsidR="00C74D59" w:rsidRPr="00C74D59" w:rsidRDefault="00C74D59" w:rsidP="00C74D59">
      <w:pPr>
        <w:tabs>
          <w:tab w:val="left" w:pos="851"/>
        </w:tabs>
        <w:ind w:left="851"/>
        <w:rPr>
          <w:sz w:val="24"/>
          <w:szCs w:val="24"/>
        </w:rPr>
      </w:pPr>
    </w:p>
    <w:p w14:paraId="000CD2EA" w14:textId="73030B13" w:rsidR="008203A8" w:rsidRPr="00406EE7" w:rsidRDefault="00C74D59" w:rsidP="00C74D59">
      <w:pPr>
        <w:tabs>
          <w:tab w:val="left" w:pos="851"/>
        </w:tabs>
        <w:ind w:left="851"/>
        <w:rPr>
          <w:sz w:val="24"/>
          <w:szCs w:val="24"/>
        </w:rPr>
      </w:pPr>
      <w:r w:rsidRPr="00C74D59">
        <w:rPr>
          <w:sz w:val="24"/>
          <w:szCs w:val="24"/>
        </w:rPr>
        <w:t>Til brunstsynkronisering af køer og kvier anbefales det at give to injektioner af veterinærlægemidlet med et interval på 11 dage.</w:t>
      </w:r>
    </w:p>
    <w:p w14:paraId="0703FE61" w14:textId="77777777" w:rsidR="008203A8" w:rsidRPr="00406EE7" w:rsidRDefault="008203A8" w:rsidP="008203A8">
      <w:pPr>
        <w:tabs>
          <w:tab w:val="left" w:pos="851"/>
        </w:tabs>
        <w:ind w:left="851"/>
        <w:rPr>
          <w:sz w:val="24"/>
          <w:szCs w:val="24"/>
        </w:rPr>
      </w:pPr>
    </w:p>
    <w:p w14:paraId="3F42788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1F0CECAC" w14:textId="77777777" w:rsidR="00C74D59" w:rsidRPr="00C74D59" w:rsidRDefault="00C74D59" w:rsidP="00C74D59">
      <w:pPr>
        <w:tabs>
          <w:tab w:val="left" w:pos="851"/>
        </w:tabs>
        <w:ind w:left="851"/>
        <w:rPr>
          <w:sz w:val="24"/>
          <w:szCs w:val="24"/>
        </w:rPr>
      </w:pPr>
      <w:r w:rsidRPr="00C74D59">
        <w:rPr>
          <w:sz w:val="24"/>
          <w:szCs w:val="24"/>
        </w:rPr>
        <w:t xml:space="preserve">Det terapeutiske indeks hos kvæg er stort. Overdosering med mere end 10 gange dosis tolereres generelt godt. </w:t>
      </w:r>
    </w:p>
    <w:p w14:paraId="4DE03968" w14:textId="77777777" w:rsidR="00C74D59" w:rsidRPr="00C74D59" w:rsidRDefault="00C74D59" w:rsidP="00C74D59">
      <w:pPr>
        <w:tabs>
          <w:tab w:val="left" w:pos="851"/>
        </w:tabs>
        <w:ind w:left="851"/>
        <w:rPr>
          <w:sz w:val="24"/>
          <w:szCs w:val="24"/>
        </w:rPr>
      </w:pPr>
      <w:r w:rsidRPr="00C74D59">
        <w:rPr>
          <w:sz w:val="24"/>
          <w:szCs w:val="24"/>
        </w:rPr>
        <w:t>Store overdoseringer kan forårsage forbigående diarre. Der findes ingen modgift.</w:t>
      </w:r>
    </w:p>
    <w:p w14:paraId="74169765" w14:textId="2E072A17" w:rsidR="008203A8" w:rsidRPr="00406EE7" w:rsidRDefault="00C74D59" w:rsidP="00C74D59">
      <w:pPr>
        <w:tabs>
          <w:tab w:val="left" w:pos="851"/>
        </w:tabs>
        <w:ind w:left="851"/>
        <w:rPr>
          <w:sz w:val="24"/>
          <w:szCs w:val="24"/>
        </w:rPr>
      </w:pPr>
      <w:r w:rsidRPr="00C74D59">
        <w:rPr>
          <w:sz w:val="24"/>
          <w:szCs w:val="24"/>
        </w:rPr>
        <w:t xml:space="preserve">Overdosering vil ikke fremskynde corpus </w:t>
      </w:r>
      <w:proofErr w:type="spellStart"/>
      <w:r w:rsidRPr="00C74D59">
        <w:rPr>
          <w:sz w:val="24"/>
          <w:szCs w:val="24"/>
        </w:rPr>
        <w:t>luteum</w:t>
      </w:r>
      <w:proofErr w:type="spellEnd"/>
      <w:r w:rsidRPr="00C74D59">
        <w:rPr>
          <w:sz w:val="24"/>
          <w:szCs w:val="24"/>
        </w:rPr>
        <w:t xml:space="preserve"> regression.</w:t>
      </w:r>
    </w:p>
    <w:p w14:paraId="21BAE8D7" w14:textId="77777777" w:rsidR="008203A8" w:rsidRDefault="008203A8" w:rsidP="008203A8">
      <w:pPr>
        <w:tabs>
          <w:tab w:val="left" w:pos="851"/>
        </w:tabs>
        <w:ind w:left="851"/>
        <w:rPr>
          <w:sz w:val="24"/>
          <w:szCs w:val="24"/>
        </w:rPr>
      </w:pPr>
    </w:p>
    <w:p w14:paraId="1A83505B"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AAE7B24" w14:textId="7BEC305F" w:rsidR="008203A8" w:rsidRDefault="00C74D59" w:rsidP="008203A8">
      <w:pPr>
        <w:tabs>
          <w:tab w:val="left" w:pos="851"/>
        </w:tabs>
        <w:ind w:left="851"/>
        <w:rPr>
          <w:sz w:val="24"/>
          <w:szCs w:val="24"/>
        </w:rPr>
      </w:pPr>
      <w:r w:rsidRPr="00C74D59">
        <w:rPr>
          <w:sz w:val="24"/>
          <w:szCs w:val="24"/>
        </w:rPr>
        <w:t>Ikke relevant.</w:t>
      </w:r>
    </w:p>
    <w:p w14:paraId="52B6E3E0" w14:textId="77777777" w:rsidR="008203A8" w:rsidRPr="00406EE7" w:rsidRDefault="008203A8" w:rsidP="008203A8">
      <w:pPr>
        <w:tabs>
          <w:tab w:val="left" w:pos="851"/>
        </w:tabs>
        <w:ind w:left="851"/>
        <w:rPr>
          <w:sz w:val="24"/>
          <w:szCs w:val="24"/>
        </w:rPr>
      </w:pPr>
    </w:p>
    <w:p w14:paraId="4D50F35F" w14:textId="77777777" w:rsidR="008203A8" w:rsidRPr="00406EE7" w:rsidRDefault="008203A8" w:rsidP="00C74D59">
      <w:pPr>
        <w:keepNext/>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3E5095EB" w14:textId="0F690D3F" w:rsidR="00C74D59" w:rsidRPr="00C74D59" w:rsidRDefault="00C74D59" w:rsidP="00C74D59">
      <w:pPr>
        <w:keepNext/>
        <w:tabs>
          <w:tab w:val="left" w:pos="2127"/>
        </w:tabs>
        <w:ind w:left="851"/>
        <w:rPr>
          <w:rFonts w:asciiTheme="majorBidi" w:hAnsiTheme="majorBidi" w:cstheme="majorBidi"/>
          <w:sz w:val="24"/>
          <w:szCs w:val="24"/>
        </w:rPr>
      </w:pPr>
      <w:r w:rsidRPr="00C74D59">
        <w:rPr>
          <w:rFonts w:asciiTheme="majorBidi" w:hAnsiTheme="majorBidi" w:cstheme="majorBidi"/>
          <w:sz w:val="24"/>
          <w:szCs w:val="24"/>
        </w:rPr>
        <w:t xml:space="preserve">Slagtning: </w:t>
      </w:r>
      <w:r>
        <w:rPr>
          <w:rFonts w:asciiTheme="majorBidi" w:hAnsiTheme="majorBidi" w:cstheme="majorBidi"/>
          <w:sz w:val="24"/>
          <w:szCs w:val="24"/>
        </w:rPr>
        <w:tab/>
      </w:r>
      <w:r w:rsidRPr="00C74D59">
        <w:rPr>
          <w:rFonts w:asciiTheme="majorBidi" w:hAnsiTheme="majorBidi" w:cstheme="majorBidi"/>
          <w:sz w:val="24"/>
          <w:szCs w:val="24"/>
        </w:rPr>
        <w:t>2 dage</w:t>
      </w:r>
    </w:p>
    <w:p w14:paraId="34941DFB" w14:textId="77777777" w:rsidR="00C74D59" w:rsidRPr="00C74D59" w:rsidRDefault="00C74D59" w:rsidP="00C74D59">
      <w:pPr>
        <w:keepNext/>
        <w:tabs>
          <w:tab w:val="left" w:pos="2127"/>
        </w:tabs>
        <w:ind w:left="851"/>
        <w:rPr>
          <w:sz w:val="24"/>
          <w:szCs w:val="24"/>
        </w:rPr>
      </w:pPr>
      <w:r w:rsidRPr="00C74D59">
        <w:rPr>
          <w:rFonts w:asciiTheme="majorBidi" w:hAnsiTheme="majorBidi" w:cstheme="majorBidi"/>
          <w:sz w:val="24"/>
          <w:szCs w:val="24"/>
        </w:rPr>
        <w:t>Mælk:</w:t>
      </w:r>
      <w:r w:rsidRPr="00C74D59">
        <w:rPr>
          <w:rFonts w:asciiTheme="majorBidi" w:hAnsiTheme="majorBidi" w:cstheme="majorBidi"/>
          <w:sz w:val="24"/>
          <w:szCs w:val="24"/>
        </w:rPr>
        <w:tab/>
        <w:t>0 timer</w:t>
      </w:r>
    </w:p>
    <w:p w14:paraId="35956C0A" w14:textId="6563BCD8" w:rsidR="008203A8" w:rsidRPr="00406EE7" w:rsidRDefault="008203A8" w:rsidP="008203A8">
      <w:pPr>
        <w:tabs>
          <w:tab w:val="left" w:pos="851"/>
        </w:tabs>
        <w:ind w:left="851"/>
        <w:rPr>
          <w:sz w:val="24"/>
          <w:szCs w:val="24"/>
        </w:rPr>
      </w:pPr>
    </w:p>
    <w:p w14:paraId="04155D1D" w14:textId="77777777" w:rsidR="008203A8" w:rsidRPr="00406EE7" w:rsidRDefault="008203A8" w:rsidP="008203A8">
      <w:pPr>
        <w:tabs>
          <w:tab w:val="left" w:pos="851"/>
        </w:tabs>
        <w:ind w:left="851"/>
        <w:rPr>
          <w:sz w:val="24"/>
          <w:szCs w:val="24"/>
        </w:rPr>
      </w:pPr>
    </w:p>
    <w:p w14:paraId="42A1C61A" w14:textId="4A43F87C" w:rsidR="008203A8" w:rsidRPr="00C74D59" w:rsidRDefault="008203A8" w:rsidP="008203A8">
      <w:pPr>
        <w:ind w:left="851" w:hanging="851"/>
        <w:rPr>
          <w:b/>
          <w:sz w:val="24"/>
          <w:szCs w:val="24"/>
        </w:rPr>
      </w:pPr>
      <w:r w:rsidRPr="00C74D59">
        <w:rPr>
          <w:b/>
          <w:sz w:val="24"/>
          <w:szCs w:val="24"/>
        </w:rPr>
        <w:t>4.</w:t>
      </w:r>
      <w:r w:rsidRPr="00C74D59">
        <w:rPr>
          <w:b/>
          <w:sz w:val="24"/>
          <w:szCs w:val="24"/>
        </w:rPr>
        <w:tab/>
        <w:t>FARMAKOLOGISKE OPLYSNINGER</w:t>
      </w:r>
    </w:p>
    <w:p w14:paraId="53399F7F" w14:textId="77777777" w:rsidR="008203A8" w:rsidRPr="00C74D59" w:rsidRDefault="008203A8" w:rsidP="008203A8">
      <w:pPr>
        <w:ind w:left="851"/>
        <w:rPr>
          <w:sz w:val="24"/>
          <w:szCs w:val="24"/>
        </w:rPr>
      </w:pPr>
    </w:p>
    <w:p w14:paraId="64A8B2FC" w14:textId="77777777" w:rsidR="008203A8" w:rsidRPr="00C74D59" w:rsidRDefault="008203A8" w:rsidP="008203A8">
      <w:pPr>
        <w:ind w:left="851" w:hanging="851"/>
        <w:rPr>
          <w:b/>
          <w:sz w:val="24"/>
          <w:szCs w:val="24"/>
        </w:rPr>
      </w:pPr>
      <w:r w:rsidRPr="00C74D59">
        <w:rPr>
          <w:b/>
          <w:sz w:val="24"/>
          <w:szCs w:val="24"/>
        </w:rPr>
        <w:t>4.1</w:t>
      </w:r>
      <w:r w:rsidRPr="00C74D59">
        <w:rPr>
          <w:b/>
          <w:sz w:val="24"/>
          <w:szCs w:val="24"/>
        </w:rPr>
        <w:tab/>
      </w:r>
      <w:proofErr w:type="spellStart"/>
      <w:r w:rsidRPr="00C74D59">
        <w:rPr>
          <w:b/>
          <w:sz w:val="24"/>
          <w:szCs w:val="24"/>
        </w:rPr>
        <w:t>ATCvet</w:t>
      </w:r>
      <w:proofErr w:type="spellEnd"/>
      <w:r w:rsidRPr="00C74D59">
        <w:rPr>
          <w:b/>
          <w:sz w:val="24"/>
          <w:szCs w:val="24"/>
        </w:rPr>
        <w:t>-kode</w:t>
      </w:r>
    </w:p>
    <w:p w14:paraId="36E7644F" w14:textId="6B029BA0" w:rsidR="008203A8" w:rsidRPr="00C74D59" w:rsidRDefault="00C74D59" w:rsidP="008203A8">
      <w:pPr>
        <w:ind w:left="851"/>
        <w:rPr>
          <w:sz w:val="24"/>
          <w:szCs w:val="24"/>
        </w:rPr>
      </w:pPr>
      <w:r w:rsidRPr="00C74D59">
        <w:rPr>
          <w:sz w:val="24"/>
          <w:szCs w:val="24"/>
        </w:rPr>
        <w:t>QG02AD90.</w:t>
      </w:r>
    </w:p>
    <w:p w14:paraId="660000B7" w14:textId="77777777" w:rsidR="008203A8" w:rsidRPr="00C74D59" w:rsidRDefault="008203A8" w:rsidP="008203A8">
      <w:pPr>
        <w:ind w:left="851"/>
        <w:rPr>
          <w:sz w:val="24"/>
          <w:szCs w:val="24"/>
        </w:rPr>
      </w:pPr>
    </w:p>
    <w:p w14:paraId="29285A67" w14:textId="77777777" w:rsidR="008203A8" w:rsidRPr="00C74D59" w:rsidRDefault="008203A8" w:rsidP="008203A8">
      <w:pPr>
        <w:tabs>
          <w:tab w:val="left" w:pos="851"/>
        </w:tabs>
        <w:ind w:left="851" w:hanging="851"/>
        <w:rPr>
          <w:b/>
          <w:sz w:val="24"/>
          <w:szCs w:val="24"/>
        </w:rPr>
      </w:pPr>
      <w:r w:rsidRPr="00C74D59">
        <w:rPr>
          <w:b/>
          <w:sz w:val="24"/>
          <w:szCs w:val="24"/>
        </w:rPr>
        <w:t>4.2</w:t>
      </w:r>
      <w:r w:rsidRPr="00C74D59">
        <w:rPr>
          <w:b/>
          <w:sz w:val="24"/>
          <w:szCs w:val="24"/>
        </w:rPr>
        <w:tab/>
      </w:r>
      <w:proofErr w:type="spellStart"/>
      <w:r w:rsidRPr="00C74D59">
        <w:rPr>
          <w:b/>
          <w:sz w:val="24"/>
          <w:szCs w:val="24"/>
        </w:rPr>
        <w:t>Farmakodynamiske</w:t>
      </w:r>
      <w:proofErr w:type="spellEnd"/>
      <w:r w:rsidRPr="00C74D59">
        <w:rPr>
          <w:b/>
          <w:sz w:val="24"/>
          <w:szCs w:val="24"/>
        </w:rPr>
        <w:t xml:space="preserve"> oplysninger</w:t>
      </w:r>
    </w:p>
    <w:p w14:paraId="3795857E" w14:textId="77777777" w:rsidR="00C74D59" w:rsidRPr="00C74D59" w:rsidRDefault="00C74D59" w:rsidP="00C74D59">
      <w:pPr>
        <w:tabs>
          <w:tab w:val="left" w:pos="851"/>
        </w:tabs>
        <w:ind w:left="851"/>
        <w:rPr>
          <w:sz w:val="24"/>
          <w:szCs w:val="24"/>
        </w:rPr>
      </w:pPr>
      <w:proofErr w:type="spellStart"/>
      <w:r w:rsidRPr="00C74D59">
        <w:rPr>
          <w:sz w:val="24"/>
          <w:szCs w:val="24"/>
        </w:rPr>
        <w:t>Cloprostenol</w:t>
      </w:r>
      <w:proofErr w:type="spellEnd"/>
      <w:r w:rsidRPr="00C74D59">
        <w:rPr>
          <w:sz w:val="24"/>
          <w:szCs w:val="24"/>
        </w:rPr>
        <w:t xml:space="preserve"> er en </w:t>
      </w:r>
      <w:proofErr w:type="spellStart"/>
      <w:r w:rsidRPr="00C74D59">
        <w:rPr>
          <w:sz w:val="24"/>
          <w:szCs w:val="24"/>
        </w:rPr>
        <w:t>prostaglandin</w:t>
      </w:r>
      <w:proofErr w:type="spellEnd"/>
      <w:r w:rsidRPr="00C74D59">
        <w:rPr>
          <w:sz w:val="24"/>
          <w:szCs w:val="24"/>
        </w:rPr>
        <w:t xml:space="preserve"> F2α-analog med </w:t>
      </w:r>
      <w:proofErr w:type="spellStart"/>
      <w:r w:rsidRPr="00C74D59">
        <w:rPr>
          <w:sz w:val="24"/>
          <w:szCs w:val="24"/>
        </w:rPr>
        <w:t>luteolytisk</w:t>
      </w:r>
      <w:proofErr w:type="spellEnd"/>
      <w:r w:rsidRPr="00C74D59">
        <w:rPr>
          <w:sz w:val="24"/>
          <w:szCs w:val="24"/>
        </w:rPr>
        <w:t xml:space="preserve"> effekt. Efter indgift falder plasmaprogesteronværdierne til normalniveau. </w:t>
      </w:r>
      <w:proofErr w:type="gramStart"/>
      <w:r w:rsidRPr="00C74D59">
        <w:rPr>
          <w:sz w:val="24"/>
          <w:szCs w:val="24"/>
        </w:rPr>
        <w:t>Progesteron koncentrationen</w:t>
      </w:r>
      <w:proofErr w:type="gramEnd"/>
      <w:r w:rsidRPr="00C74D59">
        <w:rPr>
          <w:sz w:val="24"/>
          <w:szCs w:val="24"/>
        </w:rPr>
        <w:t xml:space="preserve"> begynder at falde allerede 2 timer efter injektion. Som følge heraf kommer køer og kvier med påvirkelige CL (dvs. mindst 5 dage gammel) i fornyet brunst 2-5 dage efter behandlingen.</w:t>
      </w:r>
    </w:p>
    <w:p w14:paraId="0C20E6CE" w14:textId="7E2F093D" w:rsidR="008203A8" w:rsidRPr="00C74D59" w:rsidRDefault="00C74D59" w:rsidP="00C74D59">
      <w:pPr>
        <w:tabs>
          <w:tab w:val="left" w:pos="851"/>
        </w:tabs>
        <w:ind w:left="851"/>
        <w:rPr>
          <w:sz w:val="24"/>
          <w:szCs w:val="24"/>
        </w:rPr>
      </w:pPr>
      <w:proofErr w:type="spellStart"/>
      <w:r w:rsidRPr="00C74D59">
        <w:rPr>
          <w:sz w:val="24"/>
          <w:szCs w:val="24"/>
        </w:rPr>
        <w:t>Cloprostenols</w:t>
      </w:r>
      <w:proofErr w:type="spellEnd"/>
      <w:r w:rsidRPr="00C74D59">
        <w:rPr>
          <w:sz w:val="24"/>
          <w:szCs w:val="24"/>
        </w:rPr>
        <w:t xml:space="preserve"> virkning på glat muskulatur er sammenlignelig med virkningerne af det naturlige </w:t>
      </w:r>
      <w:proofErr w:type="spellStart"/>
      <w:r w:rsidRPr="00C74D59">
        <w:rPr>
          <w:sz w:val="24"/>
          <w:szCs w:val="24"/>
        </w:rPr>
        <w:t>prostaglandin</w:t>
      </w:r>
      <w:proofErr w:type="spellEnd"/>
      <w:r w:rsidRPr="00C74D59">
        <w:rPr>
          <w:sz w:val="24"/>
          <w:szCs w:val="24"/>
        </w:rPr>
        <w:t xml:space="preserve"> F2α.</w:t>
      </w:r>
    </w:p>
    <w:p w14:paraId="654327F4" w14:textId="77777777" w:rsidR="008203A8" w:rsidRPr="00C74D59" w:rsidRDefault="008203A8" w:rsidP="008203A8">
      <w:pPr>
        <w:tabs>
          <w:tab w:val="left" w:pos="851"/>
        </w:tabs>
        <w:ind w:left="851"/>
        <w:rPr>
          <w:sz w:val="24"/>
          <w:szCs w:val="24"/>
        </w:rPr>
      </w:pPr>
    </w:p>
    <w:p w14:paraId="5C60A18B" w14:textId="77777777" w:rsidR="008203A8" w:rsidRPr="00406EE7" w:rsidRDefault="008203A8" w:rsidP="008203A8">
      <w:pPr>
        <w:tabs>
          <w:tab w:val="left" w:pos="851"/>
        </w:tabs>
        <w:ind w:left="851" w:hanging="851"/>
        <w:rPr>
          <w:b/>
          <w:sz w:val="24"/>
          <w:szCs w:val="24"/>
        </w:rPr>
      </w:pPr>
      <w:r w:rsidRPr="00C74D59">
        <w:rPr>
          <w:b/>
          <w:sz w:val="24"/>
          <w:szCs w:val="24"/>
        </w:rPr>
        <w:t>4.3</w:t>
      </w:r>
      <w:r w:rsidRPr="00C74D59">
        <w:rPr>
          <w:b/>
          <w:sz w:val="24"/>
          <w:szCs w:val="24"/>
        </w:rPr>
        <w:tab/>
      </w:r>
      <w:proofErr w:type="spellStart"/>
      <w:r w:rsidRPr="00C74D59">
        <w:rPr>
          <w:b/>
          <w:sz w:val="24"/>
          <w:szCs w:val="24"/>
        </w:rPr>
        <w:t>Far</w:t>
      </w:r>
      <w:r w:rsidRPr="002E7439">
        <w:rPr>
          <w:b/>
          <w:sz w:val="24"/>
          <w:szCs w:val="24"/>
        </w:rPr>
        <w:t>makokinetiske</w:t>
      </w:r>
      <w:proofErr w:type="spellEnd"/>
      <w:r w:rsidRPr="002E7439">
        <w:rPr>
          <w:b/>
          <w:sz w:val="24"/>
          <w:szCs w:val="24"/>
        </w:rPr>
        <w:t xml:space="preserve"> oplysninger</w:t>
      </w:r>
    </w:p>
    <w:p w14:paraId="02222C8A" w14:textId="00093498" w:rsidR="008203A8" w:rsidRPr="00406EE7" w:rsidRDefault="00C74D59" w:rsidP="008203A8">
      <w:pPr>
        <w:tabs>
          <w:tab w:val="left" w:pos="851"/>
        </w:tabs>
        <w:ind w:left="851"/>
        <w:rPr>
          <w:sz w:val="24"/>
          <w:szCs w:val="24"/>
        </w:rPr>
      </w:pPr>
      <w:r w:rsidRPr="00C74D59">
        <w:rPr>
          <w:sz w:val="24"/>
          <w:szCs w:val="24"/>
        </w:rPr>
        <w:t xml:space="preserve">Efter intramuskulær injektion absorberes </w:t>
      </w:r>
      <w:proofErr w:type="spellStart"/>
      <w:r w:rsidRPr="00C74D59">
        <w:rPr>
          <w:sz w:val="24"/>
          <w:szCs w:val="24"/>
        </w:rPr>
        <w:t>cloprostenol</w:t>
      </w:r>
      <w:proofErr w:type="spellEnd"/>
      <w:r w:rsidRPr="00C74D59">
        <w:rPr>
          <w:sz w:val="24"/>
          <w:szCs w:val="24"/>
        </w:rPr>
        <w:t xml:space="preserve"> hurtigt, og højeste koncentration opnås generelt inden for de første 15 minutter. Derefter falder koncentrationen af </w:t>
      </w:r>
      <w:proofErr w:type="spellStart"/>
      <w:r w:rsidRPr="00C74D59">
        <w:rPr>
          <w:sz w:val="24"/>
          <w:szCs w:val="24"/>
        </w:rPr>
        <w:t>cloprostenol</w:t>
      </w:r>
      <w:proofErr w:type="spellEnd"/>
      <w:r w:rsidRPr="00C74D59">
        <w:rPr>
          <w:sz w:val="24"/>
          <w:szCs w:val="24"/>
        </w:rPr>
        <w:t xml:space="preserve"> i blodet jævnt med en gennemsnitlig halveringstid på ca. 56 min. </w:t>
      </w:r>
      <w:r w:rsidR="008203A8" w:rsidRPr="00406EE7">
        <w:rPr>
          <w:sz w:val="24"/>
          <w:szCs w:val="24"/>
        </w:rPr>
        <w:t xml:space="preserve"> </w:t>
      </w:r>
    </w:p>
    <w:p w14:paraId="30E9381C" w14:textId="77777777" w:rsidR="008203A8" w:rsidRPr="00406EE7" w:rsidRDefault="008203A8" w:rsidP="008203A8">
      <w:pPr>
        <w:ind w:left="851"/>
        <w:rPr>
          <w:sz w:val="24"/>
          <w:szCs w:val="24"/>
        </w:rPr>
      </w:pPr>
    </w:p>
    <w:p w14:paraId="7E1A668E" w14:textId="77777777" w:rsidR="008203A8" w:rsidRPr="00406EE7" w:rsidRDefault="008203A8" w:rsidP="008203A8">
      <w:pPr>
        <w:tabs>
          <w:tab w:val="left" w:pos="851"/>
        </w:tabs>
        <w:ind w:left="851"/>
        <w:rPr>
          <w:sz w:val="24"/>
          <w:szCs w:val="24"/>
        </w:rPr>
      </w:pPr>
    </w:p>
    <w:p w14:paraId="55DD545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26FA5A84" w14:textId="77777777" w:rsidR="008203A8" w:rsidRPr="00406EE7" w:rsidRDefault="008203A8" w:rsidP="008203A8">
      <w:pPr>
        <w:tabs>
          <w:tab w:val="left" w:pos="851"/>
        </w:tabs>
        <w:ind w:left="851"/>
        <w:rPr>
          <w:sz w:val="24"/>
          <w:szCs w:val="24"/>
        </w:rPr>
      </w:pPr>
    </w:p>
    <w:p w14:paraId="6D6F2E8D"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5D59C4B1" w14:textId="205344A5" w:rsidR="008203A8" w:rsidRPr="00406EE7" w:rsidRDefault="00B6696F" w:rsidP="008203A8">
      <w:pPr>
        <w:tabs>
          <w:tab w:val="left" w:pos="851"/>
        </w:tabs>
        <w:ind w:left="851"/>
        <w:rPr>
          <w:sz w:val="24"/>
          <w:szCs w:val="24"/>
        </w:rPr>
      </w:pPr>
      <w:r w:rsidRPr="00B6696F">
        <w:rPr>
          <w:sz w:val="24"/>
          <w:szCs w:val="24"/>
        </w:rPr>
        <w:t>Da der ikke foreligger undersøgelser vedrørende eventuelle uforligeligheder, bør dette veterinærlægemiddel ikke blandes med andre veterinærlægemidler.</w:t>
      </w:r>
    </w:p>
    <w:p w14:paraId="57DBA2AD" w14:textId="77777777" w:rsidR="008203A8" w:rsidRPr="00406EE7" w:rsidRDefault="008203A8" w:rsidP="008203A8">
      <w:pPr>
        <w:tabs>
          <w:tab w:val="left" w:pos="851"/>
        </w:tabs>
        <w:ind w:left="851"/>
        <w:rPr>
          <w:sz w:val="24"/>
          <w:szCs w:val="24"/>
        </w:rPr>
      </w:pPr>
    </w:p>
    <w:p w14:paraId="1FFCA1AA"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5223F258" w14:textId="77777777" w:rsidR="00B6696F" w:rsidRPr="00B6696F" w:rsidRDefault="00B6696F" w:rsidP="00B6696F">
      <w:pPr>
        <w:tabs>
          <w:tab w:val="left" w:pos="851"/>
        </w:tabs>
        <w:ind w:left="851"/>
        <w:rPr>
          <w:sz w:val="24"/>
          <w:szCs w:val="24"/>
        </w:rPr>
      </w:pPr>
      <w:r w:rsidRPr="00B6696F">
        <w:rPr>
          <w:sz w:val="24"/>
          <w:szCs w:val="24"/>
        </w:rPr>
        <w:t>Opbevaringstid for veterinærlægemidlet i salgspakning: 3 år.</w:t>
      </w:r>
    </w:p>
    <w:p w14:paraId="39D2AFEE" w14:textId="48150C3C" w:rsidR="008203A8" w:rsidRPr="00406EE7" w:rsidRDefault="00B6696F" w:rsidP="00B6696F">
      <w:pPr>
        <w:tabs>
          <w:tab w:val="left" w:pos="851"/>
        </w:tabs>
        <w:ind w:left="851"/>
        <w:rPr>
          <w:sz w:val="24"/>
          <w:szCs w:val="24"/>
        </w:rPr>
      </w:pPr>
      <w:r w:rsidRPr="00B6696F">
        <w:rPr>
          <w:sz w:val="24"/>
          <w:szCs w:val="24"/>
        </w:rPr>
        <w:t>Opbevaringstid efter første åbning af den indre emballage: 28 dage.</w:t>
      </w:r>
    </w:p>
    <w:p w14:paraId="62B407A3" w14:textId="77777777" w:rsidR="008203A8" w:rsidRPr="00406EE7" w:rsidRDefault="008203A8" w:rsidP="008203A8">
      <w:pPr>
        <w:tabs>
          <w:tab w:val="left" w:pos="851"/>
        </w:tabs>
        <w:ind w:left="851"/>
        <w:rPr>
          <w:sz w:val="24"/>
          <w:szCs w:val="24"/>
        </w:rPr>
      </w:pPr>
    </w:p>
    <w:p w14:paraId="2F95F1A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26653E2F" w14:textId="673B031C" w:rsidR="008203A8" w:rsidRPr="00406EE7" w:rsidRDefault="00B6696F" w:rsidP="008203A8">
      <w:pPr>
        <w:tabs>
          <w:tab w:val="left" w:pos="851"/>
        </w:tabs>
        <w:ind w:left="851"/>
        <w:rPr>
          <w:sz w:val="24"/>
          <w:szCs w:val="24"/>
        </w:rPr>
      </w:pPr>
      <w:r w:rsidRPr="00B6696F">
        <w:rPr>
          <w:sz w:val="24"/>
          <w:szCs w:val="24"/>
        </w:rPr>
        <w:t>Hætteglasset opbevares i ydre karton for at beskytte mod lys.</w:t>
      </w:r>
    </w:p>
    <w:p w14:paraId="150F5DBB" w14:textId="77777777" w:rsidR="008203A8" w:rsidRPr="00406EE7" w:rsidRDefault="008203A8" w:rsidP="008203A8">
      <w:pPr>
        <w:tabs>
          <w:tab w:val="left" w:pos="851"/>
        </w:tabs>
        <w:ind w:left="851"/>
        <w:rPr>
          <w:sz w:val="24"/>
          <w:szCs w:val="24"/>
        </w:rPr>
      </w:pPr>
    </w:p>
    <w:p w14:paraId="098B7B72"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4989B1C5" w14:textId="77777777" w:rsidR="00B6696F" w:rsidRPr="00B6696F" w:rsidRDefault="00B6696F" w:rsidP="00B6696F">
      <w:pPr>
        <w:tabs>
          <w:tab w:val="left" w:pos="851"/>
        </w:tabs>
        <w:ind w:left="851"/>
        <w:rPr>
          <w:sz w:val="24"/>
          <w:szCs w:val="24"/>
        </w:rPr>
      </w:pPr>
      <w:r w:rsidRPr="00B6696F">
        <w:rPr>
          <w:sz w:val="24"/>
          <w:szCs w:val="24"/>
        </w:rPr>
        <w:t xml:space="preserve">20 ml og 50 ml farveløse hætteglas (glastype I, </w:t>
      </w:r>
      <w:proofErr w:type="spellStart"/>
      <w:r w:rsidRPr="00B6696F">
        <w:rPr>
          <w:sz w:val="24"/>
          <w:szCs w:val="24"/>
        </w:rPr>
        <w:t>Ph.Eur</w:t>
      </w:r>
      <w:proofErr w:type="spellEnd"/>
      <w:r w:rsidRPr="00B6696F">
        <w:rPr>
          <w:sz w:val="24"/>
          <w:szCs w:val="24"/>
        </w:rPr>
        <w:t xml:space="preserve">.), lukket med en teflonbelagt </w:t>
      </w:r>
      <w:proofErr w:type="spellStart"/>
      <w:r w:rsidRPr="00B6696F">
        <w:rPr>
          <w:sz w:val="24"/>
          <w:szCs w:val="24"/>
        </w:rPr>
        <w:t>halogenobutyl</w:t>
      </w:r>
      <w:proofErr w:type="spellEnd"/>
      <w:r w:rsidRPr="00B6696F">
        <w:rPr>
          <w:sz w:val="24"/>
          <w:szCs w:val="24"/>
        </w:rPr>
        <w:t xml:space="preserve"> gummiprop. </w:t>
      </w:r>
    </w:p>
    <w:p w14:paraId="4275A6B6" w14:textId="77777777" w:rsidR="00B6696F" w:rsidRPr="00B6696F" w:rsidRDefault="00B6696F" w:rsidP="00B6696F">
      <w:pPr>
        <w:tabs>
          <w:tab w:val="left" w:pos="851"/>
        </w:tabs>
        <w:ind w:left="851"/>
        <w:rPr>
          <w:sz w:val="24"/>
          <w:szCs w:val="24"/>
        </w:rPr>
      </w:pPr>
      <w:r w:rsidRPr="00B6696F">
        <w:rPr>
          <w:sz w:val="24"/>
          <w:szCs w:val="24"/>
        </w:rPr>
        <w:t>En krympehætte af aluminium, forseglet med et plastikdæksel er monteret over gummiproppen.</w:t>
      </w:r>
    </w:p>
    <w:p w14:paraId="36896D48" w14:textId="77777777" w:rsidR="00B6696F" w:rsidRPr="00B6696F" w:rsidRDefault="00B6696F" w:rsidP="00B6696F">
      <w:pPr>
        <w:tabs>
          <w:tab w:val="left" w:pos="851"/>
        </w:tabs>
        <w:ind w:left="851"/>
        <w:rPr>
          <w:sz w:val="24"/>
          <w:szCs w:val="24"/>
        </w:rPr>
      </w:pPr>
    </w:p>
    <w:p w14:paraId="513242D7" w14:textId="77777777" w:rsidR="00B6696F" w:rsidRPr="00B6696F" w:rsidRDefault="00B6696F" w:rsidP="00B6696F">
      <w:pPr>
        <w:tabs>
          <w:tab w:val="left" w:pos="851"/>
        </w:tabs>
        <w:ind w:left="851"/>
        <w:rPr>
          <w:sz w:val="24"/>
          <w:szCs w:val="24"/>
        </w:rPr>
      </w:pPr>
      <w:r w:rsidRPr="00B6696F">
        <w:rPr>
          <w:sz w:val="24"/>
          <w:szCs w:val="24"/>
        </w:rPr>
        <w:t>Sekundær emballage: Kartonæske.</w:t>
      </w:r>
    </w:p>
    <w:p w14:paraId="103B0A39" w14:textId="77777777" w:rsidR="00B6696F" w:rsidRPr="00B6696F" w:rsidRDefault="00B6696F" w:rsidP="00B6696F">
      <w:pPr>
        <w:tabs>
          <w:tab w:val="left" w:pos="851"/>
        </w:tabs>
        <w:ind w:left="851"/>
        <w:rPr>
          <w:sz w:val="24"/>
          <w:szCs w:val="24"/>
        </w:rPr>
      </w:pPr>
    </w:p>
    <w:p w14:paraId="470B73D8" w14:textId="4403F78F" w:rsidR="008203A8" w:rsidRPr="00406EE7" w:rsidRDefault="00B6696F" w:rsidP="00B6696F">
      <w:pPr>
        <w:tabs>
          <w:tab w:val="left" w:pos="851"/>
        </w:tabs>
        <w:ind w:left="851"/>
        <w:rPr>
          <w:sz w:val="24"/>
          <w:szCs w:val="24"/>
        </w:rPr>
      </w:pPr>
      <w:r w:rsidRPr="00B6696F">
        <w:rPr>
          <w:sz w:val="24"/>
          <w:szCs w:val="24"/>
        </w:rPr>
        <w:t>Ikke alle pakningsstørrelser er nødvendigvis markedsført.</w:t>
      </w:r>
    </w:p>
    <w:p w14:paraId="1D67FE7C" w14:textId="77777777" w:rsidR="008203A8" w:rsidRPr="00406EE7" w:rsidRDefault="008203A8" w:rsidP="008203A8">
      <w:pPr>
        <w:tabs>
          <w:tab w:val="left" w:pos="851"/>
        </w:tabs>
        <w:ind w:left="851"/>
        <w:rPr>
          <w:sz w:val="24"/>
          <w:szCs w:val="24"/>
        </w:rPr>
      </w:pPr>
    </w:p>
    <w:p w14:paraId="399AACCB"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5B6C65E8" w14:textId="77777777" w:rsidR="00B6696F" w:rsidRPr="00B6696F" w:rsidRDefault="00B6696F" w:rsidP="00B6696F">
      <w:pPr>
        <w:tabs>
          <w:tab w:val="left" w:pos="851"/>
          <w:tab w:val="left" w:pos="8222"/>
        </w:tabs>
        <w:ind w:left="851"/>
        <w:rPr>
          <w:sz w:val="24"/>
          <w:szCs w:val="24"/>
        </w:rPr>
      </w:pPr>
      <w:r w:rsidRPr="00B6696F">
        <w:rPr>
          <w:sz w:val="24"/>
          <w:szCs w:val="24"/>
        </w:rPr>
        <w:t>Lægemidler må ikke bortskaffes sammen med spildevand eller husholdningsaffald.</w:t>
      </w:r>
    </w:p>
    <w:p w14:paraId="7DE3C81A" w14:textId="688E58B5" w:rsidR="008203A8" w:rsidRPr="0004390D" w:rsidRDefault="00B6696F" w:rsidP="00B6696F">
      <w:pPr>
        <w:tabs>
          <w:tab w:val="left" w:pos="851"/>
          <w:tab w:val="left" w:pos="8222"/>
        </w:tabs>
        <w:ind w:left="851"/>
        <w:rPr>
          <w:sz w:val="24"/>
          <w:szCs w:val="24"/>
        </w:rPr>
      </w:pPr>
      <w:r w:rsidRPr="00B6696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6807DEA" w14:textId="77777777" w:rsidR="008203A8" w:rsidRDefault="008203A8" w:rsidP="008203A8">
      <w:pPr>
        <w:tabs>
          <w:tab w:val="left" w:pos="851"/>
        </w:tabs>
        <w:ind w:left="851"/>
        <w:rPr>
          <w:sz w:val="24"/>
          <w:szCs w:val="24"/>
        </w:rPr>
      </w:pPr>
    </w:p>
    <w:p w14:paraId="2A6B4636" w14:textId="77777777" w:rsidR="008203A8" w:rsidRPr="00070728" w:rsidRDefault="008203A8" w:rsidP="008203A8">
      <w:pPr>
        <w:tabs>
          <w:tab w:val="left" w:pos="851"/>
        </w:tabs>
        <w:ind w:left="851"/>
        <w:rPr>
          <w:sz w:val="24"/>
          <w:szCs w:val="24"/>
        </w:rPr>
      </w:pPr>
    </w:p>
    <w:p w14:paraId="7071550A"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1129C2F" w14:textId="77777777" w:rsidR="006E59E8" w:rsidRPr="006E59E8" w:rsidRDefault="006E59E8" w:rsidP="006E59E8">
      <w:pPr>
        <w:ind w:left="851"/>
        <w:rPr>
          <w:bCs/>
          <w:sz w:val="24"/>
          <w:szCs w:val="24"/>
          <w:lang w:eastAsia="da-DK"/>
        </w:rPr>
      </w:pPr>
      <w:proofErr w:type="spellStart"/>
      <w:r w:rsidRPr="006E59E8">
        <w:rPr>
          <w:bCs/>
          <w:sz w:val="24"/>
          <w:szCs w:val="24"/>
        </w:rPr>
        <w:t>Virbac</w:t>
      </w:r>
      <w:proofErr w:type="spellEnd"/>
    </w:p>
    <w:p w14:paraId="11FE7724" w14:textId="6A08CD4D" w:rsidR="006E59E8" w:rsidRPr="006E59E8" w:rsidRDefault="006E59E8" w:rsidP="006E59E8">
      <w:pPr>
        <w:ind w:left="851"/>
        <w:rPr>
          <w:bCs/>
          <w:sz w:val="24"/>
          <w:szCs w:val="24"/>
          <w:lang w:val="en-US"/>
        </w:rPr>
      </w:pPr>
      <w:r w:rsidRPr="006E59E8">
        <w:rPr>
          <w:bCs/>
          <w:sz w:val="24"/>
          <w:szCs w:val="24"/>
          <w:lang w:val="en-US"/>
        </w:rPr>
        <w:t>1ere avenue 2065 m - LID</w:t>
      </w:r>
    </w:p>
    <w:p w14:paraId="6A2D5F2A" w14:textId="77777777" w:rsidR="006E59E8" w:rsidRPr="006E59E8" w:rsidRDefault="006E59E8" w:rsidP="006E59E8">
      <w:pPr>
        <w:tabs>
          <w:tab w:val="left" w:pos="851"/>
          <w:tab w:val="left" w:pos="8222"/>
        </w:tabs>
        <w:rPr>
          <w:sz w:val="24"/>
          <w:szCs w:val="24"/>
          <w:lang w:val="en-GB"/>
        </w:rPr>
      </w:pPr>
      <w:r w:rsidRPr="006E59E8">
        <w:rPr>
          <w:sz w:val="24"/>
          <w:szCs w:val="24"/>
          <w:lang w:val="en-US"/>
        </w:rPr>
        <w:tab/>
      </w:r>
      <w:r w:rsidRPr="006E59E8">
        <w:rPr>
          <w:sz w:val="24"/>
          <w:szCs w:val="24"/>
          <w:lang w:val="en-GB"/>
        </w:rPr>
        <w:t xml:space="preserve">06516 </w:t>
      </w:r>
      <w:proofErr w:type="spellStart"/>
      <w:r w:rsidRPr="006E59E8">
        <w:rPr>
          <w:sz w:val="24"/>
          <w:szCs w:val="24"/>
          <w:lang w:val="en-GB"/>
        </w:rPr>
        <w:t>Carros</w:t>
      </w:r>
      <w:proofErr w:type="spellEnd"/>
    </w:p>
    <w:p w14:paraId="69A8CC36" w14:textId="77777777" w:rsidR="006E59E8" w:rsidRPr="006E59E8" w:rsidRDefault="006E59E8" w:rsidP="006E59E8">
      <w:pPr>
        <w:tabs>
          <w:tab w:val="left" w:pos="851"/>
          <w:tab w:val="left" w:pos="8222"/>
        </w:tabs>
        <w:rPr>
          <w:sz w:val="24"/>
          <w:szCs w:val="24"/>
          <w:lang w:val="en-GB"/>
        </w:rPr>
      </w:pPr>
      <w:r w:rsidRPr="006E59E8">
        <w:rPr>
          <w:sz w:val="24"/>
          <w:szCs w:val="24"/>
          <w:lang w:val="en-GB"/>
        </w:rPr>
        <w:tab/>
      </w:r>
      <w:proofErr w:type="spellStart"/>
      <w:r w:rsidRPr="006E59E8">
        <w:rPr>
          <w:sz w:val="24"/>
          <w:szCs w:val="24"/>
          <w:lang w:val="en-GB"/>
        </w:rPr>
        <w:t>Frankrig</w:t>
      </w:r>
      <w:proofErr w:type="spellEnd"/>
    </w:p>
    <w:p w14:paraId="0BAF1A6C" w14:textId="77777777" w:rsidR="006E59E8" w:rsidRPr="006E59E8" w:rsidRDefault="006E59E8" w:rsidP="006E59E8">
      <w:pPr>
        <w:tabs>
          <w:tab w:val="left" w:pos="851"/>
          <w:tab w:val="left" w:pos="8222"/>
        </w:tabs>
        <w:rPr>
          <w:sz w:val="24"/>
          <w:szCs w:val="24"/>
          <w:lang w:val="en-GB"/>
        </w:rPr>
      </w:pPr>
    </w:p>
    <w:p w14:paraId="57955CCD" w14:textId="77777777" w:rsidR="006E59E8" w:rsidRPr="006E59E8" w:rsidRDefault="006E59E8" w:rsidP="006E59E8">
      <w:pPr>
        <w:tabs>
          <w:tab w:val="left" w:pos="851"/>
          <w:tab w:val="left" w:pos="8222"/>
        </w:tabs>
        <w:rPr>
          <w:sz w:val="24"/>
          <w:szCs w:val="24"/>
        </w:rPr>
      </w:pPr>
      <w:r w:rsidRPr="006E59E8">
        <w:rPr>
          <w:sz w:val="24"/>
          <w:szCs w:val="24"/>
          <w:lang w:val="en-GB"/>
        </w:rPr>
        <w:tab/>
      </w:r>
      <w:r w:rsidRPr="006E59E8">
        <w:rPr>
          <w:b/>
          <w:sz w:val="24"/>
          <w:szCs w:val="24"/>
        </w:rPr>
        <w:t>Repræsentant</w:t>
      </w:r>
    </w:p>
    <w:p w14:paraId="02BCFC59" w14:textId="0FCCB185" w:rsidR="008203A8" w:rsidRDefault="006E59E8" w:rsidP="006E59E8">
      <w:pPr>
        <w:tabs>
          <w:tab w:val="left" w:pos="851"/>
        </w:tabs>
        <w:ind w:left="851"/>
        <w:rPr>
          <w:sz w:val="24"/>
          <w:szCs w:val="24"/>
          <w:lang w:val="en-US"/>
        </w:rPr>
      </w:pPr>
      <w:proofErr w:type="spellStart"/>
      <w:r w:rsidRPr="006E59E8">
        <w:rPr>
          <w:sz w:val="24"/>
          <w:szCs w:val="24"/>
          <w:lang w:val="en-US"/>
        </w:rPr>
        <w:t>Virbac</w:t>
      </w:r>
      <w:proofErr w:type="spellEnd"/>
      <w:r w:rsidRPr="006E59E8">
        <w:rPr>
          <w:sz w:val="24"/>
          <w:szCs w:val="24"/>
          <w:lang w:val="en-US"/>
        </w:rPr>
        <w:t xml:space="preserve"> </w:t>
      </w:r>
      <w:proofErr w:type="spellStart"/>
      <w:r w:rsidRPr="006E59E8">
        <w:rPr>
          <w:sz w:val="24"/>
          <w:szCs w:val="24"/>
          <w:lang w:val="en-US"/>
        </w:rPr>
        <w:t>Danmark</w:t>
      </w:r>
      <w:proofErr w:type="spellEnd"/>
      <w:r w:rsidRPr="006E59E8">
        <w:rPr>
          <w:sz w:val="24"/>
          <w:szCs w:val="24"/>
          <w:lang w:val="en-US"/>
        </w:rPr>
        <w:t xml:space="preserve"> A/S</w:t>
      </w:r>
      <w:r w:rsidRPr="006E59E8">
        <w:rPr>
          <w:sz w:val="24"/>
          <w:szCs w:val="24"/>
          <w:lang w:val="en-US"/>
        </w:rPr>
        <w:br/>
      </w:r>
      <w:proofErr w:type="spellStart"/>
      <w:r w:rsidRPr="006E59E8">
        <w:rPr>
          <w:sz w:val="24"/>
          <w:szCs w:val="24"/>
          <w:lang w:val="en-US"/>
        </w:rPr>
        <w:t>Profilvej</w:t>
      </w:r>
      <w:proofErr w:type="spellEnd"/>
      <w:r w:rsidRPr="006E59E8">
        <w:rPr>
          <w:sz w:val="24"/>
          <w:szCs w:val="24"/>
          <w:lang w:val="en-US"/>
        </w:rPr>
        <w:t xml:space="preserve"> 1</w:t>
      </w:r>
      <w:r w:rsidRPr="006E59E8">
        <w:rPr>
          <w:sz w:val="24"/>
          <w:szCs w:val="24"/>
          <w:lang w:val="en-US"/>
        </w:rPr>
        <w:br/>
        <w:t>6000 Kolding</w:t>
      </w:r>
    </w:p>
    <w:p w14:paraId="3AC2FCBB" w14:textId="77777777" w:rsidR="006E59E8" w:rsidRPr="006E59E8" w:rsidRDefault="006E59E8" w:rsidP="006E59E8">
      <w:pPr>
        <w:tabs>
          <w:tab w:val="left" w:pos="851"/>
        </w:tabs>
        <w:ind w:left="851"/>
        <w:rPr>
          <w:sz w:val="24"/>
          <w:szCs w:val="24"/>
          <w:lang w:val="en-US"/>
        </w:rPr>
      </w:pPr>
    </w:p>
    <w:p w14:paraId="2729A03A"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02F49446" w14:textId="551ADD34" w:rsidR="008203A8" w:rsidRPr="00406EE7" w:rsidRDefault="006E59E8" w:rsidP="008203A8">
      <w:pPr>
        <w:tabs>
          <w:tab w:val="left" w:pos="851"/>
        </w:tabs>
        <w:ind w:left="851"/>
        <w:rPr>
          <w:sz w:val="24"/>
          <w:szCs w:val="24"/>
        </w:rPr>
      </w:pPr>
      <w:r w:rsidRPr="006E59E8">
        <w:rPr>
          <w:sz w:val="24"/>
          <w:szCs w:val="24"/>
        </w:rPr>
        <w:t>38339</w:t>
      </w:r>
    </w:p>
    <w:p w14:paraId="7BE8F264" w14:textId="77777777" w:rsidR="008203A8" w:rsidRPr="00406EE7" w:rsidRDefault="008203A8" w:rsidP="008203A8">
      <w:pPr>
        <w:tabs>
          <w:tab w:val="left" w:pos="851"/>
        </w:tabs>
        <w:ind w:left="851"/>
        <w:rPr>
          <w:sz w:val="24"/>
          <w:szCs w:val="24"/>
        </w:rPr>
      </w:pPr>
    </w:p>
    <w:p w14:paraId="32A7EE4A"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6F6D5ABB" w14:textId="0335684D" w:rsidR="008203A8" w:rsidRPr="00406EE7" w:rsidRDefault="006E59E8" w:rsidP="008203A8">
      <w:pPr>
        <w:tabs>
          <w:tab w:val="left" w:pos="851"/>
        </w:tabs>
        <w:ind w:left="851"/>
        <w:rPr>
          <w:sz w:val="24"/>
          <w:szCs w:val="24"/>
        </w:rPr>
      </w:pPr>
      <w:r w:rsidRPr="006E59E8">
        <w:rPr>
          <w:sz w:val="24"/>
          <w:szCs w:val="24"/>
        </w:rPr>
        <w:t>10. marts 2006</w:t>
      </w:r>
    </w:p>
    <w:p w14:paraId="513EAD92" w14:textId="77777777" w:rsidR="008203A8" w:rsidRPr="00406EE7" w:rsidRDefault="008203A8" w:rsidP="008203A8">
      <w:pPr>
        <w:tabs>
          <w:tab w:val="left" w:pos="851"/>
        </w:tabs>
        <w:ind w:left="851"/>
        <w:rPr>
          <w:sz w:val="24"/>
          <w:szCs w:val="24"/>
        </w:rPr>
      </w:pPr>
    </w:p>
    <w:p w14:paraId="6C959AC5"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425F6483" w14:textId="00B3BA5F" w:rsidR="008203A8" w:rsidRPr="006E59E8" w:rsidRDefault="006E59E8" w:rsidP="008203A8">
      <w:pPr>
        <w:tabs>
          <w:tab w:val="left" w:pos="851"/>
        </w:tabs>
        <w:ind w:left="851"/>
        <w:rPr>
          <w:sz w:val="24"/>
          <w:szCs w:val="24"/>
        </w:rPr>
      </w:pPr>
      <w:r w:rsidRPr="006E59E8">
        <w:rPr>
          <w:sz w:val="24"/>
          <w:szCs w:val="24"/>
        </w:rPr>
        <w:t>12. september 2023</w:t>
      </w:r>
    </w:p>
    <w:p w14:paraId="609FD3A0" w14:textId="77777777" w:rsidR="008203A8" w:rsidRPr="00406EE7" w:rsidRDefault="008203A8" w:rsidP="008203A8">
      <w:pPr>
        <w:tabs>
          <w:tab w:val="left" w:pos="851"/>
        </w:tabs>
        <w:ind w:left="851"/>
        <w:rPr>
          <w:sz w:val="24"/>
          <w:szCs w:val="24"/>
        </w:rPr>
      </w:pPr>
    </w:p>
    <w:p w14:paraId="6E867963"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37EBCA1E" w14:textId="0A25A9E9" w:rsidR="008203A8" w:rsidRPr="007A684C" w:rsidRDefault="006E59E8" w:rsidP="008203A8">
      <w:pPr>
        <w:pStyle w:val="Sidehoved"/>
        <w:tabs>
          <w:tab w:val="clear" w:pos="4819"/>
          <w:tab w:val="left" w:pos="851"/>
        </w:tabs>
        <w:ind w:left="851"/>
        <w:rPr>
          <w:szCs w:val="24"/>
        </w:rPr>
      </w:pPr>
      <w:r>
        <w:rPr>
          <w:szCs w:val="24"/>
        </w:rPr>
        <w:t>BP</w:t>
      </w:r>
    </w:p>
    <w:p w14:paraId="6BB5C42D" w14:textId="75270CA0" w:rsidR="0003527F" w:rsidRDefault="0003527F" w:rsidP="008203A8"/>
    <w:p w14:paraId="0A28EA48" w14:textId="77777777" w:rsidR="006E59E8" w:rsidRDefault="006E59E8" w:rsidP="006E59E8">
      <w:pPr>
        <w:pStyle w:val="Sidehoved"/>
        <w:tabs>
          <w:tab w:val="clear" w:pos="4819"/>
          <w:tab w:val="left" w:pos="851"/>
        </w:tabs>
        <w:ind w:left="851"/>
        <w:rPr>
          <w:szCs w:val="24"/>
        </w:rPr>
      </w:pPr>
      <w:r>
        <w:rPr>
          <w:szCs w:val="24"/>
        </w:rPr>
        <w:t>Der findes detaljerede oplysninger om dette veterinærlægemiddel i EU-lægemiddeldatabasen.</w:t>
      </w:r>
    </w:p>
    <w:p w14:paraId="761C53F7" w14:textId="77777777" w:rsidR="006E59E8" w:rsidRPr="008203A8" w:rsidRDefault="006E59E8" w:rsidP="008203A8"/>
    <w:sectPr w:rsidR="006E59E8"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55A45" w14:textId="77777777" w:rsidR="00F16A17" w:rsidRDefault="00F16A17">
      <w:r>
        <w:separator/>
      </w:r>
    </w:p>
  </w:endnote>
  <w:endnote w:type="continuationSeparator" w:id="0">
    <w:p w14:paraId="1291CBF9" w14:textId="77777777" w:rsidR="00F16A17" w:rsidRDefault="00F1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8917" w14:textId="77777777" w:rsidR="004A62CC" w:rsidRDefault="004A62CC">
    <w:pPr>
      <w:pStyle w:val="Sidefod"/>
      <w:pBdr>
        <w:bottom w:val="single" w:sz="6" w:space="1" w:color="auto"/>
      </w:pBdr>
      <w:tabs>
        <w:tab w:val="clear" w:pos="4819"/>
        <w:tab w:val="left" w:pos="8647"/>
      </w:tabs>
      <w:rPr>
        <w:i/>
        <w:snapToGrid w:val="0"/>
        <w:sz w:val="18"/>
      </w:rPr>
    </w:pPr>
  </w:p>
  <w:p w14:paraId="7FB603B4" w14:textId="77777777" w:rsidR="004A62CC" w:rsidRDefault="004A62CC">
    <w:pPr>
      <w:pStyle w:val="Sidefod"/>
      <w:tabs>
        <w:tab w:val="clear" w:pos="4819"/>
        <w:tab w:val="left" w:pos="8647"/>
      </w:tabs>
      <w:rPr>
        <w:i/>
        <w:snapToGrid w:val="0"/>
        <w:sz w:val="18"/>
      </w:rPr>
    </w:pPr>
  </w:p>
  <w:p w14:paraId="04B9141E" w14:textId="22CBD8E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E59E8">
      <w:rPr>
        <w:i/>
        <w:noProof/>
        <w:snapToGrid w:val="0"/>
        <w:sz w:val="18"/>
      </w:rPr>
      <w:t>Cyclix, injektionsvæske, opløsning 250 mikrog-ml.docx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82D8A" w14:textId="77777777" w:rsidR="004A62CC" w:rsidRDefault="004A62CC">
    <w:pPr>
      <w:pStyle w:val="Sidefod"/>
      <w:pBdr>
        <w:bottom w:val="single" w:sz="6" w:space="1" w:color="auto"/>
      </w:pBdr>
      <w:tabs>
        <w:tab w:val="clear" w:pos="4819"/>
        <w:tab w:val="left" w:pos="8647"/>
      </w:tabs>
      <w:rPr>
        <w:i/>
        <w:snapToGrid w:val="0"/>
        <w:sz w:val="18"/>
      </w:rPr>
    </w:pPr>
  </w:p>
  <w:p w14:paraId="5C37E910" w14:textId="77777777" w:rsidR="004A62CC" w:rsidRDefault="004A62CC">
    <w:pPr>
      <w:pStyle w:val="Sidefod"/>
      <w:tabs>
        <w:tab w:val="clear" w:pos="4819"/>
        <w:tab w:val="left" w:pos="8647"/>
      </w:tabs>
      <w:rPr>
        <w:i/>
        <w:snapToGrid w:val="0"/>
        <w:sz w:val="18"/>
      </w:rPr>
    </w:pPr>
  </w:p>
  <w:p w14:paraId="67F4F429" w14:textId="1F496A1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E59E8">
      <w:rPr>
        <w:i/>
        <w:noProof/>
        <w:snapToGrid w:val="0"/>
        <w:sz w:val="18"/>
      </w:rPr>
      <w:t>Cyclix, injektionsvæske, opløsning 250 mikrog-ml.docx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F477C" w14:textId="77777777" w:rsidR="00F16A17" w:rsidRDefault="00F16A17">
      <w:r>
        <w:separator/>
      </w:r>
    </w:p>
  </w:footnote>
  <w:footnote w:type="continuationSeparator" w:id="0">
    <w:p w14:paraId="10CC1C36" w14:textId="77777777" w:rsidR="00F16A17" w:rsidRDefault="00F1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0197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FC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A17"/>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C338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E59E8"/>
    <w:rsid w:val="006F0D27"/>
    <w:rsid w:val="006F5621"/>
    <w:rsid w:val="00701164"/>
    <w:rsid w:val="0071651B"/>
    <w:rsid w:val="00734E54"/>
    <w:rsid w:val="00750478"/>
    <w:rsid w:val="00751513"/>
    <w:rsid w:val="007564C7"/>
    <w:rsid w:val="00776C2C"/>
    <w:rsid w:val="00781329"/>
    <w:rsid w:val="00796A23"/>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6696F"/>
    <w:rsid w:val="00B764E3"/>
    <w:rsid w:val="00B85456"/>
    <w:rsid w:val="00B87267"/>
    <w:rsid w:val="00B93A25"/>
    <w:rsid w:val="00BC634B"/>
    <w:rsid w:val="00BF2AE0"/>
    <w:rsid w:val="00C41394"/>
    <w:rsid w:val="00C479BF"/>
    <w:rsid w:val="00C66C59"/>
    <w:rsid w:val="00C74D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16A17"/>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0516B"/>
  <w15:chartTrackingRefBased/>
  <w15:docId w15:val="{88CB4BFD-3EE4-4432-8D71-BD105414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767">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9774415">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1429117">
      <w:bodyDiv w:val="1"/>
      <w:marLeft w:val="0"/>
      <w:marRight w:val="0"/>
      <w:marTop w:val="0"/>
      <w:marBottom w:val="0"/>
      <w:divBdr>
        <w:top w:val="none" w:sz="0" w:space="0" w:color="auto"/>
        <w:left w:val="none" w:sz="0" w:space="0" w:color="auto"/>
        <w:bottom w:val="none" w:sz="0" w:space="0" w:color="auto"/>
        <w:right w:val="none" w:sz="0" w:space="0" w:color="auto"/>
      </w:divBdr>
    </w:div>
    <w:div w:id="247809150">
      <w:bodyDiv w:val="1"/>
      <w:marLeft w:val="0"/>
      <w:marRight w:val="0"/>
      <w:marTop w:val="0"/>
      <w:marBottom w:val="0"/>
      <w:divBdr>
        <w:top w:val="none" w:sz="0" w:space="0" w:color="auto"/>
        <w:left w:val="none" w:sz="0" w:space="0" w:color="auto"/>
        <w:bottom w:val="none" w:sz="0" w:space="0" w:color="auto"/>
        <w:right w:val="none" w:sz="0" w:space="0" w:color="auto"/>
      </w:divBdr>
    </w:div>
    <w:div w:id="327490685">
      <w:bodyDiv w:val="1"/>
      <w:marLeft w:val="0"/>
      <w:marRight w:val="0"/>
      <w:marTop w:val="0"/>
      <w:marBottom w:val="0"/>
      <w:divBdr>
        <w:top w:val="none" w:sz="0" w:space="0" w:color="auto"/>
        <w:left w:val="none" w:sz="0" w:space="0" w:color="auto"/>
        <w:bottom w:val="none" w:sz="0" w:space="0" w:color="auto"/>
        <w:right w:val="none" w:sz="0" w:space="0" w:color="auto"/>
      </w:divBdr>
    </w:div>
    <w:div w:id="381101433">
      <w:bodyDiv w:val="1"/>
      <w:marLeft w:val="0"/>
      <w:marRight w:val="0"/>
      <w:marTop w:val="0"/>
      <w:marBottom w:val="0"/>
      <w:divBdr>
        <w:top w:val="none" w:sz="0" w:space="0" w:color="auto"/>
        <w:left w:val="none" w:sz="0" w:space="0" w:color="auto"/>
        <w:bottom w:val="none" w:sz="0" w:space="0" w:color="auto"/>
        <w:right w:val="none" w:sz="0" w:space="0" w:color="auto"/>
      </w:divBdr>
    </w:div>
    <w:div w:id="403987557">
      <w:bodyDiv w:val="1"/>
      <w:marLeft w:val="0"/>
      <w:marRight w:val="0"/>
      <w:marTop w:val="0"/>
      <w:marBottom w:val="0"/>
      <w:divBdr>
        <w:top w:val="none" w:sz="0" w:space="0" w:color="auto"/>
        <w:left w:val="none" w:sz="0" w:space="0" w:color="auto"/>
        <w:bottom w:val="none" w:sz="0" w:space="0" w:color="auto"/>
        <w:right w:val="none" w:sz="0" w:space="0" w:color="auto"/>
      </w:divBdr>
    </w:div>
    <w:div w:id="41447347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3745129">
      <w:bodyDiv w:val="1"/>
      <w:marLeft w:val="0"/>
      <w:marRight w:val="0"/>
      <w:marTop w:val="0"/>
      <w:marBottom w:val="0"/>
      <w:divBdr>
        <w:top w:val="none" w:sz="0" w:space="0" w:color="auto"/>
        <w:left w:val="none" w:sz="0" w:space="0" w:color="auto"/>
        <w:bottom w:val="none" w:sz="0" w:space="0" w:color="auto"/>
        <w:right w:val="none" w:sz="0" w:space="0" w:color="auto"/>
      </w:divBdr>
    </w:div>
    <w:div w:id="731125566">
      <w:bodyDiv w:val="1"/>
      <w:marLeft w:val="0"/>
      <w:marRight w:val="0"/>
      <w:marTop w:val="0"/>
      <w:marBottom w:val="0"/>
      <w:divBdr>
        <w:top w:val="none" w:sz="0" w:space="0" w:color="auto"/>
        <w:left w:val="none" w:sz="0" w:space="0" w:color="auto"/>
        <w:bottom w:val="none" w:sz="0" w:space="0" w:color="auto"/>
        <w:right w:val="none" w:sz="0" w:space="0" w:color="auto"/>
      </w:divBdr>
    </w:div>
    <w:div w:id="841243352">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1373073">
      <w:bodyDiv w:val="1"/>
      <w:marLeft w:val="0"/>
      <w:marRight w:val="0"/>
      <w:marTop w:val="0"/>
      <w:marBottom w:val="0"/>
      <w:divBdr>
        <w:top w:val="none" w:sz="0" w:space="0" w:color="auto"/>
        <w:left w:val="none" w:sz="0" w:space="0" w:color="auto"/>
        <w:bottom w:val="none" w:sz="0" w:space="0" w:color="auto"/>
        <w:right w:val="none" w:sz="0" w:space="0" w:color="auto"/>
      </w:divBdr>
    </w:div>
    <w:div w:id="97375339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50892525">
      <w:bodyDiv w:val="1"/>
      <w:marLeft w:val="0"/>
      <w:marRight w:val="0"/>
      <w:marTop w:val="0"/>
      <w:marBottom w:val="0"/>
      <w:divBdr>
        <w:top w:val="none" w:sz="0" w:space="0" w:color="auto"/>
        <w:left w:val="none" w:sz="0" w:space="0" w:color="auto"/>
        <w:bottom w:val="none" w:sz="0" w:space="0" w:color="auto"/>
        <w:right w:val="none" w:sz="0" w:space="0" w:color="auto"/>
      </w:divBdr>
    </w:div>
    <w:div w:id="132955445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856579541">
      <w:bodyDiv w:val="1"/>
      <w:marLeft w:val="0"/>
      <w:marRight w:val="0"/>
      <w:marTop w:val="0"/>
      <w:marBottom w:val="0"/>
      <w:divBdr>
        <w:top w:val="none" w:sz="0" w:space="0" w:color="auto"/>
        <w:left w:val="none" w:sz="0" w:space="0" w:color="auto"/>
        <w:bottom w:val="none" w:sz="0" w:space="0" w:color="auto"/>
        <w:right w:val="none" w:sz="0" w:space="0" w:color="auto"/>
      </w:divBdr>
    </w:div>
    <w:div w:id="1916166610">
      <w:bodyDiv w:val="1"/>
      <w:marLeft w:val="0"/>
      <w:marRight w:val="0"/>
      <w:marTop w:val="0"/>
      <w:marBottom w:val="0"/>
      <w:divBdr>
        <w:top w:val="none" w:sz="0" w:space="0" w:color="auto"/>
        <w:left w:val="none" w:sz="0" w:space="0" w:color="auto"/>
        <w:bottom w:val="none" w:sz="0" w:space="0" w:color="auto"/>
        <w:right w:val="none" w:sz="0" w:space="0" w:color="auto"/>
      </w:divBdr>
    </w:div>
    <w:div w:id="1936013843">
      <w:bodyDiv w:val="1"/>
      <w:marLeft w:val="0"/>
      <w:marRight w:val="0"/>
      <w:marTop w:val="0"/>
      <w:marBottom w:val="0"/>
      <w:divBdr>
        <w:top w:val="none" w:sz="0" w:space="0" w:color="auto"/>
        <w:left w:val="none" w:sz="0" w:space="0" w:color="auto"/>
        <w:bottom w:val="none" w:sz="0" w:space="0" w:color="auto"/>
        <w:right w:val="none" w:sz="0" w:space="0" w:color="auto"/>
      </w:divBdr>
    </w:div>
    <w:div w:id="206440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17</TotalTime>
  <Pages>5</Pages>
  <Words>1044</Words>
  <Characters>7301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2022063717_x000d_
SPC opdateret iht. QRD9</dc:description>
  <cp:lastModifiedBy>Betty Winther Andersen</cp:lastModifiedBy>
  <cp:revision>5</cp:revision>
  <cp:lastPrinted>2022-05-18T14:03:00Z</cp:lastPrinted>
  <dcterms:created xsi:type="dcterms:W3CDTF">2023-09-08T09:23:00Z</dcterms:created>
  <dcterms:modified xsi:type="dcterms:W3CDTF">2023-09-08T09:40:00Z</dcterms:modified>
</cp:coreProperties>
</file>