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768CF" w:rsidRDefault="00D768CF" w:rsidP="00D768CF">
      <w:pPr>
        <w:tabs>
          <w:tab w:val="left" w:pos="6804"/>
        </w:tabs>
        <w:rPr>
          <w:b/>
        </w:rPr>
      </w:pP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>
        <w:fldChar w:fldCharType="begin"/>
      </w:r>
      <w:r>
        <w:instrText xml:space="preserve"> INCLUDEPICTURE  "cid:image004.jpg@01D117E9.E5553340" \* MERGEFORMATINET </w:instrText>
      </w:r>
      <w:r>
        <w:fldChar w:fldCharType="separate"/>
      </w:r>
      <w:r w:rsidR="00193745">
        <w:fldChar w:fldCharType="begin"/>
      </w:r>
      <w:r w:rsidR="00193745">
        <w:instrText xml:space="preserve"> INCLUDEPICTURE  "cid:image004.jpg@01D117E9.E5553340" \* MERGEFORMATINET </w:instrText>
      </w:r>
      <w:r w:rsidR="00193745">
        <w:fldChar w:fldCharType="separate"/>
      </w:r>
      <w:r w:rsidR="00802067">
        <w:fldChar w:fldCharType="begin"/>
      </w:r>
      <w:r w:rsidR="00802067">
        <w:instrText xml:space="preserve"> </w:instrText>
      </w:r>
      <w:r w:rsidR="00802067">
        <w:instrText>INCLUDEPICTURE  "cid:image004.jpg@01D117E9.E5553340" \* MERGEFORMATINET</w:instrText>
      </w:r>
      <w:r w:rsidR="00802067">
        <w:instrText xml:space="preserve"> </w:instrText>
      </w:r>
      <w:r w:rsidR="00802067">
        <w:fldChar w:fldCharType="separate"/>
      </w:r>
      <w:r w:rsidR="00A24D0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" o:spid="_x0000_i1025" type="#_x0000_t75" alt="LMST_auto_stor" style="width:192.75pt;height:54.75pt">
            <v:imagedata r:id="rId7" r:href="rId8"/>
          </v:shape>
        </w:pict>
      </w:r>
      <w:r w:rsidR="00802067">
        <w:fldChar w:fldCharType="end"/>
      </w:r>
      <w:r w:rsidR="00193745"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D768CF" w:rsidRDefault="00D768CF" w:rsidP="00D768CF">
      <w:pPr>
        <w:tabs>
          <w:tab w:val="left" w:pos="6804"/>
        </w:tabs>
        <w:jc w:val="right"/>
        <w:rPr>
          <w:b/>
        </w:rPr>
      </w:pPr>
    </w:p>
    <w:p w:rsidR="00D768CF" w:rsidRPr="00DF32BE" w:rsidRDefault="00802067" w:rsidP="00D768CF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30</w:t>
      </w:r>
      <w:r w:rsidR="00D768CF">
        <w:rPr>
          <w:b/>
          <w:sz w:val="24"/>
          <w:szCs w:val="24"/>
        </w:rPr>
        <w:t>. maj 20</w:t>
      </w:r>
      <w:r>
        <w:rPr>
          <w:b/>
          <w:sz w:val="24"/>
          <w:szCs w:val="24"/>
        </w:rPr>
        <w:t>22</w:t>
      </w:r>
    </w:p>
    <w:p w:rsidR="00D768CF" w:rsidRPr="00DF32BE" w:rsidRDefault="00D768CF" w:rsidP="00D768CF">
      <w:pPr>
        <w:tabs>
          <w:tab w:val="left" w:pos="8222"/>
        </w:tabs>
        <w:rPr>
          <w:sz w:val="24"/>
          <w:szCs w:val="24"/>
        </w:rPr>
      </w:pPr>
    </w:p>
    <w:p w:rsidR="00D768CF" w:rsidRPr="00DF32BE" w:rsidRDefault="00D768CF" w:rsidP="00D768CF">
      <w:pPr>
        <w:tabs>
          <w:tab w:val="left" w:pos="8222"/>
        </w:tabs>
        <w:rPr>
          <w:sz w:val="24"/>
          <w:szCs w:val="24"/>
        </w:rPr>
      </w:pPr>
    </w:p>
    <w:p w:rsidR="00D768CF" w:rsidRPr="00DF32BE" w:rsidRDefault="00D768CF" w:rsidP="00D768CF">
      <w:pPr>
        <w:tabs>
          <w:tab w:val="left" w:pos="8222"/>
        </w:tabs>
        <w:rPr>
          <w:sz w:val="24"/>
          <w:szCs w:val="24"/>
        </w:rPr>
      </w:pPr>
    </w:p>
    <w:p w:rsidR="00D768CF" w:rsidRPr="00DF32BE" w:rsidRDefault="00D768CF" w:rsidP="00D768CF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PRODUKTRESUMÉ</w:t>
      </w:r>
    </w:p>
    <w:p w:rsidR="00D768CF" w:rsidRPr="00DF32BE" w:rsidRDefault="00D768CF" w:rsidP="00D768C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768CF" w:rsidRPr="00DF32BE" w:rsidRDefault="00D768CF" w:rsidP="00D768CF">
      <w:pPr>
        <w:tabs>
          <w:tab w:val="left" w:pos="8222"/>
        </w:tabs>
        <w:jc w:val="center"/>
        <w:rPr>
          <w:b/>
          <w:sz w:val="24"/>
          <w:szCs w:val="24"/>
        </w:rPr>
      </w:pPr>
      <w:r w:rsidRPr="00DF32BE">
        <w:rPr>
          <w:b/>
          <w:sz w:val="24"/>
          <w:szCs w:val="24"/>
        </w:rPr>
        <w:t>for</w:t>
      </w:r>
    </w:p>
    <w:p w:rsidR="00D768CF" w:rsidRPr="00DF32BE" w:rsidRDefault="00D768CF" w:rsidP="00D768C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D768CF" w:rsidRPr="00DF32BE" w:rsidRDefault="00D768CF" w:rsidP="00D768CF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Danilon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Equidos</w:t>
      </w:r>
      <w:proofErr w:type="spellEnd"/>
      <w:r>
        <w:rPr>
          <w:b/>
          <w:sz w:val="24"/>
          <w:szCs w:val="24"/>
        </w:rPr>
        <w:t>, granulat</w:t>
      </w:r>
    </w:p>
    <w:p w:rsidR="00D768CF" w:rsidRPr="00DF32BE" w:rsidRDefault="00D768CF" w:rsidP="00D768CF">
      <w:pPr>
        <w:tabs>
          <w:tab w:val="left" w:pos="8222"/>
        </w:tabs>
        <w:jc w:val="both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0E3E66" w:rsidRDefault="00D768CF" w:rsidP="00D768C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D.SP.NR</w:t>
      </w:r>
    </w:p>
    <w:p w:rsidR="00D768CF" w:rsidRPr="000E3E66" w:rsidRDefault="00D768CF" w:rsidP="00D768C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0E3E66">
        <w:rPr>
          <w:sz w:val="24"/>
          <w:szCs w:val="24"/>
        </w:rPr>
        <w:t>26713</w:t>
      </w:r>
    </w:p>
    <w:p w:rsidR="00D768CF" w:rsidRPr="000E3E66" w:rsidRDefault="00D768CF" w:rsidP="00D768C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0E3E66" w:rsidRDefault="00D768CF" w:rsidP="00D768C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VETERINÆRLÆGEMIDLETS NAVN</w:t>
      </w:r>
    </w:p>
    <w:p w:rsidR="00D768CF" w:rsidRPr="000E3E66" w:rsidRDefault="00D768CF" w:rsidP="00D768C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E3E66">
        <w:rPr>
          <w:sz w:val="24"/>
          <w:szCs w:val="24"/>
        </w:rPr>
        <w:t>Danilon</w:t>
      </w:r>
      <w:proofErr w:type="spellEnd"/>
      <w:r w:rsidRPr="000E3E66">
        <w:rPr>
          <w:sz w:val="24"/>
          <w:szCs w:val="24"/>
        </w:rPr>
        <w:t xml:space="preserve"> </w:t>
      </w:r>
      <w:proofErr w:type="spellStart"/>
      <w:r w:rsidRPr="000E3E66">
        <w:rPr>
          <w:sz w:val="24"/>
          <w:szCs w:val="24"/>
        </w:rPr>
        <w:t>Equidos</w:t>
      </w:r>
      <w:proofErr w:type="spellEnd"/>
    </w:p>
    <w:p w:rsidR="00D768CF" w:rsidRPr="000E3E66" w:rsidRDefault="00D768CF" w:rsidP="00D768C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0E3E66" w:rsidRDefault="00D768CF" w:rsidP="00D768C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KVALITATIV OG KVANTITATIV SAMMENSÆTNING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Hver 10 g brev indeholder: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b/>
          <w:sz w:val="24"/>
          <w:szCs w:val="24"/>
        </w:rPr>
        <w:t>Aktivt stof: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>:</w:t>
      </w:r>
      <w:r w:rsidRPr="000E3E66">
        <w:rPr>
          <w:sz w:val="24"/>
          <w:szCs w:val="24"/>
        </w:rPr>
        <w:tab/>
      </w:r>
      <w:r>
        <w:rPr>
          <w:sz w:val="24"/>
          <w:szCs w:val="24"/>
        </w:rPr>
        <w:tab/>
        <w:t>1,</w:t>
      </w:r>
      <w:r w:rsidRPr="000E3E66">
        <w:rPr>
          <w:sz w:val="24"/>
          <w:szCs w:val="24"/>
        </w:rPr>
        <w:t>5 g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b/>
          <w:sz w:val="24"/>
          <w:szCs w:val="24"/>
        </w:rPr>
        <w:t>Hjælpestof: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proofErr w:type="spellStart"/>
      <w:r w:rsidRPr="000E3E66">
        <w:rPr>
          <w:sz w:val="24"/>
          <w:szCs w:val="24"/>
        </w:rPr>
        <w:t>Quinolingult</w:t>
      </w:r>
      <w:proofErr w:type="spellEnd"/>
      <w:r>
        <w:rPr>
          <w:sz w:val="24"/>
          <w:szCs w:val="24"/>
        </w:rPr>
        <w:t xml:space="preserve"> (E104)</w:t>
      </w:r>
      <w:r>
        <w:rPr>
          <w:sz w:val="24"/>
          <w:szCs w:val="24"/>
        </w:rPr>
        <w:tab/>
        <w:t>2,</w:t>
      </w:r>
      <w:r w:rsidRPr="000E3E66">
        <w:rPr>
          <w:sz w:val="24"/>
          <w:szCs w:val="24"/>
        </w:rPr>
        <w:t>5 mg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Alle hjælpestoffer er anført under pkt. </w:t>
      </w:r>
      <w:r w:rsidRPr="000E3E66">
        <w:rPr>
          <w:sz w:val="24"/>
          <w:szCs w:val="24"/>
        </w:rPr>
        <w:t>6.1.</w:t>
      </w:r>
    </w:p>
    <w:p w:rsidR="00D768CF" w:rsidRPr="000E3E66" w:rsidRDefault="00D768CF" w:rsidP="00D768C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0E3E66" w:rsidRDefault="00D768CF" w:rsidP="00D768C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LÆGEMIDDELFORM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>
        <w:rPr>
          <w:sz w:val="24"/>
          <w:szCs w:val="24"/>
        </w:rPr>
        <w:t>G</w:t>
      </w:r>
      <w:r w:rsidRPr="000E3E66">
        <w:rPr>
          <w:sz w:val="24"/>
          <w:szCs w:val="24"/>
        </w:rPr>
        <w:t>ranulat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Gult og lugtfrit granulat.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0E3E66" w:rsidRDefault="00D768CF" w:rsidP="00D768C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KLINISKE OPLYSNINGER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0E3E66">
        <w:rPr>
          <w:b/>
          <w:sz w:val="24"/>
          <w:szCs w:val="24"/>
        </w:rPr>
        <w:t>4.1</w:t>
      </w:r>
      <w:r w:rsidRPr="000E3E66">
        <w:rPr>
          <w:b/>
          <w:sz w:val="24"/>
          <w:szCs w:val="24"/>
        </w:rPr>
        <w:tab/>
        <w:t>Dyrearter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Til hest</w:t>
      </w:r>
      <w:r>
        <w:rPr>
          <w:sz w:val="24"/>
          <w:szCs w:val="24"/>
        </w:rPr>
        <w:t>e og ponyer.</w:t>
      </w:r>
    </w:p>
    <w:p w:rsidR="00D768CF" w:rsidRPr="000E3E66" w:rsidRDefault="00D768CF" w:rsidP="00D768C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0E3E66" w:rsidRDefault="00D768CF" w:rsidP="00D768CF">
      <w:pPr>
        <w:pStyle w:val="Sidehoved"/>
        <w:numPr>
          <w:ilvl w:val="1"/>
          <w:numId w:val="2"/>
        </w:numPr>
        <w:tabs>
          <w:tab w:val="clear" w:pos="4819"/>
          <w:tab w:val="clear" w:pos="9638"/>
          <w:tab w:val="left" w:pos="8222"/>
        </w:tabs>
        <w:ind w:left="851" w:hanging="851"/>
        <w:rPr>
          <w:b/>
          <w:szCs w:val="24"/>
        </w:rPr>
      </w:pPr>
      <w:r w:rsidRPr="000E3E66">
        <w:rPr>
          <w:b/>
          <w:szCs w:val="24"/>
        </w:rPr>
        <w:t>Terapeutiske indikationer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Til behandling af smerter og inflammation forbundet med </w:t>
      </w:r>
      <w:proofErr w:type="spellStart"/>
      <w:r w:rsidRPr="000E3E66">
        <w:rPr>
          <w:sz w:val="24"/>
          <w:szCs w:val="24"/>
        </w:rPr>
        <w:t>muskulo</w:t>
      </w:r>
      <w:proofErr w:type="spellEnd"/>
      <w:r w:rsidRPr="000E3E66">
        <w:rPr>
          <w:sz w:val="24"/>
          <w:szCs w:val="24"/>
        </w:rPr>
        <w:t xml:space="preserve">-skeletale lidelser hos heste f.eks. </w:t>
      </w:r>
      <w:proofErr w:type="spellStart"/>
      <w:r w:rsidRPr="000E3E66">
        <w:rPr>
          <w:sz w:val="24"/>
          <w:szCs w:val="24"/>
        </w:rPr>
        <w:t>osteoartrotiske</w:t>
      </w:r>
      <w:proofErr w:type="spellEnd"/>
      <w:r w:rsidRPr="000E3E66">
        <w:rPr>
          <w:sz w:val="24"/>
          <w:szCs w:val="24"/>
        </w:rPr>
        <w:t xml:space="preserve"> tilstande, </w:t>
      </w:r>
      <w:proofErr w:type="spellStart"/>
      <w:r w:rsidRPr="000E3E66">
        <w:rPr>
          <w:sz w:val="24"/>
          <w:szCs w:val="24"/>
        </w:rPr>
        <w:t>bursitis</w:t>
      </w:r>
      <w:proofErr w:type="spellEnd"/>
      <w:r w:rsidRPr="000E3E66">
        <w:rPr>
          <w:sz w:val="24"/>
          <w:szCs w:val="24"/>
        </w:rPr>
        <w:t xml:space="preserve">, </w:t>
      </w:r>
      <w:proofErr w:type="spellStart"/>
      <w:r w:rsidRPr="000E3E66">
        <w:rPr>
          <w:sz w:val="24"/>
          <w:szCs w:val="24"/>
        </w:rPr>
        <w:t>laminitis</w:t>
      </w:r>
      <w:proofErr w:type="spellEnd"/>
      <w:r w:rsidRPr="000E3E66">
        <w:rPr>
          <w:sz w:val="24"/>
          <w:szCs w:val="24"/>
        </w:rPr>
        <w:t xml:space="preserve"> og inflammationer i bløddelsvæv.</w:t>
      </w:r>
    </w:p>
    <w:p w:rsidR="00D768CF" w:rsidRDefault="00D768CF" w:rsidP="00D768CF">
      <w:pPr>
        <w:rPr>
          <w:sz w:val="24"/>
          <w:szCs w:val="24"/>
          <w:lang w:eastAsia="da-DK"/>
        </w:rPr>
      </w:pPr>
      <w:r>
        <w:rPr>
          <w:szCs w:val="24"/>
        </w:rPr>
        <w:br w:type="page"/>
      </w:r>
    </w:p>
    <w:p w:rsidR="00D768CF" w:rsidRPr="000E3E66" w:rsidRDefault="00D768CF" w:rsidP="00D768CF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768CF" w:rsidRPr="000E3E66" w:rsidRDefault="00D768CF" w:rsidP="00D768CF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  <w:rPr>
          <w:b/>
          <w:szCs w:val="24"/>
        </w:rPr>
      </w:pPr>
      <w:r w:rsidRPr="000E3E66">
        <w:rPr>
          <w:b/>
          <w:szCs w:val="24"/>
        </w:rPr>
        <w:t>4.3</w:t>
      </w:r>
      <w:r w:rsidRPr="000E3E66">
        <w:rPr>
          <w:b/>
          <w:szCs w:val="24"/>
        </w:rPr>
        <w:tab/>
        <w:t>Kontraindikationer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BB5044">
        <w:rPr>
          <w:sz w:val="24"/>
          <w:szCs w:val="24"/>
        </w:rPr>
        <w:t xml:space="preserve">Må ikke anvendes til dyr med </w:t>
      </w:r>
      <w:proofErr w:type="spellStart"/>
      <w:r w:rsidRPr="00BB5044">
        <w:rPr>
          <w:sz w:val="24"/>
          <w:szCs w:val="24"/>
        </w:rPr>
        <w:t>renale</w:t>
      </w:r>
      <w:proofErr w:type="spellEnd"/>
      <w:r w:rsidRPr="00BB5044">
        <w:rPr>
          <w:sz w:val="24"/>
          <w:szCs w:val="24"/>
        </w:rPr>
        <w:t xml:space="preserve">, </w:t>
      </w:r>
      <w:proofErr w:type="spellStart"/>
      <w:r w:rsidRPr="00BB5044">
        <w:rPr>
          <w:sz w:val="24"/>
          <w:szCs w:val="24"/>
        </w:rPr>
        <w:t>hepatiske</w:t>
      </w:r>
      <w:proofErr w:type="spellEnd"/>
      <w:r w:rsidRPr="00BB5044">
        <w:rPr>
          <w:sz w:val="24"/>
          <w:szCs w:val="24"/>
        </w:rPr>
        <w:t xml:space="preserve"> eller kardiologiske sygdomme. Må ikke anvendes til dyr, hvor der er mulighed for </w:t>
      </w:r>
      <w:proofErr w:type="spellStart"/>
      <w:r w:rsidRPr="00BB5044">
        <w:rPr>
          <w:sz w:val="24"/>
          <w:szCs w:val="24"/>
        </w:rPr>
        <w:t>gastrointestinal</w:t>
      </w:r>
      <w:proofErr w:type="spellEnd"/>
      <w:r w:rsidRPr="00BB5044">
        <w:rPr>
          <w:sz w:val="24"/>
          <w:szCs w:val="24"/>
        </w:rPr>
        <w:t xml:space="preserve"> sårdannelse eller blødning. Må ikke anvendes til dyr, hvor der er symptomer på </w:t>
      </w:r>
      <w:proofErr w:type="spellStart"/>
      <w:r w:rsidRPr="00BB5044">
        <w:rPr>
          <w:sz w:val="24"/>
          <w:szCs w:val="24"/>
        </w:rPr>
        <w:t>bloddyskrasi</w:t>
      </w:r>
      <w:proofErr w:type="spellEnd"/>
      <w:r w:rsidRPr="00BB5044">
        <w:rPr>
          <w:sz w:val="24"/>
          <w:szCs w:val="24"/>
        </w:rPr>
        <w:t>. Må ikke anvendes i tilfælde af kendt overfølsomhed over for det aktive stof eller et eller flere af hjælpestofferne.</w:t>
      </w:r>
    </w:p>
    <w:p w:rsidR="00D768CF" w:rsidRPr="000E3E66" w:rsidRDefault="00D768CF" w:rsidP="00D768CF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4.4</w:t>
      </w:r>
      <w:r w:rsidRPr="000E3E66">
        <w:rPr>
          <w:b/>
          <w:sz w:val="24"/>
          <w:szCs w:val="24"/>
        </w:rPr>
        <w:tab/>
        <w:t>Særlige advarsler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0E3E66">
        <w:rPr>
          <w:sz w:val="24"/>
          <w:szCs w:val="24"/>
        </w:rPr>
        <w:t>NSAID’er</w:t>
      </w:r>
      <w:proofErr w:type="spellEnd"/>
      <w:r w:rsidRPr="000E3E66">
        <w:rPr>
          <w:sz w:val="24"/>
          <w:szCs w:val="24"/>
        </w:rPr>
        <w:t xml:space="preserve"> kan hæmme fagocytose</w:t>
      </w:r>
      <w:r>
        <w:rPr>
          <w:sz w:val="24"/>
          <w:szCs w:val="24"/>
        </w:rPr>
        <w:t>.</w:t>
      </w:r>
      <w:r w:rsidRPr="000E3E66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0E3E66">
        <w:rPr>
          <w:sz w:val="24"/>
          <w:szCs w:val="24"/>
        </w:rPr>
        <w:t>erfor bør passende antimikrobiel behandling startes, når behandling af inflammatoriske tilstande associeret med bakterielle infektioner pågår.</w:t>
      </w:r>
    </w:p>
    <w:p w:rsidR="00D768CF" w:rsidRPr="000E3E66" w:rsidRDefault="00D768CF" w:rsidP="00D768CF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4.5</w:t>
      </w:r>
      <w:r w:rsidRPr="000E3E66">
        <w:rPr>
          <w:b/>
          <w:sz w:val="24"/>
          <w:szCs w:val="24"/>
        </w:rPr>
        <w:tab/>
        <w:t>Særlige forsigtighedsregler vedrørende brugen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ab/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ab/>
        <w:t>Særlige forsigtighedsregler for dyret</w:t>
      </w:r>
    </w:p>
    <w:p w:rsidR="00D768CF" w:rsidRDefault="00D768CF" w:rsidP="00D768CF">
      <w:pPr>
        <w:ind w:left="851" w:hanging="851"/>
        <w:rPr>
          <w:sz w:val="24"/>
          <w:szCs w:val="24"/>
        </w:rPr>
      </w:pPr>
      <w:r w:rsidRPr="000E3E66">
        <w:rPr>
          <w:sz w:val="24"/>
          <w:szCs w:val="24"/>
        </w:rPr>
        <w:tab/>
        <w:t xml:space="preserve">Den angivne dosis eller behandlingsvarighed bør ikke overskrides. Dosis bør være </w:t>
      </w:r>
      <w:r>
        <w:rPr>
          <w:sz w:val="24"/>
          <w:szCs w:val="24"/>
        </w:rPr>
        <w:t xml:space="preserve">den </w:t>
      </w:r>
      <w:r w:rsidRPr="000E3E66">
        <w:rPr>
          <w:sz w:val="24"/>
          <w:szCs w:val="24"/>
        </w:rPr>
        <w:t>lavest mulig</w:t>
      </w:r>
      <w:r>
        <w:rPr>
          <w:sz w:val="24"/>
          <w:szCs w:val="24"/>
        </w:rPr>
        <w:t>e</w:t>
      </w:r>
      <w:r w:rsidRPr="000E3E66">
        <w:rPr>
          <w:sz w:val="24"/>
          <w:szCs w:val="24"/>
        </w:rPr>
        <w:t xml:space="preserve"> til at afhjælpe symptomerne.</w:t>
      </w:r>
    </w:p>
    <w:p w:rsidR="00D768CF" w:rsidRDefault="00D768CF" w:rsidP="00D768CF">
      <w:pPr>
        <w:ind w:left="851" w:hanging="851"/>
        <w:rPr>
          <w:sz w:val="24"/>
          <w:szCs w:val="24"/>
        </w:rPr>
      </w:pPr>
    </w:p>
    <w:p w:rsidR="00D768CF" w:rsidRPr="00BB5044" w:rsidRDefault="00D768CF" w:rsidP="00D768CF">
      <w:pPr>
        <w:ind w:left="851"/>
        <w:rPr>
          <w:sz w:val="24"/>
          <w:szCs w:val="24"/>
        </w:rPr>
      </w:pPr>
      <w:r w:rsidRPr="00BB5044">
        <w:rPr>
          <w:sz w:val="24"/>
          <w:szCs w:val="24"/>
        </w:rPr>
        <w:t xml:space="preserve">Ved behandling af meget unge dyr (under 12 uger gamle) hvor den </w:t>
      </w:r>
      <w:proofErr w:type="spellStart"/>
      <w:r w:rsidRPr="00BB5044">
        <w:rPr>
          <w:sz w:val="24"/>
          <w:szCs w:val="24"/>
        </w:rPr>
        <w:t>hepatiske</w:t>
      </w:r>
      <w:proofErr w:type="spellEnd"/>
      <w:r w:rsidRPr="00BB5044">
        <w:rPr>
          <w:sz w:val="24"/>
          <w:szCs w:val="24"/>
        </w:rPr>
        <w:t xml:space="preserve"> eller </w:t>
      </w:r>
      <w:proofErr w:type="spellStart"/>
      <w:r w:rsidRPr="00BB5044">
        <w:rPr>
          <w:sz w:val="24"/>
          <w:szCs w:val="24"/>
        </w:rPr>
        <w:t>renale</w:t>
      </w:r>
      <w:proofErr w:type="spellEnd"/>
      <w:r w:rsidRPr="00BB5044">
        <w:rPr>
          <w:sz w:val="24"/>
          <w:szCs w:val="24"/>
        </w:rPr>
        <w:t xml:space="preserve"> funktion endnu ikke er færdigudviklet, eller i gamle dyr hvor disse funktioner kan være nedsat, såvel som i ponyer, kan der være forhøjede risici.</w:t>
      </w:r>
    </w:p>
    <w:p w:rsidR="00D768CF" w:rsidRPr="00BB5044" w:rsidRDefault="00D768CF" w:rsidP="00D768CF">
      <w:pPr>
        <w:ind w:left="851"/>
        <w:rPr>
          <w:sz w:val="24"/>
          <w:szCs w:val="24"/>
        </w:rPr>
      </w:pPr>
      <w:r w:rsidRPr="00BB5044">
        <w:rPr>
          <w:sz w:val="24"/>
          <w:szCs w:val="24"/>
        </w:rPr>
        <w:t>I disse tilfælde bør dosis beregnes nøjagtigt og patienterne overvåges nøje.</w:t>
      </w:r>
    </w:p>
    <w:p w:rsidR="00D768CF" w:rsidRPr="00BB5044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BB5044">
        <w:rPr>
          <w:sz w:val="24"/>
          <w:szCs w:val="24"/>
        </w:rPr>
        <w:t xml:space="preserve">I behandlingsperioden bør dyrene have fri adgang til vand. Undgå at bruge præparatet til dehydrerede, </w:t>
      </w:r>
      <w:proofErr w:type="spellStart"/>
      <w:r w:rsidRPr="00BB5044">
        <w:rPr>
          <w:sz w:val="24"/>
          <w:szCs w:val="24"/>
        </w:rPr>
        <w:t>hypovolæmiske</w:t>
      </w:r>
      <w:proofErr w:type="spellEnd"/>
      <w:r w:rsidRPr="00BB5044">
        <w:rPr>
          <w:sz w:val="24"/>
          <w:szCs w:val="24"/>
        </w:rPr>
        <w:t xml:space="preserve"> eller </w:t>
      </w:r>
      <w:proofErr w:type="spellStart"/>
      <w:r w:rsidRPr="00BB5044">
        <w:rPr>
          <w:sz w:val="24"/>
          <w:szCs w:val="24"/>
        </w:rPr>
        <w:t>hypotensive</w:t>
      </w:r>
      <w:proofErr w:type="spellEnd"/>
      <w:r w:rsidRPr="00BB5044">
        <w:rPr>
          <w:sz w:val="24"/>
          <w:szCs w:val="24"/>
        </w:rPr>
        <w:t xml:space="preserve"> dyr, da der kan være øget risiko for nyresvigt.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sz w:val="24"/>
          <w:szCs w:val="24"/>
        </w:rPr>
        <w:tab/>
      </w:r>
      <w:r w:rsidRPr="000E3E66">
        <w:rPr>
          <w:b/>
          <w:sz w:val="24"/>
          <w:szCs w:val="24"/>
        </w:rPr>
        <w:t>Særlige forsigtighedsregler for personer, der administrerer lægemidlet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Personligt beskyttelsesudstyr i form af handsker bør anvendes ved håndtering af lægemidlet.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Vask hænder efter brug.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Bør anvendes i et velventileret rum. Undgå inhalation af støv ved åbning af dosisbreve og ved opblanding med foder. Ved kontakt med øjne vaskes grundigt efter med rigelige mængder rent vand.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I tilfælde af ind</w:t>
      </w:r>
      <w:r>
        <w:rPr>
          <w:sz w:val="24"/>
          <w:szCs w:val="24"/>
        </w:rPr>
        <w:t>tagelse</w:t>
      </w:r>
      <w:r w:rsidRPr="000E3E66">
        <w:rPr>
          <w:sz w:val="24"/>
          <w:szCs w:val="24"/>
        </w:rPr>
        <w:t xml:space="preserve"> ved hændeligt uheld skal der straks søges lægehjælp, og indlægssedlen vises til lægen.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sz w:val="24"/>
          <w:szCs w:val="24"/>
        </w:rPr>
        <w:tab/>
      </w:r>
      <w:r w:rsidRPr="000E3E66">
        <w:rPr>
          <w:b/>
          <w:sz w:val="24"/>
          <w:szCs w:val="24"/>
        </w:rPr>
        <w:t>Andre forsigtighedsregler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E3E66">
        <w:rPr>
          <w:sz w:val="24"/>
          <w:szCs w:val="24"/>
        </w:rPr>
        <w:tab/>
        <w:t>-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4.6</w:t>
      </w:r>
      <w:r w:rsidRPr="000E3E66">
        <w:rPr>
          <w:b/>
          <w:sz w:val="24"/>
          <w:szCs w:val="24"/>
        </w:rPr>
        <w:tab/>
        <w:t>Bivirkninger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Ved kontinuerlig brug eller ved høje doser kan der forekomme </w:t>
      </w:r>
      <w:proofErr w:type="spellStart"/>
      <w:r w:rsidRPr="000E3E66">
        <w:rPr>
          <w:sz w:val="24"/>
          <w:szCs w:val="24"/>
        </w:rPr>
        <w:t>gastrointestinale</w:t>
      </w:r>
      <w:proofErr w:type="spellEnd"/>
      <w:r w:rsidRPr="000E3E66">
        <w:rPr>
          <w:sz w:val="24"/>
          <w:szCs w:val="24"/>
        </w:rPr>
        <w:t xml:space="preserve"> symptomer.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proofErr w:type="spellStart"/>
      <w:r w:rsidRPr="000E3E66">
        <w:rPr>
          <w:sz w:val="24"/>
          <w:szCs w:val="24"/>
        </w:rPr>
        <w:t>Bloddyskrasi</w:t>
      </w:r>
      <w:proofErr w:type="spellEnd"/>
      <w:r w:rsidRPr="000E3E66">
        <w:rPr>
          <w:sz w:val="24"/>
          <w:szCs w:val="24"/>
        </w:rPr>
        <w:t xml:space="preserve"> og </w:t>
      </w:r>
      <w:proofErr w:type="spellStart"/>
      <w:r w:rsidRPr="000E3E66">
        <w:rPr>
          <w:sz w:val="24"/>
          <w:szCs w:val="24"/>
        </w:rPr>
        <w:t>renale</w:t>
      </w:r>
      <w:proofErr w:type="spellEnd"/>
      <w:r w:rsidRPr="000E3E66">
        <w:rPr>
          <w:sz w:val="24"/>
          <w:szCs w:val="24"/>
        </w:rPr>
        <w:t xml:space="preserve"> forandringer kan forekomme, især hos dyr med begrænset adgang til vand.</w:t>
      </w:r>
    </w:p>
    <w:p w:rsidR="00D768CF" w:rsidRDefault="00D768CF" w:rsidP="00D768C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4.7</w:t>
      </w:r>
      <w:r w:rsidRPr="000E3E66">
        <w:rPr>
          <w:b/>
          <w:sz w:val="24"/>
          <w:szCs w:val="24"/>
        </w:rPr>
        <w:tab/>
        <w:t>Drægtighed, diegivning eller æglægning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  <w:r w:rsidRPr="000E3E66">
        <w:rPr>
          <w:sz w:val="24"/>
          <w:szCs w:val="24"/>
        </w:rPr>
        <w:tab/>
        <w:t>Lægemidlets sikkerhed under drægtighed og laktation er ikke fastlagt, Derfor frarådes anvendelse i disse perioder.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4.8</w:t>
      </w:r>
      <w:r w:rsidRPr="000E3E66">
        <w:rPr>
          <w:b/>
          <w:sz w:val="24"/>
          <w:szCs w:val="24"/>
        </w:rPr>
        <w:tab/>
        <w:t>Interaktion med andre lægemidler og andre former for interaktion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  <w:r w:rsidRPr="000E3E66">
        <w:rPr>
          <w:sz w:val="24"/>
          <w:szCs w:val="24"/>
        </w:rPr>
        <w:tab/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 xml:space="preserve"> og </w:t>
      </w:r>
      <w:r>
        <w:rPr>
          <w:sz w:val="24"/>
          <w:szCs w:val="24"/>
        </w:rPr>
        <w:t>det</w:t>
      </w:r>
      <w:r w:rsidRPr="000E3E66">
        <w:rPr>
          <w:sz w:val="24"/>
          <w:szCs w:val="24"/>
        </w:rPr>
        <w:t xml:space="preserve">s metabolitter </w:t>
      </w:r>
      <w:r>
        <w:rPr>
          <w:sz w:val="24"/>
          <w:szCs w:val="24"/>
        </w:rPr>
        <w:t>kan være</w:t>
      </w:r>
      <w:r w:rsidRPr="000E3E66">
        <w:rPr>
          <w:sz w:val="24"/>
          <w:szCs w:val="24"/>
        </w:rPr>
        <w:t xml:space="preserve"> stærkt bundet til plasmaproteiner og konkurrerer med andre stærkt bundne lægemidler </w:t>
      </w:r>
      <w:proofErr w:type="spellStart"/>
      <w:r w:rsidRPr="000E3E66">
        <w:rPr>
          <w:sz w:val="24"/>
          <w:szCs w:val="24"/>
        </w:rPr>
        <w:t>e.g</w:t>
      </w:r>
      <w:proofErr w:type="spellEnd"/>
      <w:r w:rsidRPr="000E3E66">
        <w:rPr>
          <w:sz w:val="24"/>
          <w:szCs w:val="24"/>
        </w:rPr>
        <w:t xml:space="preserve">. sulfonamider, </w:t>
      </w:r>
      <w:proofErr w:type="spellStart"/>
      <w:r w:rsidRPr="000E3E66">
        <w:rPr>
          <w:sz w:val="24"/>
          <w:szCs w:val="24"/>
        </w:rPr>
        <w:t>warfarin</w:t>
      </w:r>
      <w:proofErr w:type="spellEnd"/>
      <w:r>
        <w:rPr>
          <w:sz w:val="24"/>
          <w:szCs w:val="24"/>
        </w:rPr>
        <w:t>.</w:t>
      </w:r>
      <w:r w:rsidRPr="000E3E66">
        <w:rPr>
          <w:sz w:val="24"/>
          <w:szCs w:val="24"/>
        </w:rPr>
        <w:t xml:space="preserve"> Dette kan </w:t>
      </w:r>
      <w:r>
        <w:rPr>
          <w:sz w:val="24"/>
          <w:szCs w:val="24"/>
        </w:rPr>
        <w:t>også medføre</w:t>
      </w:r>
      <w:r w:rsidRPr="000E3E66">
        <w:rPr>
          <w:sz w:val="24"/>
          <w:szCs w:val="24"/>
        </w:rPr>
        <w:t xml:space="preserve"> en øgning af ikke-bu</w:t>
      </w:r>
      <w:r>
        <w:rPr>
          <w:sz w:val="24"/>
          <w:szCs w:val="24"/>
        </w:rPr>
        <w:t>n</w:t>
      </w:r>
      <w:r w:rsidRPr="000E3E66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0E3E66">
        <w:rPr>
          <w:sz w:val="24"/>
          <w:szCs w:val="24"/>
        </w:rPr>
        <w:t xml:space="preserve"> farmakologisk aktive koncentrationer</w:t>
      </w:r>
      <w:r>
        <w:rPr>
          <w:sz w:val="24"/>
          <w:szCs w:val="24"/>
        </w:rPr>
        <w:t xml:space="preserve"> af </w:t>
      </w:r>
      <w:proofErr w:type="spellStart"/>
      <w:r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>, som kan medføre toksiske virkninger.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Kompatibiliteten bør overvåges nøje, når supplerende behandling er påkrævet.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Andre </w:t>
      </w:r>
      <w:proofErr w:type="spellStart"/>
      <w:r w:rsidRPr="000E3E66">
        <w:rPr>
          <w:sz w:val="24"/>
          <w:szCs w:val="24"/>
        </w:rPr>
        <w:t>NSAIDs</w:t>
      </w:r>
      <w:proofErr w:type="spellEnd"/>
      <w:r w:rsidRPr="000E3E66">
        <w:rPr>
          <w:sz w:val="24"/>
          <w:szCs w:val="24"/>
        </w:rPr>
        <w:t xml:space="preserve"> bør ikke administreres samtidig eller indenfor 24 timer af hinanden.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Må ikke gives samtidig med </w:t>
      </w:r>
      <w:proofErr w:type="spellStart"/>
      <w:r w:rsidRPr="000E3E66">
        <w:rPr>
          <w:sz w:val="24"/>
          <w:szCs w:val="24"/>
        </w:rPr>
        <w:t>potensielt</w:t>
      </w:r>
      <w:proofErr w:type="spellEnd"/>
      <w:r w:rsidRPr="000E3E66">
        <w:rPr>
          <w:sz w:val="24"/>
          <w:szCs w:val="24"/>
        </w:rPr>
        <w:t xml:space="preserve"> </w:t>
      </w:r>
      <w:proofErr w:type="spellStart"/>
      <w:r w:rsidRPr="000E3E66">
        <w:rPr>
          <w:sz w:val="24"/>
          <w:szCs w:val="24"/>
        </w:rPr>
        <w:t>nefrotoksiske</w:t>
      </w:r>
      <w:proofErr w:type="spellEnd"/>
      <w:r w:rsidRPr="000E3E66">
        <w:rPr>
          <w:sz w:val="24"/>
          <w:szCs w:val="24"/>
        </w:rPr>
        <w:t xml:space="preserve"> lægemidler.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4.9</w:t>
      </w:r>
      <w:r w:rsidRPr="000E3E66">
        <w:rPr>
          <w:b/>
          <w:sz w:val="24"/>
          <w:szCs w:val="24"/>
        </w:rPr>
        <w:tab/>
        <w:t>Dosering og indgivelsesmåde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Til oral a</w:t>
      </w:r>
      <w:r>
        <w:rPr>
          <w:sz w:val="24"/>
          <w:szCs w:val="24"/>
        </w:rPr>
        <w:t>nvendelse.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Efter opblanding med foder, ædes produktet villigt af de fleste heste.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Den følgende doseringsanvisning bør anvendes som en retningslinje, tilpasset det individuelle </w:t>
      </w:r>
      <w:r>
        <w:rPr>
          <w:sz w:val="24"/>
          <w:szCs w:val="24"/>
        </w:rPr>
        <w:t>respons</w:t>
      </w:r>
      <w:r w:rsidRPr="000E3E66">
        <w:rPr>
          <w:sz w:val="24"/>
          <w:szCs w:val="24"/>
        </w:rPr>
        <w:t>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  <w:u w:val="single"/>
        </w:rPr>
      </w:pPr>
      <w:r w:rsidRPr="000E3E66">
        <w:rPr>
          <w:sz w:val="24"/>
          <w:szCs w:val="24"/>
          <w:u w:val="single"/>
        </w:rPr>
        <w:t>Heste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Til 480 kg hest, administreres indholdet af 2 dosisbreve, 2 gange dagligt (svarende til 12.5 mg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 xml:space="preserve">/kg/dag) i 2 dage, efterfulgt af 1 dosisbrev 2 gange dagligt (svarende til 6.25 mg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>/kg/dag) i 3 dage.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Derefter, 1 brev dagligt (3.1 mg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>/kg/dag), eller hver anden dag, eller den lavest mulige dosis, der giver et tilfredsstillende klinisk resultat.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  <w:u w:val="single"/>
        </w:rPr>
      </w:pPr>
      <w:r w:rsidRPr="000E3E66">
        <w:rPr>
          <w:sz w:val="24"/>
          <w:szCs w:val="24"/>
          <w:u w:val="single"/>
        </w:rPr>
        <w:t>Ponyer</w:t>
      </w:r>
      <w:r>
        <w:rPr>
          <w:sz w:val="24"/>
          <w:szCs w:val="24"/>
          <w:u w:val="single"/>
        </w:rPr>
        <w:t xml:space="preserve"> </w:t>
      </w:r>
      <w:r w:rsidRPr="000E3E66">
        <w:rPr>
          <w:sz w:val="24"/>
          <w:szCs w:val="24"/>
          <w:u w:val="single"/>
        </w:rPr>
        <w:t xml:space="preserve">(racer, der som fuldvoksne, er lavere end 149 cm ved </w:t>
      </w:r>
      <w:proofErr w:type="gramStart"/>
      <w:r w:rsidRPr="000E3E66">
        <w:rPr>
          <w:sz w:val="24"/>
          <w:szCs w:val="24"/>
          <w:u w:val="single"/>
        </w:rPr>
        <w:t>skulderkammen )</w:t>
      </w:r>
      <w:proofErr w:type="gramEnd"/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Ponyer bør kun få halvdelen af den dosis der anbefales til heste.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Til 240 kg pony, administreres indholdet af 1 brev </w:t>
      </w:r>
      <w:proofErr w:type="gramStart"/>
      <w:r w:rsidRPr="000E3E66">
        <w:rPr>
          <w:sz w:val="24"/>
          <w:szCs w:val="24"/>
        </w:rPr>
        <w:t>dagligt(</w:t>
      </w:r>
      <w:proofErr w:type="gramEnd"/>
      <w:r w:rsidRPr="000E3E66">
        <w:rPr>
          <w:sz w:val="24"/>
          <w:szCs w:val="24"/>
        </w:rPr>
        <w:t xml:space="preserve">svarende til 6.25 mg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 xml:space="preserve">/kg/dag) i 2 dage, efterfulgt af et ½ brev dagligt(3.1 mg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>/kg/dag) i 3 dage, eller 1 brev hver anden dag.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Derefter reduceres dosis til den lavest mulige dosis, der giver et tilfredsstillende klinisk resultat.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Ved administration af mindre end 1 brev, anvend den vedlagte måleske. En strøget ske indeholder 5g </w:t>
      </w:r>
      <w:proofErr w:type="gramStart"/>
      <w:r w:rsidRPr="000E3E66">
        <w:rPr>
          <w:sz w:val="24"/>
          <w:szCs w:val="24"/>
        </w:rPr>
        <w:t>granulat(</w:t>
      </w:r>
      <w:proofErr w:type="gramEnd"/>
      <w:r w:rsidRPr="000E3E66">
        <w:rPr>
          <w:sz w:val="24"/>
          <w:szCs w:val="24"/>
        </w:rPr>
        <w:t>svarende til et ½ brev). En ske fyldt op til den grønne linje indeholder 2.5 g granulat (svarende til ¼ brev)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Hø som del af foderet, kan forsinke absorptionen af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 xml:space="preserve"> og dermed den kliniske effekt heraf.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Det anbefales derfor at hesten ikke fodres med hø umiddelbart før, eller samtidigt med dette produkt.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Se også </w:t>
      </w:r>
      <w:r>
        <w:rPr>
          <w:sz w:val="24"/>
          <w:szCs w:val="24"/>
        </w:rPr>
        <w:t xml:space="preserve">pkt. </w:t>
      </w:r>
      <w:r w:rsidRPr="000E3E66">
        <w:rPr>
          <w:sz w:val="24"/>
          <w:szCs w:val="24"/>
        </w:rPr>
        <w:t>4.4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Hvis intet klinisk respons ses efter 4-5 dage, bør behandlingen afsluttes og diagnosen revurderes.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4.10</w:t>
      </w:r>
      <w:r w:rsidRPr="000E3E66">
        <w:rPr>
          <w:b/>
          <w:sz w:val="24"/>
          <w:szCs w:val="24"/>
        </w:rPr>
        <w:tab/>
        <w:t>Overdosering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Ved fortsat overdosering, observeres følgende symptomer: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0E3E66">
        <w:rPr>
          <w:sz w:val="24"/>
          <w:szCs w:val="24"/>
        </w:rPr>
        <w:t xml:space="preserve">Tørst, depression, </w:t>
      </w:r>
      <w:proofErr w:type="spellStart"/>
      <w:r w:rsidRPr="000E3E66">
        <w:rPr>
          <w:sz w:val="24"/>
          <w:szCs w:val="24"/>
        </w:rPr>
        <w:t>anorexi</w:t>
      </w:r>
      <w:proofErr w:type="spellEnd"/>
      <w:r w:rsidRPr="000E3E66">
        <w:rPr>
          <w:sz w:val="24"/>
          <w:szCs w:val="24"/>
        </w:rPr>
        <w:t xml:space="preserve"> og vægttab.</w:t>
      </w:r>
    </w:p>
    <w:p w:rsidR="00D768CF" w:rsidRPr="000E3E66" w:rsidRDefault="00D768CF" w:rsidP="00D768C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proofErr w:type="spellStart"/>
      <w:r w:rsidRPr="000E3E66">
        <w:rPr>
          <w:sz w:val="24"/>
          <w:szCs w:val="24"/>
        </w:rPr>
        <w:t>Gastrointestinale</w:t>
      </w:r>
      <w:proofErr w:type="spellEnd"/>
      <w:r w:rsidRPr="000E3E66">
        <w:rPr>
          <w:sz w:val="24"/>
          <w:szCs w:val="24"/>
        </w:rPr>
        <w:t xml:space="preserve"> lidelser</w:t>
      </w:r>
      <w:r>
        <w:rPr>
          <w:sz w:val="24"/>
          <w:szCs w:val="24"/>
        </w:rPr>
        <w:t xml:space="preserve"> </w:t>
      </w:r>
      <w:r w:rsidRPr="000E3E66">
        <w:rPr>
          <w:sz w:val="24"/>
          <w:szCs w:val="24"/>
        </w:rPr>
        <w:t>(irritation, sårdannelser, diarré og blod i fæces)</w:t>
      </w:r>
    </w:p>
    <w:p w:rsidR="00D768CF" w:rsidRPr="000E3E66" w:rsidRDefault="00D768CF" w:rsidP="00D768C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0E3E66">
        <w:rPr>
          <w:sz w:val="24"/>
          <w:szCs w:val="24"/>
        </w:rPr>
        <w:t>Ændret blodprofil og blødninger.</w:t>
      </w:r>
    </w:p>
    <w:p w:rsidR="00D768CF" w:rsidRDefault="00D768CF" w:rsidP="00D768C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proofErr w:type="spellStart"/>
      <w:r w:rsidRPr="00341836">
        <w:rPr>
          <w:sz w:val="24"/>
          <w:szCs w:val="24"/>
        </w:rPr>
        <w:t>Hypoproteinæmi</w:t>
      </w:r>
      <w:proofErr w:type="spellEnd"/>
      <w:r w:rsidRPr="00341836">
        <w:rPr>
          <w:sz w:val="24"/>
          <w:szCs w:val="24"/>
        </w:rPr>
        <w:t xml:space="preserve"> og </w:t>
      </w:r>
      <w:proofErr w:type="spellStart"/>
      <w:r w:rsidRPr="00341836">
        <w:rPr>
          <w:sz w:val="24"/>
          <w:szCs w:val="24"/>
        </w:rPr>
        <w:t>ventrale</w:t>
      </w:r>
      <w:proofErr w:type="spellEnd"/>
      <w:r w:rsidRPr="00341836">
        <w:rPr>
          <w:sz w:val="24"/>
          <w:szCs w:val="24"/>
        </w:rPr>
        <w:t xml:space="preserve"> ødemer der forårsager </w:t>
      </w:r>
      <w:proofErr w:type="spellStart"/>
      <w:r w:rsidRPr="00341836">
        <w:rPr>
          <w:sz w:val="24"/>
          <w:szCs w:val="24"/>
        </w:rPr>
        <w:t>hæmokoncentration</w:t>
      </w:r>
      <w:proofErr w:type="spellEnd"/>
      <w:r w:rsidRPr="00341836">
        <w:rPr>
          <w:sz w:val="24"/>
          <w:szCs w:val="24"/>
        </w:rPr>
        <w:t xml:space="preserve">, </w:t>
      </w:r>
      <w:proofErr w:type="spellStart"/>
      <w:r w:rsidRPr="00341836">
        <w:rPr>
          <w:sz w:val="24"/>
          <w:szCs w:val="24"/>
        </w:rPr>
        <w:t>hypovolæmisk</w:t>
      </w:r>
      <w:proofErr w:type="spellEnd"/>
      <w:r w:rsidRPr="00341836">
        <w:rPr>
          <w:sz w:val="24"/>
          <w:szCs w:val="24"/>
        </w:rPr>
        <w:t xml:space="preserve"> chok og kredsløbskollaps.</w:t>
      </w:r>
    </w:p>
    <w:p w:rsidR="00D768CF" w:rsidRPr="00341836" w:rsidRDefault="00D768CF" w:rsidP="00D768CF">
      <w:pPr>
        <w:numPr>
          <w:ilvl w:val="0"/>
          <w:numId w:val="4"/>
        </w:numPr>
        <w:ind w:left="1276" w:hanging="425"/>
        <w:rPr>
          <w:sz w:val="24"/>
          <w:szCs w:val="24"/>
        </w:rPr>
      </w:pPr>
      <w:r w:rsidRPr="00341836">
        <w:rPr>
          <w:sz w:val="24"/>
          <w:szCs w:val="24"/>
        </w:rPr>
        <w:t>Nyresvigt og væskeophobning.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Hvis der opstår symptomer på </w:t>
      </w:r>
      <w:proofErr w:type="spellStart"/>
      <w:r w:rsidRPr="000E3E66">
        <w:rPr>
          <w:sz w:val="24"/>
          <w:szCs w:val="24"/>
        </w:rPr>
        <w:t>intolerans</w:t>
      </w:r>
      <w:proofErr w:type="spellEnd"/>
      <w:r w:rsidRPr="000E3E66">
        <w:rPr>
          <w:sz w:val="24"/>
          <w:szCs w:val="24"/>
        </w:rPr>
        <w:t xml:space="preserve"> bør behandlingen stoppes og symptomatisk behandling indledes.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Langsom intravenøs perfusion med natriumbikarbonat opløsning, som medfører </w:t>
      </w:r>
      <w:proofErr w:type="spellStart"/>
      <w:r w:rsidRPr="000E3E66">
        <w:rPr>
          <w:sz w:val="24"/>
          <w:szCs w:val="24"/>
        </w:rPr>
        <w:t>alkalisering</w:t>
      </w:r>
      <w:proofErr w:type="spellEnd"/>
      <w:r w:rsidRPr="000E3E66">
        <w:rPr>
          <w:sz w:val="24"/>
          <w:szCs w:val="24"/>
        </w:rPr>
        <w:t xml:space="preserve"> af urinen, øger </w:t>
      </w:r>
      <w:proofErr w:type="spellStart"/>
      <w:r w:rsidRPr="000E3E66">
        <w:rPr>
          <w:sz w:val="24"/>
          <w:szCs w:val="24"/>
        </w:rPr>
        <w:t>clearance</w:t>
      </w:r>
      <w:proofErr w:type="spellEnd"/>
      <w:r w:rsidRPr="000E3E66">
        <w:rPr>
          <w:sz w:val="24"/>
          <w:szCs w:val="24"/>
        </w:rPr>
        <w:t xml:space="preserve"> af produktet. 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4.11</w:t>
      </w:r>
      <w:r w:rsidRPr="000E3E66">
        <w:rPr>
          <w:b/>
          <w:sz w:val="24"/>
          <w:szCs w:val="24"/>
        </w:rPr>
        <w:tab/>
        <w:t>Tilbageholdelsestid</w:t>
      </w:r>
    </w:p>
    <w:p w:rsidR="00D768CF" w:rsidRPr="00341836" w:rsidRDefault="00D768CF" w:rsidP="00D768CF">
      <w:pPr>
        <w:ind w:firstLine="851"/>
      </w:pPr>
      <w:r w:rsidRPr="00341836">
        <w:t>Må ikke anvend</w:t>
      </w:r>
      <w:r>
        <w:t xml:space="preserve">es til dyr der er beregnet til </w:t>
      </w:r>
      <w:r w:rsidRPr="00341836">
        <w:t>konsum.</w:t>
      </w:r>
    </w:p>
    <w:p w:rsidR="00D768CF" w:rsidRPr="00341836" w:rsidRDefault="00D768CF" w:rsidP="00D768CF">
      <w:pPr>
        <w:ind w:firstLine="851"/>
      </w:pPr>
      <w:r w:rsidRPr="00341836">
        <w:t>Behandlede heste må ikke slagtes til konsum.</w:t>
      </w:r>
    </w:p>
    <w:p w:rsidR="00D768CF" w:rsidRPr="00341836" w:rsidRDefault="00D768CF" w:rsidP="00D768CF">
      <w:pPr>
        <w:ind w:left="851"/>
      </w:pPr>
      <w:r w:rsidRPr="00341836">
        <w:t>Hesten skal være erklæret ”Ikke til konsum” under den nationale lovgivning om hestepas (Chip-mærket)</w:t>
      </w:r>
      <w:r>
        <w:rPr>
          <w:rStyle w:val="Fodnotehenvisning"/>
        </w:rPr>
        <w:footnoteReference w:id="1"/>
      </w:r>
      <w:r w:rsidRPr="00341836">
        <w:t>.</w:t>
      </w:r>
    </w:p>
    <w:p w:rsidR="00D768CF" w:rsidRPr="000E3E66" w:rsidRDefault="00D768CF" w:rsidP="00D768CF">
      <w:pPr>
        <w:pStyle w:val="Sidehoved"/>
        <w:tabs>
          <w:tab w:val="clear" w:pos="4819"/>
          <w:tab w:val="clear" w:pos="9638"/>
          <w:tab w:val="left" w:pos="8222"/>
        </w:tabs>
        <w:ind w:left="851" w:hanging="851"/>
        <w:jc w:val="both"/>
        <w:rPr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341836" w:rsidRDefault="00D768CF" w:rsidP="00D768C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341836">
        <w:rPr>
          <w:b/>
          <w:sz w:val="24"/>
          <w:szCs w:val="24"/>
        </w:rPr>
        <w:t>FARMAKOLOGISKE EGENSKABER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proofErr w:type="spellStart"/>
      <w:r w:rsidRPr="000E3E66">
        <w:rPr>
          <w:sz w:val="24"/>
          <w:szCs w:val="24"/>
        </w:rPr>
        <w:t>Farmakoterapeutisk</w:t>
      </w:r>
      <w:proofErr w:type="spellEnd"/>
      <w:r w:rsidRPr="000E3E66">
        <w:rPr>
          <w:sz w:val="24"/>
          <w:szCs w:val="24"/>
        </w:rPr>
        <w:t xml:space="preserve"> </w:t>
      </w:r>
      <w:r>
        <w:rPr>
          <w:sz w:val="24"/>
          <w:szCs w:val="24"/>
        </w:rPr>
        <w:t>klassifikation</w:t>
      </w:r>
      <w:r w:rsidRPr="000E3E66">
        <w:rPr>
          <w:sz w:val="24"/>
          <w:szCs w:val="24"/>
        </w:rPr>
        <w:t xml:space="preserve">: </w:t>
      </w:r>
      <w:proofErr w:type="spellStart"/>
      <w:r w:rsidRPr="000E3E66">
        <w:rPr>
          <w:sz w:val="24"/>
          <w:szCs w:val="24"/>
        </w:rPr>
        <w:t>Antiinflammatorika</w:t>
      </w:r>
      <w:proofErr w:type="spellEnd"/>
      <w:r w:rsidRPr="000E3E66">
        <w:rPr>
          <w:sz w:val="24"/>
          <w:szCs w:val="24"/>
        </w:rPr>
        <w:t xml:space="preserve"> og </w:t>
      </w:r>
      <w:proofErr w:type="spellStart"/>
      <w:r w:rsidRPr="000E3E66">
        <w:rPr>
          <w:sz w:val="24"/>
          <w:szCs w:val="24"/>
        </w:rPr>
        <w:t>antirheumatica</w:t>
      </w:r>
      <w:proofErr w:type="spellEnd"/>
      <w:r w:rsidRPr="000E3E66">
        <w:rPr>
          <w:sz w:val="24"/>
          <w:szCs w:val="24"/>
        </w:rPr>
        <w:t xml:space="preserve">, non-steroid, </w:t>
      </w:r>
      <w:proofErr w:type="spellStart"/>
      <w:r w:rsidRPr="000E3E66">
        <w:rPr>
          <w:sz w:val="24"/>
          <w:szCs w:val="24"/>
        </w:rPr>
        <w:t>butylpyrazolidiner</w:t>
      </w:r>
      <w:proofErr w:type="spellEnd"/>
      <w:r w:rsidRPr="000E3E66">
        <w:rPr>
          <w:sz w:val="24"/>
          <w:szCs w:val="24"/>
        </w:rPr>
        <w:t xml:space="preserve">,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>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b/>
          <w:sz w:val="24"/>
          <w:szCs w:val="24"/>
        </w:rPr>
      </w:pPr>
      <w:proofErr w:type="spellStart"/>
      <w:r w:rsidRPr="000E3E66">
        <w:rPr>
          <w:b/>
          <w:sz w:val="24"/>
          <w:szCs w:val="24"/>
        </w:rPr>
        <w:t>ATCvet</w:t>
      </w:r>
      <w:proofErr w:type="spellEnd"/>
      <w:r w:rsidRPr="000E3E66">
        <w:rPr>
          <w:b/>
          <w:sz w:val="24"/>
          <w:szCs w:val="24"/>
        </w:rPr>
        <w:t>-kode: QM01AA90</w:t>
      </w:r>
    </w:p>
    <w:p w:rsidR="00D768CF" w:rsidRPr="000E3E66" w:rsidRDefault="00D768CF" w:rsidP="00D768CF">
      <w:pPr>
        <w:tabs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341836">
        <w:rPr>
          <w:b/>
          <w:sz w:val="24"/>
          <w:szCs w:val="24"/>
        </w:rPr>
        <w:t>5.1</w:t>
      </w:r>
      <w:r w:rsidRPr="00341836">
        <w:rPr>
          <w:b/>
          <w:sz w:val="24"/>
          <w:szCs w:val="24"/>
        </w:rPr>
        <w:tab/>
      </w:r>
      <w:proofErr w:type="spellStart"/>
      <w:r w:rsidRPr="00341836">
        <w:rPr>
          <w:b/>
          <w:sz w:val="24"/>
          <w:szCs w:val="24"/>
        </w:rPr>
        <w:t>Farmakodynamiske</w:t>
      </w:r>
      <w:proofErr w:type="spellEnd"/>
      <w:r w:rsidRPr="00341836">
        <w:rPr>
          <w:b/>
          <w:sz w:val="24"/>
          <w:szCs w:val="24"/>
        </w:rPr>
        <w:t xml:space="preserve"> egenskaber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  <w:r w:rsidRPr="000E3E66">
        <w:rPr>
          <w:sz w:val="24"/>
          <w:szCs w:val="24"/>
        </w:rPr>
        <w:tab/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 xml:space="preserve"> er et Non-</w:t>
      </w:r>
      <w:proofErr w:type="spellStart"/>
      <w:r w:rsidRPr="000E3E66">
        <w:rPr>
          <w:sz w:val="24"/>
          <w:szCs w:val="24"/>
        </w:rPr>
        <w:t>Steroidt</w:t>
      </w:r>
      <w:proofErr w:type="spellEnd"/>
      <w:r w:rsidRPr="000E3E66">
        <w:rPr>
          <w:sz w:val="24"/>
          <w:szCs w:val="24"/>
        </w:rPr>
        <w:t xml:space="preserve"> </w:t>
      </w:r>
      <w:proofErr w:type="spellStart"/>
      <w:r w:rsidRPr="000E3E66">
        <w:rPr>
          <w:sz w:val="24"/>
          <w:szCs w:val="24"/>
        </w:rPr>
        <w:t>Anti</w:t>
      </w:r>
      <w:proofErr w:type="spellEnd"/>
      <w:r w:rsidRPr="000E3E66">
        <w:rPr>
          <w:sz w:val="24"/>
          <w:szCs w:val="24"/>
        </w:rPr>
        <w:t xml:space="preserve">-Inflammatorisk </w:t>
      </w:r>
      <w:r>
        <w:rPr>
          <w:sz w:val="24"/>
          <w:szCs w:val="24"/>
        </w:rPr>
        <w:t>lægemiddel (NSAID)</w:t>
      </w:r>
      <w:r w:rsidRPr="000E3E66">
        <w:rPr>
          <w:sz w:val="24"/>
          <w:szCs w:val="24"/>
        </w:rPr>
        <w:t xml:space="preserve">, syntetisk fremstillet af </w:t>
      </w:r>
      <w:proofErr w:type="spellStart"/>
      <w:r w:rsidRPr="000E3E66">
        <w:rPr>
          <w:sz w:val="24"/>
          <w:szCs w:val="24"/>
        </w:rPr>
        <w:t>pyrazolon</w:t>
      </w:r>
      <w:proofErr w:type="spellEnd"/>
      <w:r w:rsidRPr="000E3E66">
        <w:rPr>
          <w:sz w:val="24"/>
          <w:szCs w:val="24"/>
        </w:rPr>
        <w:t xml:space="preserve"> med antiinflammatoriske, </w:t>
      </w:r>
      <w:proofErr w:type="spellStart"/>
      <w:r w:rsidRPr="000E3E66">
        <w:rPr>
          <w:sz w:val="24"/>
          <w:szCs w:val="24"/>
        </w:rPr>
        <w:t>antipyretiske</w:t>
      </w:r>
      <w:proofErr w:type="spellEnd"/>
      <w:r w:rsidRPr="000E3E66">
        <w:rPr>
          <w:sz w:val="24"/>
          <w:szCs w:val="24"/>
        </w:rPr>
        <w:t xml:space="preserve"> og analgesiske egenskaber, med lavt </w:t>
      </w:r>
      <w:proofErr w:type="spellStart"/>
      <w:r w:rsidRPr="000E3E66">
        <w:rPr>
          <w:sz w:val="24"/>
          <w:szCs w:val="24"/>
        </w:rPr>
        <w:t>ulcerogent</w:t>
      </w:r>
      <w:proofErr w:type="spellEnd"/>
      <w:r w:rsidRPr="000E3E66">
        <w:rPr>
          <w:sz w:val="24"/>
          <w:szCs w:val="24"/>
        </w:rPr>
        <w:t xml:space="preserve"> potentiale.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Produktet ædes villigt af heste når det er opblandet i kraftfoder.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0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0E3E66">
        <w:rPr>
          <w:sz w:val="24"/>
          <w:szCs w:val="24"/>
        </w:rPr>
        <w:t xml:space="preserve">Produktet virker ved hæmning af </w:t>
      </w:r>
      <w:proofErr w:type="spellStart"/>
      <w:r w:rsidRPr="000E3E66">
        <w:rPr>
          <w:sz w:val="24"/>
          <w:szCs w:val="24"/>
        </w:rPr>
        <w:t>cyclooxygenase</w:t>
      </w:r>
      <w:proofErr w:type="spellEnd"/>
      <w:r w:rsidRPr="000E3E66">
        <w:rPr>
          <w:sz w:val="24"/>
          <w:szCs w:val="24"/>
        </w:rPr>
        <w:t xml:space="preserve"> (et enzym der katalyserer syntesen af </w:t>
      </w:r>
      <w:proofErr w:type="spellStart"/>
      <w:r w:rsidRPr="000E3E66">
        <w:rPr>
          <w:sz w:val="24"/>
          <w:szCs w:val="24"/>
        </w:rPr>
        <w:t>prostaglandiner</w:t>
      </w:r>
      <w:proofErr w:type="spellEnd"/>
      <w:r w:rsidRPr="000E3E66">
        <w:rPr>
          <w:sz w:val="24"/>
          <w:szCs w:val="24"/>
        </w:rPr>
        <w:t xml:space="preserve">, </w:t>
      </w:r>
      <w:proofErr w:type="spellStart"/>
      <w:r w:rsidRPr="000E3E66">
        <w:rPr>
          <w:sz w:val="24"/>
          <w:szCs w:val="24"/>
        </w:rPr>
        <w:t>prostacycliner</w:t>
      </w:r>
      <w:proofErr w:type="spellEnd"/>
      <w:r w:rsidRPr="000E3E66">
        <w:rPr>
          <w:sz w:val="24"/>
          <w:szCs w:val="24"/>
        </w:rPr>
        <w:t xml:space="preserve"> og </w:t>
      </w:r>
      <w:proofErr w:type="spellStart"/>
      <w:r w:rsidRPr="000E3E66">
        <w:rPr>
          <w:sz w:val="24"/>
          <w:szCs w:val="24"/>
        </w:rPr>
        <w:t>thromboxaner</w:t>
      </w:r>
      <w:proofErr w:type="spellEnd"/>
      <w:r w:rsidRPr="000E3E66">
        <w:rPr>
          <w:sz w:val="24"/>
          <w:szCs w:val="24"/>
        </w:rPr>
        <w:t xml:space="preserve"> fra </w:t>
      </w:r>
      <w:proofErr w:type="spellStart"/>
      <w:r w:rsidRPr="000E3E66">
        <w:rPr>
          <w:sz w:val="24"/>
          <w:szCs w:val="24"/>
        </w:rPr>
        <w:t>arachidonsyre</w:t>
      </w:r>
      <w:proofErr w:type="spellEnd"/>
      <w:r w:rsidRPr="000E3E66">
        <w:rPr>
          <w:sz w:val="24"/>
          <w:szCs w:val="24"/>
        </w:rPr>
        <w:t xml:space="preserve">). Den terapeutiske effekt skyldes hovedsageligt den hæmmede biosyntese af </w:t>
      </w:r>
      <w:proofErr w:type="spellStart"/>
      <w:r w:rsidRPr="000E3E66">
        <w:rPr>
          <w:sz w:val="24"/>
          <w:szCs w:val="24"/>
        </w:rPr>
        <w:t>prostaglandiner</w:t>
      </w:r>
      <w:proofErr w:type="spellEnd"/>
      <w:r w:rsidRPr="000E3E66">
        <w:rPr>
          <w:sz w:val="24"/>
          <w:szCs w:val="24"/>
        </w:rPr>
        <w:t xml:space="preserve">, der virker som perifere smerte </w:t>
      </w:r>
      <w:proofErr w:type="spellStart"/>
      <w:r w:rsidRPr="000E3E66">
        <w:rPr>
          <w:sz w:val="24"/>
          <w:szCs w:val="24"/>
        </w:rPr>
        <w:t>mediatorer</w:t>
      </w:r>
      <w:proofErr w:type="spellEnd"/>
      <w:r w:rsidRPr="000E3E66">
        <w:rPr>
          <w:sz w:val="24"/>
          <w:szCs w:val="24"/>
        </w:rPr>
        <w:t xml:space="preserve"> og som udløser syntesen af endogene </w:t>
      </w:r>
      <w:proofErr w:type="spellStart"/>
      <w:r w:rsidRPr="000E3E66">
        <w:rPr>
          <w:sz w:val="24"/>
          <w:szCs w:val="24"/>
        </w:rPr>
        <w:t>pyrogener</w:t>
      </w:r>
      <w:proofErr w:type="spellEnd"/>
      <w:r w:rsidRPr="000E3E66">
        <w:rPr>
          <w:sz w:val="24"/>
          <w:szCs w:val="24"/>
        </w:rPr>
        <w:t xml:space="preserve"> og </w:t>
      </w:r>
      <w:proofErr w:type="spellStart"/>
      <w:r w:rsidRPr="000E3E66">
        <w:rPr>
          <w:sz w:val="24"/>
          <w:szCs w:val="24"/>
        </w:rPr>
        <w:t>mediatorer</w:t>
      </w:r>
      <w:proofErr w:type="spellEnd"/>
      <w:r w:rsidRPr="000E3E66">
        <w:rPr>
          <w:sz w:val="24"/>
          <w:szCs w:val="24"/>
        </w:rPr>
        <w:t xml:space="preserve"> i den inflammatoriske proces. 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Produktet hæmmer også blodplade </w:t>
      </w:r>
      <w:proofErr w:type="spellStart"/>
      <w:r w:rsidRPr="000E3E66">
        <w:rPr>
          <w:sz w:val="24"/>
          <w:szCs w:val="24"/>
        </w:rPr>
        <w:t>aggregation</w:t>
      </w:r>
      <w:proofErr w:type="spellEnd"/>
      <w:r w:rsidRPr="000E3E66">
        <w:rPr>
          <w:sz w:val="24"/>
          <w:szCs w:val="24"/>
        </w:rPr>
        <w:t>.</w:t>
      </w:r>
    </w:p>
    <w:p w:rsidR="00D768CF" w:rsidRPr="000E3E66" w:rsidRDefault="00D768CF" w:rsidP="00D768CF">
      <w:pPr>
        <w:ind w:left="851" w:hanging="851"/>
        <w:rPr>
          <w:b/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Produktets terapeutiske effekt skyldes udelukkende aktiviteten af </w:t>
      </w:r>
      <w:proofErr w:type="spellStart"/>
      <w:r w:rsidRPr="000E3E66">
        <w:rPr>
          <w:sz w:val="24"/>
          <w:szCs w:val="24"/>
        </w:rPr>
        <w:t>suxibuzons</w:t>
      </w:r>
      <w:proofErr w:type="spellEnd"/>
      <w:r w:rsidRPr="000E3E66">
        <w:rPr>
          <w:sz w:val="24"/>
          <w:szCs w:val="24"/>
        </w:rPr>
        <w:t xml:space="preserve"> aktive metabolitter.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lastRenderedPageBreak/>
        <w:t xml:space="preserve">Stærk anti-inflammatorisk aktivitet er påvist for </w:t>
      </w:r>
      <w:proofErr w:type="spellStart"/>
      <w:r w:rsidRPr="000E3E66">
        <w:rPr>
          <w:sz w:val="24"/>
          <w:szCs w:val="24"/>
        </w:rPr>
        <w:t>phenylbutazon</w:t>
      </w:r>
      <w:proofErr w:type="spellEnd"/>
      <w:r w:rsidRPr="000E3E66">
        <w:rPr>
          <w:sz w:val="24"/>
          <w:szCs w:val="24"/>
        </w:rPr>
        <w:t xml:space="preserve"> og </w:t>
      </w:r>
      <w:proofErr w:type="spellStart"/>
      <w:r w:rsidRPr="000E3E66">
        <w:rPr>
          <w:sz w:val="24"/>
          <w:szCs w:val="24"/>
        </w:rPr>
        <w:t>oxyphenbutazon</w:t>
      </w:r>
      <w:proofErr w:type="spellEnd"/>
      <w:r w:rsidRPr="000E3E66">
        <w:rPr>
          <w:sz w:val="24"/>
          <w:szCs w:val="24"/>
        </w:rPr>
        <w:t xml:space="preserve">. Den tredje 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metabolit </w:t>
      </w:r>
      <w:r w:rsidRPr="000E3E66">
        <w:rPr>
          <w:sz w:val="24"/>
          <w:szCs w:val="24"/>
        </w:rPr>
        <w:sym w:font="Symbol" w:char="F067"/>
      </w:r>
      <w:r w:rsidRPr="000E3E66">
        <w:rPr>
          <w:sz w:val="24"/>
          <w:szCs w:val="24"/>
        </w:rPr>
        <w:t>-</w:t>
      </w:r>
      <w:proofErr w:type="spellStart"/>
      <w:r w:rsidRPr="000E3E66">
        <w:rPr>
          <w:sz w:val="24"/>
          <w:szCs w:val="24"/>
        </w:rPr>
        <w:t>hydroxyphenylbutazon</w:t>
      </w:r>
      <w:proofErr w:type="spellEnd"/>
      <w:r w:rsidRPr="000E3E66">
        <w:rPr>
          <w:sz w:val="24"/>
          <w:szCs w:val="24"/>
        </w:rPr>
        <w:t xml:space="preserve"> betragtes som farmakologisk inaktiv.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ED2734">
        <w:rPr>
          <w:b/>
          <w:sz w:val="24"/>
          <w:szCs w:val="24"/>
        </w:rPr>
        <w:t>5.2</w:t>
      </w:r>
      <w:r w:rsidRPr="00ED2734">
        <w:rPr>
          <w:b/>
          <w:sz w:val="24"/>
          <w:szCs w:val="24"/>
        </w:rPr>
        <w:tab/>
      </w:r>
      <w:proofErr w:type="spellStart"/>
      <w:r w:rsidRPr="00ED2734">
        <w:rPr>
          <w:b/>
          <w:sz w:val="24"/>
          <w:szCs w:val="24"/>
        </w:rPr>
        <w:t>Farmakokinetiske</w:t>
      </w:r>
      <w:proofErr w:type="spellEnd"/>
      <w:r w:rsidRPr="00ED2734">
        <w:rPr>
          <w:b/>
          <w:sz w:val="24"/>
          <w:szCs w:val="24"/>
        </w:rPr>
        <w:t xml:space="preserve"> egenskaber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  <w:r w:rsidRPr="000E3E66">
        <w:rPr>
          <w:sz w:val="24"/>
          <w:szCs w:val="24"/>
        </w:rPr>
        <w:tab/>
        <w:t xml:space="preserve">Efter oral administration, absorberes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 xml:space="preserve"> hurtigt og størstedelen </w:t>
      </w:r>
      <w:proofErr w:type="spellStart"/>
      <w:r w:rsidRPr="000E3E66">
        <w:rPr>
          <w:sz w:val="24"/>
          <w:szCs w:val="24"/>
        </w:rPr>
        <w:t>metaboliseres</w:t>
      </w:r>
      <w:proofErr w:type="spellEnd"/>
      <w:r w:rsidRPr="000E3E66">
        <w:rPr>
          <w:sz w:val="24"/>
          <w:szCs w:val="24"/>
        </w:rPr>
        <w:t xml:space="preserve"> af det </w:t>
      </w:r>
      <w:proofErr w:type="spellStart"/>
      <w:r w:rsidRPr="000E3E66">
        <w:rPr>
          <w:sz w:val="24"/>
          <w:szCs w:val="24"/>
        </w:rPr>
        <w:t>hepatiske</w:t>
      </w:r>
      <w:proofErr w:type="spellEnd"/>
      <w:r w:rsidRPr="000E3E66">
        <w:rPr>
          <w:sz w:val="24"/>
          <w:szCs w:val="24"/>
        </w:rPr>
        <w:t xml:space="preserve"> </w:t>
      </w:r>
      <w:proofErr w:type="spellStart"/>
      <w:r w:rsidRPr="000E3E66">
        <w:rPr>
          <w:sz w:val="24"/>
          <w:szCs w:val="24"/>
        </w:rPr>
        <w:t>mikrosomale</w:t>
      </w:r>
      <w:proofErr w:type="spellEnd"/>
      <w:r w:rsidRPr="000E3E66">
        <w:rPr>
          <w:sz w:val="24"/>
          <w:szCs w:val="24"/>
        </w:rPr>
        <w:t xml:space="preserve"> system til </w:t>
      </w:r>
      <w:proofErr w:type="spellStart"/>
      <w:r w:rsidRPr="000E3E66">
        <w:rPr>
          <w:sz w:val="24"/>
          <w:szCs w:val="24"/>
        </w:rPr>
        <w:t>phenylbutazon</w:t>
      </w:r>
      <w:proofErr w:type="spellEnd"/>
      <w:r w:rsidRPr="000E3E66">
        <w:rPr>
          <w:sz w:val="24"/>
          <w:szCs w:val="24"/>
        </w:rPr>
        <w:t xml:space="preserve">, </w:t>
      </w:r>
      <w:proofErr w:type="spellStart"/>
      <w:r w:rsidRPr="000E3E66">
        <w:rPr>
          <w:sz w:val="24"/>
          <w:szCs w:val="24"/>
        </w:rPr>
        <w:t>oxyphenbutazon</w:t>
      </w:r>
      <w:proofErr w:type="spellEnd"/>
      <w:r w:rsidRPr="000E3E66">
        <w:rPr>
          <w:sz w:val="24"/>
          <w:szCs w:val="24"/>
        </w:rPr>
        <w:t xml:space="preserve"> og </w:t>
      </w:r>
      <w:r w:rsidRPr="000E3E66">
        <w:rPr>
          <w:sz w:val="24"/>
          <w:szCs w:val="24"/>
        </w:rPr>
        <w:sym w:font="Symbol" w:char="F067"/>
      </w:r>
      <w:r w:rsidRPr="000E3E66">
        <w:rPr>
          <w:sz w:val="24"/>
          <w:szCs w:val="24"/>
        </w:rPr>
        <w:t>-</w:t>
      </w:r>
      <w:proofErr w:type="spellStart"/>
      <w:r w:rsidRPr="000E3E66">
        <w:rPr>
          <w:sz w:val="24"/>
          <w:szCs w:val="24"/>
        </w:rPr>
        <w:t>hydroxyphenylbutazon</w:t>
      </w:r>
      <w:proofErr w:type="spellEnd"/>
      <w:r w:rsidRPr="000E3E66">
        <w:rPr>
          <w:sz w:val="24"/>
          <w:szCs w:val="24"/>
        </w:rPr>
        <w:t>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Efter oral administration af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 xml:space="preserve"> til heste og ponyer, kan intet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 xml:space="preserve"> findes </w:t>
      </w:r>
      <w:proofErr w:type="spellStart"/>
      <w:r w:rsidRPr="000E3E66">
        <w:rPr>
          <w:sz w:val="24"/>
          <w:szCs w:val="24"/>
        </w:rPr>
        <w:t>uomdannet</w:t>
      </w:r>
      <w:proofErr w:type="spellEnd"/>
      <w:r w:rsidRPr="000E3E66">
        <w:rPr>
          <w:sz w:val="24"/>
          <w:szCs w:val="24"/>
        </w:rPr>
        <w:t xml:space="preserve"> i plasma.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De aktive metabolitter har en høj bindingsgrad til plasmaproteiner og elimineres hovedsageligt igennem urinen, som </w:t>
      </w:r>
      <w:proofErr w:type="spellStart"/>
      <w:r w:rsidRPr="000E3E66">
        <w:rPr>
          <w:sz w:val="24"/>
          <w:szCs w:val="24"/>
        </w:rPr>
        <w:t>glucuronid</w:t>
      </w:r>
      <w:proofErr w:type="spellEnd"/>
      <w:r w:rsidRPr="000E3E66">
        <w:rPr>
          <w:sz w:val="24"/>
          <w:szCs w:val="24"/>
        </w:rPr>
        <w:t xml:space="preserve"> </w:t>
      </w:r>
      <w:proofErr w:type="spellStart"/>
      <w:r w:rsidRPr="000E3E66">
        <w:rPr>
          <w:sz w:val="24"/>
          <w:szCs w:val="24"/>
        </w:rPr>
        <w:t>konjugater</w:t>
      </w:r>
      <w:proofErr w:type="spellEnd"/>
      <w:r w:rsidRPr="000E3E66">
        <w:rPr>
          <w:sz w:val="24"/>
          <w:szCs w:val="24"/>
        </w:rPr>
        <w:t xml:space="preserve"> men en lille procentdel elimineres igennem fæces.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Mindre end 1% elimineres igennem spyt og mælk.</w:t>
      </w:r>
    </w:p>
    <w:p w:rsidR="00D768CF" w:rsidRPr="000E3E66" w:rsidRDefault="00D768CF" w:rsidP="00D768CF">
      <w:pPr>
        <w:ind w:left="851" w:hanging="851"/>
        <w:rPr>
          <w:b/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Efter oral administration af en enkeltdosis på 6.25 mg/kg </w:t>
      </w:r>
      <w:proofErr w:type="spellStart"/>
      <w:r w:rsidRPr="000E3E66">
        <w:rPr>
          <w:sz w:val="24"/>
          <w:szCs w:val="24"/>
        </w:rPr>
        <w:t>suxibuzon</w:t>
      </w:r>
      <w:proofErr w:type="spellEnd"/>
      <w:r w:rsidRPr="000E3E66">
        <w:rPr>
          <w:sz w:val="24"/>
          <w:szCs w:val="24"/>
        </w:rPr>
        <w:t xml:space="preserve">, opnår den aktive metabolit </w:t>
      </w:r>
      <w:proofErr w:type="spellStart"/>
      <w:r w:rsidRPr="000E3E66">
        <w:rPr>
          <w:sz w:val="24"/>
          <w:szCs w:val="24"/>
        </w:rPr>
        <w:t>phenylbutazon</w:t>
      </w:r>
      <w:proofErr w:type="spellEnd"/>
      <w:r w:rsidRPr="000E3E66">
        <w:rPr>
          <w:sz w:val="24"/>
          <w:szCs w:val="24"/>
        </w:rPr>
        <w:t xml:space="preserve"> maksimal plasmakoncentration (10 µg/ml) 4-5 timer efter administration.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proofErr w:type="spellStart"/>
      <w:r w:rsidRPr="000E3E66">
        <w:rPr>
          <w:sz w:val="24"/>
          <w:szCs w:val="24"/>
        </w:rPr>
        <w:t>Oxyphenbutazon</w:t>
      </w:r>
      <w:proofErr w:type="spellEnd"/>
      <w:r w:rsidRPr="000E3E66">
        <w:rPr>
          <w:sz w:val="24"/>
          <w:szCs w:val="24"/>
        </w:rPr>
        <w:t xml:space="preserve"> opnår maksimal plasmakoncentration (2.1 µg/ml) 15 timer efter</w:t>
      </w:r>
      <w:r>
        <w:rPr>
          <w:sz w:val="24"/>
          <w:szCs w:val="24"/>
        </w:rPr>
        <w:t xml:space="preserve"> </w:t>
      </w:r>
      <w:r w:rsidRPr="000E3E66">
        <w:rPr>
          <w:sz w:val="24"/>
          <w:szCs w:val="24"/>
        </w:rPr>
        <w:t>administration.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Begge metabolitter har en halveringstid på 5-6 timer.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 xml:space="preserve">Som med andre NSAID er varigheden af det kliniske respons meget længere end </w:t>
      </w:r>
      <w:proofErr w:type="gramStart"/>
      <w:r w:rsidRPr="000E3E66">
        <w:rPr>
          <w:sz w:val="24"/>
          <w:szCs w:val="24"/>
        </w:rPr>
        <w:t>plasma halveringstiden</w:t>
      </w:r>
      <w:proofErr w:type="gramEnd"/>
      <w:r w:rsidRPr="000E3E66">
        <w:rPr>
          <w:sz w:val="24"/>
          <w:szCs w:val="24"/>
        </w:rPr>
        <w:t xml:space="preserve">. </w:t>
      </w:r>
      <w:proofErr w:type="spellStart"/>
      <w:r w:rsidRPr="000E3E66">
        <w:rPr>
          <w:sz w:val="24"/>
          <w:szCs w:val="24"/>
        </w:rPr>
        <w:t>Synovialvæsken</w:t>
      </w:r>
      <w:proofErr w:type="spellEnd"/>
      <w:r w:rsidRPr="000E3E66">
        <w:rPr>
          <w:sz w:val="24"/>
          <w:szCs w:val="24"/>
        </w:rPr>
        <w:t xml:space="preserve"> indeholder betydelige koncentrationer af begge aktive metabolitter i mindst 24 timer efter administration. 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5.3</w:t>
      </w:r>
      <w:r w:rsidRPr="000E3E66">
        <w:rPr>
          <w:b/>
          <w:sz w:val="24"/>
          <w:szCs w:val="24"/>
        </w:rPr>
        <w:tab/>
        <w:t>Miljømæssige forhold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E3E66">
        <w:rPr>
          <w:sz w:val="24"/>
          <w:szCs w:val="24"/>
        </w:rPr>
        <w:tab/>
        <w:t>-</w:t>
      </w:r>
    </w:p>
    <w:p w:rsidR="00D768CF" w:rsidRPr="000E3E66" w:rsidRDefault="00D768CF" w:rsidP="00D768CF">
      <w:pPr>
        <w:tabs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jc w:val="both"/>
        <w:rPr>
          <w:sz w:val="24"/>
          <w:szCs w:val="24"/>
        </w:rPr>
      </w:pPr>
    </w:p>
    <w:p w:rsidR="00D768CF" w:rsidRPr="000E3E66" w:rsidRDefault="00D768CF" w:rsidP="00D768CF">
      <w:pPr>
        <w:numPr>
          <w:ilvl w:val="0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FARMACEUTISKE OPLYSNINGER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Hjælpestoffer</w:t>
      </w:r>
    </w:p>
    <w:p w:rsidR="00D768CF" w:rsidRPr="000E3E66" w:rsidRDefault="00D768CF" w:rsidP="00D768CF">
      <w:pPr>
        <w:ind w:left="851" w:hanging="851"/>
        <w:rPr>
          <w:sz w:val="24"/>
          <w:szCs w:val="24"/>
          <w:lang w:val="en-US"/>
        </w:rPr>
      </w:pPr>
      <w:r w:rsidRPr="000E3E66">
        <w:rPr>
          <w:sz w:val="24"/>
          <w:szCs w:val="24"/>
        </w:rPr>
        <w:tab/>
      </w:r>
      <w:proofErr w:type="spellStart"/>
      <w:r w:rsidRPr="000E3E66">
        <w:rPr>
          <w:sz w:val="24"/>
          <w:szCs w:val="24"/>
        </w:rPr>
        <w:t>Quinolingult</w:t>
      </w:r>
      <w:proofErr w:type="spellEnd"/>
      <w:r w:rsidRPr="000E3E66">
        <w:rPr>
          <w:sz w:val="24"/>
          <w:szCs w:val="24"/>
        </w:rPr>
        <w:t xml:space="preserve"> (</w:t>
      </w:r>
      <w:r w:rsidRPr="000E3E66">
        <w:rPr>
          <w:sz w:val="24"/>
          <w:szCs w:val="24"/>
          <w:lang w:val="en-US"/>
        </w:rPr>
        <w:t>E 104)</w:t>
      </w:r>
    </w:p>
    <w:p w:rsidR="00D768CF" w:rsidRPr="000E3E66" w:rsidRDefault="00D768CF" w:rsidP="00D768CF">
      <w:pPr>
        <w:ind w:left="851"/>
        <w:rPr>
          <w:sz w:val="24"/>
          <w:szCs w:val="24"/>
          <w:lang w:val="en-US"/>
        </w:rPr>
      </w:pPr>
      <w:r w:rsidRPr="000E3E66">
        <w:rPr>
          <w:sz w:val="24"/>
          <w:szCs w:val="24"/>
          <w:lang w:val="en-US"/>
        </w:rPr>
        <w:t>Mannitol</w:t>
      </w:r>
    </w:p>
    <w:p w:rsidR="00D768CF" w:rsidRPr="000E3E66" w:rsidRDefault="00D768CF" w:rsidP="00D768CF">
      <w:pPr>
        <w:ind w:left="851"/>
        <w:rPr>
          <w:sz w:val="24"/>
          <w:szCs w:val="24"/>
          <w:lang w:val="en-US"/>
        </w:rPr>
      </w:pPr>
      <w:r w:rsidRPr="000E3E66">
        <w:rPr>
          <w:sz w:val="24"/>
          <w:szCs w:val="24"/>
          <w:lang w:val="en-US"/>
        </w:rPr>
        <w:t>Saccharose</w:t>
      </w:r>
    </w:p>
    <w:p w:rsidR="00D768CF" w:rsidRPr="000E3E66" w:rsidRDefault="00D768CF" w:rsidP="00D768CF">
      <w:pPr>
        <w:ind w:left="851"/>
        <w:rPr>
          <w:sz w:val="24"/>
          <w:szCs w:val="24"/>
          <w:lang w:val="en-US"/>
        </w:rPr>
      </w:pPr>
      <w:proofErr w:type="spellStart"/>
      <w:r w:rsidRPr="000E3E66">
        <w:rPr>
          <w:sz w:val="24"/>
          <w:szCs w:val="24"/>
          <w:lang w:val="en-US"/>
        </w:rPr>
        <w:t>Povidon</w:t>
      </w:r>
      <w:proofErr w:type="spellEnd"/>
      <w:r w:rsidRPr="000E3E66">
        <w:rPr>
          <w:sz w:val="24"/>
          <w:szCs w:val="24"/>
          <w:lang w:val="en-US"/>
        </w:rPr>
        <w:t xml:space="preserve"> K-30</w:t>
      </w:r>
    </w:p>
    <w:p w:rsidR="00D768CF" w:rsidRPr="000E3E66" w:rsidRDefault="00D768CF" w:rsidP="00D768CF">
      <w:pPr>
        <w:ind w:left="851"/>
        <w:rPr>
          <w:sz w:val="24"/>
          <w:szCs w:val="24"/>
          <w:lang w:val="en-US"/>
        </w:rPr>
      </w:pPr>
      <w:proofErr w:type="spellStart"/>
      <w:r w:rsidRPr="000E3E66">
        <w:rPr>
          <w:sz w:val="24"/>
          <w:szCs w:val="24"/>
          <w:lang w:val="en-US"/>
        </w:rPr>
        <w:t>Saccharinnatrium</w:t>
      </w:r>
      <w:proofErr w:type="spellEnd"/>
    </w:p>
    <w:p w:rsidR="00D768CF" w:rsidRPr="000E3E66" w:rsidRDefault="00D768CF" w:rsidP="00D768CF">
      <w:pPr>
        <w:ind w:left="851"/>
        <w:rPr>
          <w:sz w:val="24"/>
          <w:szCs w:val="24"/>
        </w:rPr>
      </w:pPr>
      <w:proofErr w:type="spellStart"/>
      <w:r w:rsidRPr="000E3E66">
        <w:rPr>
          <w:sz w:val="24"/>
          <w:szCs w:val="24"/>
        </w:rPr>
        <w:t>Ethylcellulose</w:t>
      </w:r>
      <w:proofErr w:type="spellEnd"/>
      <w:r w:rsidRPr="000E3E66">
        <w:rPr>
          <w:sz w:val="24"/>
          <w:szCs w:val="24"/>
        </w:rPr>
        <w:t xml:space="preserve"> 20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Uforligeligheder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Ingen kendte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Opbevaringstid</w:t>
      </w:r>
    </w:p>
    <w:p w:rsidR="00D768CF" w:rsidRPr="000E3E66" w:rsidRDefault="00D768CF" w:rsidP="00D768CF">
      <w:pPr>
        <w:ind w:left="851" w:right="-318"/>
        <w:rPr>
          <w:sz w:val="24"/>
          <w:szCs w:val="24"/>
        </w:rPr>
      </w:pPr>
      <w:r>
        <w:rPr>
          <w:sz w:val="24"/>
          <w:szCs w:val="24"/>
        </w:rPr>
        <w:t>I</w:t>
      </w:r>
      <w:r w:rsidRPr="000E3E66">
        <w:rPr>
          <w:sz w:val="24"/>
          <w:szCs w:val="24"/>
        </w:rPr>
        <w:t xml:space="preserve"> salgspakning: 4 år</w:t>
      </w:r>
    </w:p>
    <w:p w:rsidR="00D768CF" w:rsidRPr="000E3E66" w:rsidRDefault="00D768CF" w:rsidP="00D768CF">
      <w:pPr>
        <w:ind w:left="851" w:right="-318" w:hanging="851"/>
        <w:rPr>
          <w:sz w:val="24"/>
          <w:szCs w:val="24"/>
        </w:rPr>
      </w:pPr>
    </w:p>
    <w:p w:rsidR="00D768CF" w:rsidRPr="000E3E66" w:rsidRDefault="00D768CF" w:rsidP="00D768CF">
      <w:pPr>
        <w:ind w:left="851" w:right="-318"/>
        <w:rPr>
          <w:sz w:val="24"/>
          <w:szCs w:val="24"/>
        </w:rPr>
      </w:pPr>
      <w:r>
        <w:rPr>
          <w:sz w:val="24"/>
          <w:szCs w:val="24"/>
        </w:rPr>
        <w:t>Ef</w:t>
      </w:r>
      <w:r w:rsidRPr="000E3E66">
        <w:rPr>
          <w:sz w:val="24"/>
          <w:szCs w:val="24"/>
        </w:rPr>
        <w:t>ter første åbning af den indre emballage: 7 dage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Særlige opbevaringsforhold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Dosisbreve tillukkes så godt som muligt imellem doseringer.</w:t>
      </w:r>
    </w:p>
    <w:p w:rsidR="00D768CF" w:rsidRPr="000E3E66" w:rsidRDefault="00D768CF" w:rsidP="00D768CF">
      <w:pPr>
        <w:ind w:left="851"/>
        <w:rPr>
          <w:noProof/>
          <w:sz w:val="24"/>
          <w:szCs w:val="24"/>
        </w:rPr>
      </w:pPr>
      <w:r w:rsidRPr="000E3E66">
        <w:rPr>
          <w:noProof/>
          <w:sz w:val="24"/>
          <w:szCs w:val="24"/>
        </w:rPr>
        <w:lastRenderedPageBreak/>
        <w:t>Dette veterinærlægemiddel kræver ingen særlige forholdsregler vedrørende opbevaringen.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numPr>
          <w:ilvl w:val="1"/>
          <w:numId w:val="1"/>
        </w:numPr>
        <w:tabs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Emballage</w:t>
      </w:r>
    </w:p>
    <w:p w:rsidR="00D768CF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Æske indeholdende 18 x 10 g eller 60 x 10 g dosisbreve og en 5 g måleske</w:t>
      </w:r>
      <w:r>
        <w:rPr>
          <w:sz w:val="24"/>
          <w:szCs w:val="24"/>
        </w:rPr>
        <w:t xml:space="preserve"> </w:t>
      </w:r>
      <w:r w:rsidRPr="000E3E66">
        <w:rPr>
          <w:sz w:val="24"/>
          <w:szCs w:val="24"/>
        </w:rPr>
        <w:t>(strøget mål) med måle-streg á 2.5 g.</w:t>
      </w:r>
    </w:p>
    <w:p w:rsidR="00D768CF" w:rsidRPr="000E3E66" w:rsidRDefault="00D768CF" w:rsidP="00D768CF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Dosisbrevene består af overtrukket papir, aluminiumsfolie og </w:t>
      </w:r>
      <w:proofErr w:type="spellStart"/>
      <w:r>
        <w:rPr>
          <w:sz w:val="24"/>
          <w:szCs w:val="24"/>
        </w:rPr>
        <w:t>polyethylen</w:t>
      </w:r>
      <w:proofErr w:type="spellEnd"/>
      <w:r>
        <w:rPr>
          <w:sz w:val="24"/>
          <w:szCs w:val="24"/>
        </w:rPr>
        <w:t>.</w:t>
      </w:r>
    </w:p>
    <w:p w:rsidR="00D768CF" w:rsidRPr="000E3E66" w:rsidRDefault="00D768CF" w:rsidP="00D768CF">
      <w:pPr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ind w:left="851"/>
        <w:rPr>
          <w:sz w:val="24"/>
          <w:szCs w:val="24"/>
        </w:rPr>
      </w:pPr>
      <w:r w:rsidRPr="000E3E66">
        <w:rPr>
          <w:sz w:val="24"/>
          <w:szCs w:val="24"/>
        </w:rPr>
        <w:t>Ikke alle pakningsstørrelser er nødvendigvis markedsført.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6.6</w:t>
      </w:r>
      <w:r w:rsidRPr="000E3E66">
        <w:rPr>
          <w:b/>
          <w:sz w:val="24"/>
          <w:szCs w:val="24"/>
        </w:rPr>
        <w:tab/>
        <w:t>Særlige forholdsregler ved bortskaffelse af rester af lægemidlet eller affald</w:t>
      </w:r>
    </w:p>
    <w:p w:rsidR="00D768CF" w:rsidRPr="000E3E66" w:rsidRDefault="00D768CF" w:rsidP="00D768CF">
      <w:pPr>
        <w:ind w:left="851" w:right="-318"/>
        <w:rPr>
          <w:i/>
          <w:sz w:val="24"/>
          <w:szCs w:val="24"/>
        </w:rPr>
      </w:pPr>
      <w:r>
        <w:rPr>
          <w:sz w:val="24"/>
          <w:szCs w:val="24"/>
        </w:rPr>
        <w:t>Ikke anvendte veterinære lægemidler, samt affald heraf bør</w:t>
      </w:r>
      <w:r w:rsidRPr="000E3E66">
        <w:rPr>
          <w:sz w:val="24"/>
          <w:szCs w:val="24"/>
        </w:rPr>
        <w:t xml:space="preserve"> destrueres i </w:t>
      </w:r>
      <w:r>
        <w:rPr>
          <w:sz w:val="24"/>
          <w:szCs w:val="24"/>
        </w:rPr>
        <w:t xml:space="preserve">henhold til </w:t>
      </w:r>
      <w:r w:rsidRPr="000E3E66">
        <w:rPr>
          <w:sz w:val="24"/>
          <w:szCs w:val="24"/>
        </w:rPr>
        <w:t xml:space="preserve">lokale </w:t>
      </w:r>
      <w:r>
        <w:rPr>
          <w:sz w:val="24"/>
          <w:szCs w:val="24"/>
        </w:rPr>
        <w:t>retningslinjer</w:t>
      </w:r>
      <w:r w:rsidRPr="000E3E66">
        <w:rPr>
          <w:sz w:val="24"/>
          <w:szCs w:val="24"/>
        </w:rPr>
        <w:t>.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7.</w:t>
      </w:r>
      <w:r w:rsidRPr="000E3E66">
        <w:rPr>
          <w:b/>
          <w:sz w:val="24"/>
          <w:szCs w:val="24"/>
        </w:rPr>
        <w:tab/>
        <w:t>INDEHAVER AF MARKEDSFØRINGSTILLADELSEN</w:t>
      </w:r>
    </w:p>
    <w:p w:rsidR="00802067" w:rsidRPr="00802067" w:rsidRDefault="00802067" w:rsidP="00802067">
      <w:pPr>
        <w:ind w:left="851" w:right="-318"/>
        <w:rPr>
          <w:bCs/>
          <w:sz w:val="24"/>
          <w:szCs w:val="24"/>
          <w:lang w:val="en-US"/>
        </w:rPr>
      </w:pPr>
      <w:proofErr w:type="spellStart"/>
      <w:r w:rsidRPr="00802067">
        <w:rPr>
          <w:bCs/>
          <w:sz w:val="24"/>
          <w:szCs w:val="24"/>
          <w:lang w:val="en-US"/>
        </w:rPr>
        <w:t>Ecuphar</w:t>
      </w:r>
      <w:proofErr w:type="spellEnd"/>
      <w:r w:rsidRPr="00802067">
        <w:rPr>
          <w:bCs/>
          <w:sz w:val="24"/>
          <w:szCs w:val="24"/>
          <w:lang w:val="en-US"/>
        </w:rPr>
        <w:t xml:space="preserve"> </w:t>
      </w:r>
      <w:proofErr w:type="spellStart"/>
      <w:r w:rsidRPr="00802067">
        <w:rPr>
          <w:bCs/>
          <w:sz w:val="24"/>
          <w:szCs w:val="24"/>
          <w:lang w:val="en-US"/>
        </w:rPr>
        <w:t>Veterinaria</w:t>
      </w:r>
      <w:proofErr w:type="spellEnd"/>
      <w:r w:rsidRPr="00802067">
        <w:rPr>
          <w:bCs/>
          <w:sz w:val="24"/>
          <w:szCs w:val="24"/>
          <w:lang w:val="en-US"/>
        </w:rPr>
        <w:t xml:space="preserve"> S.L.U. </w:t>
      </w:r>
    </w:p>
    <w:p w:rsidR="00802067" w:rsidRPr="00802067" w:rsidRDefault="00802067" w:rsidP="00802067">
      <w:pPr>
        <w:ind w:left="851" w:right="-318"/>
        <w:rPr>
          <w:bCs/>
          <w:sz w:val="24"/>
          <w:szCs w:val="24"/>
          <w:lang w:val="en-US"/>
        </w:rPr>
      </w:pPr>
      <w:r w:rsidRPr="00802067">
        <w:rPr>
          <w:bCs/>
          <w:sz w:val="24"/>
          <w:szCs w:val="24"/>
          <w:lang w:val="en-US"/>
        </w:rPr>
        <w:t xml:space="preserve">Avenida Río de Janeiro, 60 - 66, planta 13 </w:t>
      </w:r>
    </w:p>
    <w:p w:rsidR="00802067" w:rsidRDefault="00802067" w:rsidP="00802067">
      <w:pPr>
        <w:ind w:left="851" w:right="-318"/>
        <w:rPr>
          <w:bCs/>
          <w:sz w:val="24"/>
          <w:szCs w:val="24"/>
          <w:lang w:val="en-US"/>
        </w:rPr>
      </w:pPr>
      <w:r w:rsidRPr="00802067">
        <w:rPr>
          <w:bCs/>
          <w:sz w:val="24"/>
          <w:szCs w:val="24"/>
          <w:lang w:val="en-US"/>
        </w:rPr>
        <w:t xml:space="preserve">08016 </w:t>
      </w:r>
      <w:r>
        <w:rPr>
          <w:bCs/>
          <w:sz w:val="24"/>
          <w:szCs w:val="24"/>
          <w:lang w:val="en-US"/>
        </w:rPr>
        <w:t>–</w:t>
      </w:r>
      <w:r w:rsidRPr="00802067">
        <w:rPr>
          <w:bCs/>
          <w:sz w:val="24"/>
          <w:szCs w:val="24"/>
          <w:lang w:val="en-US"/>
        </w:rPr>
        <w:t xml:space="preserve"> Barcelona</w:t>
      </w:r>
    </w:p>
    <w:p w:rsidR="00D768CF" w:rsidRPr="002545A0" w:rsidRDefault="00D768CF" w:rsidP="00802067">
      <w:pPr>
        <w:ind w:left="851" w:right="-318"/>
        <w:rPr>
          <w:bCs/>
          <w:sz w:val="24"/>
          <w:szCs w:val="24"/>
          <w:lang w:val="en-US"/>
        </w:rPr>
      </w:pPr>
      <w:proofErr w:type="spellStart"/>
      <w:r w:rsidRPr="002545A0">
        <w:rPr>
          <w:bCs/>
          <w:sz w:val="24"/>
          <w:szCs w:val="24"/>
          <w:lang w:val="en-US"/>
        </w:rPr>
        <w:t>Spanien</w:t>
      </w:r>
      <w:proofErr w:type="spellEnd"/>
    </w:p>
    <w:p w:rsidR="00D768CF" w:rsidRPr="002545A0" w:rsidRDefault="00D768CF" w:rsidP="00D768CF">
      <w:pPr>
        <w:ind w:left="851" w:right="-318" w:hanging="851"/>
        <w:rPr>
          <w:bCs/>
          <w:sz w:val="24"/>
          <w:szCs w:val="24"/>
          <w:lang w:val="en-US"/>
        </w:rPr>
      </w:pPr>
    </w:p>
    <w:p w:rsidR="00D768CF" w:rsidRPr="000E3E66" w:rsidRDefault="00D768CF" w:rsidP="00D768CF">
      <w:pPr>
        <w:ind w:left="851" w:right="-318"/>
        <w:rPr>
          <w:b/>
          <w:bCs/>
          <w:sz w:val="24"/>
          <w:szCs w:val="24"/>
          <w:lang w:val="en-US"/>
        </w:rPr>
      </w:pPr>
      <w:proofErr w:type="spellStart"/>
      <w:r w:rsidRPr="000E3E66">
        <w:rPr>
          <w:b/>
          <w:bCs/>
          <w:sz w:val="24"/>
          <w:szCs w:val="24"/>
          <w:lang w:val="en-US"/>
        </w:rPr>
        <w:t>Repræsentant</w:t>
      </w:r>
      <w:proofErr w:type="spellEnd"/>
    </w:p>
    <w:p w:rsidR="00D768CF" w:rsidRPr="000E3E66" w:rsidRDefault="00D768CF" w:rsidP="00D768CF">
      <w:pPr>
        <w:ind w:left="851" w:right="-318"/>
        <w:rPr>
          <w:bCs/>
          <w:sz w:val="24"/>
          <w:szCs w:val="24"/>
          <w:lang w:val="en-US"/>
        </w:rPr>
      </w:pPr>
      <w:proofErr w:type="spellStart"/>
      <w:r w:rsidRPr="000E3E66">
        <w:rPr>
          <w:bCs/>
          <w:sz w:val="24"/>
          <w:szCs w:val="24"/>
          <w:lang w:val="en-US"/>
        </w:rPr>
        <w:t>ScanVet</w:t>
      </w:r>
      <w:proofErr w:type="spellEnd"/>
      <w:r w:rsidRPr="000E3E66">
        <w:rPr>
          <w:bCs/>
          <w:sz w:val="24"/>
          <w:szCs w:val="24"/>
          <w:lang w:val="en-US"/>
        </w:rPr>
        <w:t xml:space="preserve"> Animal Health A/S</w:t>
      </w:r>
    </w:p>
    <w:p w:rsidR="00D768CF" w:rsidRPr="000E3E66" w:rsidRDefault="00D768CF" w:rsidP="00D768CF">
      <w:pPr>
        <w:ind w:left="851" w:right="-318"/>
        <w:rPr>
          <w:bCs/>
          <w:sz w:val="24"/>
          <w:szCs w:val="24"/>
          <w:lang w:val="en-US"/>
        </w:rPr>
      </w:pPr>
      <w:proofErr w:type="spellStart"/>
      <w:r w:rsidRPr="000E3E66">
        <w:rPr>
          <w:bCs/>
          <w:sz w:val="24"/>
          <w:szCs w:val="24"/>
          <w:lang w:val="en-US"/>
        </w:rPr>
        <w:t>Kongevejen</w:t>
      </w:r>
      <w:proofErr w:type="spellEnd"/>
      <w:r w:rsidRPr="000E3E66">
        <w:rPr>
          <w:bCs/>
          <w:sz w:val="24"/>
          <w:szCs w:val="24"/>
          <w:lang w:val="en-US"/>
        </w:rPr>
        <w:t xml:space="preserve"> 66</w:t>
      </w:r>
    </w:p>
    <w:p w:rsidR="00D768CF" w:rsidRPr="000E3E66" w:rsidRDefault="00D768CF" w:rsidP="00D768CF">
      <w:pPr>
        <w:ind w:left="851" w:right="-318"/>
        <w:rPr>
          <w:sz w:val="24"/>
          <w:szCs w:val="24"/>
          <w:lang w:val="en-US"/>
        </w:rPr>
      </w:pPr>
      <w:r w:rsidRPr="000E3E66">
        <w:rPr>
          <w:bCs/>
          <w:sz w:val="24"/>
          <w:szCs w:val="24"/>
          <w:lang w:val="en-US"/>
        </w:rPr>
        <w:t xml:space="preserve">3480 </w:t>
      </w:r>
      <w:proofErr w:type="spellStart"/>
      <w:r w:rsidRPr="000E3E66">
        <w:rPr>
          <w:bCs/>
          <w:sz w:val="24"/>
          <w:szCs w:val="24"/>
          <w:lang w:val="en-US"/>
        </w:rPr>
        <w:t>Fredensborg</w:t>
      </w:r>
      <w:proofErr w:type="spellEnd"/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numPr>
          <w:ilvl w:val="0"/>
          <w:numId w:val="3"/>
        </w:numPr>
        <w:tabs>
          <w:tab w:val="clear" w:pos="360"/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MARKEDSFØRINGSTILLADELSESNUMMER (NUMRE)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E3E66">
        <w:rPr>
          <w:sz w:val="24"/>
          <w:szCs w:val="24"/>
        </w:rPr>
        <w:tab/>
        <w:t>47078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9.</w:t>
      </w:r>
      <w:r w:rsidRPr="000E3E66">
        <w:rPr>
          <w:b/>
          <w:sz w:val="24"/>
          <w:szCs w:val="24"/>
        </w:rPr>
        <w:tab/>
        <w:t>DATO FOR FØRSTE MARKEDSFØRINGSTILLADELSE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E3E66">
        <w:rPr>
          <w:sz w:val="24"/>
          <w:szCs w:val="24"/>
        </w:rPr>
        <w:tab/>
        <w:t>1</w:t>
      </w:r>
      <w:r>
        <w:rPr>
          <w:sz w:val="24"/>
          <w:szCs w:val="24"/>
        </w:rPr>
        <w:t>3</w:t>
      </w:r>
      <w:r w:rsidRPr="000E3E66">
        <w:rPr>
          <w:sz w:val="24"/>
          <w:szCs w:val="24"/>
        </w:rPr>
        <w:t>. juli 2011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10.</w:t>
      </w:r>
      <w:r w:rsidRPr="000E3E66">
        <w:rPr>
          <w:b/>
          <w:sz w:val="24"/>
          <w:szCs w:val="24"/>
        </w:rPr>
        <w:tab/>
        <w:t>DATO FOR ÆNDRING AF TEKSTEN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  <w:r w:rsidRPr="000E3E66">
        <w:rPr>
          <w:sz w:val="24"/>
          <w:szCs w:val="24"/>
        </w:rPr>
        <w:tab/>
      </w:r>
      <w:r w:rsidR="00802067">
        <w:rPr>
          <w:sz w:val="24"/>
          <w:szCs w:val="24"/>
        </w:rPr>
        <w:t>30. maj 2022</w:t>
      </w: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sz w:val="24"/>
          <w:szCs w:val="24"/>
        </w:rPr>
      </w:pPr>
    </w:p>
    <w:p w:rsidR="00D768CF" w:rsidRPr="000E3E66" w:rsidRDefault="00D768CF" w:rsidP="00D768C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0E3E66">
        <w:rPr>
          <w:b/>
          <w:sz w:val="24"/>
          <w:szCs w:val="24"/>
        </w:rPr>
        <w:t>11.</w:t>
      </w:r>
      <w:r w:rsidRPr="000E3E66">
        <w:rPr>
          <w:b/>
          <w:sz w:val="24"/>
          <w:szCs w:val="24"/>
        </w:rPr>
        <w:tab/>
        <w:t>UDLEVERINGSBESTEMMELSE</w:t>
      </w:r>
    </w:p>
    <w:p w:rsidR="00D768CF" w:rsidRPr="000E3E66" w:rsidRDefault="00D768CF" w:rsidP="00D768CF">
      <w:pPr>
        <w:pStyle w:val="Sidehoved"/>
        <w:tabs>
          <w:tab w:val="clear" w:pos="4819"/>
          <w:tab w:val="clear" w:pos="9638"/>
          <w:tab w:val="left" w:pos="851"/>
          <w:tab w:val="left" w:pos="8222"/>
        </w:tabs>
        <w:ind w:left="851" w:hanging="851"/>
        <w:rPr>
          <w:szCs w:val="24"/>
        </w:rPr>
      </w:pPr>
      <w:r w:rsidRPr="000E3E66">
        <w:rPr>
          <w:szCs w:val="24"/>
        </w:rPr>
        <w:tab/>
        <w:t>B</w:t>
      </w:r>
    </w:p>
    <w:p w:rsidR="00D768CF" w:rsidRPr="00612564" w:rsidRDefault="00D768CF" w:rsidP="00D768CF"/>
    <w:p w:rsidR="0003527F" w:rsidRPr="00D768CF" w:rsidRDefault="0003527F" w:rsidP="00D768CF"/>
    <w:sectPr w:rsidR="0003527F" w:rsidRPr="00D768CF" w:rsidSect="00C479B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8CF" w:rsidRDefault="00D768CF">
      <w:r>
        <w:separator/>
      </w:r>
    </w:p>
  </w:endnote>
  <w:endnote w:type="continuationSeparator" w:id="0">
    <w:p w:rsidR="00D768CF" w:rsidRDefault="00D76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CF25F8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CF25F8">
      <w:rPr>
        <w:i/>
        <w:snapToGrid w:val="0"/>
        <w:sz w:val="18"/>
      </w:rPr>
      <w:t>Danilon</w:t>
    </w:r>
    <w:proofErr w:type="spellEnd"/>
    <w:r w:rsidRPr="00CF25F8">
      <w:rPr>
        <w:i/>
        <w:snapToGrid w:val="0"/>
        <w:sz w:val="18"/>
      </w:rPr>
      <w:t xml:space="preserve"> </w:t>
    </w:r>
    <w:proofErr w:type="spellStart"/>
    <w:r w:rsidRPr="00CF25F8">
      <w:rPr>
        <w:i/>
        <w:snapToGrid w:val="0"/>
        <w:sz w:val="18"/>
      </w:rPr>
      <w:t>Equidos</w:t>
    </w:r>
    <w:proofErr w:type="spellEnd"/>
    <w:r w:rsidRPr="00CF25F8">
      <w:rPr>
        <w:i/>
        <w:snapToGrid w:val="0"/>
        <w:sz w:val="18"/>
      </w:rPr>
      <w:t>, granulat 1,5 g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D768CF">
      <w:rPr>
        <w:i/>
        <w:noProof/>
        <w:snapToGrid w:val="0"/>
        <w:sz w:val="18"/>
      </w:rPr>
      <w:t>Dokument213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8CF" w:rsidRDefault="00D768CF">
      <w:r>
        <w:separator/>
      </w:r>
    </w:p>
  </w:footnote>
  <w:footnote w:type="continuationSeparator" w:id="0">
    <w:p w:rsidR="00D768CF" w:rsidRDefault="00D768CF">
      <w:r>
        <w:continuationSeparator/>
      </w:r>
    </w:p>
  </w:footnote>
  <w:footnote w:id="1">
    <w:p w:rsidR="00D768CF" w:rsidRPr="00341836" w:rsidRDefault="00D768CF" w:rsidP="00D768CF">
      <w:pPr>
        <w:pStyle w:val="Listeafsnit"/>
      </w:pPr>
      <w:r>
        <w:rPr>
          <w:rStyle w:val="Fodnotehenvisning"/>
        </w:rPr>
        <w:footnoteRef/>
      </w:r>
      <w:r>
        <w:t xml:space="preserve"> </w:t>
      </w:r>
      <w:r w:rsidRPr="00341836">
        <w:t>”Erklæring om hestes udelukkelse fra konsum” udfyldes af dyrlæge og ejer/ejers repræsentant/bruger, og indsendes af dyrlægen til den pasudstedende organisation om chipnummeret.</w:t>
      </w:r>
    </w:p>
    <w:p w:rsidR="00D768CF" w:rsidRDefault="00D768CF" w:rsidP="00D768CF">
      <w:pPr>
        <w:pStyle w:val="Fodnote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B5461D5"/>
    <w:multiLevelType w:val="hybridMultilevel"/>
    <w:tmpl w:val="847E7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CF"/>
    <w:rsid w:val="0003527F"/>
    <w:rsid w:val="000470F0"/>
    <w:rsid w:val="00065C7D"/>
    <w:rsid w:val="000C6CD4"/>
    <w:rsid w:val="001577E4"/>
    <w:rsid w:val="001858CA"/>
    <w:rsid w:val="00193745"/>
    <w:rsid w:val="001C4AEF"/>
    <w:rsid w:val="001D3CC5"/>
    <w:rsid w:val="00322BDE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802067"/>
    <w:rsid w:val="009202AE"/>
    <w:rsid w:val="00932676"/>
    <w:rsid w:val="009D66C6"/>
    <w:rsid w:val="00A24D06"/>
    <w:rsid w:val="00A96525"/>
    <w:rsid w:val="00AE29E5"/>
    <w:rsid w:val="00AE5757"/>
    <w:rsid w:val="00B25EB8"/>
    <w:rsid w:val="00BC634B"/>
    <w:rsid w:val="00BF2AE0"/>
    <w:rsid w:val="00C479BF"/>
    <w:rsid w:val="00CF25F8"/>
    <w:rsid w:val="00D567AA"/>
    <w:rsid w:val="00D768CF"/>
    <w:rsid w:val="00DD6D71"/>
    <w:rsid w:val="00DF32BE"/>
    <w:rsid w:val="00E14F0A"/>
    <w:rsid w:val="00EB5778"/>
    <w:rsid w:val="00EE5253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572592D"/>
  <w15:chartTrackingRefBased/>
  <w15:docId w15:val="{B4241840-B0BF-4A7F-8DB5-13004979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styleId="Listeafsnit">
    <w:name w:val="List Paragraph"/>
    <w:basedOn w:val="Normal"/>
    <w:uiPriority w:val="34"/>
    <w:qFormat/>
    <w:rsid w:val="00D768CF"/>
    <w:pPr>
      <w:ind w:left="720"/>
      <w:contextualSpacing/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D768CF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768CF"/>
    <w:rPr>
      <w:lang w:eastAsia="en-US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768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117E9.E55533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6</Pages>
  <Words>1257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2016123606_x000d_
Skift af MAH fra Esteve Pharmaceuticals S.A.</dc:description>
  <cp:lastModifiedBy>Marianne Ott Jensen</cp:lastModifiedBy>
  <cp:revision>3</cp:revision>
  <dcterms:created xsi:type="dcterms:W3CDTF">2022-05-25T08:54:00Z</dcterms:created>
  <dcterms:modified xsi:type="dcterms:W3CDTF">2022-05-25T08:56:00Z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