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7DF" w:rsidRDefault="009227DF" w:rsidP="009227DF">
      <w:pPr>
        <w:pStyle w:val="Titel"/>
        <w:tabs>
          <w:tab w:val="left" w:pos="7938"/>
        </w:tabs>
        <w:jc w:val="left"/>
      </w:pPr>
      <w:bookmarkStart w:id="0" w:name="_GoBack"/>
      <w:bookmarkEnd w:id="0"/>
      <w:r>
        <w:rPr>
          <w:noProof/>
        </w:rPr>
        <w:drawing>
          <wp:inline distT="0" distB="0" distL="0" distR="0" wp14:anchorId="18C9C1C4" wp14:editId="0F1B2B90">
            <wp:extent cx="2463800" cy="692150"/>
            <wp:effectExtent l="0" t="0" r="0" b="0"/>
            <wp:docPr id="2" name="Billede 2" descr="LMST-logo (EN) - min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MST-logo (EN) - mind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7DF" w:rsidRDefault="009227DF" w:rsidP="009227DF">
      <w:pPr>
        <w:tabs>
          <w:tab w:val="left" w:pos="0"/>
          <w:tab w:val="left" w:pos="850"/>
          <w:tab w:val="left" w:pos="1701"/>
          <w:tab w:val="left" w:pos="2550"/>
          <w:tab w:val="left" w:pos="3402"/>
          <w:tab w:val="left" w:pos="4254"/>
          <w:tab w:val="left" w:pos="5104"/>
          <w:tab w:val="left" w:pos="5955"/>
          <w:tab w:val="left" w:pos="6804"/>
          <w:tab w:val="left" w:pos="7656"/>
          <w:tab w:val="left" w:pos="8508"/>
          <w:tab w:val="left" w:pos="8640"/>
        </w:tabs>
        <w:suppressAutoHyphens/>
        <w:jc w:val="right"/>
        <w:rPr>
          <w:b/>
        </w:rPr>
      </w:pPr>
    </w:p>
    <w:p w:rsidR="009227DF" w:rsidRDefault="00B74854" w:rsidP="009227DF">
      <w:pPr>
        <w:tabs>
          <w:tab w:val="left" w:pos="0"/>
          <w:tab w:val="left" w:pos="850"/>
          <w:tab w:val="left" w:pos="1701"/>
          <w:tab w:val="left" w:pos="2550"/>
          <w:tab w:val="left" w:pos="3402"/>
          <w:tab w:val="left" w:pos="4254"/>
          <w:tab w:val="left" w:pos="5104"/>
          <w:tab w:val="left" w:pos="5955"/>
          <w:tab w:val="left" w:pos="6804"/>
          <w:tab w:val="left" w:pos="7656"/>
          <w:tab w:val="left" w:pos="8508"/>
          <w:tab w:val="left" w:pos="8640"/>
        </w:tabs>
        <w:suppressAutoHyphens/>
        <w:jc w:val="right"/>
        <w:rPr>
          <w:b/>
        </w:rPr>
      </w:pPr>
      <w:r>
        <w:rPr>
          <w:b/>
        </w:rPr>
        <w:t>1. december 2022</w:t>
      </w:r>
    </w:p>
    <w:p w:rsidR="009227DF" w:rsidRDefault="009227DF" w:rsidP="009227DF">
      <w:pPr>
        <w:tabs>
          <w:tab w:val="center" w:pos="4537"/>
        </w:tabs>
        <w:suppressAutoHyphens/>
        <w:jc w:val="both"/>
        <w:rPr>
          <w:b/>
          <w:spacing w:val="-3"/>
        </w:rPr>
      </w:pPr>
    </w:p>
    <w:p w:rsidR="009227DF" w:rsidRDefault="009227DF" w:rsidP="009227DF">
      <w:pPr>
        <w:tabs>
          <w:tab w:val="center" w:pos="4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PRODUKTRESUMÉ</w:t>
      </w:r>
    </w:p>
    <w:p w:rsidR="009227DF" w:rsidRDefault="009227DF" w:rsidP="009227DF">
      <w:pPr>
        <w:tabs>
          <w:tab w:val="left" w:pos="0"/>
          <w:tab w:val="left" w:pos="850"/>
          <w:tab w:val="left" w:pos="1701"/>
          <w:tab w:val="left" w:pos="2550"/>
          <w:tab w:val="left" w:pos="3402"/>
          <w:tab w:val="left" w:pos="4254"/>
          <w:tab w:val="left" w:pos="5104"/>
          <w:tab w:val="left" w:pos="5955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pacing w:val="-3"/>
        </w:rPr>
      </w:pPr>
    </w:p>
    <w:p w:rsidR="009227DF" w:rsidRDefault="009227DF" w:rsidP="009227DF">
      <w:pPr>
        <w:tabs>
          <w:tab w:val="center" w:pos="4537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ab/>
        <w:t>for</w:t>
      </w:r>
    </w:p>
    <w:p w:rsidR="009227DF" w:rsidRDefault="009227DF" w:rsidP="009227DF">
      <w:pPr>
        <w:tabs>
          <w:tab w:val="left" w:pos="0"/>
          <w:tab w:val="left" w:pos="850"/>
          <w:tab w:val="left" w:pos="1701"/>
          <w:tab w:val="left" w:pos="2550"/>
          <w:tab w:val="left" w:pos="3402"/>
          <w:tab w:val="left" w:pos="4254"/>
          <w:tab w:val="left" w:pos="5104"/>
          <w:tab w:val="left" w:pos="5955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b/>
          <w:spacing w:val="-3"/>
        </w:rPr>
      </w:pPr>
    </w:p>
    <w:p w:rsidR="009227DF" w:rsidRDefault="009227DF" w:rsidP="009227DF">
      <w:pPr>
        <w:tabs>
          <w:tab w:val="center" w:pos="4537"/>
        </w:tabs>
        <w:suppressAutoHyphens/>
        <w:jc w:val="both"/>
        <w:rPr>
          <w:spacing w:val="-3"/>
        </w:rPr>
      </w:pPr>
      <w:r>
        <w:rPr>
          <w:b/>
          <w:spacing w:val="-3"/>
        </w:rPr>
        <w:tab/>
      </w:r>
      <w:proofErr w:type="spellStart"/>
      <w:r w:rsidR="0043204A">
        <w:rPr>
          <w:b/>
          <w:spacing w:val="-3"/>
        </w:rPr>
        <w:t>Denagard</w:t>
      </w:r>
      <w:proofErr w:type="spellEnd"/>
      <w:r>
        <w:rPr>
          <w:b/>
          <w:spacing w:val="-3"/>
        </w:rPr>
        <w:t>, injektionsvæske, opløsning</w:t>
      </w:r>
      <w:r w:rsidR="0043204A">
        <w:rPr>
          <w:b/>
          <w:spacing w:val="-3"/>
        </w:rPr>
        <w:t xml:space="preserve"> (</w:t>
      </w:r>
      <w:proofErr w:type="spellStart"/>
      <w:r w:rsidR="0043204A" w:rsidRPr="0043204A">
        <w:rPr>
          <w:b/>
          <w:spacing w:val="-3"/>
        </w:rPr>
        <w:t>PharmaMénta</w:t>
      </w:r>
      <w:proofErr w:type="spellEnd"/>
      <w:r w:rsidR="0043204A">
        <w:rPr>
          <w:b/>
          <w:spacing w:val="-3"/>
        </w:rPr>
        <w:t>)</w:t>
      </w:r>
    </w:p>
    <w:p w:rsidR="009227DF" w:rsidRDefault="009227DF" w:rsidP="009227DF">
      <w:pPr>
        <w:tabs>
          <w:tab w:val="left" w:pos="0"/>
          <w:tab w:val="left" w:pos="850"/>
          <w:tab w:val="left" w:pos="1701"/>
          <w:tab w:val="left" w:pos="2550"/>
          <w:tab w:val="left" w:pos="3402"/>
          <w:tab w:val="left" w:pos="4254"/>
          <w:tab w:val="left" w:pos="5104"/>
          <w:tab w:val="left" w:pos="5955"/>
          <w:tab w:val="left" w:pos="6804"/>
          <w:tab w:val="left" w:pos="7656"/>
          <w:tab w:val="left" w:pos="8508"/>
          <w:tab w:val="left" w:pos="8640"/>
        </w:tabs>
        <w:suppressAutoHyphens/>
        <w:jc w:val="both"/>
        <w:rPr>
          <w:spacing w:val="-3"/>
        </w:rPr>
      </w:pPr>
    </w:p>
    <w:p w:rsidR="009227DF" w:rsidRDefault="009227DF" w:rsidP="009227DF">
      <w:pPr>
        <w:tabs>
          <w:tab w:val="left" w:pos="8222"/>
        </w:tabs>
        <w:jc w:val="both"/>
      </w:pPr>
    </w:p>
    <w:p w:rsidR="009227DF" w:rsidRPr="0043567B" w:rsidRDefault="009227DF" w:rsidP="009227DF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D.SP.NR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  <w:t>3880</w:t>
      </w:r>
    </w:p>
    <w:p w:rsidR="009227DF" w:rsidRDefault="009227DF" w:rsidP="009227DF">
      <w:pPr>
        <w:tabs>
          <w:tab w:val="left" w:pos="8222"/>
        </w:tabs>
        <w:ind w:left="851"/>
        <w:jc w:val="both"/>
      </w:pPr>
    </w:p>
    <w:p w:rsidR="009227DF" w:rsidRPr="0043567B" w:rsidRDefault="009227DF" w:rsidP="009227DF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VETERINÆRLÆGEMIDLETS NAVN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proofErr w:type="spellStart"/>
      <w:r w:rsidR="0043204A">
        <w:rPr>
          <w:spacing w:val="-3"/>
        </w:rPr>
        <w:t>Denagard</w:t>
      </w:r>
      <w:proofErr w:type="spellEnd"/>
    </w:p>
    <w:p w:rsidR="009227DF" w:rsidRDefault="009227DF" w:rsidP="009227DF">
      <w:pPr>
        <w:tabs>
          <w:tab w:val="left" w:pos="8222"/>
        </w:tabs>
        <w:ind w:left="851"/>
        <w:jc w:val="both"/>
      </w:pPr>
    </w:p>
    <w:p w:rsidR="009227DF" w:rsidRPr="0043567B" w:rsidRDefault="009227DF" w:rsidP="009227DF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KVALITATIV OG KVANTITATIV SAMMENSÆTNING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  <w:t xml:space="preserve">1 ml indeholder: 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proofErr w:type="spellStart"/>
      <w:r>
        <w:rPr>
          <w:spacing w:val="-3"/>
        </w:rPr>
        <w:t>Tiamulin</w:t>
      </w:r>
      <w:proofErr w:type="spellEnd"/>
      <w:r>
        <w:rPr>
          <w:spacing w:val="-3"/>
        </w:rPr>
        <w:t xml:space="preserve"> base 162,2 mg (svarende til 200 mg </w:t>
      </w:r>
      <w:proofErr w:type="spellStart"/>
      <w:r>
        <w:rPr>
          <w:spacing w:val="-3"/>
        </w:rPr>
        <w:t>tiamulinhydrogenfumarat</w:t>
      </w:r>
      <w:proofErr w:type="spellEnd"/>
      <w:r>
        <w:rPr>
          <w:spacing w:val="-3"/>
        </w:rPr>
        <w:t>).</w:t>
      </w:r>
    </w:p>
    <w:p w:rsidR="009227DF" w:rsidRDefault="009227DF" w:rsidP="009227DF">
      <w:pPr>
        <w:tabs>
          <w:tab w:val="left" w:pos="8222"/>
        </w:tabs>
        <w:ind w:left="851"/>
        <w:jc w:val="both"/>
      </w:pPr>
    </w:p>
    <w:p w:rsidR="009227DF" w:rsidRPr="0043567B" w:rsidRDefault="009227DF" w:rsidP="009227DF">
      <w:pPr>
        <w:numPr>
          <w:ilvl w:val="0"/>
          <w:numId w:val="1"/>
        </w:numPr>
        <w:tabs>
          <w:tab w:val="left" w:pos="8222"/>
        </w:tabs>
        <w:rPr>
          <w:b/>
        </w:rPr>
      </w:pPr>
      <w:r w:rsidRPr="0043567B">
        <w:rPr>
          <w:b/>
        </w:rPr>
        <w:t>LÆGEMIDDELFORM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  <w:t>Injektionsvæske, opløsning</w:t>
      </w:r>
      <w:r w:rsidR="0043204A">
        <w:rPr>
          <w:spacing w:val="-3"/>
        </w:rPr>
        <w:t xml:space="preserve"> </w:t>
      </w:r>
      <w:r w:rsidR="0043204A" w:rsidRPr="0043204A">
        <w:rPr>
          <w:spacing w:val="-3"/>
        </w:rPr>
        <w:t>(</w:t>
      </w:r>
      <w:proofErr w:type="spellStart"/>
      <w:r w:rsidR="0043204A" w:rsidRPr="0043204A">
        <w:rPr>
          <w:spacing w:val="-3"/>
        </w:rPr>
        <w:t>PharmaMénta</w:t>
      </w:r>
      <w:proofErr w:type="spellEnd"/>
      <w:r w:rsidR="0043204A" w:rsidRPr="0043204A">
        <w:rPr>
          <w:spacing w:val="-3"/>
        </w:rPr>
        <w:t>)</w:t>
      </w:r>
      <w:r w:rsidR="0043204A">
        <w:rPr>
          <w:spacing w:val="-3"/>
        </w:rPr>
        <w:t xml:space="preserve"> </w:t>
      </w:r>
    </w:p>
    <w:p w:rsidR="009227DF" w:rsidRDefault="009227DF" w:rsidP="009227DF">
      <w:pPr>
        <w:tabs>
          <w:tab w:val="left" w:pos="851"/>
          <w:tab w:val="left" w:pos="8222"/>
        </w:tabs>
        <w:jc w:val="both"/>
      </w:pPr>
    </w:p>
    <w:p w:rsidR="009227DF" w:rsidRDefault="009227DF" w:rsidP="009227DF">
      <w:pPr>
        <w:tabs>
          <w:tab w:val="left" w:pos="851"/>
          <w:tab w:val="left" w:pos="8222"/>
        </w:tabs>
        <w:jc w:val="both"/>
      </w:pPr>
    </w:p>
    <w:p w:rsidR="009227DF" w:rsidRDefault="009227DF" w:rsidP="009227DF">
      <w:pPr>
        <w:numPr>
          <w:ilvl w:val="0"/>
          <w:numId w:val="1"/>
        </w:numPr>
        <w:tabs>
          <w:tab w:val="left" w:pos="8222"/>
        </w:tabs>
        <w:rPr>
          <w:b/>
        </w:rPr>
      </w:pPr>
      <w:r>
        <w:rPr>
          <w:b/>
        </w:rPr>
        <w:t>KLINISKE OPLYSNINGER</w:t>
      </w:r>
    </w:p>
    <w:p w:rsidR="009227DF" w:rsidRDefault="009227DF" w:rsidP="009227DF">
      <w:pPr>
        <w:tabs>
          <w:tab w:val="left" w:pos="851"/>
          <w:tab w:val="left" w:pos="8222"/>
        </w:tabs>
        <w:jc w:val="both"/>
      </w:pPr>
    </w:p>
    <w:p w:rsidR="009227DF" w:rsidRPr="0043567B" w:rsidRDefault="009227DF" w:rsidP="009227DF">
      <w:pPr>
        <w:tabs>
          <w:tab w:val="left" w:pos="851"/>
          <w:tab w:val="left" w:pos="8222"/>
        </w:tabs>
        <w:rPr>
          <w:b/>
          <w:u w:val="single"/>
        </w:rPr>
      </w:pPr>
      <w:r w:rsidRPr="0043567B">
        <w:rPr>
          <w:b/>
        </w:rPr>
        <w:t>4.1</w:t>
      </w:r>
      <w:r w:rsidRPr="0043567B">
        <w:rPr>
          <w:b/>
        </w:rPr>
        <w:tab/>
        <w:t>Dyrearter</w:t>
      </w:r>
    </w:p>
    <w:p w:rsidR="009227DF" w:rsidRDefault="009227DF" w:rsidP="009227DF">
      <w:pPr>
        <w:tabs>
          <w:tab w:val="left" w:pos="8222"/>
        </w:tabs>
        <w:ind w:left="851"/>
        <w:jc w:val="both"/>
      </w:pPr>
      <w:r>
        <w:t>Svin.</w:t>
      </w:r>
    </w:p>
    <w:p w:rsidR="009227DF" w:rsidRDefault="009227DF" w:rsidP="009227DF">
      <w:pPr>
        <w:tabs>
          <w:tab w:val="left" w:pos="8222"/>
        </w:tabs>
        <w:ind w:left="851"/>
        <w:jc w:val="both"/>
      </w:pPr>
    </w:p>
    <w:p w:rsidR="009227DF" w:rsidRPr="0043567B" w:rsidRDefault="009227DF" w:rsidP="009227DF">
      <w:pPr>
        <w:pStyle w:val="Sidehoved"/>
        <w:numPr>
          <w:ilvl w:val="1"/>
          <w:numId w:val="2"/>
        </w:numPr>
        <w:tabs>
          <w:tab w:val="clear" w:pos="4819"/>
          <w:tab w:val="clear" w:pos="9638"/>
          <w:tab w:val="left" w:pos="8222"/>
        </w:tabs>
        <w:rPr>
          <w:b/>
        </w:rPr>
      </w:pPr>
      <w:r w:rsidRPr="0043567B">
        <w:rPr>
          <w:b/>
        </w:rPr>
        <w:t>Terapeutiske indikationer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5"/>
        <w:rPr>
          <w:i/>
        </w:rPr>
      </w:pPr>
      <w:r>
        <w:t xml:space="preserve">Behandling af svinedysenteri forårsaget af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hyodysenteriae</w:t>
      </w:r>
      <w:proofErr w:type="spellEnd"/>
      <w:r>
        <w:rPr>
          <w:i/>
        </w:rPr>
        <w:t>.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5"/>
      </w:pPr>
      <w:r>
        <w:t xml:space="preserve">Behandling af </w:t>
      </w:r>
      <w:proofErr w:type="spellStart"/>
      <w:r>
        <w:t>mycoplasmal</w:t>
      </w:r>
      <w:proofErr w:type="spellEnd"/>
      <w:r>
        <w:t xml:space="preserve"> artritis forårsaget af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hyosynoviae</w:t>
      </w:r>
      <w:proofErr w:type="spellEnd"/>
      <w:r>
        <w:rPr>
          <w:i/>
        </w:rPr>
        <w:t>.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  <w:t xml:space="preserve">Respirationsvejsinfektioner hos svin forårsaget af </w:t>
      </w:r>
      <w:proofErr w:type="spellStart"/>
      <w:r>
        <w:t>tiamulinfølsomme</w:t>
      </w:r>
      <w:proofErr w:type="spellEnd"/>
      <w:r>
        <w:t xml:space="preserve"> mikroorganismer.</w:t>
      </w:r>
    </w:p>
    <w:p w:rsidR="009227DF" w:rsidRDefault="009227DF" w:rsidP="009227DF">
      <w:pPr>
        <w:pStyle w:val="Sidehoved"/>
        <w:tabs>
          <w:tab w:val="clear" w:pos="4819"/>
          <w:tab w:val="clear" w:pos="9638"/>
          <w:tab w:val="left" w:pos="8222"/>
        </w:tabs>
        <w:ind w:left="851"/>
        <w:jc w:val="both"/>
      </w:pPr>
    </w:p>
    <w:p w:rsidR="009227DF" w:rsidRPr="0043567B" w:rsidRDefault="009227DF" w:rsidP="009227DF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rPr>
          <w:b/>
        </w:rPr>
      </w:pPr>
      <w:r w:rsidRPr="0043567B">
        <w:rPr>
          <w:b/>
        </w:rPr>
        <w:t>4.3</w:t>
      </w:r>
      <w:r w:rsidRPr="0043567B">
        <w:rPr>
          <w:b/>
        </w:rPr>
        <w:tab/>
        <w:t>Kontraindikationer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  <w:t xml:space="preserve">Må ikke anvendes sammen med </w:t>
      </w:r>
      <w:proofErr w:type="spellStart"/>
      <w:r>
        <w:t>ionophor-polyether</w:t>
      </w:r>
      <w:proofErr w:type="spellEnd"/>
      <w:r>
        <w:t xml:space="preserve"> antibiotika, f.eks.  </w:t>
      </w:r>
      <w:proofErr w:type="spellStart"/>
      <w:r>
        <w:t>salino</w:t>
      </w:r>
      <w:r>
        <w:softHyphen/>
        <w:t>mycin</w:t>
      </w:r>
      <w:proofErr w:type="spellEnd"/>
      <w:r>
        <w:t xml:space="preserve">, </w:t>
      </w:r>
      <w:proofErr w:type="spellStart"/>
      <w:r>
        <w:t>monensin</w:t>
      </w:r>
      <w:proofErr w:type="spellEnd"/>
      <w:r>
        <w:t xml:space="preserve">, og </w:t>
      </w:r>
      <w:proofErr w:type="spellStart"/>
      <w:r>
        <w:t>narasin</w:t>
      </w:r>
      <w:proofErr w:type="spellEnd"/>
      <w:r>
        <w:t xml:space="preserve">. 7 dage før og 7 dage efter behandling med </w:t>
      </w:r>
      <w:proofErr w:type="spellStart"/>
      <w:r>
        <w:t>tiamulin</w:t>
      </w:r>
      <w:proofErr w:type="spellEnd"/>
      <w:r>
        <w:t xml:space="preserve"> må </w:t>
      </w:r>
      <w:proofErr w:type="spellStart"/>
      <w:r>
        <w:t>ionophor-ether</w:t>
      </w:r>
      <w:proofErr w:type="spellEnd"/>
      <w:r>
        <w:t xml:space="preserve"> antibiotika hverken være anvendt eller anvendes.</w:t>
      </w:r>
    </w:p>
    <w:p w:rsidR="009227DF" w:rsidRDefault="009227DF" w:rsidP="009227DF">
      <w:pPr>
        <w:pStyle w:val="Sidehoved"/>
        <w:tabs>
          <w:tab w:val="clear" w:pos="4819"/>
          <w:tab w:val="clear" w:pos="9638"/>
          <w:tab w:val="left" w:pos="8222"/>
        </w:tabs>
        <w:jc w:val="both"/>
      </w:pPr>
    </w:p>
    <w:p w:rsidR="009227DF" w:rsidRDefault="009227DF" w:rsidP="009227DF">
      <w:pPr>
        <w:tabs>
          <w:tab w:val="left" w:pos="851"/>
          <w:tab w:val="left" w:pos="8222"/>
        </w:tabs>
        <w:ind w:left="851" w:hanging="851"/>
      </w:pPr>
      <w:r w:rsidRPr="0043567B">
        <w:rPr>
          <w:b/>
        </w:rPr>
        <w:t>4.4</w:t>
      </w:r>
      <w:r w:rsidRPr="0043567B">
        <w:rPr>
          <w:b/>
        </w:rPr>
        <w:tab/>
        <w:t>Særlige advarsler</w:t>
      </w:r>
      <w:r>
        <w:rPr>
          <w:b/>
        </w:rPr>
        <w:br/>
      </w:r>
      <w:r>
        <w:t>Ingen.</w:t>
      </w:r>
    </w:p>
    <w:p w:rsidR="009227DF" w:rsidRDefault="009227DF" w:rsidP="009227DF">
      <w:pPr>
        <w:pStyle w:val="Sidehoved"/>
        <w:tabs>
          <w:tab w:val="clear" w:pos="4819"/>
          <w:tab w:val="clear" w:pos="9638"/>
          <w:tab w:val="left" w:pos="8222"/>
        </w:tabs>
        <w:jc w:val="both"/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4.5</w:t>
      </w:r>
      <w:r w:rsidRPr="00E71A53">
        <w:rPr>
          <w:b/>
        </w:rPr>
        <w:tab/>
        <w:t>Særlige forsigtighedsregler vedrørende brugen</w:t>
      </w:r>
    </w:p>
    <w:p w:rsidR="009227DF" w:rsidRDefault="009227DF" w:rsidP="009227DF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ab/>
      </w: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>
        <w:rPr>
          <w:b/>
        </w:rPr>
        <w:tab/>
      </w:r>
      <w:r w:rsidRPr="00E71A53">
        <w:rPr>
          <w:b/>
        </w:rPr>
        <w:t>Særlige forsigtighedsregler for dyret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tab/>
      </w:r>
      <w:r>
        <w:rPr>
          <w:spacing w:val="-3"/>
        </w:rPr>
        <w:t>Det frarådes at behandle grise under 3 døgn gamle.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  <w:t>Der bør altid tages hensyn til officielle, nationale og regionale antibiotikapolitikker ved brugen af dette præparat.</w:t>
      </w:r>
    </w:p>
    <w:p w:rsidR="00B74854" w:rsidRDefault="00B74854" w:rsidP="00B74854">
      <w:pPr>
        <w:ind w:left="851"/>
      </w:pPr>
      <w:r>
        <w:lastRenderedPageBreak/>
        <w:t xml:space="preserve">Brug af produktet bør være baseret på identifikation og følsomhedstest af </w:t>
      </w:r>
      <w:proofErr w:type="spellStart"/>
      <w:r>
        <w:t>målpatogenet</w:t>
      </w:r>
      <w:proofErr w:type="spellEnd"/>
      <w:r>
        <w:t>(</w:t>
      </w:r>
      <w:proofErr w:type="spellStart"/>
      <w:r>
        <w:t>erne</w:t>
      </w:r>
      <w:proofErr w:type="spellEnd"/>
      <w:r>
        <w:t xml:space="preserve">). Hvis dette ikke er muligt, bør behandlingen baseres på epidemiologisk information og viden om følsomheden af </w:t>
      </w:r>
      <w:proofErr w:type="spellStart"/>
      <w:r>
        <w:t>målpatogenerne</w:t>
      </w:r>
      <w:proofErr w:type="spellEnd"/>
      <w:r>
        <w:t xml:space="preserve"> på bedriftsniveau eller på lokalt/regionalt niveau.</w:t>
      </w:r>
    </w:p>
    <w:p w:rsidR="00B74854" w:rsidRDefault="00B74854" w:rsidP="00B74854">
      <w:pPr>
        <w:ind w:left="851"/>
      </w:pPr>
      <w:r>
        <w:t>Brug af produktet skal være i overensstemmelse med officielle, nationale og regionale antimikrobielle politikker.</w:t>
      </w:r>
    </w:p>
    <w:p w:rsidR="00B74854" w:rsidRDefault="00B74854" w:rsidP="00B74854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</w:pPr>
      <w:r>
        <w:tab/>
      </w:r>
      <w:r>
        <w:t>Et antibiotikum med en lavere risiko for antimikrobiel resistensudvikling (lavere AMEG-kategori) bør anvendes som førstevalg, hvis følsomhedstest tyder på en sandsynlig effekt af denne tilgang.</w:t>
      </w:r>
    </w:p>
    <w:p w:rsidR="00B74854" w:rsidRDefault="00B74854" w:rsidP="00B74854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>
        <w:tab/>
      </w:r>
      <w:r w:rsidRPr="00E71A53">
        <w:rPr>
          <w:b/>
        </w:rPr>
        <w:t>Særlige forsigtighedsregler for personer, der administrerer lægemidlet</w:t>
      </w:r>
    </w:p>
    <w:p w:rsidR="009227DF" w:rsidRDefault="009227DF" w:rsidP="009227DF">
      <w:pPr>
        <w:tabs>
          <w:tab w:val="left" w:pos="851"/>
          <w:tab w:val="left" w:pos="8222"/>
        </w:tabs>
        <w:ind w:left="851"/>
      </w:pPr>
      <w:r>
        <w:t>I tilfælde af, at produktet kommer i kontakt med huden, vaskes straks med vand.</w:t>
      </w:r>
    </w:p>
    <w:p w:rsidR="009227DF" w:rsidRDefault="009227DF" w:rsidP="009227DF">
      <w:pPr>
        <w:tabs>
          <w:tab w:val="left" w:pos="851"/>
          <w:tab w:val="left" w:pos="8222"/>
        </w:tabs>
        <w:ind w:left="851"/>
        <w:rPr>
          <w:szCs w:val="22"/>
        </w:rPr>
      </w:pPr>
    </w:p>
    <w:p w:rsidR="000F3982" w:rsidRDefault="000F3982" w:rsidP="000F3982">
      <w:pPr>
        <w:tabs>
          <w:tab w:val="left" w:pos="851"/>
          <w:tab w:val="left" w:pos="8222"/>
        </w:tabs>
        <w:ind w:left="851"/>
        <w:rPr>
          <w:szCs w:val="22"/>
        </w:rPr>
      </w:pPr>
      <w:r>
        <w:rPr>
          <w:szCs w:val="22"/>
        </w:rPr>
        <w:t xml:space="preserve">Undgå utilsigtet selvinjektion. </w:t>
      </w:r>
    </w:p>
    <w:p w:rsidR="009227DF" w:rsidRDefault="009227DF" w:rsidP="009227DF">
      <w:pPr>
        <w:tabs>
          <w:tab w:val="left" w:pos="851"/>
          <w:tab w:val="left" w:pos="8222"/>
        </w:tabs>
        <w:ind w:left="851"/>
        <w:rPr>
          <w:szCs w:val="22"/>
        </w:rPr>
      </w:pPr>
      <w:r>
        <w:rPr>
          <w:szCs w:val="22"/>
        </w:rPr>
        <w:t>I tilfælde af utilsigtet indgift eller selvinjektion skal der straks søges lægehjælp, og indlægssedlen eller etiketten bør vises til lægen.</w:t>
      </w:r>
    </w:p>
    <w:p w:rsidR="009227DF" w:rsidRDefault="009227DF" w:rsidP="009227DF">
      <w:pPr>
        <w:tabs>
          <w:tab w:val="left" w:pos="851"/>
          <w:tab w:val="left" w:pos="8222"/>
        </w:tabs>
        <w:ind w:left="851"/>
      </w:pPr>
      <w:r>
        <w:rPr>
          <w:szCs w:val="22"/>
        </w:rPr>
        <w:t xml:space="preserve">Personer med kendt overfølsomhed over for </w:t>
      </w:r>
      <w:proofErr w:type="spellStart"/>
      <w:r>
        <w:rPr>
          <w:szCs w:val="22"/>
        </w:rPr>
        <w:t>tiamulin</w:t>
      </w:r>
      <w:proofErr w:type="spellEnd"/>
      <w:r>
        <w:rPr>
          <w:szCs w:val="22"/>
        </w:rPr>
        <w:t xml:space="preserve"> bør håndtere produktet med forsigtighed.</w:t>
      </w:r>
    </w:p>
    <w:p w:rsidR="00E778F2" w:rsidRDefault="00E778F2" w:rsidP="00E778F2">
      <w:pPr>
        <w:tabs>
          <w:tab w:val="left" w:pos="851"/>
          <w:tab w:val="left" w:pos="8222"/>
        </w:tabs>
        <w:ind w:left="851"/>
      </w:pPr>
      <w:r>
        <w:rPr>
          <w:szCs w:val="22"/>
        </w:rPr>
        <w:t>Personligt beskyttelsesudstyr bestående af handsker bør bæres, når produktet håndteres.</w:t>
      </w:r>
    </w:p>
    <w:p w:rsidR="00E778F2" w:rsidRDefault="00E778F2" w:rsidP="009227DF">
      <w:pPr>
        <w:tabs>
          <w:tab w:val="left" w:pos="851"/>
          <w:tab w:val="left" w:pos="8222"/>
        </w:tabs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>
        <w:tab/>
      </w:r>
      <w:r w:rsidRPr="00E71A53">
        <w:rPr>
          <w:b/>
        </w:rPr>
        <w:t>Andre forsigtighedsregler</w:t>
      </w:r>
    </w:p>
    <w:p w:rsidR="009227DF" w:rsidRDefault="009227DF" w:rsidP="009227DF">
      <w:pPr>
        <w:tabs>
          <w:tab w:val="left" w:pos="851"/>
          <w:tab w:val="left" w:pos="8222"/>
        </w:tabs>
      </w:pPr>
      <w:r>
        <w:tab/>
        <w:t>Ingen.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4.6</w:t>
      </w:r>
      <w:r w:rsidRPr="00E71A53">
        <w:rPr>
          <w:b/>
        </w:rPr>
        <w:tab/>
        <w:t>Bivirkninger</w:t>
      </w:r>
    </w:p>
    <w:p w:rsidR="009227DF" w:rsidRDefault="009227DF" w:rsidP="009227DF">
      <w:pPr>
        <w:tabs>
          <w:tab w:val="left" w:pos="851"/>
          <w:tab w:val="left" w:pos="8222"/>
        </w:tabs>
      </w:pPr>
      <w:r>
        <w:tab/>
        <w:t>Hudreaktioner kan forekomme i meget sjældne tilfælde.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>
        <w:rPr>
          <w:b/>
        </w:rPr>
        <w:t>4.7</w:t>
      </w:r>
      <w:r>
        <w:rPr>
          <w:b/>
        </w:rPr>
        <w:tab/>
        <w:t>Drægtighed, diegivning eller</w:t>
      </w:r>
      <w:r w:rsidRPr="00E71A53">
        <w:rPr>
          <w:b/>
        </w:rPr>
        <w:t xml:space="preserve"> æglægning</w:t>
      </w:r>
    </w:p>
    <w:p w:rsidR="009227DF" w:rsidRDefault="009227DF" w:rsidP="009227DF">
      <w:pPr>
        <w:tabs>
          <w:tab w:val="left" w:pos="851"/>
          <w:tab w:val="left" w:pos="8222"/>
        </w:tabs>
      </w:pPr>
      <w:r>
        <w:tab/>
        <w:t>Kan anvendes.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4.8</w:t>
      </w:r>
      <w:r w:rsidRPr="00E71A53">
        <w:rPr>
          <w:b/>
        </w:rPr>
        <w:tab/>
        <w:t>Interaktion med andre lægemidler og andre former for interaktion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</w:r>
      <w:proofErr w:type="spellStart"/>
      <w:r>
        <w:t>Tiamulin</w:t>
      </w:r>
      <w:proofErr w:type="spellEnd"/>
      <w:r>
        <w:t xml:space="preserve"> nedsætter omsætningen af </w:t>
      </w:r>
      <w:proofErr w:type="spellStart"/>
      <w:r>
        <w:t>ionophor-polyether</w:t>
      </w:r>
      <w:proofErr w:type="spellEnd"/>
      <w:r>
        <w:t xml:space="preserve"> antibiotika, f.eks. </w:t>
      </w:r>
      <w:proofErr w:type="spellStart"/>
      <w:r>
        <w:t>monensin</w:t>
      </w:r>
      <w:proofErr w:type="spellEnd"/>
      <w:r>
        <w:t xml:space="preserve">, </w:t>
      </w:r>
      <w:proofErr w:type="spellStart"/>
      <w:r>
        <w:t>salinomycin</w:t>
      </w:r>
      <w:proofErr w:type="spellEnd"/>
      <w:r>
        <w:t xml:space="preserve"> og </w:t>
      </w:r>
      <w:proofErr w:type="spellStart"/>
      <w:r>
        <w:t>narasin</w:t>
      </w:r>
      <w:proofErr w:type="spellEnd"/>
      <w:r>
        <w:t xml:space="preserve">, i leveren. Pga. disses stoffers lave terapeutiske indeks kan der ved samtidig behandling med </w:t>
      </w:r>
      <w:proofErr w:type="spellStart"/>
      <w:r>
        <w:t>tiamulin</w:t>
      </w:r>
      <w:proofErr w:type="spellEnd"/>
      <w:r>
        <w:t xml:space="preserve"> udvikles et akut forgiftningssyndrom (se pkt. 4.3).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4.9</w:t>
      </w:r>
      <w:r w:rsidRPr="00E71A53">
        <w:rPr>
          <w:b/>
        </w:rPr>
        <w:tab/>
        <w:t>Dosering og indgivelsesmåde</w:t>
      </w:r>
    </w:p>
    <w:p w:rsidR="009227DF" w:rsidRDefault="009227DF" w:rsidP="009227DF">
      <w:pPr>
        <w:tabs>
          <w:tab w:val="left" w:pos="851"/>
          <w:tab w:val="left" w:pos="8222"/>
        </w:tabs>
        <w:ind w:left="851"/>
      </w:pPr>
      <w:r>
        <w:t>For at sikre korrekt dosering, og undgå underdosering, skal kropsvægten bestemmes så nøjagtigt som muligt.</w:t>
      </w:r>
    </w:p>
    <w:p w:rsidR="009227DF" w:rsidRDefault="009227DF" w:rsidP="009227DF">
      <w:pPr>
        <w:tabs>
          <w:tab w:val="left" w:pos="851"/>
          <w:tab w:val="left" w:pos="8222"/>
        </w:tabs>
        <w:rPr>
          <w:spacing w:val="-3"/>
        </w:rPr>
      </w:pPr>
      <w:r>
        <w:tab/>
      </w:r>
    </w:p>
    <w:p w:rsidR="009227DF" w:rsidRDefault="009227DF" w:rsidP="009227DF">
      <w:pPr>
        <w:tabs>
          <w:tab w:val="left" w:pos="851"/>
          <w:tab w:val="left" w:pos="8222"/>
        </w:tabs>
        <w:ind w:left="851"/>
        <w:rPr>
          <w:spacing w:val="-3"/>
        </w:rPr>
      </w:pPr>
      <w:r w:rsidRPr="003B0351">
        <w:rPr>
          <w:spacing w:val="-3"/>
          <w:u w:val="single"/>
        </w:rPr>
        <w:t>Behandling af svinedysenteri:</w:t>
      </w:r>
      <w:r>
        <w:rPr>
          <w:spacing w:val="-3"/>
        </w:rPr>
        <w:t xml:space="preserve"> Den anbefalede dosis er 8,1 mg </w:t>
      </w:r>
      <w:proofErr w:type="spellStart"/>
      <w:r>
        <w:rPr>
          <w:spacing w:val="-3"/>
        </w:rPr>
        <w:t>tiamulin</w:t>
      </w:r>
      <w:proofErr w:type="spellEnd"/>
      <w:r>
        <w:rPr>
          <w:spacing w:val="-3"/>
        </w:rPr>
        <w:t xml:space="preserve"> base/kg kropsvægt daglig (svarende til ca. 10 mg </w:t>
      </w:r>
      <w:proofErr w:type="spellStart"/>
      <w:r>
        <w:rPr>
          <w:spacing w:val="-3"/>
        </w:rPr>
        <w:t>tiamulinhydrogenfumarat</w:t>
      </w:r>
      <w:proofErr w:type="spellEnd"/>
      <w:r>
        <w:rPr>
          <w:spacing w:val="-3"/>
        </w:rPr>
        <w:t>/kg kropsvægt). Dette kan gives som en dosis på 1,0 ml/20 kg kropsvægt administreret intramuskulært en gang dagligt i 1 – 2 dage.</w:t>
      </w:r>
    </w:p>
    <w:p w:rsidR="009227DF" w:rsidRDefault="009227DF" w:rsidP="009227DF">
      <w:pPr>
        <w:tabs>
          <w:tab w:val="left" w:pos="851"/>
          <w:tab w:val="left" w:pos="8222"/>
        </w:tabs>
        <w:ind w:left="851"/>
        <w:rPr>
          <w:spacing w:val="-3"/>
        </w:rPr>
      </w:pPr>
      <w:r>
        <w:rPr>
          <w:spacing w:val="-3"/>
        </w:rPr>
        <w:t>Afhængigt af sværhedsgraden af sygdom kan det være nødvendigt at genbehandle individuelle kliniske tilfælde indtil tegn på sygdom er aftaget.</w:t>
      </w:r>
    </w:p>
    <w:p w:rsidR="009227DF" w:rsidRDefault="009227DF" w:rsidP="009227DF">
      <w:pPr>
        <w:tabs>
          <w:tab w:val="left" w:pos="851"/>
          <w:tab w:val="left" w:pos="8222"/>
        </w:tabs>
        <w:ind w:left="851"/>
        <w:rPr>
          <w:spacing w:val="-3"/>
        </w:rPr>
      </w:pPr>
      <w:r w:rsidRPr="001F0CF1">
        <w:rPr>
          <w:spacing w:val="-3"/>
        </w:rPr>
        <w:t xml:space="preserve"> </w:t>
      </w:r>
    </w:p>
    <w:p w:rsidR="009227DF" w:rsidRPr="00C4180F" w:rsidRDefault="009227DF" w:rsidP="009227DF">
      <w:pPr>
        <w:tabs>
          <w:tab w:val="left" w:pos="851"/>
          <w:tab w:val="left" w:pos="8222"/>
        </w:tabs>
        <w:ind w:left="851"/>
        <w:rPr>
          <w:spacing w:val="-3"/>
        </w:rPr>
      </w:pPr>
      <w:r w:rsidRPr="00C4180F">
        <w:rPr>
          <w:spacing w:val="-3"/>
        </w:rPr>
        <w:t xml:space="preserve">Behandling af </w:t>
      </w:r>
      <w:proofErr w:type="spellStart"/>
      <w:r w:rsidRPr="00C4180F">
        <w:rPr>
          <w:spacing w:val="-3"/>
        </w:rPr>
        <w:t>mycoplasmal</w:t>
      </w:r>
      <w:proofErr w:type="spellEnd"/>
      <w:r w:rsidRPr="00C4180F">
        <w:rPr>
          <w:spacing w:val="-3"/>
        </w:rPr>
        <w:t xml:space="preserve"> artritis og respirationsvejsinfektioner: </w:t>
      </w:r>
    </w:p>
    <w:p w:rsidR="00B74854" w:rsidRDefault="009227DF" w:rsidP="009227DF">
      <w:pPr>
        <w:tabs>
          <w:tab w:val="left" w:pos="851"/>
          <w:tab w:val="left" w:pos="8222"/>
        </w:tabs>
        <w:ind w:left="851"/>
        <w:rPr>
          <w:spacing w:val="-3"/>
        </w:rPr>
      </w:pPr>
      <w:r w:rsidRPr="00C4180F">
        <w:rPr>
          <w:spacing w:val="-3"/>
        </w:rPr>
        <w:t xml:space="preserve">Den anbefalede dosis er 12,3 mg </w:t>
      </w:r>
      <w:proofErr w:type="spellStart"/>
      <w:r w:rsidRPr="00C4180F">
        <w:rPr>
          <w:spacing w:val="-3"/>
        </w:rPr>
        <w:t>tiamulin</w:t>
      </w:r>
      <w:proofErr w:type="spellEnd"/>
      <w:r w:rsidRPr="00C4180F">
        <w:rPr>
          <w:spacing w:val="-3"/>
        </w:rPr>
        <w:t xml:space="preserve"> base/kg kropsvægt daglig (svarende til ca. 15 mg </w:t>
      </w:r>
      <w:proofErr w:type="spellStart"/>
      <w:r w:rsidRPr="00C4180F">
        <w:rPr>
          <w:spacing w:val="-3"/>
        </w:rPr>
        <w:t>tiamulinhydrogenfumarat</w:t>
      </w:r>
      <w:proofErr w:type="spellEnd"/>
      <w:r w:rsidRPr="00C4180F">
        <w:rPr>
          <w:spacing w:val="-3"/>
        </w:rPr>
        <w:t>/kg kropsvægt). Dette kan gives som en dosis på 1,5 ml/20 kg kropsvægt administreret intramuskulært en gang dagligt i 3 dage.</w:t>
      </w:r>
    </w:p>
    <w:p w:rsidR="009227DF" w:rsidRPr="00C4180F" w:rsidRDefault="00B74854" w:rsidP="009227DF">
      <w:pPr>
        <w:tabs>
          <w:tab w:val="left" w:pos="851"/>
          <w:tab w:val="left" w:pos="8222"/>
        </w:tabs>
        <w:ind w:left="851"/>
      </w:pPr>
      <w:r>
        <w:t>Det maksimale volumen pr. injektionssted bør ikke overstige 10 ml.</w:t>
      </w:r>
      <w:r w:rsidR="009227DF" w:rsidRPr="00C4180F">
        <w:rPr>
          <w:spacing w:val="-3"/>
        </w:rPr>
        <w:t xml:space="preserve">  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71A53" w:rsidRDefault="009227DF" w:rsidP="009227DF">
      <w:pPr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4.10</w:t>
      </w:r>
      <w:r w:rsidRPr="00E71A53">
        <w:rPr>
          <w:b/>
        </w:rPr>
        <w:tab/>
        <w:t>Overdosering</w:t>
      </w:r>
    </w:p>
    <w:p w:rsidR="009227DF" w:rsidRDefault="009227DF" w:rsidP="009227DF">
      <w:pPr>
        <w:tabs>
          <w:tab w:val="left" w:pos="851"/>
          <w:tab w:val="left" w:pos="8222"/>
        </w:tabs>
      </w:pPr>
      <w:r>
        <w:tab/>
        <w:t>Ingen.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71A53" w:rsidRDefault="009227DF" w:rsidP="00B74854">
      <w:pPr>
        <w:keepNext/>
        <w:tabs>
          <w:tab w:val="left" w:pos="851"/>
          <w:tab w:val="left" w:pos="8222"/>
        </w:tabs>
        <w:rPr>
          <w:b/>
        </w:rPr>
      </w:pPr>
      <w:r w:rsidRPr="00E71A53">
        <w:rPr>
          <w:b/>
        </w:rPr>
        <w:t>4.11</w:t>
      </w:r>
      <w:r w:rsidRPr="00E71A53">
        <w:rPr>
          <w:b/>
        </w:rPr>
        <w:tab/>
        <w:t>Tilbageholdelsestid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tab/>
      </w:r>
      <w:r>
        <w:rPr>
          <w:spacing w:val="-3"/>
        </w:rPr>
        <w:t>Slagtning: 2</w:t>
      </w:r>
      <w:r w:rsidR="00B74854">
        <w:rPr>
          <w:spacing w:val="-3"/>
        </w:rPr>
        <w:t>2</w:t>
      </w:r>
      <w:r>
        <w:rPr>
          <w:spacing w:val="-3"/>
        </w:rPr>
        <w:t xml:space="preserve"> dage.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Default="009227DF" w:rsidP="009227DF">
      <w:pPr>
        <w:numPr>
          <w:ilvl w:val="0"/>
          <w:numId w:val="1"/>
        </w:numPr>
        <w:tabs>
          <w:tab w:val="left" w:pos="8222"/>
        </w:tabs>
        <w:rPr>
          <w:b/>
        </w:rPr>
      </w:pPr>
      <w:r>
        <w:rPr>
          <w:b/>
        </w:rPr>
        <w:t>FARMAKOLOGISKE OG IMMUNOLOGISKE OPLYSNINGER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  <w:u w:val="single"/>
        </w:rPr>
        <w:t xml:space="preserve">Terapeutisk klassifikation: </w:t>
      </w:r>
      <w:r w:rsidRPr="00BE4AAF">
        <w:rPr>
          <w:spacing w:val="-3"/>
        </w:rPr>
        <w:t>QJ01XQ01</w:t>
      </w:r>
    </w:p>
    <w:p w:rsidR="009227DF" w:rsidRDefault="009227DF" w:rsidP="009227DF">
      <w:pPr>
        <w:tabs>
          <w:tab w:val="left" w:pos="8222"/>
        </w:tabs>
        <w:ind w:left="851"/>
        <w:jc w:val="both"/>
      </w:pPr>
      <w:r>
        <w:tab/>
      </w:r>
    </w:p>
    <w:p w:rsidR="009227DF" w:rsidRPr="00EF39EF" w:rsidRDefault="009227DF" w:rsidP="009227DF">
      <w:pPr>
        <w:tabs>
          <w:tab w:val="left" w:pos="851"/>
          <w:tab w:val="left" w:pos="8222"/>
        </w:tabs>
        <w:rPr>
          <w:b/>
        </w:rPr>
      </w:pPr>
      <w:r w:rsidRPr="00EF39EF">
        <w:rPr>
          <w:b/>
        </w:rPr>
        <w:t>5.1</w:t>
      </w:r>
      <w:r w:rsidRPr="00EF39EF">
        <w:rPr>
          <w:b/>
        </w:rPr>
        <w:tab/>
      </w:r>
      <w:proofErr w:type="spellStart"/>
      <w:r w:rsidRPr="00EF39EF">
        <w:rPr>
          <w:b/>
        </w:rPr>
        <w:t>Farmakodynamiske</w:t>
      </w:r>
      <w:proofErr w:type="spellEnd"/>
      <w:r w:rsidRPr="00EF39EF">
        <w:rPr>
          <w:b/>
        </w:rPr>
        <w:t xml:space="preserve"> egenskaber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</w:r>
      <w:proofErr w:type="spellStart"/>
      <w:r>
        <w:t>Tiamulin</w:t>
      </w:r>
      <w:proofErr w:type="spellEnd"/>
      <w:r>
        <w:t xml:space="preserve"> er et semisyntetisk antibiotikum. </w:t>
      </w:r>
      <w:proofErr w:type="spellStart"/>
      <w:r>
        <w:t>Tiamulin</w:t>
      </w:r>
      <w:proofErr w:type="spellEnd"/>
      <w:r>
        <w:t xml:space="preserve"> er en </w:t>
      </w:r>
      <w:proofErr w:type="spellStart"/>
      <w:r>
        <w:t>lipofil</w:t>
      </w:r>
      <w:proofErr w:type="spellEnd"/>
      <w:r>
        <w:t xml:space="preserve">, svag base med </w:t>
      </w:r>
      <w:proofErr w:type="spellStart"/>
      <w:r>
        <w:t>pKa</w:t>
      </w:r>
      <w:proofErr w:type="spellEnd"/>
      <w:r>
        <w:t xml:space="preserve">-værdi på 7,6. </w:t>
      </w:r>
      <w:proofErr w:type="spellStart"/>
      <w:r>
        <w:t>Tiamulin</w:t>
      </w:r>
      <w:proofErr w:type="spellEnd"/>
      <w:r>
        <w:t xml:space="preserve"> hæmmer mikroorga</w:t>
      </w:r>
      <w:r>
        <w:softHyphen/>
        <w:t>nismers pro</w:t>
      </w:r>
      <w:r>
        <w:softHyphen/>
        <w:t>teinsyn</w:t>
      </w:r>
      <w:r>
        <w:softHyphen/>
        <w:t xml:space="preserve">tese gennem binding til RNA og hindrer derved </w:t>
      </w:r>
      <w:proofErr w:type="spellStart"/>
      <w:r>
        <w:t>RNA-trans</w:t>
      </w:r>
      <w:r>
        <w:softHyphen/>
        <w:t>kriptio</w:t>
      </w:r>
      <w:r>
        <w:softHyphen/>
        <w:t>n</w:t>
      </w:r>
      <w:proofErr w:type="spellEnd"/>
      <w:r>
        <w:t xml:space="preserve">. Stoffet virker generelt </w:t>
      </w:r>
      <w:proofErr w:type="spellStart"/>
      <w:r>
        <w:t>bakteriosta</w:t>
      </w:r>
      <w:r>
        <w:softHyphen/>
        <w:t>tisk</w:t>
      </w:r>
      <w:proofErr w:type="spellEnd"/>
      <w:r>
        <w:t xml:space="preserve"> og ved høje kon</w:t>
      </w:r>
      <w:r>
        <w:softHyphen/>
        <w:t>centra</w:t>
      </w:r>
      <w:r>
        <w:softHyphen/>
        <w:t xml:space="preserve">tioner </w:t>
      </w:r>
      <w:proofErr w:type="spellStart"/>
      <w:r>
        <w:t>bakterio</w:t>
      </w:r>
      <w:r>
        <w:softHyphen/>
        <w:t>cidt</w:t>
      </w:r>
      <w:proofErr w:type="spellEnd"/>
      <w:r>
        <w:t>.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</w:r>
      <w:proofErr w:type="spellStart"/>
      <w:r>
        <w:t>Tiamulin</w:t>
      </w:r>
      <w:proofErr w:type="spellEnd"/>
      <w:r>
        <w:t xml:space="preserve"> udviser høj effektivitet </w:t>
      </w:r>
      <w:r w:rsidRPr="003B0351">
        <w:rPr>
          <w:i/>
        </w:rPr>
        <w:t>in-</w:t>
      </w:r>
      <w:proofErr w:type="spellStart"/>
      <w:r w:rsidRPr="003B0351">
        <w:rPr>
          <w:i/>
        </w:rPr>
        <w:t>vitro</w:t>
      </w:r>
      <w:proofErr w:type="spellEnd"/>
      <w:r>
        <w:t xml:space="preserve"> overfor </w:t>
      </w:r>
      <w:proofErr w:type="spellStart"/>
      <w:r>
        <w:t>mycoplasma</w:t>
      </w:r>
      <w:proofErr w:type="spellEnd"/>
      <w:r>
        <w:t xml:space="preserve"> så vel som grampositive aerobe (streptokokker og stafylokokker), anaerobe (</w:t>
      </w:r>
      <w:proofErr w:type="spellStart"/>
      <w:r>
        <w:t>clostridier</w:t>
      </w:r>
      <w:proofErr w:type="spellEnd"/>
      <w:r>
        <w:t>) og gramnegative anaerobe (</w:t>
      </w:r>
      <w:proofErr w:type="spellStart"/>
      <w:r w:rsidRPr="003B0351">
        <w:rPr>
          <w:i/>
        </w:rPr>
        <w:t>Brachyspira</w:t>
      </w:r>
      <w:proofErr w:type="spellEnd"/>
      <w:r w:rsidRPr="003B0351">
        <w:rPr>
          <w:i/>
        </w:rPr>
        <w:t xml:space="preserve"> </w:t>
      </w:r>
      <w:proofErr w:type="spellStart"/>
      <w:r w:rsidRPr="003B0351">
        <w:rPr>
          <w:i/>
        </w:rPr>
        <w:t>hyodys</w:t>
      </w:r>
      <w:r>
        <w:t>enteriae</w:t>
      </w:r>
      <w:proofErr w:type="spellEnd"/>
      <w:r>
        <w:t xml:space="preserve">, </w:t>
      </w:r>
      <w:proofErr w:type="spellStart"/>
      <w:r w:rsidRPr="003B0351">
        <w:rPr>
          <w:i/>
        </w:rPr>
        <w:t>Bacterioides</w:t>
      </w:r>
      <w:proofErr w:type="spellEnd"/>
      <w:r w:rsidRPr="003B0351">
        <w:rPr>
          <w:i/>
        </w:rPr>
        <w:t xml:space="preserve"> </w:t>
      </w:r>
      <w:proofErr w:type="spellStart"/>
      <w:r w:rsidRPr="00B74854">
        <w:t>spp</w:t>
      </w:r>
      <w:proofErr w:type="spellEnd"/>
      <w:r w:rsidR="00B74854">
        <w:t>.</w:t>
      </w:r>
      <w:r>
        <w:t xml:space="preserve"> og </w:t>
      </w:r>
      <w:proofErr w:type="spellStart"/>
      <w:r w:rsidRPr="003B0351">
        <w:rPr>
          <w:i/>
        </w:rPr>
        <w:t>Fusobacterium</w:t>
      </w:r>
      <w:proofErr w:type="spellEnd"/>
      <w:r w:rsidRPr="003B0351">
        <w:rPr>
          <w:i/>
        </w:rPr>
        <w:t xml:space="preserve"> </w:t>
      </w:r>
      <w:proofErr w:type="spellStart"/>
      <w:r w:rsidRPr="00B74854">
        <w:t>spp</w:t>
      </w:r>
      <w:proofErr w:type="spellEnd"/>
      <w:r w:rsidR="00B74854">
        <w:t>.</w:t>
      </w:r>
      <w:r>
        <w:t>) og gramnegative aerobe (</w:t>
      </w:r>
      <w:proofErr w:type="spellStart"/>
      <w:r w:rsidRPr="003B0351">
        <w:rPr>
          <w:i/>
        </w:rPr>
        <w:t>Actinobacillus</w:t>
      </w:r>
      <w:proofErr w:type="spellEnd"/>
      <w:r w:rsidRPr="003B0351">
        <w:rPr>
          <w:i/>
        </w:rPr>
        <w:t xml:space="preserve"> </w:t>
      </w:r>
      <w:proofErr w:type="spellStart"/>
      <w:r w:rsidRPr="003B0351">
        <w:rPr>
          <w:i/>
        </w:rPr>
        <w:t>pleurooneumoniae</w:t>
      </w:r>
      <w:proofErr w:type="spellEnd"/>
      <w:r>
        <w:t xml:space="preserve">). </w:t>
      </w:r>
      <w:proofErr w:type="spellStart"/>
      <w:r>
        <w:t>Tiamulin</w:t>
      </w:r>
      <w:proofErr w:type="spellEnd"/>
      <w:r>
        <w:t xml:space="preserve"> har ingen effekt </w:t>
      </w:r>
      <w:r w:rsidRPr="003B0351">
        <w:rPr>
          <w:i/>
        </w:rPr>
        <w:t>in-</w:t>
      </w:r>
      <w:proofErr w:type="spellStart"/>
      <w:r w:rsidRPr="003B0351">
        <w:rPr>
          <w:i/>
        </w:rPr>
        <w:t>vitro</w:t>
      </w:r>
      <w:proofErr w:type="spellEnd"/>
      <w:r>
        <w:t xml:space="preserve"> over for </w:t>
      </w:r>
      <w:proofErr w:type="spellStart"/>
      <w:r>
        <w:t>Enterobakterier</w:t>
      </w:r>
      <w:proofErr w:type="spellEnd"/>
      <w:r>
        <w:t xml:space="preserve"> (</w:t>
      </w:r>
      <w:r w:rsidRPr="003B0351">
        <w:rPr>
          <w:i/>
        </w:rPr>
        <w:t xml:space="preserve">Salmonella </w:t>
      </w:r>
      <w:proofErr w:type="spellStart"/>
      <w:r w:rsidRPr="00B74854">
        <w:t>spp</w:t>
      </w:r>
      <w:proofErr w:type="spellEnd"/>
      <w:r w:rsidR="00B74854">
        <w:t>.</w:t>
      </w:r>
      <w:r>
        <w:t xml:space="preserve"> eller </w:t>
      </w:r>
      <w:r w:rsidRPr="003B0351">
        <w:rPr>
          <w:i/>
        </w:rPr>
        <w:t>Escherichia coli</w:t>
      </w:r>
      <w:r>
        <w:t xml:space="preserve">). På det seneste har der været et forøget antal rapporter vedrørende resistensudvikling overfor </w:t>
      </w:r>
      <w:r w:rsidRPr="003B0351">
        <w:rPr>
          <w:i/>
        </w:rPr>
        <w:t xml:space="preserve">B. </w:t>
      </w:r>
      <w:proofErr w:type="spellStart"/>
      <w:r w:rsidRPr="003B0351">
        <w:rPr>
          <w:i/>
        </w:rPr>
        <w:t>hyodysenteriae</w:t>
      </w:r>
      <w:proofErr w:type="spellEnd"/>
      <w:r>
        <w:t xml:space="preserve"> i visse EU</w:t>
      </w:r>
      <w:r w:rsidR="00B74854">
        <w:t>-</w:t>
      </w:r>
      <w:r>
        <w:t xml:space="preserve">lande, men i meget mindre omfang i Danmark (14 % af </w:t>
      </w:r>
      <w:proofErr w:type="spellStart"/>
      <w:r>
        <w:t>isolater</w:t>
      </w:r>
      <w:proofErr w:type="spellEnd"/>
      <w:r>
        <w:t xml:space="preserve">). Det anbefales dog at teste </w:t>
      </w:r>
      <w:proofErr w:type="spellStart"/>
      <w:r>
        <w:t>isolater</w:t>
      </w:r>
      <w:proofErr w:type="spellEnd"/>
      <w:r>
        <w:t xml:space="preserve"> af </w:t>
      </w:r>
      <w:r w:rsidRPr="003B0351">
        <w:rPr>
          <w:i/>
        </w:rPr>
        <w:t xml:space="preserve">B. </w:t>
      </w:r>
      <w:proofErr w:type="spellStart"/>
      <w:r w:rsidRPr="003B0351">
        <w:rPr>
          <w:i/>
        </w:rPr>
        <w:t>hyodysenteriae</w:t>
      </w:r>
      <w:proofErr w:type="spellEnd"/>
      <w:r w:rsidRPr="003B0351">
        <w:rPr>
          <w:i/>
        </w:rPr>
        <w:t xml:space="preserve"> in-</w:t>
      </w:r>
      <w:proofErr w:type="spellStart"/>
      <w:r w:rsidRPr="003B0351">
        <w:rPr>
          <w:i/>
        </w:rPr>
        <w:t>vitro</w:t>
      </w:r>
      <w:proofErr w:type="spellEnd"/>
      <w:r>
        <w:t xml:space="preserve"> for at bekræfte deres følsomhed.  </w:t>
      </w:r>
    </w:p>
    <w:p w:rsidR="009227DF" w:rsidRDefault="009227DF" w:rsidP="009227DF">
      <w:pPr>
        <w:tabs>
          <w:tab w:val="left" w:pos="851"/>
          <w:tab w:val="left" w:pos="8222"/>
        </w:tabs>
        <w:rPr>
          <w:b/>
        </w:rPr>
      </w:pPr>
    </w:p>
    <w:p w:rsidR="009227DF" w:rsidRPr="00EF39EF" w:rsidRDefault="009227DF" w:rsidP="009227DF">
      <w:pPr>
        <w:tabs>
          <w:tab w:val="left" w:pos="851"/>
          <w:tab w:val="left" w:pos="8222"/>
        </w:tabs>
        <w:rPr>
          <w:b/>
        </w:rPr>
      </w:pPr>
      <w:r w:rsidRPr="00EF39EF">
        <w:rPr>
          <w:b/>
        </w:rPr>
        <w:t>5.2</w:t>
      </w:r>
      <w:r w:rsidRPr="00EF39EF">
        <w:rPr>
          <w:b/>
        </w:rPr>
        <w:tab/>
      </w:r>
      <w:proofErr w:type="spellStart"/>
      <w:r w:rsidRPr="00EF39EF">
        <w:rPr>
          <w:b/>
        </w:rPr>
        <w:t>Farmakokinetiske</w:t>
      </w:r>
      <w:proofErr w:type="spellEnd"/>
      <w:r w:rsidRPr="00EF39EF">
        <w:rPr>
          <w:b/>
        </w:rPr>
        <w:t xml:space="preserve"> egenskaber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</w:r>
      <w:proofErr w:type="spellStart"/>
      <w:r>
        <w:t>Tiamulin</w:t>
      </w:r>
      <w:proofErr w:type="spellEnd"/>
      <w:r>
        <w:t xml:space="preserve"> absorberes hurtigt og maksimal serumkoncentra</w:t>
      </w:r>
      <w:r>
        <w:softHyphen/>
        <w:t xml:space="preserve">tion opnås efter ca. 1 time efter </w:t>
      </w:r>
      <w:proofErr w:type="spellStart"/>
      <w:r>
        <w:t>i.m</w:t>
      </w:r>
      <w:proofErr w:type="spellEnd"/>
      <w:r>
        <w:t>. administration. Proteinbindingen er ca. 50%.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</w:r>
      <w:proofErr w:type="spellStart"/>
      <w:r>
        <w:t>Tiamulin</w:t>
      </w:r>
      <w:proofErr w:type="spellEnd"/>
      <w:r>
        <w:t xml:space="preserve"> udskilles som farmakologisk inaktive metabolitter via fæces.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</w:p>
    <w:p w:rsidR="009227DF" w:rsidRPr="00EF39EF" w:rsidRDefault="009227DF" w:rsidP="009227DF">
      <w:pPr>
        <w:tabs>
          <w:tab w:val="left" w:pos="851"/>
          <w:tab w:val="left" w:pos="8222"/>
        </w:tabs>
        <w:rPr>
          <w:b/>
        </w:rPr>
      </w:pPr>
      <w:r w:rsidRPr="00EF39EF">
        <w:rPr>
          <w:b/>
        </w:rPr>
        <w:t>5.3</w:t>
      </w:r>
      <w:r w:rsidRPr="00EF39EF">
        <w:rPr>
          <w:b/>
        </w:rPr>
        <w:tab/>
      </w:r>
      <w:r>
        <w:rPr>
          <w:b/>
        </w:rPr>
        <w:t>Miljømæssige forhold</w:t>
      </w:r>
    </w:p>
    <w:p w:rsidR="009227DF" w:rsidRDefault="009227DF" w:rsidP="009227DF">
      <w:pPr>
        <w:tabs>
          <w:tab w:val="left" w:pos="851"/>
          <w:tab w:val="left" w:pos="8222"/>
        </w:tabs>
        <w:ind w:left="851" w:hanging="851"/>
      </w:pPr>
      <w:r>
        <w:tab/>
        <w:t>-</w:t>
      </w:r>
    </w:p>
    <w:p w:rsidR="009227DF" w:rsidRDefault="009227DF" w:rsidP="009227DF">
      <w:pPr>
        <w:tabs>
          <w:tab w:val="left" w:pos="851"/>
          <w:tab w:val="left" w:pos="8222"/>
        </w:tabs>
        <w:jc w:val="both"/>
      </w:pPr>
    </w:p>
    <w:p w:rsidR="009227DF" w:rsidRDefault="009227DF" w:rsidP="009227DF">
      <w:pPr>
        <w:tabs>
          <w:tab w:val="left" w:pos="851"/>
          <w:tab w:val="left" w:pos="8222"/>
        </w:tabs>
        <w:jc w:val="both"/>
      </w:pPr>
    </w:p>
    <w:p w:rsidR="009227DF" w:rsidRDefault="009227DF" w:rsidP="009227DF">
      <w:pPr>
        <w:numPr>
          <w:ilvl w:val="0"/>
          <w:numId w:val="1"/>
        </w:numPr>
        <w:tabs>
          <w:tab w:val="left" w:pos="8222"/>
        </w:tabs>
        <w:rPr>
          <w:b/>
        </w:rPr>
      </w:pPr>
      <w:r>
        <w:rPr>
          <w:b/>
        </w:rPr>
        <w:t>FARMACEUTISKE OPLYSNINGER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F39EF" w:rsidRDefault="009227DF" w:rsidP="009227DF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Hjælpestoffer</w:t>
      </w:r>
    </w:p>
    <w:p w:rsidR="009227DF" w:rsidRDefault="009227DF" w:rsidP="009227DF">
      <w:pPr>
        <w:tabs>
          <w:tab w:val="left" w:pos="851"/>
          <w:tab w:val="left" w:pos="8222"/>
        </w:tabs>
        <w:ind w:left="855"/>
      </w:pPr>
      <w:proofErr w:type="spellStart"/>
      <w:r>
        <w:t>Ethanol</w:t>
      </w:r>
      <w:proofErr w:type="spellEnd"/>
      <w:r>
        <w:t>, vandfri</w:t>
      </w:r>
    </w:p>
    <w:p w:rsidR="009227DF" w:rsidRDefault="009227DF" w:rsidP="009227DF">
      <w:pPr>
        <w:tabs>
          <w:tab w:val="left" w:pos="851"/>
          <w:tab w:val="left" w:pos="8222"/>
        </w:tabs>
        <w:ind w:left="855"/>
      </w:pPr>
      <w:r>
        <w:t>Sesamolie, renset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F39EF" w:rsidRDefault="009227DF" w:rsidP="009227DF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Uforligeligheder</w:t>
      </w:r>
    </w:p>
    <w:p w:rsidR="009227DF" w:rsidRDefault="009227DF" w:rsidP="009227DF">
      <w:pPr>
        <w:tabs>
          <w:tab w:val="left" w:pos="851"/>
          <w:tab w:val="left" w:pos="8222"/>
        </w:tabs>
        <w:ind w:left="855"/>
      </w:pPr>
      <w:r>
        <w:t>Ingen.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F39EF" w:rsidRDefault="009227DF" w:rsidP="009227DF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Opbevaringstid</w:t>
      </w:r>
    </w:p>
    <w:p w:rsidR="0043204A" w:rsidRDefault="0043204A" w:rsidP="0043204A">
      <w:pPr>
        <w:tabs>
          <w:tab w:val="left" w:pos="0"/>
          <w:tab w:val="left" w:pos="8222"/>
        </w:tabs>
        <w:ind w:left="851"/>
      </w:pPr>
      <w:r>
        <w:t xml:space="preserve">4 år. </w:t>
      </w:r>
    </w:p>
    <w:p w:rsidR="009227DF" w:rsidRDefault="0043204A" w:rsidP="0043204A">
      <w:pPr>
        <w:tabs>
          <w:tab w:val="left" w:pos="0"/>
          <w:tab w:val="left" w:pos="8222"/>
        </w:tabs>
        <w:ind w:left="851"/>
      </w:pPr>
      <w:r>
        <w:t>Efter åbning: 28 dage.</w:t>
      </w:r>
    </w:p>
    <w:p w:rsidR="0043204A" w:rsidRDefault="0043204A" w:rsidP="0043204A">
      <w:pPr>
        <w:tabs>
          <w:tab w:val="left" w:pos="0"/>
          <w:tab w:val="left" w:pos="8222"/>
        </w:tabs>
        <w:ind w:left="851"/>
      </w:pPr>
    </w:p>
    <w:p w:rsidR="009227DF" w:rsidRPr="00EF39EF" w:rsidRDefault="009227DF" w:rsidP="009227DF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Særlige opbevaringsforhold</w:t>
      </w:r>
    </w:p>
    <w:p w:rsidR="009227DF" w:rsidRDefault="0043204A" w:rsidP="009227DF">
      <w:pPr>
        <w:tabs>
          <w:tab w:val="left" w:pos="851"/>
          <w:tab w:val="left" w:pos="8222"/>
        </w:tabs>
        <w:ind w:left="855"/>
      </w:pPr>
      <w:r w:rsidRPr="0043204A">
        <w:t>Opbevares i ydre emballage før og efter åbning for at beskytte mod lys.</w:t>
      </w:r>
    </w:p>
    <w:p w:rsidR="009227DF" w:rsidRDefault="009227DF" w:rsidP="009227DF">
      <w:pPr>
        <w:tabs>
          <w:tab w:val="left" w:pos="851"/>
          <w:tab w:val="left" w:pos="8222"/>
        </w:tabs>
      </w:pPr>
    </w:p>
    <w:p w:rsidR="009227DF" w:rsidRPr="00EF39EF" w:rsidRDefault="009227DF" w:rsidP="009227DF">
      <w:pPr>
        <w:numPr>
          <w:ilvl w:val="1"/>
          <w:numId w:val="1"/>
        </w:numPr>
        <w:tabs>
          <w:tab w:val="left" w:pos="8222"/>
        </w:tabs>
        <w:rPr>
          <w:b/>
        </w:rPr>
      </w:pPr>
      <w:r w:rsidRPr="00EF39EF">
        <w:rPr>
          <w:b/>
        </w:rPr>
        <w:t>Emballage</w:t>
      </w:r>
    </w:p>
    <w:p w:rsidR="009227DF" w:rsidRDefault="0043204A" w:rsidP="009227DF">
      <w:pPr>
        <w:tabs>
          <w:tab w:val="left" w:pos="851"/>
          <w:tab w:val="left" w:pos="8222"/>
        </w:tabs>
        <w:ind w:left="855"/>
      </w:pPr>
      <w:r>
        <w:t>Hætteglas.</w:t>
      </w:r>
    </w:p>
    <w:p w:rsidR="009227DF" w:rsidRPr="00435CC6" w:rsidRDefault="009227DF" w:rsidP="009227DF">
      <w:pPr>
        <w:tabs>
          <w:tab w:val="left" w:pos="851"/>
          <w:tab w:val="left" w:pos="8222"/>
        </w:tabs>
        <w:ind w:left="855"/>
      </w:pPr>
    </w:p>
    <w:p w:rsidR="009227DF" w:rsidRPr="0058605D" w:rsidRDefault="009227DF" w:rsidP="009227DF">
      <w:pPr>
        <w:tabs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t>6.6</w:t>
      </w:r>
      <w:r w:rsidRPr="0058605D">
        <w:rPr>
          <w:b/>
        </w:rPr>
        <w:tab/>
        <w:t>Særlige forholdsregler ved bortskaffelse af rester af lægemidlet eller affald</w:t>
      </w:r>
    </w:p>
    <w:p w:rsidR="009227DF" w:rsidRPr="0043204A" w:rsidRDefault="009227DF" w:rsidP="00D502D5">
      <w:pPr>
        <w:tabs>
          <w:tab w:val="left" w:pos="2850"/>
          <w:tab w:val="left" w:pos="4569"/>
          <w:tab w:val="left" w:pos="5040"/>
        </w:tabs>
        <w:suppressAutoHyphens/>
        <w:ind w:left="851" w:hanging="851"/>
      </w:pPr>
      <w:r>
        <w:tab/>
        <w:t>Ikke anvendte veterinærlægemidler samt affald heraf bør destrueres i henhold til lokale retningslin</w:t>
      </w:r>
      <w:r w:rsidR="00D502D5">
        <w:t>j</w:t>
      </w:r>
      <w:r>
        <w:t>er.</w:t>
      </w: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b/>
        </w:rPr>
      </w:pPr>
    </w:p>
    <w:p w:rsidR="009227DF" w:rsidRDefault="009227DF" w:rsidP="009227DF">
      <w:pPr>
        <w:tabs>
          <w:tab w:val="left" w:pos="2850"/>
          <w:tab w:val="left" w:pos="4569"/>
          <w:tab w:val="left" w:pos="5040"/>
        </w:tabs>
        <w:suppressAutoHyphens/>
        <w:ind w:left="851" w:hanging="851"/>
        <w:jc w:val="both"/>
        <w:rPr>
          <w:b/>
        </w:rPr>
      </w:pPr>
    </w:p>
    <w:p w:rsidR="009227DF" w:rsidRPr="0058605D" w:rsidRDefault="009227DF" w:rsidP="009227DF">
      <w:pPr>
        <w:tabs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lastRenderedPageBreak/>
        <w:t>7.</w:t>
      </w:r>
      <w:r w:rsidRPr="0058605D">
        <w:rPr>
          <w:b/>
        </w:rPr>
        <w:tab/>
        <w:t>INDEHAVER AF MARKEDSFØRINGSTILLADELSEN</w:t>
      </w:r>
    </w:p>
    <w:p w:rsidR="009227DF" w:rsidRDefault="009227DF" w:rsidP="0043204A">
      <w:pPr>
        <w:tabs>
          <w:tab w:val="left" w:pos="2851"/>
          <w:tab w:val="left" w:pos="4569"/>
        </w:tabs>
        <w:ind w:left="851" w:hanging="851"/>
        <w:jc w:val="both"/>
      </w:pPr>
      <w:r>
        <w:tab/>
      </w:r>
      <w:proofErr w:type="spellStart"/>
      <w:r w:rsidR="0043204A" w:rsidRPr="0043204A">
        <w:t>PharmaMénta</w:t>
      </w:r>
      <w:proofErr w:type="spellEnd"/>
      <w:r w:rsidR="0043204A" w:rsidRPr="0043204A">
        <w:t xml:space="preserve"> ApS</w:t>
      </w:r>
    </w:p>
    <w:p w:rsidR="0043204A" w:rsidRPr="006C5649" w:rsidRDefault="0043204A" w:rsidP="0043204A">
      <w:pPr>
        <w:tabs>
          <w:tab w:val="left" w:pos="2851"/>
          <w:tab w:val="left" w:pos="4569"/>
        </w:tabs>
        <w:ind w:left="851" w:hanging="851"/>
        <w:jc w:val="both"/>
        <w:rPr>
          <w:spacing w:val="-3"/>
        </w:rPr>
      </w:pPr>
      <w:r w:rsidRPr="006C5649">
        <w:rPr>
          <w:spacing w:val="-3"/>
        </w:rPr>
        <w:tab/>
        <w:t>Håndværkervej 32</w:t>
      </w:r>
    </w:p>
    <w:p w:rsidR="0043204A" w:rsidRPr="002F7E54" w:rsidRDefault="0043204A" w:rsidP="0043204A">
      <w:pPr>
        <w:tabs>
          <w:tab w:val="left" w:pos="2851"/>
          <w:tab w:val="left" w:pos="4569"/>
        </w:tabs>
        <w:ind w:left="851" w:hanging="851"/>
        <w:jc w:val="both"/>
        <w:rPr>
          <w:spacing w:val="-3"/>
          <w:lang w:val="en-US"/>
        </w:rPr>
      </w:pPr>
      <w:r w:rsidRPr="006C5649">
        <w:rPr>
          <w:spacing w:val="-3"/>
        </w:rPr>
        <w:tab/>
      </w:r>
      <w:r>
        <w:rPr>
          <w:spacing w:val="-3"/>
          <w:lang w:val="en-US"/>
        </w:rPr>
        <w:t>6710 Esbjerg V</w:t>
      </w:r>
    </w:p>
    <w:p w:rsidR="009227DF" w:rsidRPr="002F7E54" w:rsidRDefault="009227DF" w:rsidP="009227DF">
      <w:pPr>
        <w:tabs>
          <w:tab w:val="left" w:pos="2851"/>
          <w:tab w:val="left" w:pos="4569"/>
        </w:tabs>
        <w:ind w:left="851" w:hanging="851"/>
        <w:jc w:val="both"/>
        <w:rPr>
          <w:spacing w:val="-3"/>
          <w:lang w:val="en-US"/>
        </w:rPr>
      </w:pPr>
    </w:p>
    <w:p w:rsidR="009227DF" w:rsidRPr="0058605D" w:rsidRDefault="009227DF" w:rsidP="009227DF">
      <w:pPr>
        <w:numPr>
          <w:ilvl w:val="0"/>
          <w:numId w:val="3"/>
        </w:numPr>
        <w:tabs>
          <w:tab w:val="clear" w:pos="360"/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t>MARKEDSFØRINGSTILLADELSESNUMMER</w:t>
      </w:r>
    </w:p>
    <w:p w:rsidR="009227DF" w:rsidRDefault="009227DF" w:rsidP="009227DF">
      <w:pPr>
        <w:tabs>
          <w:tab w:val="left" w:pos="3918"/>
          <w:tab w:val="left" w:pos="4524"/>
          <w:tab w:val="left" w:pos="6339"/>
          <w:tab w:val="left" w:pos="6480"/>
        </w:tabs>
        <w:suppressAutoHyphens/>
        <w:ind w:left="851" w:hanging="851"/>
        <w:jc w:val="both"/>
        <w:rPr>
          <w:spacing w:val="-3"/>
        </w:rPr>
      </w:pPr>
      <w:r>
        <w:tab/>
      </w:r>
      <w:r w:rsidR="0043204A" w:rsidRPr="0043204A">
        <w:rPr>
          <w:spacing w:val="-3"/>
        </w:rPr>
        <w:t>63721</w:t>
      </w:r>
    </w:p>
    <w:p w:rsidR="009227DF" w:rsidRDefault="009227DF" w:rsidP="009227DF">
      <w:pPr>
        <w:tabs>
          <w:tab w:val="left" w:pos="851"/>
          <w:tab w:val="left" w:pos="8222"/>
        </w:tabs>
        <w:ind w:left="851" w:hanging="851"/>
      </w:pPr>
    </w:p>
    <w:p w:rsidR="009227DF" w:rsidRPr="0058605D" w:rsidRDefault="009227DF" w:rsidP="009227DF">
      <w:pPr>
        <w:tabs>
          <w:tab w:val="left" w:pos="851"/>
          <w:tab w:val="left" w:pos="8222"/>
        </w:tabs>
        <w:rPr>
          <w:b/>
        </w:rPr>
      </w:pPr>
      <w:r w:rsidRPr="0058605D">
        <w:rPr>
          <w:b/>
        </w:rPr>
        <w:t>9.</w:t>
      </w:r>
      <w:r w:rsidRPr="0058605D">
        <w:rPr>
          <w:b/>
        </w:rPr>
        <w:tab/>
        <w:t>DATO FOR FØRSTE MARKEDSFØRINGSTILLADELSE</w:t>
      </w:r>
    </w:p>
    <w:p w:rsidR="009227DF" w:rsidRDefault="009227DF" w:rsidP="009227DF">
      <w:pPr>
        <w:tabs>
          <w:tab w:val="left" w:pos="851"/>
          <w:tab w:val="left" w:pos="8222"/>
        </w:tabs>
        <w:ind w:left="851" w:hanging="851"/>
      </w:pPr>
      <w:r>
        <w:tab/>
      </w:r>
      <w:r w:rsidR="0043204A">
        <w:t>1</w:t>
      </w:r>
      <w:r w:rsidR="006C5649">
        <w:t>8</w:t>
      </w:r>
      <w:r w:rsidR="0043204A">
        <w:t>. marts 2020</w:t>
      </w:r>
    </w:p>
    <w:p w:rsidR="009227DF" w:rsidRDefault="009227DF" w:rsidP="009227DF">
      <w:pPr>
        <w:tabs>
          <w:tab w:val="left" w:pos="851"/>
          <w:tab w:val="left" w:pos="8222"/>
        </w:tabs>
        <w:ind w:left="851" w:hanging="851"/>
      </w:pPr>
    </w:p>
    <w:p w:rsidR="009227DF" w:rsidRPr="0058605D" w:rsidRDefault="009227DF" w:rsidP="009227DF">
      <w:pPr>
        <w:tabs>
          <w:tab w:val="left" w:pos="851"/>
          <w:tab w:val="left" w:pos="8222"/>
        </w:tabs>
        <w:ind w:left="851" w:hanging="851"/>
        <w:rPr>
          <w:b/>
        </w:rPr>
      </w:pPr>
      <w:r w:rsidRPr="0058605D">
        <w:rPr>
          <w:b/>
        </w:rPr>
        <w:t>10.</w:t>
      </w:r>
      <w:r w:rsidRPr="0058605D">
        <w:rPr>
          <w:b/>
        </w:rPr>
        <w:tab/>
        <w:t>DATO FOR ÆNDRING AF TEKSTEN</w:t>
      </w:r>
    </w:p>
    <w:p w:rsidR="009227DF" w:rsidRDefault="00B74854" w:rsidP="009227DF">
      <w:pPr>
        <w:ind w:left="851"/>
      </w:pPr>
      <w:r w:rsidRPr="00B74854">
        <w:t>1. december 2022</w:t>
      </w:r>
    </w:p>
    <w:p w:rsidR="009227DF" w:rsidRDefault="009227DF" w:rsidP="009227DF">
      <w:pPr>
        <w:tabs>
          <w:tab w:val="left" w:pos="851"/>
          <w:tab w:val="left" w:pos="8222"/>
        </w:tabs>
        <w:ind w:left="851" w:hanging="851"/>
      </w:pPr>
    </w:p>
    <w:p w:rsidR="009227DF" w:rsidRPr="0058605D" w:rsidRDefault="009227DF" w:rsidP="009227DF">
      <w:pPr>
        <w:tabs>
          <w:tab w:val="left" w:pos="851"/>
          <w:tab w:val="left" w:pos="8222"/>
        </w:tabs>
        <w:rPr>
          <w:b/>
        </w:rPr>
      </w:pPr>
      <w:r w:rsidRPr="0058605D">
        <w:rPr>
          <w:b/>
        </w:rPr>
        <w:t>11</w:t>
      </w:r>
      <w:r>
        <w:rPr>
          <w:b/>
        </w:rPr>
        <w:t>.</w:t>
      </w:r>
      <w:r w:rsidRPr="0058605D">
        <w:rPr>
          <w:b/>
        </w:rPr>
        <w:tab/>
        <w:t>UDLEVERINGSBESTEMMELSE</w:t>
      </w:r>
    </w:p>
    <w:p w:rsidR="009227DF" w:rsidRDefault="009227DF" w:rsidP="009227DF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  <w:r>
        <w:tab/>
        <w:t>BP</w:t>
      </w:r>
    </w:p>
    <w:p w:rsidR="009227DF" w:rsidRDefault="009227DF" w:rsidP="009227DF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</w:pPr>
    </w:p>
    <w:p w:rsidR="009227DF" w:rsidRPr="00960B4A" w:rsidRDefault="009227DF" w:rsidP="009227DF"/>
    <w:p w:rsidR="0003527F" w:rsidRPr="009227DF" w:rsidRDefault="0003527F" w:rsidP="009227DF"/>
    <w:sectPr w:rsidR="0003527F" w:rsidRPr="009227DF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7DF" w:rsidRDefault="009227DF">
      <w:r>
        <w:separator/>
      </w:r>
    </w:p>
  </w:endnote>
  <w:endnote w:type="continuationSeparator" w:id="0">
    <w:p w:rsidR="009227DF" w:rsidRDefault="0092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C5649">
      <w:rPr>
        <w:i/>
        <w:noProof/>
        <w:snapToGrid w:val="0"/>
        <w:sz w:val="18"/>
      </w:rPr>
      <w:t>Denagard (PharmaMenta)., injektionsvæske, opløsning 200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C5649">
      <w:rPr>
        <w:i/>
        <w:noProof/>
        <w:snapToGrid w:val="0"/>
        <w:sz w:val="18"/>
      </w:rPr>
      <w:t>Denagard (PharmaMenta)., injektionsvæske, opløsning 200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7DF" w:rsidRDefault="009227DF">
      <w:r>
        <w:separator/>
      </w:r>
    </w:p>
  </w:footnote>
  <w:footnote w:type="continuationSeparator" w:id="0">
    <w:p w:rsidR="009227DF" w:rsidRDefault="00922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DF"/>
    <w:rsid w:val="0003527F"/>
    <w:rsid w:val="00065C7D"/>
    <w:rsid w:val="000C6CD4"/>
    <w:rsid w:val="000F3982"/>
    <w:rsid w:val="001577E4"/>
    <w:rsid w:val="001858CA"/>
    <w:rsid w:val="001C4AEF"/>
    <w:rsid w:val="001D3CC5"/>
    <w:rsid w:val="00322BDE"/>
    <w:rsid w:val="00406EE7"/>
    <w:rsid w:val="00407013"/>
    <w:rsid w:val="0043204A"/>
    <w:rsid w:val="004A62CC"/>
    <w:rsid w:val="005003BC"/>
    <w:rsid w:val="00533870"/>
    <w:rsid w:val="00565A74"/>
    <w:rsid w:val="005B0036"/>
    <w:rsid w:val="005F5831"/>
    <w:rsid w:val="006331C7"/>
    <w:rsid w:val="0064707E"/>
    <w:rsid w:val="00662012"/>
    <w:rsid w:val="00666B01"/>
    <w:rsid w:val="006B1539"/>
    <w:rsid w:val="006C5649"/>
    <w:rsid w:val="006D4B41"/>
    <w:rsid w:val="006F5621"/>
    <w:rsid w:val="007A6228"/>
    <w:rsid w:val="007E2A00"/>
    <w:rsid w:val="008010F2"/>
    <w:rsid w:val="009202AE"/>
    <w:rsid w:val="009227DF"/>
    <w:rsid w:val="00932676"/>
    <w:rsid w:val="009D66C6"/>
    <w:rsid w:val="00A96525"/>
    <w:rsid w:val="00AE29E5"/>
    <w:rsid w:val="00AE5757"/>
    <w:rsid w:val="00B25EB8"/>
    <w:rsid w:val="00B74854"/>
    <w:rsid w:val="00BC634B"/>
    <w:rsid w:val="00BF2AE0"/>
    <w:rsid w:val="00C479BF"/>
    <w:rsid w:val="00D502D5"/>
    <w:rsid w:val="00D567AA"/>
    <w:rsid w:val="00D76606"/>
    <w:rsid w:val="00DD6D71"/>
    <w:rsid w:val="00DF32BE"/>
    <w:rsid w:val="00E14F0A"/>
    <w:rsid w:val="00E5512E"/>
    <w:rsid w:val="00E778F2"/>
    <w:rsid w:val="00EB5778"/>
    <w:rsid w:val="00EC15DA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84E5F3"/>
  <w15:chartTrackingRefBased/>
  <w15:docId w15:val="{083EDB91-00F1-4EDA-B81F-52BFDD3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uiPriority w:val="99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Titel">
    <w:name w:val="Title"/>
    <w:basedOn w:val="Normal"/>
    <w:link w:val="TitelTegn"/>
    <w:qFormat/>
    <w:rsid w:val="009227DF"/>
    <w:pPr>
      <w:jc w:val="center"/>
    </w:pPr>
    <w:rPr>
      <w:b/>
      <w:sz w:val="24"/>
      <w:lang w:eastAsia="da-DK"/>
    </w:rPr>
  </w:style>
  <w:style w:type="character" w:customStyle="1" w:styleId="TitelTegn">
    <w:name w:val="Titel Tegn"/>
    <w:basedOn w:val="Standardskrifttypeiafsnit"/>
    <w:link w:val="Titel"/>
    <w:rsid w:val="009227DF"/>
    <w:rPr>
      <w:b/>
      <w:sz w:val="24"/>
    </w:rPr>
  </w:style>
  <w:style w:type="paragraph" w:styleId="Listeafsnit">
    <w:name w:val="List Paragraph"/>
    <w:basedOn w:val="Normal"/>
    <w:uiPriority w:val="34"/>
    <w:qFormat/>
    <w:rsid w:val="00B74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5</TotalTime>
  <Pages>4</Pages>
  <Words>746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2022120281_x000d_
PI-SPC pkt. 4.5, 4.9, 4.11, 5.1</dc:description>
  <cp:lastModifiedBy>Betty Winther Andersen</cp:lastModifiedBy>
  <cp:revision>5</cp:revision>
  <cp:lastPrinted>2020-03-18T11:55:00Z</cp:lastPrinted>
  <dcterms:created xsi:type="dcterms:W3CDTF">2022-12-02T10:07:00Z</dcterms:created>
  <dcterms:modified xsi:type="dcterms:W3CDTF">2022-12-02T10:11:00Z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</Properties>
</file>