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F59" w:rsidRPr="008F49E1" w:rsidRDefault="002D0F59" w:rsidP="002D0F59">
      <w:pPr>
        <w:rPr>
          <w:sz w:val="24"/>
          <w:szCs w:val="24"/>
        </w:rPr>
      </w:pPr>
      <w:r w:rsidRPr="005B0036">
        <w:rPr>
          <w:noProof/>
          <w:sz w:val="24"/>
          <w:szCs w:val="24"/>
          <w:lang w:eastAsia="da-DK"/>
        </w:rPr>
        <w:drawing>
          <wp:inline distT="0" distB="0" distL="0" distR="0" wp14:anchorId="4F66400E" wp14:editId="20B4436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D0F59" w:rsidRPr="00406EE7" w:rsidRDefault="002D0F59" w:rsidP="002D0F59">
      <w:pPr>
        <w:tabs>
          <w:tab w:val="right" w:pos="9356"/>
        </w:tabs>
        <w:rPr>
          <w:b/>
          <w:sz w:val="24"/>
          <w:szCs w:val="24"/>
        </w:rPr>
      </w:pPr>
      <w:r>
        <w:rPr>
          <w:b/>
          <w:sz w:val="24"/>
          <w:szCs w:val="24"/>
        </w:rPr>
        <w:tab/>
      </w:r>
      <w:r w:rsidR="0025301B">
        <w:rPr>
          <w:b/>
          <w:sz w:val="24"/>
          <w:szCs w:val="24"/>
        </w:rPr>
        <w:t>31. oktober 2024</w:t>
      </w:r>
    </w:p>
    <w:p w:rsidR="002D0F59" w:rsidRDefault="002D0F59" w:rsidP="002D0F59">
      <w:pPr>
        <w:rPr>
          <w:sz w:val="24"/>
          <w:szCs w:val="24"/>
        </w:rPr>
      </w:pPr>
    </w:p>
    <w:p w:rsidR="002D0F59" w:rsidRPr="00406EE7" w:rsidRDefault="002D0F59" w:rsidP="002D0F59">
      <w:pPr>
        <w:rPr>
          <w:sz w:val="24"/>
          <w:szCs w:val="24"/>
        </w:rPr>
      </w:pPr>
    </w:p>
    <w:p w:rsidR="002D0F59" w:rsidRPr="00406EE7" w:rsidRDefault="002D0F59" w:rsidP="002D0F59">
      <w:pPr>
        <w:tabs>
          <w:tab w:val="left" w:pos="8222"/>
        </w:tabs>
        <w:jc w:val="center"/>
        <w:rPr>
          <w:b/>
          <w:sz w:val="24"/>
          <w:szCs w:val="24"/>
        </w:rPr>
      </w:pPr>
      <w:r w:rsidRPr="00406EE7">
        <w:rPr>
          <w:b/>
          <w:sz w:val="24"/>
          <w:szCs w:val="24"/>
        </w:rPr>
        <w:t>PRODUKTRESUMÉ</w:t>
      </w:r>
    </w:p>
    <w:p w:rsidR="002D0F59" w:rsidRPr="00406EE7" w:rsidRDefault="002D0F59" w:rsidP="002D0F59">
      <w:pPr>
        <w:tabs>
          <w:tab w:val="left" w:pos="8222"/>
        </w:tabs>
        <w:jc w:val="center"/>
        <w:rPr>
          <w:b/>
          <w:sz w:val="24"/>
          <w:szCs w:val="24"/>
        </w:rPr>
      </w:pPr>
    </w:p>
    <w:p w:rsidR="002D0F59" w:rsidRPr="00406EE7" w:rsidRDefault="002D0F59" w:rsidP="002D0F59">
      <w:pPr>
        <w:tabs>
          <w:tab w:val="left" w:pos="8222"/>
        </w:tabs>
        <w:jc w:val="center"/>
        <w:rPr>
          <w:b/>
          <w:sz w:val="24"/>
          <w:szCs w:val="24"/>
        </w:rPr>
      </w:pPr>
      <w:r w:rsidRPr="00406EE7">
        <w:rPr>
          <w:b/>
          <w:sz w:val="24"/>
          <w:szCs w:val="24"/>
        </w:rPr>
        <w:t>for</w:t>
      </w:r>
    </w:p>
    <w:p w:rsidR="002D0F59" w:rsidRPr="00406EE7" w:rsidRDefault="002D0F59" w:rsidP="002D0F59">
      <w:pPr>
        <w:tabs>
          <w:tab w:val="left" w:pos="8222"/>
        </w:tabs>
        <w:jc w:val="center"/>
        <w:rPr>
          <w:b/>
          <w:sz w:val="24"/>
          <w:szCs w:val="24"/>
        </w:rPr>
      </w:pPr>
    </w:p>
    <w:p w:rsidR="002D0F59" w:rsidRPr="00565A74" w:rsidRDefault="002D0F59" w:rsidP="002D0F59">
      <w:pPr>
        <w:tabs>
          <w:tab w:val="left" w:pos="8222"/>
        </w:tabs>
        <w:jc w:val="center"/>
        <w:rPr>
          <w:b/>
          <w:sz w:val="24"/>
          <w:szCs w:val="24"/>
        </w:rPr>
      </w:pPr>
      <w:proofErr w:type="spellStart"/>
      <w:r>
        <w:rPr>
          <w:b/>
          <w:sz w:val="24"/>
          <w:szCs w:val="24"/>
        </w:rPr>
        <w:t>Dermanolon</w:t>
      </w:r>
      <w:proofErr w:type="spellEnd"/>
      <w:r>
        <w:rPr>
          <w:b/>
          <w:sz w:val="24"/>
          <w:szCs w:val="24"/>
        </w:rPr>
        <w:t xml:space="preserve"> </w:t>
      </w:r>
      <w:proofErr w:type="spellStart"/>
      <w:r>
        <w:rPr>
          <w:b/>
          <w:sz w:val="24"/>
          <w:szCs w:val="24"/>
        </w:rPr>
        <w:t>Vet</w:t>
      </w:r>
      <w:proofErr w:type="spellEnd"/>
      <w:r>
        <w:rPr>
          <w:b/>
          <w:sz w:val="24"/>
          <w:szCs w:val="24"/>
        </w:rPr>
        <w:t xml:space="preserve">., </w:t>
      </w:r>
      <w:proofErr w:type="spellStart"/>
      <w:r>
        <w:rPr>
          <w:b/>
          <w:sz w:val="24"/>
          <w:szCs w:val="24"/>
        </w:rPr>
        <w:t>kutanspray</w:t>
      </w:r>
      <w:proofErr w:type="spellEnd"/>
      <w:r>
        <w:rPr>
          <w:b/>
          <w:sz w:val="24"/>
          <w:szCs w:val="24"/>
        </w:rPr>
        <w:t>, opløsning</w:t>
      </w:r>
    </w:p>
    <w:p w:rsidR="002D0F59" w:rsidRPr="00406EE7" w:rsidRDefault="002D0F59" w:rsidP="002D0F59">
      <w:pPr>
        <w:tabs>
          <w:tab w:val="left" w:pos="8222"/>
        </w:tabs>
        <w:jc w:val="both"/>
        <w:rPr>
          <w:sz w:val="24"/>
          <w:szCs w:val="24"/>
        </w:rPr>
      </w:pPr>
    </w:p>
    <w:p w:rsidR="002D0F59" w:rsidRPr="0092763E" w:rsidRDefault="002D0F59" w:rsidP="002D0F59">
      <w:pPr>
        <w:ind w:left="851" w:hanging="851"/>
        <w:rPr>
          <w:sz w:val="24"/>
          <w:szCs w:val="24"/>
        </w:rPr>
      </w:pPr>
    </w:p>
    <w:p w:rsidR="002D0F59" w:rsidRPr="0092763E" w:rsidRDefault="002D0F59" w:rsidP="002D0F59">
      <w:pPr>
        <w:ind w:left="851" w:hanging="851"/>
        <w:rPr>
          <w:b/>
          <w:sz w:val="24"/>
          <w:szCs w:val="24"/>
        </w:rPr>
      </w:pPr>
      <w:r w:rsidRPr="0092763E">
        <w:rPr>
          <w:b/>
          <w:sz w:val="24"/>
          <w:szCs w:val="24"/>
        </w:rPr>
        <w:t>0.</w:t>
      </w:r>
      <w:r w:rsidRPr="0092763E">
        <w:rPr>
          <w:b/>
          <w:sz w:val="24"/>
          <w:szCs w:val="24"/>
        </w:rPr>
        <w:tab/>
        <w:t>D.SP.NR.</w:t>
      </w:r>
    </w:p>
    <w:p w:rsidR="002D0F59" w:rsidRPr="0092763E" w:rsidRDefault="002D0F59" w:rsidP="002D0F59">
      <w:pPr>
        <w:ind w:left="851" w:hanging="851"/>
        <w:rPr>
          <w:sz w:val="24"/>
          <w:szCs w:val="24"/>
        </w:rPr>
      </w:pPr>
      <w:r>
        <w:rPr>
          <w:sz w:val="24"/>
          <w:szCs w:val="24"/>
        </w:rPr>
        <w:tab/>
      </w:r>
      <w:r w:rsidRPr="0092763E">
        <w:rPr>
          <w:sz w:val="24"/>
          <w:szCs w:val="24"/>
        </w:rPr>
        <w:t>30078</w:t>
      </w:r>
    </w:p>
    <w:p w:rsidR="002D0F59" w:rsidRPr="0092763E" w:rsidRDefault="002D0F59" w:rsidP="002D0F59">
      <w:pPr>
        <w:ind w:left="851" w:hanging="851"/>
        <w:rPr>
          <w:sz w:val="24"/>
          <w:szCs w:val="24"/>
        </w:rPr>
      </w:pPr>
    </w:p>
    <w:p w:rsidR="002D0F59" w:rsidRPr="0092763E" w:rsidRDefault="002D0F59" w:rsidP="002D0F59">
      <w:pPr>
        <w:ind w:left="851" w:hanging="851"/>
        <w:rPr>
          <w:b/>
          <w:sz w:val="24"/>
          <w:szCs w:val="24"/>
        </w:rPr>
      </w:pPr>
      <w:r w:rsidRPr="0092763E">
        <w:rPr>
          <w:b/>
          <w:sz w:val="24"/>
          <w:szCs w:val="24"/>
        </w:rPr>
        <w:t>1.</w:t>
      </w:r>
      <w:r w:rsidRPr="0092763E">
        <w:rPr>
          <w:b/>
          <w:sz w:val="24"/>
          <w:szCs w:val="24"/>
        </w:rPr>
        <w:tab/>
        <w:t>VETERINÆRLÆGEMIDLETS NAVN</w:t>
      </w:r>
    </w:p>
    <w:p w:rsidR="008A6372" w:rsidRDefault="008A6372" w:rsidP="008A6372">
      <w:pPr>
        <w:ind w:left="851"/>
        <w:rPr>
          <w:szCs w:val="22"/>
        </w:rPr>
      </w:pPr>
      <w:proofErr w:type="spellStart"/>
      <w:r w:rsidRPr="006B62C6">
        <w:rPr>
          <w:szCs w:val="22"/>
        </w:rPr>
        <w:t>Dermanolon</w:t>
      </w:r>
      <w:proofErr w:type="spellEnd"/>
      <w:r w:rsidRPr="006B62C6">
        <w:rPr>
          <w:szCs w:val="22"/>
        </w:rPr>
        <w:t xml:space="preserve"> </w:t>
      </w:r>
      <w:proofErr w:type="spellStart"/>
      <w:r>
        <w:rPr>
          <w:szCs w:val="22"/>
        </w:rPr>
        <w:t>v</w:t>
      </w:r>
      <w:r w:rsidRPr="006B62C6">
        <w:rPr>
          <w:szCs w:val="22"/>
        </w:rPr>
        <w:t>et</w:t>
      </w:r>
      <w:proofErr w:type="spellEnd"/>
      <w:r w:rsidRPr="006B62C6">
        <w:rPr>
          <w:szCs w:val="22"/>
        </w:rPr>
        <w:t>.</w:t>
      </w:r>
    </w:p>
    <w:p w:rsidR="008A6372" w:rsidRPr="006B62C6" w:rsidRDefault="008A6372" w:rsidP="008A6372">
      <w:pPr>
        <w:ind w:left="851"/>
        <w:rPr>
          <w:szCs w:val="22"/>
        </w:rPr>
      </w:pPr>
      <w:r>
        <w:rPr>
          <w:szCs w:val="22"/>
        </w:rPr>
        <w:t xml:space="preserve">Lægemiddelform: </w:t>
      </w:r>
      <w:proofErr w:type="spellStart"/>
      <w:r w:rsidRPr="000B7D9E">
        <w:rPr>
          <w:szCs w:val="22"/>
        </w:rPr>
        <w:t>kutanspray</w:t>
      </w:r>
      <w:proofErr w:type="spellEnd"/>
      <w:r w:rsidRPr="000B7D9E">
        <w:rPr>
          <w:szCs w:val="22"/>
        </w:rPr>
        <w:t>, opløsning</w:t>
      </w:r>
    </w:p>
    <w:p w:rsidR="008A6372" w:rsidRDefault="008A6372" w:rsidP="008A6372">
      <w:pPr>
        <w:ind w:left="851"/>
        <w:rPr>
          <w:szCs w:val="22"/>
        </w:rPr>
      </w:pPr>
      <w:r>
        <w:rPr>
          <w:szCs w:val="22"/>
        </w:rPr>
        <w:t>Styrke: 1,77 mg/ml + 17,7 mg/ml</w:t>
      </w:r>
    </w:p>
    <w:p w:rsidR="008A6372" w:rsidRDefault="008A6372" w:rsidP="008A6372">
      <w:pPr>
        <w:ind w:left="851"/>
        <w:rPr>
          <w:szCs w:val="22"/>
        </w:rPr>
      </w:pPr>
    </w:p>
    <w:p w:rsidR="008A6372" w:rsidRPr="006B62C6" w:rsidRDefault="008A6372" w:rsidP="008A6372">
      <w:pPr>
        <w:rPr>
          <w:szCs w:val="22"/>
        </w:rPr>
      </w:pPr>
    </w:p>
    <w:p w:rsidR="008A6372" w:rsidRPr="006B62C6" w:rsidRDefault="008A6372" w:rsidP="008A6372">
      <w:pPr>
        <w:pStyle w:val="Style1"/>
        <w:ind w:left="851" w:hanging="851"/>
      </w:pPr>
      <w:r w:rsidRPr="006B62C6">
        <w:t>2.</w:t>
      </w:r>
      <w:r w:rsidRPr="006B62C6">
        <w:tab/>
        <w:t>KVALITATIV OG KVANTITATIV SAMMENSÆTNING</w:t>
      </w:r>
    </w:p>
    <w:p w:rsidR="008A6372" w:rsidRPr="006B62C6" w:rsidRDefault="008A6372" w:rsidP="008A6372">
      <w:pPr>
        <w:rPr>
          <w:szCs w:val="22"/>
        </w:rPr>
      </w:pPr>
    </w:p>
    <w:p w:rsidR="008A6372" w:rsidRPr="006B62C6" w:rsidRDefault="008A6372" w:rsidP="008A6372">
      <w:pPr>
        <w:ind w:firstLine="851"/>
        <w:rPr>
          <w:szCs w:val="22"/>
        </w:rPr>
      </w:pPr>
      <w:r w:rsidRPr="006B62C6">
        <w:rPr>
          <w:szCs w:val="22"/>
        </w:rPr>
        <w:t>Hver ml indeholder:</w:t>
      </w:r>
    </w:p>
    <w:p w:rsidR="008A6372" w:rsidRPr="006B62C6" w:rsidRDefault="008A6372" w:rsidP="008A6372">
      <w:pPr>
        <w:ind w:firstLine="851"/>
        <w:rPr>
          <w:szCs w:val="22"/>
        </w:rPr>
      </w:pPr>
    </w:p>
    <w:p w:rsidR="008A6372" w:rsidRPr="006B62C6" w:rsidRDefault="008A6372" w:rsidP="008A6372">
      <w:pPr>
        <w:ind w:firstLine="851"/>
        <w:rPr>
          <w:b/>
          <w:szCs w:val="22"/>
        </w:rPr>
      </w:pPr>
      <w:r w:rsidRPr="006B62C6">
        <w:rPr>
          <w:b/>
          <w:szCs w:val="22"/>
        </w:rPr>
        <w:t>Aktive stoffer:</w:t>
      </w:r>
    </w:p>
    <w:p w:rsidR="008A6372" w:rsidRPr="006B62C6" w:rsidRDefault="008A6372" w:rsidP="008A6372">
      <w:pPr>
        <w:ind w:firstLine="851"/>
        <w:rPr>
          <w:szCs w:val="22"/>
        </w:rPr>
      </w:pPr>
      <w:proofErr w:type="spellStart"/>
      <w:r w:rsidRPr="006B62C6">
        <w:rPr>
          <w:szCs w:val="22"/>
        </w:rPr>
        <w:t>Triamcinolonacetonid</w:t>
      </w:r>
      <w:proofErr w:type="spellEnd"/>
      <w:r w:rsidRPr="006B62C6">
        <w:rPr>
          <w:szCs w:val="22"/>
        </w:rPr>
        <w:tab/>
        <w:t>1,77 mg</w:t>
      </w:r>
    </w:p>
    <w:p w:rsidR="008A6372" w:rsidRPr="006B62C6" w:rsidRDefault="008A6372" w:rsidP="008A6372">
      <w:pPr>
        <w:ind w:firstLine="851"/>
        <w:rPr>
          <w:iCs/>
          <w:szCs w:val="22"/>
        </w:rPr>
      </w:pPr>
      <w:r w:rsidRPr="006B62C6">
        <w:rPr>
          <w:szCs w:val="22"/>
        </w:rPr>
        <w:t>Salicylsyre</w:t>
      </w:r>
      <w:r w:rsidRPr="006B62C6">
        <w:rPr>
          <w:szCs w:val="22"/>
        </w:rPr>
        <w:tab/>
      </w:r>
      <w:r>
        <w:rPr>
          <w:szCs w:val="22"/>
        </w:rPr>
        <w:t xml:space="preserve">                       </w:t>
      </w:r>
      <w:r w:rsidRPr="006B62C6">
        <w:rPr>
          <w:szCs w:val="22"/>
        </w:rPr>
        <w:t>17,7 mg</w:t>
      </w:r>
    </w:p>
    <w:p w:rsidR="008A6372" w:rsidRPr="006B62C6" w:rsidRDefault="008A6372" w:rsidP="008A6372">
      <w:pPr>
        <w:ind w:firstLine="851"/>
        <w:rPr>
          <w:szCs w:val="22"/>
        </w:rPr>
      </w:pPr>
    </w:p>
    <w:p w:rsidR="008A6372" w:rsidRPr="006B62C6" w:rsidRDefault="008A6372" w:rsidP="008A6372">
      <w:pPr>
        <w:ind w:firstLine="851"/>
        <w:rPr>
          <w:szCs w:val="22"/>
        </w:rPr>
      </w:pPr>
      <w:r w:rsidRPr="006B62C6">
        <w:rPr>
          <w:b/>
          <w:szCs w:val="22"/>
        </w:rPr>
        <w:t>Hjælpestoffer:</w:t>
      </w:r>
    </w:p>
    <w:p w:rsidR="008A6372" w:rsidRPr="006B62C6" w:rsidRDefault="008A6372" w:rsidP="008A6372">
      <w:pPr>
        <w:rPr>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246"/>
      </w:tblGrid>
      <w:tr w:rsidR="008A6372" w:rsidRPr="006B62C6" w:rsidTr="008A6372">
        <w:tc>
          <w:tcPr>
            <w:tcW w:w="3969" w:type="dxa"/>
            <w:shd w:val="clear" w:color="auto" w:fill="auto"/>
            <w:vAlign w:val="center"/>
          </w:tcPr>
          <w:p w:rsidR="008A6372" w:rsidRPr="006B62C6" w:rsidRDefault="008A6372" w:rsidP="00BF48AD">
            <w:pPr>
              <w:spacing w:before="60" w:after="60"/>
              <w:rPr>
                <w:b/>
                <w:bCs/>
                <w:iCs/>
                <w:szCs w:val="22"/>
              </w:rPr>
            </w:pPr>
            <w:r w:rsidRPr="006B62C6">
              <w:rPr>
                <w:b/>
                <w:bCs/>
                <w:iCs/>
                <w:szCs w:val="22"/>
              </w:rPr>
              <w:t>Kvalitativ sammensætning af hjælpestoffer og andre bestanddele</w:t>
            </w:r>
          </w:p>
        </w:tc>
        <w:tc>
          <w:tcPr>
            <w:tcW w:w="4246" w:type="dxa"/>
            <w:shd w:val="clear" w:color="auto" w:fill="auto"/>
            <w:vAlign w:val="center"/>
          </w:tcPr>
          <w:p w:rsidR="008A6372" w:rsidRPr="006B62C6" w:rsidRDefault="008A6372" w:rsidP="00BF48AD">
            <w:pPr>
              <w:spacing w:before="60" w:after="60"/>
              <w:rPr>
                <w:b/>
                <w:bCs/>
                <w:iCs/>
                <w:szCs w:val="22"/>
              </w:rPr>
            </w:pPr>
            <w:r w:rsidRPr="006B62C6">
              <w:rPr>
                <w:b/>
                <w:bCs/>
                <w:iCs/>
                <w:szCs w:val="22"/>
              </w:rPr>
              <w:t>Kvantitativ sammensætning, hvis oplysningen er vigtig for korrekt administration af veterinærlægemidlet</w:t>
            </w:r>
          </w:p>
        </w:tc>
      </w:tr>
      <w:tr w:rsidR="008A6372" w:rsidRPr="006B62C6" w:rsidTr="008A6372">
        <w:tc>
          <w:tcPr>
            <w:tcW w:w="3969" w:type="dxa"/>
            <w:shd w:val="clear" w:color="auto" w:fill="auto"/>
            <w:vAlign w:val="center"/>
          </w:tcPr>
          <w:p w:rsidR="008A6372" w:rsidRPr="006B62C6" w:rsidRDefault="008A6372" w:rsidP="00BF48AD">
            <w:pPr>
              <w:suppressAutoHyphens/>
              <w:spacing w:line="240" w:lineRule="atLeast"/>
              <w:rPr>
                <w:snapToGrid w:val="0"/>
                <w:spacing w:val="-3"/>
                <w:szCs w:val="22"/>
              </w:rPr>
            </w:pPr>
            <w:proofErr w:type="spellStart"/>
            <w:r w:rsidRPr="006B62C6">
              <w:rPr>
                <w:spacing w:val="-3"/>
                <w:szCs w:val="22"/>
              </w:rPr>
              <w:t>Ethanol</w:t>
            </w:r>
            <w:proofErr w:type="spellEnd"/>
            <w:r w:rsidRPr="006B62C6">
              <w:rPr>
                <w:spacing w:val="-3"/>
                <w:szCs w:val="22"/>
              </w:rPr>
              <w:t xml:space="preserve"> (96</w:t>
            </w:r>
            <w:r>
              <w:rPr>
                <w:spacing w:val="-3"/>
                <w:szCs w:val="22"/>
              </w:rPr>
              <w:t> </w:t>
            </w:r>
            <w:r w:rsidRPr="006B62C6">
              <w:rPr>
                <w:spacing w:val="-3"/>
                <w:szCs w:val="22"/>
              </w:rPr>
              <w:t>%)</w:t>
            </w:r>
          </w:p>
        </w:tc>
        <w:tc>
          <w:tcPr>
            <w:tcW w:w="4246" w:type="dxa"/>
            <w:shd w:val="clear" w:color="auto" w:fill="auto"/>
            <w:vAlign w:val="center"/>
          </w:tcPr>
          <w:p w:rsidR="008A6372" w:rsidRPr="006B62C6" w:rsidRDefault="008A6372" w:rsidP="00BF48AD">
            <w:pPr>
              <w:spacing w:before="60" w:after="60"/>
              <w:rPr>
                <w:iCs/>
                <w:szCs w:val="22"/>
              </w:rPr>
            </w:pPr>
          </w:p>
        </w:tc>
      </w:tr>
      <w:tr w:rsidR="008A6372" w:rsidRPr="006B62C6" w:rsidTr="008A6372">
        <w:tc>
          <w:tcPr>
            <w:tcW w:w="3969" w:type="dxa"/>
            <w:shd w:val="clear" w:color="auto" w:fill="auto"/>
            <w:vAlign w:val="center"/>
          </w:tcPr>
          <w:p w:rsidR="008A6372" w:rsidRPr="006B62C6" w:rsidRDefault="008A6372" w:rsidP="00BF48AD">
            <w:pPr>
              <w:suppressAutoHyphens/>
              <w:spacing w:line="240" w:lineRule="atLeast"/>
              <w:rPr>
                <w:snapToGrid w:val="0"/>
                <w:spacing w:val="-3"/>
                <w:szCs w:val="22"/>
              </w:rPr>
            </w:pPr>
            <w:proofErr w:type="spellStart"/>
            <w:r w:rsidRPr="006B62C6">
              <w:rPr>
                <w:spacing w:val="-3"/>
                <w:szCs w:val="22"/>
              </w:rPr>
              <w:t>Benzalkoniumchlorid</w:t>
            </w:r>
            <w:proofErr w:type="spellEnd"/>
          </w:p>
        </w:tc>
        <w:tc>
          <w:tcPr>
            <w:tcW w:w="4246" w:type="dxa"/>
            <w:shd w:val="clear" w:color="auto" w:fill="auto"/>
            <w:vAlign w:val="center"/>
          </w:tcPr>
          <w:p w:rsidR="008A6372" w:rsidRPr="006B62C6" w:rsidRDefault="008A6372" w:rsidP="00BF48AD">
            <w:pPr>
              <w:spacing w:before="60" w:after="60"/>
              <w:rPr>
                <w:iCs/>
                <w:szCs w:val="22"/>
              </w:rPr>
            </w:pPr>
            <w:r>
              <w:rPr>
                <w:iCs/>
                <w:szCs w:val="22"/>
              </w:rPr>
              <w:t>0,4415 </w:t>
            </w:r>
            <w:r w:rsidRPr="0039569E">
              <w:rPr>
                <w:iCs/>
                <w:szCs w:val="22"/>
              </w:rPr>
              <w:t>mg</w:t>
            </w:r>
          </w:p>
        </w:tc>
      </w:tr>
      <w:tr w:rsidR="008A6372" w:rsidRPr="006B62C6" w:rsidTr="008A6372">
        <w:tc>
          <w:tcPr>
            <w:tcW w:w="3969" w:type="dxa"/>
            <w:shd w:val="clear" w:color="auto" w:fill="auto"/>
            <w:vAlign w:val="center"/>
          </w:tcPr>
          <w:p w:rsidR="008A6372" w:rsidRPr="006B62C6" w:rsidRDefault="008A6372" w:rsidP="00BF48AD">
            <w:pPr>
              <w:suppressAutoHyphens/>
              <w:spacing w:line="240" w:lineRule="atLeast"/>
              <w:rPr>
                <w:snapToGrid w:val="0"/>
                <w:spacing w:val="-3"/>
                <w:szCs w:val="22"/>
              </w:rPr>
            </w:pPr>
            <w:r w:rsidRPr="006B62C6">
              <w:rPr>
                <w:spacing w:val="-3"/>
                <w:szCs w:val="22"/>
              </w:rPr>
              <w:t>Renset vand</w:t>
            </w:r>
          </w:p>
        </w:tc>
        <w:tc>
          <w:tcPr>
            <w:tcW w:w="4246" w:type="dxa"/>
            <w:shd w:val="clear" w:color="auto" w:fill="auto"/>
            <w:vAlign w:val="center"/>
          </w:tcPr>
          <w:p w:rsidR="008A6372" w:rsidRPr="006B62C6" w:rsidRDefault="008A6372" w:rsidP="00BF48AD">
            <w:pPr>
              <w:spacing w:before="60" w:after="60"/>
              <w:rPr>
                <w:iCs/>
                <w:szCs w:val="22"/>
              </w:rPr>
            </w:pPr>
          </w:p>
        </w:tc>
      </w:tr>
    </w:tbl>
    <w:p w:rsidR="008A6372" w:rsidRPr="006B62C6" w:rsidRDefault="008A6372" w:rsidP="008A6372">
      <w:pPr>
        <w:rPr>
          <w:szCs w:val="22"/>
        </w:rPr>
      </w:pPr>
    </w:p>
    <w:p w:rsidR="008A6372" w:rsidRPr="006B62C6" w:rsidRDefault="008A6372" w:rsidP="008A6372">
      <w:pPr>
        <w:tabs>
          <w:tab w:val="left" w:pos="567"/>
        </w:tabs>
        <w:spacing w:line="260" w:lineRule="exact"/>
        <w:ind w:firstLine="851"/>
        <w:rPr>
          <w:szCs w:val="22"/>
        </w:rPr>
      </w:pPr>
      <w:r w:rsidRPr="006B62C6">
        <w:rPr>
          <w:szCs w:val="22"/>
        </w:rPr>
        <w:t>Klar, farveløs opløsning.</w:t>
      </w:r>
    </w:p>
    <w:p w:rsidR="008A6372" w:rsidRDefault="008A6372" w:rsidP="008A6372">
      <w:pPr>
        <w:rPr>
          <w:szCs w:val="22"/>
        </w:rPr>
      </w:pPr>
    </w:p>
    <w:p w:rsidR="008A6372" w:rsidRPr="006B62C6" w:rsidRDefault="008A6372" w:rsidP="008A6372">
      <w:pPr>
        <w:rPr>
          <w:szCs w:val="22"/>
        </w:rPr>
      </w:pPr>
    </w:p>
    <w:p w:rsidR="008A6372" w:rsidRPr="006B62C6" w:rsidRDefault="008A6372" w:rsidP="008A6372">
      <w:pPr>
        <w:pStyle w:val="Style1"/>
        <w:ind w:left="851" w:hanging="851"/>
      </w:pPr>
      <w:r w:rsidRPr="006B62C6">
        <w:t>3.</w:t>
      </w:r>
      <w:r w:rsidRPr="006B62C6">
        <w:tab/>
        <w:t>KLINISKE OPLYSNINGER</w:t>
      </w:r>
    </w:p>
    <w:p w:rsidR="008A6372" w:rsidRPr="006B62C6" w:rsidRDefault="008A6372" w:rsidP="008A6372">
      <w:pPr>
        <w:rPr>
          <w:szCs w:val="22"/>
        </w:rPr>
      </w:pPr>
    </w:p>
    <w:p w:rsidR="008A6372" w:rsidRPr="006B62C6" w:rsidRDefault="008A6372" w:rsidP="008A6372">
      <w:pPr>
        <w:pStyle w:val="Style1"/>
        <w:ind w:left="851" w:hanging="851"/>
      </w:pPr>
      <w:r w:rsidRPr="006B62C6">
        <w:t>3.1</w:t>
      </w:r>
      <w:r w:rsidRPr="006B62C6">
        <w:tab/>
        <w:t>Dyrearter, som lægemidlet er beregnet til</w:t>
      </w:r>
    </w:p>
    <w:p w:rsidR="008A6372" w:rsidRPr="006B62C6" w:rsidRDefault="008A6372" w:rsidP="008A6372">
      <w:pPr>
        <w:rPr>
          <w:szCs w:val="22"/>
        </w:rPr>
      </w:pPr>
    </w:p>
    <w:p w:rsidR="008A6372" w:rsidRPr="006B62C6" w:rsidRDefault="008A6372" w:rsidP="008A6372">
      <w:pPr>
        <w:ind w:firstLine="851"/>
        <w:rPr>
          <w:szCs w:val="22"/>
        </w:rPr>
      </w:pPr>
      <w:r w:rsidRPr="006B62C6">
        <w:rPr>
          <w:szCs w:val="22"/>
        </w:rPr>
        <w:t>Hund og kat.</w:t>
      </w:r>
    </w:p>
    <w:p w:rsidR="008A6372" w:rsidRPr="006B62C6" w:rsidRDefault="008A6372" w:rsidP="008A6372">
      <w:pPr>
        <w:rPr>
          <w:szCs w:val="22"/>
        </w:rPr>
      </w:pPr>
    </w:p>
    <w:p w:rsidR="008A6372" w:rsidRPr="006B62C6" w:rsidRDefault="008A6372" w:rsidP="008A6372">
      <w:pPr>
        <w:pStyle w:val="Style1"/>
        <w:ind w:left="851" w:hanging="851"/>
      </w:pPr>
      <w:r w:rsidRPr="006B62C6">
        <w:t>3.2</w:t>
      </w:r>
      <w:r w:rsidRPr="006B62C6">
        <w:tab/>
        <w:t>Terapeutiske indikationer for hver dyreart, som lægemidlet er beregnet til</w:t>
      </w:r>
    </w:p>
    <w:p w:rsidR="008A6372" w:rsidRPr="006B62C6" w:rsidRDefault="008A6372" w:rsidP="008A6372">
      <w:pPr>
        <w:rPr>
          <w:szCs w:val="22"/>
        </w:rPr>
      </w:pPr>
    </w:p>
    <w:p w:rsidR="008A6372" w:rsidRPr="006B62C6" w:rsidRDefault="008A6372" w:rsidP="008A6372">
      <w:pPr>
        <w:ind w:firstLine="851"/>
        <w:rPr>
          <w:szCs w:val="22"/>
        </w:rPr>
      </w:pPr>
      <w:r w:rsidRPr="006B62C6">
        <w:rPr>
          <w:szCs w:val="22"/>
        </w:rPr>
        <w:lastRenderedPageBreak/>
        <w:t xml:space="preserve">Symptomatisk behandling af seborrhoisk </w:t>
      </w:r>
      <w:proofErr w:type="spellStart"/>
      <w:r w:rsidRPr="006B62C6">
        <w:rPr>
          <w:szCs w:val="22"/>
        </w:rPr>
        <w:t>dermatitis</w:t>
      </w:r>
      <w:proofErr w:type="spellEnd"/>
      <w:r w:rsidRPr="006B62C6">
        <w:rPr>
          <w:szCs w:val="22"/>
        </w:rPr>
        <w:t xml:space="preserve"> </w:t>
      </w:r>
    </w:p>
    <w:p w:rsidR="008A6372" w:rsidRPr="006B62C6" w:rsidRDefault="008A6372" w:rsidP="008A6372">
      <w:pPr>
        <w:rPr>
          <w:szCs w:val="22"/>
        </w:rPr>
      </w:pPr>
    </w:p>
    <w:p w:rsidR="008A6372" w:rsidRPr="006B62C6" w:rsidRDefault="008A6372" w:rsidP="008A6372">
      <w:pPr>
        <w:pStyle w:val="Style1"/>
        <w:ind w:left="851" w:hanging="851"/>
      </w:pPr>
      <w:r w:rsidRPr="006B62C6">
        <w:t>3.3</w:t>
      </w:r>
      <w:r w:rsidRPr="006B62C6">
        <w:tab/>
        <w:t>Kontraindikationer</w:t>
      </w:r>
    </w:p>
    <w:p w:rsidR="008A6372" w:rsidRPr="006B62C6" w:rsidRDefault="008A6372" w:rsidP="008A6372">
      <w:pPr>
        <w:rPr>
          <w:szCs w:val="22"/>
        </w:rPr>
      </w:pPr>
    </w:p>
    <w:p w:rsidR="008A6372" w:rsidRPr="006B62C6" w:rsidRDefault="008A6372" w:rsidP="008A6372">
      <w:pPr>
        <w:widowControl w:val="0"/>
        <w:autoSpaceDE w:val="0"/>
        <w:autoSpaceDN w:val="0"/>
        <w:adjustRightInd w:val="0"/>
        <w:ind w:left="851"/>
        <w:rPr>
          <w:szCs w:val="22"/>
        </w:rPr>
      </w:pPr>
      <w:r>
        <w:rPr>
          <w:szCs w:val="22"/>
        </w:rPr>
        <w:t>Må</w:t>
      </w:r>
      <w:r w:rsidRPr="006B62C6">
        <w:rPr>
          <w:szCs w:val="22"/>
        </w:rPr>
        <w:t xml:space="preserve"> ikke anvendes i tilfælde af overfølsomhed over for</w:t>
      </w:r>
      <w:r w:rsidRPr="006B62C6" w:rsidDel="0088235C">
        <w:rPr>
          <w:szCs w:val="22"/>
        </w:rPr>
        <w:t xml:space="preserve"> </w:t>
      </w:r>
      <w:proofErr w:type="spellStart"/>
      <w:r w:rsidRPr="006B62C6">
        <w:rPr>
          <w:szCs w:val="22"/>
        </w:rPr>
        <w:t>kortikosteroider</w:t>
      </w:r>
      <w:proofErr w:type="spellEnd"/>
      <w:r w:rsidRPr="006B62C6">
        <w:rPr>
          <w:szCs w:val="22"/>
        </w:rPr>
        <w:t>, salicylsyre eller over for et eller flere af hjælpestofferne</w:t>
      </w:r>
      <w:r>
        <w:rPr>
          <w:szCs w:val="22"/>
        </w:rPr>
        <w:t>.</w:t>
      </w:r>
      <w:r w:rsidRPr="006B62C6">
        <w:rPr>
          <w:szCs w:val="22"/>
        </w:rPr>
        <w:t xml:space="preserve"> </w:t>
      </w:r>
    </w:p>
    <w:p w:rsidR="008A6372" w:rsidRPr="006B62C6" w:rsidRDefault="008A6372" w:rsidP="008A6372">
      <w:pPr>
        <w:widowControl w:val="0"/>
        <w:autoSpaceDE w:val="0"/>
        <w:autoSpaceDN w:val="0"/>
        <w:adjustRightInd w:val="0"/>
        <w:ind w:left="851"/>
        <w:rPr>
          <w:szCs w:val="22"/>
        </w:rPr>
      </w:pPr>
      <w:r>
        <w:rPr>
          <w:szCs w:val="22"/>
        </w:rPr>
        <w:t>Må</w:t>
      </w:r>
      <w:r w:rsidRPr="006B62C6" w:rsidDel="0088235C">
        <w:rPr>
          <w:szCs w:val="22"/>
        </w:rPr>
        <w:t xml:space="preserve"> </w:t>
      </w:r>
      <w:r w:rsidRPr="006B62C6">
        <w:rPr>
          <w:szCs w:val="22"/>
        </w:rPr>
        <w:t xml:space="preserve">ikke anvendes på </w:t>
      </w:r>
      <w:proofErr w:type="spellStart"/>
      <w:r w:rsidRPr="006B62C6">
        <w:rPr>
          <w:szCs w:val="22"/>
        </w:rPr>
        <w:t>kutane</w:t>
      </w:r>
      <w:proofErr w:type="spellEnd"/>
      <w:r w:rsidRPr="006B62C6">
        <w:rPr>
          <w:szCs w:val="22"/>
        </w:rPr>
        <w:t xml:space="preserve"> sår.</w:t>
      </w:r>
    </w:p>
    <w:p w:rsidR="008A6372" w:rsidRPr="006B62C6" w:rsidRDefault="008A6372" w:rsidP="008A6372">
      <w:pPr>
        <w:widowControl w:val="0"/>
        <w:autoSpaceDE w:val="0"/>
        <w:autoSpaceDN w:val="0"/>
        <w:adjustRightInd w:val="0"/>
        <w:ind w:left="851"/>
        <w:rPr>
          <w:szCs w:val="22"/>
        </w:rPr>
      </w:pPr>
      <w:r>
        <w:rPr>
          <w:szCs w:val="22"/>
        </w:rPr>
        <w:t>Må</w:t>
      </w:r>
      <w:r w:rsidRPr="006B62C6">
        <w:rPr>
          <w:szCs w:val="22"/>
        </w:rPr>
        <w:t xml:space="preserve"> ikke anvendes til hunde med </w:t>
      </w:r>
      <w:proofErr w:type="spellStart"/>
      <w:r w:rsidRPr="006B62C6">
        <w:rPr>
          <w:szCs w:val="22"/>
        </w:rPr>
        <w:t>demodicose</w:t>
      </w:r>
      <w:proofErr w:type="spellEnd"/>
      <w:r w:rsidRPr="006B62C6">
        <w:rPr>
          <w:szCs w:val="22"/>
        </w:rPr>
        <w:t>.</w:t>
      </w:r>
    </w:p>
    <w:p w:rsidR="008A6372" w:rsidRPr="006B62C6" w:rsidRDefault="008A6372" w:rsidP="008A6372">
      <w:pPr>
        <w:widowControl w:val="0"/>
        <w:autoSpaceDE w:val="0"/>
        <w:autoSpaceDN w:val="0"/>
        <w:adjustRightInd w:val="0"/>
        <w:ind w:left="851"/>
        <w:rPr>
          <w:szCs w:val="22"/>
        </w:rPr>
      </w:pPr>
      <w:r>
        <w:rPr>
          <w:szCs w:val="22"/>
        </w:rPr>
        <w:t>Må</w:t>
      </w:r>
      <w:r w:rsidRPr="006B62C6" w:rsidDel="0088235C">
        <w:rPr>
          <w:szCs w:val="22"/>
        </w:rPr>
        <w:t xml:space="preserve"> </w:t>
      </w:r>
      <w:r w:rsidRPr="006B62C6">
        <w:rPr>
          <w:szCs w:val="22"/>
        </w:rPr>
        <w:t xml:space="preserve">ikke anvendes til dyr, der vejer under </w:t>
      </w:r>
      <w:smartTag w:uri="urn:schemas-microsoft-com:office:smarttags" w:element="metricconverter">
        <w:smartTagPr>
          <w:attr w:name="ProductID" w:val="3,5 kg"/>
        </w:smartTagPr>
        <w:r w:rsidRPr="006B62C6">
          <w:rPr>
            <w:szCs w:val="22"/>
          </w:rPr>
          <w:t>3,5 kg</w:t>
        </w:r>
      </w:smartTag>
      <w:r w:rsidRPr="006B62C6">
        <w:rPr>
          <w:szCs w:val="22"/>
        </w:rPr>
        <w:t>.</w:t>
      </w:r>
    </w:p>
    <w:p w:rsidR="008A6372" w:rsidRPr="006B62C6" w:rsidRDefault="008A6372" w:rsidP="008A6372">
      <w:pPr>
        <w:ind w:left="851"/>
        <w:rPr>
          <w:szCs w:val="22"/>
        </w:rPr>
      </w:pPr>
    </w:p>
    <w:p w:rsidR="008A6372" w:rsidRPr="006B62C6" w:rsidRDefault="008A6372" w:rsidP="008A6372">
      <w:pPr>
        <w:pStyle w:val="Style1"/>
        <w:ind w:left="851" w:hanging="851"/>
      </w:pPr>
      <w:r w:rsidRPr="006B62C6">
        <w:t>3.4</w:t>
      </w:r>
      <w:r w:rsidRPr="006B62C6">
        <w:tab/>
        <w:t>Særlige advarsler</w:t>
      </w:r>
    </w:p>
    <w:p w:rsidR="008A6372" w:rsidRPr="006B62C6" w:rsidRDefault="008A6372" w:rsidP="008A6372">
      <w:pPr>
        <w:rPr>
          <w:szCs w:val="22"/>
        </w:rPr>
      </w:pPr>
    </w:p>
    <w:p w:rsidR="008A6372" w:rsidRPr="006B62C6" w:rsidRDefault="008A6372" w:rsidP="008A6372">
      <w:pPr>
        <w:ind w:left="851"/>
        <w:rPr>
          <w:szCs w:val="22"/>
        </w:rPr>
      </w:pPr>
      <w:r w:rsidRPr="006B62C6">
        <w:rPr>
          <w:szCs w:val="22"/>
        </w:rPr>
        <w:t xml:space="preserve">I begyndelsen af behandlingen skal eksisterende skæl og afskalninger fjernes. Det kan være nødvendigt at klippe håret, der omgiver eller dækker læsionerne, så veterinærlægemidlet kan trænge ind i den angrebne hud. </w:t>
      </w:r>
    </w:p>
    <w:p w:rsidR="008A6372" w:rsidRPr="006B62C6" w:rsidRDefault="008A6372" w:rsidP="008A6372">
      <w:pPr>
        <w:ind w:left="851"/>
        <w:rPr>
          <w:szCs w:val="22"/>
        </w:rPr>
      </w:pPr>
      <w:r w:rsidRPr="006B62C6">
        <w:rPr>
          <w:szCs w:val="22"/>
        </w:rPr>
        <w:t xml:space="preserve">Seborrhoisk </w:t>
      </w:r>
      <w:proofErr w:type="spellStart"/>
      <w:r w:rsidRPr="006B62C6">
        <w:rPr>
          <w:szCs w:val="22"/>
        </w:rPr>
        <w:t>dermatitis</w:t>
      </w:r>
      <w:proofErr w:type="spellEnd"/>
      <w:r w:rsidRPr="006B62C6">
        <w:rPr>
          <w:szCs w:val="22"/>
        </w:rPr>
        <w:t xml:space="preserve"> kan være en primær lidelse, men kan også opstå som et resultat af underliggende sygdomme eller sygdomsprocesser (f.eks. allergiske lidelser, endokrine lidelser, </w:t>
      </w:r>
      <w:proofErr w:type="spellStart"/>
      <w:r w:rsidRPr="006B62C6">
        <w:rPr>
          <w:szCs w:val="22"/>
        </w:rPr>
        <w:t>neoplasi</w:t>
      </w:r>
      <w:proofErr w:type="spellEnd"/>
      <w:r w:rsidRPr="006B62C6">
        <w:rPr>
          <w:szCs w:val="22"/>
        </w:rPr>
        <w:t xml:space="preserve">). Endvidere opstår der typisk samtidige infektioner (bakterielle, parasit- eller svampeinfektioner) med </w:t>
      </w:r>
      <w:proofErr w:type="spellStart"/>
      <w:r w:rsidRPr="006B62C6">
        <w:rPr>
          <w:szCs w:val="22"/>
        </w:rPr>
        <w:t>seborrhoeic</w:t>
      </w:r>
      <w:proofErr w:type="spellEnd"/>
      <w:r w:rsidRPr="006B62C6">
        <w:rPr>
          <w:szCs w:val="22"/>
        </w:rPr>
        <w:t xml:space="preserve"> </w:t>
      </w:r>
      <w:proofErr w:type="spellStart"/>
      <w:r w:rsidRPr="006B62C6">
        <w:rPr>
          <w:szCs w:val="22"/>
        </w:rPr>
        <w:t>dermatitis</w:t>
      </w:r>
      <w:proofErr w:type="spellEnd"/>
      <w:r w:rsidRPr="006B62C6">
        <w:rPr>
          <w:szCs w:val="22"/>
        </w:rPr>
        <w:t>. Derfor er det væsentligt at identificere en eventuel underliggende sygdomsproces og påbegynde en særlig behandling, hvis det menes nødvendigt.</w:t>
      </w:r>
    </w:p>
    <w:p w:rsidR="008A6372" w:rsidRPr="006B62C6" w:rsidRDefault="008A6372" w:rsidP="008A6372">
      <w:pPr>
        <w:rPr>
          <w:szCs w:val="22"/>
        </w:rPr>
      </w:pPr>
    </w:p>
    <w:p w:rsidR="008A6372" w:rsidRPr="006B62C6" w:rsidRDefault="008A6372" w:rsidP="008A6372">
      <w:pPr>
        <w:pStyle w:val="Style1"/>
        <w:ind w:left="851" w:hanging="851"/>
      </w:pPr>
      <w:r w:rsidRPr="006B62C6">
        <w:t>3.5</w:t>
      </w:r>
      <w:r w:rsidRPr="006B62C6">
        <w:tab/>
        <w:t>Særlige forholdsregler vedrørende brugen</w:t>
      </w:r>
    </w:p>
    <w:p w:rsidR="008A6372" w:rsidRPr="006B62C6" w:rsidRDefault="008A6372" w:rsidP="008A6372">
      <w:pPr>
        <w:rPr>
          <w:szCs w:val="22"/>
        </w:rPr>
      </w:pPr>
    </w:p>
    <w:p w:rsidR="008A6372" w:rsidRPr="006B62C6" w:rsidRDefault="008A6372" w:rsidP="008A6372">
      <w:pPr>
        <w:ind w:left="851"/>
        <w:rPr>
          <w:szCs w:val="22"/>
          <w:u w:val="single"/>
        </w:rPr>
      </w:pPr>
      <w:r w:rsidRPr="006B62C6">
        <w:rPr>
          <w:szCs w:val="22"/>
          <w:u w:val="single"/>
        </w:rPr>
        <w:t>Særlige forholdsregler vedrørende sikker brug hos de dyrearter, som lægemidlet er beregnet til</w:t>
      </w:r>
      <w:r w:rsidRPr="00D555B5">
        <w:rPr>
          <w:szCs w:val="22"/>
        </w:rPr>
        <w:t>:</w:t>
      </w:r>
    </w:p>
    <w:p w:rsidR="008A6372" w:rsidRPr="006B62C6" w:rsidRDefault="008A6372" w:rsidP="008A6372">
      <w:pPr>
        <w:ind w:left="851"/>
        <w:rPr>
          <w:szCs w:val="22"/>
        </w:rPr>
      </w:pPr>
    </w:p>
    <w:p w:rsidR="008A6372" w:rsidRPr="006B62C6" w:rsidRDefault="008A6372" w:rsidP="008A6372">
      <w:pPr>
        <w:ind w:left="851"/>
        <w:rPr>
          <w:szCs w:val="22"/>
        </w:rPr>
      </w:pPr>
      <w:r w:rsidRPr="006B62C6">
        <w:rPr>
          <w:szCs w:val="22"/>
        </w:rPr>
        <w:t>Da den mindste kropsvægt for behandlingen er 3,5 kg, vil veterinærlægemidlet ikke være egnet til brug hos visse patienter, såsom mindre hunde og katte eller dem, der har omfattende læsioner. Se pkt. </w:t>
      </w:r>
      <w:r>
        <w:rPr>
          <w:szCs w:val="22"/>
        </w:rPr>
        <w:t>3</w:t>
      </w:r>
      <w:r w:rsidRPr="006B62C6">
        <w:rPr>
          <w:szCs w:val="22"/>
        </w:rPr>
        <w:t>.9 for den maksimale anbefalede dosis.</w:t>
      </w:r>
    </w:p>
    <w:p w:rsidR="008A6372" w:rsidRPr="006B62C6" w:rsidRDefault="008A6372" w:rsidP="008A6372">
      <w:pPr>
        <w:ind w:left="851"/>
        <w:rPr>
          <w:szCs w:val="22"/>
        </w:rPr>
      </w:pPr>
      <w:r w:rsidRPr="006B62C6">
        <w:rPr>
          <w:szCs w:val="22"/>
        </w:rPr>
        <w:t xml:space="preserve">Systemiske </w:t>
      </w:r>
      <w:proofErr w:type="spellStart"/>
      <w:r w:rsidRPr="006B62C6">
        <w:rPr>
          <w:szCs w:val="22"/>
        </w:rPr>
        <w:t>kortikosteroidvirkninger</w:t>
      </w:r>
      <w:proofErr w:type="spellEnd"/>
      <w:r w:rsidRPr="006B62C6">
        <w:rPr>
          <w:szCs w:val="22"/>
        </w:rPr>
        <w:t xml:space="preserve"> er mulige, særligt når veterinærlægemidlet anvendes under en </w:t>
      </w:r>
      <w:proofErr w:type="spellStart"/>
      <w:r w:rsidRPr="006B62C6">
        <w:rPr>
          <w:szCs w:val="22"/>
        </w:rPr>
        <w:t>okklusiv</w:t>
      </w:r>
      <w:proofErr w:type="spellEnd"/>
      <w:r w:rsidRPr="006B62C6">
        <w:rPr>
          <w:szCs w:val="22"/>
        </w:rPr>
        <w:t xml:space="preserve"> forbinding, på omfattende hudlæsioner, ved forøget blodgennemstrømning af huden, eller hvis </w:t>
      </w:r>
      <w:r>
        <w:rPr>
          <w:szCs w:val="22"/>
        </w:rPr>
        <w:t>veterinær</w:t>
      </w:r>
      <w:r w:rsidRPr="006B62C6">
        <w:rPr>
          <w:szCs w:val="22"/>
        </w:rPr>
        <w:t xml:space="preserve">lægemidlet indtages ved </w:t>
      </w:r>
      <w:proofErr w:type="spellStart"/>
      <w:r w:rsidRPr="006B62C6">
        <w:rPr>
          <w:szCs w:val="22"/>
        </w:rPr>
        <w:t>slikning</w:t>
      </w:r>
      <w:proofErr w:type="spellEnd"/>
      <w:r w:rsidRPr="006B62C6">
        <w:rPr>
          <w:szCs w:val="22"/>
        </w:rPr>
        <w:t xml:space="preserve">. Oral indtagelse (herunder </w:t>
      </w:r>
      <w:proofErr w:type="spellStart"/>
      <w:r w:rsidRPr="006B62C6">
        <w:rPr>
          <w:szCs w:val="22"/>
        </w:rPr>
        <w:t>slikning</w:t>
      </w:r>
      <w:proofErr w:type="spellEnd"/>
      <w:r w:rsidRPr="006B62C6">
        <w:rPr>
          <w:szCs w:val="22"/>
        </w:rPr>
        <w:t xml:space="preserve">) af </w:t>
      </w:r>
      <w:r>
        <w:rPr>
          <w:szCs w:val="22"/>
        </w:rPr>
        <w:t>veterinær</w:t>
      </w:r>
      <w:r w:rsidRPr="006B62C6">
        <w:rPr>
          <w:szCs w:val="22"/>
        </w:rPr>
        <w:t xml:space="preserve">lægemidlet hos dyr, der behandles, eller dyr, der har kontakt med behandlede dyr, bør undgås. Yderligere </w:t>
      </w:r>
      <w:proofErr w:type="spellStart"/>
      <w:r w:rsidRPr="006B62C6">
        <w:rPr>
          <w:szCs w:val="22"/>
        </w:rPr>
        <w:t>kortikosteroidbehandling</w:t>
      </w:r>
      <w:proofErr w:type="spellEnd"/>
      <w:r w:rsidRPr="006B62C6">
        <w:rPr>
          <w:szCs w:val="22"/>
        </w:rPr>
        <w:t xml:space="preserve"> må kun anvendes i overensstemmelse </w:t>
      </w:r>
      <w:r w:rsidRPr="00D727D2">
        <w:rPr>
          <w:szCs w:val="22"/>
        </w:rPr>
        <w:t>med den ansvarlige dyrlæges</w:t>
      </w:r>
      <w:r w:rsidRPr="006B62C6">
        <w:rPr>
          <w:szCs w:val="22"/>
        </w:rPr>
        <w:t xml:space="preserve"> vurdering af benefit</w:t>
      </w:r>
      <w:r>
        <w:rPr>
          <w:szCs w:val="22"/>
        </w:rPr>
        <w:t>/</w:t>
      </w:r>
      <w:proofErr w:type="spellStart"/>
      <w:r>
        <w:rPr>
          <w:szCs w:val="22"/>
        </w:rPr>
        <w:t>risk</w:t>
      </w:r>
      <w:proofErr w:type="spellEnd"/>
      <w:r w:rsidRPr="006B62C6">
        <w:rPr>
          <w:szCs w:val="22"/>
        </w:rPr>
        <w:t xml:space="preserve">-forholdet. Anvendes med forsigtighed hos dyr, der formodes at have eller har endokrine lidelser (dvs. diabetes mellitus, </w:t>
      </w:r>
      <w:proofErr w:type="spellStart"/>
      <w:r w:rsidRPr="006B62C6">
        <w:rPr>
          <w:szCs w:val="22"/>
        </w:rPr>
        <w:t>hypo</w:t>
      </w:r>
      <w:proofErr w:type="spellEnd"/>
      <w:r w:rsidRPr="006B62C6">
        <w:rPr>
          <w:szCs w:val="22"/>
        </w:rPr>
        <w:t xml:space="preserve">- eller </w:t>
      </w:r>
      <w:proofErr w:type="spellStart"/>
      <w:r w:rsidRPr="006B62C6">
        <w:rPr>
          <w:szCs w:val="22"/>
        </w:rPr>
        <w:t>hyperthyroidisme</w:t>
      </w:r>
      <w:proofErr w:type="spellEnd"/>
      <w:r w:rsidRPr="006B62C6">
        <w:rPr>
          <w:szCs w:val="22"/>
        </w:rPr>
        <w:t xml:space="preserve">, </w:t>
      </w:r>
      <w:proofErr w:type="spellStart"/>
      <w:r w:rsidRPr="006B62C6">
        <w:rPr>
          <w:szCs w:val="22"/>
        </w:rPr>
        <w:t>hyperadrenokorticisme</w:t>
      </w:r>
      <w:proofErr w:type="spellEnd"/>
      <w:r w:rsidRPr="006B62C6">
        <w:rPr>
          <w:szCs w:val="22"/>
        </w:rPr>
        <w:t xml:space="preserve">, osv.). Da </w:t>
      </w:r>
      <w:proofErr w:type="spellStart"/>
      <w:r w:rsidRPr="006B62C6">
        <w:rPr>
          <w:szCs w:val="22"/>
        </w:rPr>
        <w:t>glukokortikosteroider</w:t>
      </w:r>
      <w:proofErr w:type="spellEnd"/>
      <w:r w:rsidRPr="006B62C6">
        <w:rPr>
          <w:szCs w:val="22"/>
        </w:rPr>
        <w:t xml:space="preserve"> er kendt for at forsinke væksten, skal anvendelsen hos unge dyr (under 7 måneder) være baseret på den ansvarlige dyrlæges vurdering af benefit</w:t>
      </w:r>
      <w:r>
        <w:rPr>
          <w:szCs w:val="22"/>
        </w:rPr>
        <w:t>/</w:t>
      </w:r>
      <w:proofErr w:type="spellStart"/>
      <w:r>
        <w:rPr>
          <w:szCs w:val="22"/>
        </w:rPr>
        <w:t>risk</w:t>
      </w:r>
      <w:proofErr w:type="spellEnd"/>
      <w:r w:rsidRPr="006B62C6">
        <w:rPr>
          <w:szCs w:val="22"/>
        </w:rPr>
        <w:t>-forholdet og underkastes regelmæssige, kliniske gentagne vurderinger.</w:t>
      </w:r>
    </w:p>
    <w:p w:rsidR="008A6372" w:rsidRPr="006B62C6" w:rsidRDefault="008A6372" w:rsidP="008A6372">
      <w:pPr>
        <w:ind w:left="851"/>
        <w:rPr>
          <w:szCs w:val="22"/>
        </w:rPr>
      </w:pPr>
      <w:r w:rsidRPr="006B62C6">
        <w:rPr>
          <w:szCs w:val="22"/>
        </w:rPr>
        <w:t xml:space="preserve">Må ikke appliceres i øjne eller på slimhinder. Veterinærlægemidlet må ikke appliceres på beskadiget hud. </w:t>
      </w:r>
    </w:p>
    <w:p w:rsidR="008A6372" w:rsidRPr="006B62C6" w:rsidRDefault="008A6372" w:rsidP="008A6372">
      <w:pPr>
        <w:ind w:left="851"/>
        <w:rPr>
          <w:szCs w:val="22"/>
        </w:rPr>
      </w:pPr>
    </w:p>
    <w:p w:rsidR="008A6372" w:rsidRPr="006B62C6" w:rsidRDefault="008A6372" w:rsidP="008A6372">
      <w:pPr>
        <w:ind w:left="851"/>
        <w:rPr>
          <w:szCs w:val="22"/>
          <w:u w:val="single"/>
        </w:rPr>
      </w:pPr>
      <w:r w:rsidRPr="006B62C6">
        <w:rPr>
          <w:szCs w:val="22"/>
          <w:u w:val="single"/>
        </w:rPr>
        <w:t>Særlige forholdsregler for personer, der administrerer veterinærlægemidlet til dyr</w:t>
      </w:r>
      <w:r w:rsidRPr="00D555B5">
        <w:rPr>
          <w:szCs w:val="22"/>
        </w:rPr>
        <w:t>:</w:t>
      </w:r>
    </w:p>
    <w:p w:rsidR="008A6372" w:rsidRPr="006B62C6" w:rsidRDefault="008A6372" w:rsidP="008A6372">
      <w:pPr>
        <w:ind w:left="851"/>
        <w:rPr>
          <w:szCs w:val="22"/>
        </w:rPr>
      </w:pPr>
    </w:p>
    <w:p w:rsidR="008A6372" w:rsidRPr="006B62C6" w:rsidRDefault="008A6372" w:rsidP="008A6372">
      <w:pPr>
        <w:widowControl w:val="0"/>
        <w:autoSpaceDE w:val="0"/>
        <w:autoSpaceDN w:val="0"/>
        <w:adjustRightInd w:val="0"/>
        <w:ind w:left="851"/>
        <w:rPr>
          <w:szCs w:val="22"/>
        </w:rPr>
      </w:pPr>
      <w:r w:rsidRPr="006B62C6">
        <w:rPr>
          <w:szCs w:val="22"/>
        </w:rPr>
        <w:t xml:space="preserve">Dette veterinærlægemiddel indeholder </w:t>
      </w:r>
      <w:proofErr w:type="spellStart"/>
      <w:r w:rsidRPr="006B62C6">
        <w:rPr>
          <w:szCs w:val="22"/>
        </w:rPr>
        <w:t>triamcinolonacetonid</w:t>
      </w:r>
      <w:proofErr w:type="spellEnd"/>
      <w:r w:rsidRPr="006B62C6">
        <w:rPr>
          <w:szCs w:val="22"/>
        </w:rPr>
        <w:t xml:space="preserve">, salicylsyre og </w:t>
      </w:r>
      <w:proofErr w:type="spellStart"/>
      <w:r w:rsidRPr="006B62C6">
        <w:rPr>
          <w:szCs w:val="22"/>
        </w:rPr>
        <w:t>ethanol</w:t>
      </w:r>
      <w:proofErr w:type="spellEnd"/>
      <w:r w:rsidRPr="006B62C6">
        <w:rPr>
          <w:szCs w:val="22"/>
        </w:rPr>
        <w:t xml:space="preserve"> og kan være skadeligt for børn efter utilsigtet indtagelse. Efterlad ikke veterinærlægemidlet uden opsyn. I tilfælde af </w:t>
      </w:r>
      <w:r>
        <w:rPr>
          <w:szCs w:val="22"/>
        </w:rPr>
        <w:t>utilsigtet indtagelse</w:t>
      </w:r>
      <w:r w:rsidRPr="006B62C6">
        <w:rPr>
          <w:szCs w:val="22"/>
        </w:rPr>
        <w:t xml:space="preserve"> ved hændeligt uheld skal der straks søges lægehjælp, og indlægssedlen eller etiketten bør vises til lægen.</w:t>
      </w:r>
    </w:p>
    <w:p w:rsidR="008A6372" w:rsidRPr="006B62C6" w:rsidRDefault="008A6372" w:rsidP="008A6372">
      <w:pPr>
        <w:widowControl w:val="0"/>
        <w:autoSpaceDE w:val="0"/>
        <w:autoSpaceDN w:val="0"/>
        <w:adjustRightInd w:val="0"/>
        <w:ind w:left="851"/>
        <w:rPr>
          <w:szCs w:val="22"/>
        </w:rPr>
      </w:pPr>
    </w:p>
    <w:p w:rsidR="008A6372" w:rsidRPr="006B62C6" w:rsidRDefault="008A6372" w:rsidP="008A6372">
      <w:pPr>
        <w:widowControl w:val="0"/>
        <w:autoSpaceDE w:val="0"/>
        <w:autoSpaceDN w:val="0"/>
        <w:adjustRightInd w:val="0"/>
        <w:ind w:left="851"/>
        <w:rPr>
          <w:szCs w:val="22"/>
        </w:rPr>
      </w:pPr>
      <w:r w:rsidRPr="006B62C6">
        <w:rPr>
          <w:szCs w:val="22"/>
        </w:rPr>
        <w:t xml:space="preserve">Dette veterinærlægemiddel kan være skadeligt for det ufødte barn. Da veterinærlægemidlet kan absorberes gennem huden, må gravide kvinder og kvinder i den fødedygtige alder ikke håndtere dette </w:t>
      </w:r>
      <w:r>
        <w:rPr>
          <w:szCs w:val="22"/>
        </w:rPr>
        <w:t>veterinærlægemiddel</w:t>
      </w:r>
      <w:r w:rsidRPr="006B62C6">
        <w:rPr>
          <w:szCs w:val="22"/>
        </w:rPr>
        <w:t xml:space="preserve"> eller holde dyret under behandlingen og skal undgå </w:t>
      </w:r>
      <w:r w:rsidRPr="006B62C6">
        <w:rPr>
          <w:szCs w:val="22"/>
        </w:rPr>
        <w:lastRenderedPageBreak/>
        <w:t xml:space="preserve">kontakt med det behandlede dyr i mindst 4 timer efter appliceringen. </w:t>
      </w:r>
    </w:p>
    <w:p w:rsidR="008A6372" w:rsidRPr="006B62C6" w:rsidRDefault="008A6372" w:rsidP="008A6372">
      <w:pPr>
        <w:widowControl w:val="0"/>
        <w:autoSpaceDE w:val="0"/>
        <w:autoSpaceDN w:val="0"/>
        <w:adjustRightInd w:val="0"/>
        <w:rPr>
          <w:szCs w:val="22"/>
        </w:rPr>
      </w:pPr>
    </w:p>
    <w:p w:rsidR="008A6372" w:rsidRPr="006B62C6" w:rsidRDefault="008A6372" w:rsidP="008A6372">
      <w:pPr>
        <w:widowControl w:val="0"/>
        <w:autoSpaceDE w:val="0"/>
        <w:autoSpaceDN w:val="0"/>
        <w:adjustRightInd w:val="0"/>
        <w:ind w:left="851"/>
        <w:rPr>
          <w:szCs w:val="22"/>
        </w:rPr>
      </w:pPr>
      <w:r w:rsidRPr="006B62C6">
        <w:rPr>
          <w:szCs w:val="22"/>
        </w:rPr>
        <w:t>Dette veterinærlægemiddel kan være irriterende for huden og inducere overfølsomhedsreaktioner</w:t>
      </w:r>
      <w:r w:rsidRPr="00D727D2">
        <w:rPr>
          <w:szCs w:val="22"/>
        </w:rPr>
        <w:t xml:space="preserve">. Ved overfølsomhed over for </w:t>
      </w:r>
      <w:proofErr w:type="spellStart"/>
      <w:r w:rsidRPr="00D727D2">
        <w:rPr>
          <w:szCs w:val="22"/>
        </w:rPr>
        <w:t>kortikosterioider</w:t>
      </w:r>
      <w:proofErr w:type="spellEnd"/>
      <w:r w:rsidRPr="00D727D2">
        <w:rPr>
          <w:szCs w:val="22"/>
        </w:rPr>
        <w:t xml:space="preserve"> eller salicylsyre bør kontakt med veterinærlægemidlet</w:t>
      </w:r>
      <w:r w:rsidRPr="006B62C6">
        <w:rPr>
          <w:szCs w:val="22"/>
        </w:rPr>
        <w:t xml:space="preserve"> undgås. </w:t>
      </w:r>
    </w:p>
    <w:p w:rsidR="008A6372" w:rsidRPr="006B62C6" w:rsidRDefault="008A6372" w:rsidP="008A6372">
      <w:pPr>
        <w:widowControl w:val="0"/>
        <w:autoSpaceDE w:val="0"/>
        <w:autoSpaceDN w:val="0"/>
        <w:adjustRightInd w:val="0"/>
        <w:ind w:left="851"/>
        <w:rPr>
          <w:szCs w:val="22"/>
        </w:rPr>
      </w:pPr>
      <w:r w:rsidRPr="006B62C6">
        <w:rPr>
          <w:szCs w:val="22"/>
        </w:rPr>
        <w:t xml:space="preserve">Undgå hudkontakt med veterinærlægemidlet. </w:t>
      </w:r>
      <w:r w:rsidRPr="00F260F0">
        <w:t xml:space="preserve">Personligt beskyttelsesudstyr i form af </w:t>
      </w:r>
      <w:r>
        <w:t>uigennemtrængelige engangshandsker</w:t>
      </w:r>
      <w:r w:rsidRPr="00F260F0">
        <w:t xml:space="preserve"> bør anvendes ved håndtering af </w:t>
      </w:r>
      <w:r w:rsidRPr="00245906">
        <w:rPr>
          <w:szCs w:val="22"/>
        </w:rPr>
        <w:t>veterinær</w:t>
      </w:r>
      <w:r w:rsidRPr="00245906">
        <w:t>lægemidlet</w:t>
      </w:r>
      <w:r w:rsidRPr="006B62C6">
        <w:rPr>
          <w:szCs w:val="22"/>
        </w:rPr>
        <w:t>, herunder når du gnubber dyrets angrebne hudområde eller holder dyret under behandlingen. Hvis du kommer i kontakt med veterinærlægemidlet, vaskes hænder og udsat hud, og der søges lægehjælp ved overfølsomhedsreaktioner eller vedvarende irritation.</w:t>
      </w:r>
    </w:p>
    <w:p w:rsidR="008A6372" w:rsidRPr="006B62C6" w:rsidRDefault="008A6372" w:rsidP="008A6372">
      <w:pPr>
        <w:widowControl w:val="0"/>
        <w:autoSpaceDE w:val="0"/>
        <w:autoSpaceDN w:val="0"/>
        <w:adjustRightInd w:val="0"/>
        <w:ind w:left="851"/>
        <w:rPr>
          <w:szCs w:val="22"/>
        </w:rPr>
      </w:pPr>
    </w:p>
    <w:p w:rsidR="008A6372" w:rsidRPr="006B62C6" w:rsidRDefault="008A6372" w:rsidP="008A6372">
      <w:pPr>
        <w:widowControl w:val="0"/>
        <w:autoSpaceDE w:val="0"/>
        <w:autoSpaceDN w:val="0"/>
        <w:adjustRightInd w:val="0"/>
        <w:ind w:left="851"/>
        <w:rPr>
          <w:szCs w:val="22"/>
        </w:rPr>
      </w:pPr>
      <w:r w:rsidRPr="006B62C6">
        <w:rPr>
          <w:szCs w:val="22"/>
        </w:rPr>
        <w:t xml:space="preserve">Dette veterinærlægemiddel kan irritere øjnene. Undgå kontakt med øjnene, herunder hånd-til-øje-kontakt. Hvis øjnene kommer i kontakt med veterinærlægemidlet, skylles med rent vand. </w:t>
      </w:r>
      <w:r w:rsidRPr="00534B99">
        <w:rPr>
          <w:szCs w:val="22"/>
        </w:rPr>
        <w:t>Hvis øjenirritationen vedvarer, søges lægehjælp, og indlægssedlen eller etiketten bør vises til lægen.</w:t>
      </w:r>
    </w:p>
    <w:p w:rsidR="008A6372" w:rsidRPr="006B62C6" w:rsidRDefault="008A6372" w:rsidP="008A6372">
      <w:pPr>
        <w:widowControl w:val="0"/>
        <w:autoSpaceDE w:val="0"/>
        <w:autoSpaceDN w:val="0"/>
        <w:adjustRightInd w:val="0"/>
        <w:ind w:left="851"/>
        <w:rPr>
          <w:szCs w:val="22"/>
        </w:rPr>
      </w:pPr>
    </w:p>
    <w:p w:rsidR="008A6372" w:rsidRPr="006B62C6" w:rsidRDefault="008A6372" w:rsidP="008A6372">
      <w:pPr>
        <w:widowControl w:val="0"/>
        <w:autoSpaceDE w:val="0"/>
        <w:autoSpaceDN w:val="0"/>
        <w:adjustRightInd w:val="0"/>
        <w:ind w:left="851"/>
        <w:rPr>
          <w:szCs w:val="22"/>
        </w:rPr>
      </w:pPr>
      <w:r w:rsidRPr="006B62C6">
        <w:rPr>
          <w:szCs w:val="22"/>
        </w:rPr>
        <w:t xml:space="preserve">Dette veterinærlægemiddel kan være skadeligt ved indånding, særligt for personer med astma. Spray dyret i et velventileret rum. Undgå at indånde spray-tågen. </w:t>
      </w:r>
    </w:p>
    <w:p w:rsidR="008A6372" w:rsidRPr="006B62C6" w:rsidRDefault="008A6372" w:rsidP="008A6372">
      <w:pPr>
        <w:widowControl w:val="0"/>
        <w:autoSpaceDE w:val="0"/>
        <w:autoSpaceDN w:val="0"/>
        <w:adjustRightInd w:val="0"/>
        <w:ind w:left="851"/>
        <w:rPr>
          <w:szCs w:val="22"/>
        </w:rPr>
      </w:pPr>
    </w:p>
    <w:p w:rsidR="008A6372" w:rsidRPr="006B62C6" w:rsidRDefault="008A6372" w:rsidP="008A6372">
      <w:pPr>
        <w:widowControl w:val="0"/>
        <w:autoSpaceDE w:val="0"/>
        <w:autoSpaceDN w:val="0"/>
        <w:adjustRightInd w:val="0"/>
        <w:ind w:left="851"/>
        <w:rPr>
          <w:szCs w:val="22"/>
        </w:rPr>
      </w:pPr>
      <w:r w:rsidRPr="006B62C6">
        <w:rPr>
          <w:szCs w:val="22"/>
        </w:rPr>
        <w:t>Nyligt behandlede dyr bør ikke håndteres, og børn bør ikke få lov til at lege med nyligt behandlede dyr, indtil det behandlede område i pelsen er tørt. Det anbefales, at nyligt behandlede dyr ikke bør gives lov til at sove sammen med deres ejere, særligt husets børn.</w:t>
      </w:r>
    </w:p>
    <w:p w:rsidR="008A6372" w:rsidRPr="006B62C6" w:rsidRDefault="008A6372" w:rsidP="008A6372">
      <w:pPr>
        <w:ind w:left="851"/>
        <w:rPr>
          <w:szCs w:val="22"/>
        </w:rPr>
      </w:pPr>
    </w:p>
    <w:p w:rsidR="008A6372" w:rsidRPr="006B62C6" w:rsidRDefault="008A6372" w:rsidP="008A6372">
      <w:pPr>
        <w:ind w:left="851"/>
        <w:rPr>
          <w:szCs w:val="22"/>
          <w:u w:val="single"/>
        </w:rPr>
      </w:pPr>
      <w:r w:rsidRPr="006B62C6">
        <w:rPr>
          <w:szCs w:val="22"/>
          <w:u w:val="single"/>
        </w:rPr>
        <w:t>Særlige forholdsregler vedrørende beskyttelse af miljøet</w:t>
      </w:r>
      <w:r w:rsidRPr="00D555B5">
        <w:rPr>
          <w:szCs w:val="22"/>
        </w:rPr>
        <w:t>:</w:t>
      </w:r>
    </w:p>
    <w:p w:rsidR="008A6372" w:rsidRPr="006B62C6" w:rsidRDefault="008A6372" w:rsidP="008A6372">
      <w:pPr>
        <w:ind w:left="851"/>
        <w:rPr>
          <w:szCs w:val="22"/>
        </w:rPr>
      </w:pPr>
    </w:p>
    <w:p w:rsidR="008A6372" w:rsidRPr="006B62C6" w:rsidRDefault="008A6372" w:rsidP="008A6372">
      <w:pPr>
        <w:ind w:left="851"/>
        <w:rPr>
          <w:szCs w:val="22"/>
        </w:rPr>
      </w:pPr>
      <w:r w:rsidRPr="006B62C6">
        <w:rPr>
          <w:szCs w:val="22"/>
        </w:rPr>
        <w:t>Ikke relevant.</w:t>
      </w:r>
    </w:p>
    <w:p w:rsidR="008A6372" w:rsidRPr="006B62C6" w:rsidRDefault="008A6372" w:rsidP="008A6372">
      <w:pPr>
        <w:rPr>
          <w:szCs w:val="22"/>
        </w:rPr>
      </w:pPr>
    </w:p>
    <w:p w:rsidR="008A6372" w:rsidRPr="006B62C6" w:rsidRDefault="008A6372" w:rsidP="008A6372">
      <w:pPr>
        <w:rPr>
          <w:szCs w:val="22"/>
        </w:rPr>
      </w:pPr>
    </w:p>
    <w:p w:rsidR="008A6372" w:rsidRPr="006B62C6" w:rsidRDefault="008A6372" w:rsidP="008A6372">
      <w:pPr>
        <w:pStyle w:val="Style1"/>
        <w:ind w:left="851" w:hanging="851"/>
      </w:pPr>
      <w:r w:rsidRPr="006B62C6">
        <w:t>3.6</w:t>
      </w:r>
      <w:r w:rsidRPr="006B62C6">
        <w:tab/>
        <w:t>Bivirkninger</w:t>
      </w:r>
    </w:p>
    <w:p w:rsidR="008A6372" w:rsidRPr="006B62C6" w:rsidRDefault="008A6372" w:rsidP="008A6372">
      <w:pPr>
        <w:rPr>
          <w:szCs w:val="22"/>
        </w:rPr>
      </w:pPr>
    </w:p>
    <w:p w:rsidR="008A6372" w:rsidRPr="00873007" w:rsidRDefault="008A6372" w:rsidP="008A6372">
      <w:pPr>
        <w:autoSpaceDE w:val="0"/>
        <w:autoSpaceDN w:val="0"/>
        <w:adjustRightInd w:val="0"/>
        <w:ind w:firstLine="851"/>
        <w:rPr>
          <w:szCs w:val="22"/>
        </w:rPr>
      </w:pPr>
      <w:r>
        <w:t>Hunde og katte:</w:t>
      </w:r>
    </w:p>
    <w:p w:rsidR="008A6372" w:rsidRPr="00873007" w:rsidRDefault="008A6372" w:rsidP="008A6372">
      <w:pPr>
        <w:autoSpaceDE w:val="0"/>
        <w:autoSpaceDN w:val="0"/>
        <w:adjustRightInd w:val="0"/>
        <w:rPr>
          <w:szCs w:val="22"/>
          <w:u w:val="single"/>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673"/>
      </w:tblGrid>
      <w:tr w:rsidR="008A6372" w:rsidRPr="00873007" w:rsidTr="008A6372">
        <w:tc>
          <w:tcPr>
            <w:tcW w:w="2340" w:type="pct"/>
          </w:tcPr>
          <w:p w:rsidR="008A6372" w:rsidRPr="00873007" w:rsidRDefault="008A6372" w:rsidP="00BF48AD">
            <w:pPr>
              <w:autoSpaceDE w:val="0"/>
              <w:autoSpaceDN w:val="0"/>
              <w:adjustRightInd w:val="0"/>
              <w:rPr>
                <w:bCs/>
                <w:szCs w:val="22"/>
              </w:rPr>
            </w:pPr>
            <w:r>
              <w:t>Ikke kendt (hyppigheden kan ikke estimeres ud fra forhåndenværende data.)</w:t>
            </w:r>
          </w:p>
        </w:tc>
        <w:tc>
          <w:tcPr>
            <w:tcW w:w="2660" w:type="pct"/>
          </w:tcPr>
          <w:p w:rsidR="008A6372" w:rsidRPr="00873007" w:rsidRDefault="008A6372" w:rsidP="00BF48AD">
            <w:pPr>
              <w:autoSpaceDE w:val="0"/>
              <w:autoSpaceDN w:val="0"/>
              <w:adjustRightInd w:val="0"/>
              <w:rPr>
                <w:bCs/>
                <w:szCs w:val="22"/>
                <w:vertAlign w:val="superscript"/>
              </w:rPr>
            </w:pPr>
            <w:r>
              <w:t xml:space="preserve">Udtynding af </w:t>
            </w:r>
            <w:proofErr w:type="spellStart"/>
            <w:r>
              <w:t>huden</w:t>
            </w:r>
            <w:r>
              <w:rPr>
                <w:vertAlign w:val="superscript"/>
              </w:rPr>
              <w:t>a</w:t>
            </w:r>
            <w:proofErr w:type="spellEnd"/>
          </w:p>
          <w:p w:rsidR="008A6372" w:rsidRPr="00873007" w:rsidRDefault="008A6372" w:rsidP="00BF48AD">
            <w:pPr>
              <w:autoSpaceDE w:val="0"/>
              <w:autoSpaceDN w:val="0"/>
              <w:adjustRightInd w:val="0"/>
              <w:rPr>
                <w:bCs/>
                <w:szCs w:val="22"/>
                <w:vertAlign w:val="superscript"/>
              </w:rPr>
            </w:pPr>
            <w:r>
              <w:t xml:space="preserve">Forsinket </w:t>
            </w:r>
            <w:proofErr w:type="spellStart"/>
            <w:r>
              <w:t>opheling</w:t>
            </w:r>
            <w:r>
              <w:rPr>
                <w:vertAlign w:val="superscript"/>
              </w:rPr>
              <w:t>a</w:t>
            </w:r>
            <w:proofErr w:type="spellEnd"/>
          </w:p>
          <w:p w:rsidR="008A6372" w:rsidRPr="00873007" w:rsidRDefault="008A6372" w:rsidP="00BF48AD">
            <w:pPr>
              <w:autoSpaceDE w:val="0"/>
              <w:autoSpaceDN w:val="0"/>
              <w:adjustRightInd w:val="0"/>
              <w:rPr>
                <w:bCs/>
                <w:szCs w:val="22"/>
                <w:vertAlign w:val="superscript"/>
              </w:rPr>
            </w:pPr>
            <w:proofErr w:type="spellStart"/>
            <w:r>
              <w:t>Binyrefunktionssuppression</w:t>
            </w:r>
            <w:r>
              <w:rPr>
                <w:vertAlign w:val="superscript"/>
              </w:rPr>
              <w:t>a</w:t>
            </w:r>
            <w:proofErr w:type="spellEnd"/>
          </w:p>
        </w:tc>
      </w:tr>
    </w:tbl>
    <w:p w:rsidR="008A6372" w:rsidRPr="00726338" w:rsidRDefault="008A6372" w:rsidP="008A6372">
      <w:pPr>
        <w:autoSpaceDE w:val="0"/>
        <w:autoSpaceDN w:val="0"/>
        <w:adjustRightInd w:val="0"/>
        <w:ind w:left="851"/>
        <w:rPr>
          <w:color w:val="8496B0" w:themeColor="text2" w:themeTint="99"/>
          <w:szCs w:val="22"/>
        </w:rPr>
      </w:pPr>
      <w:r>
        <w:rPr>
          <w:vertAlign w:val="superscript"/>
        </w:rPr>
        <w:t>a</w:t>
      </w:r>
      <w:r>
        <w:t xml:space="preserve"> Lokale og systemiske virkninger er kendt for at blive udløst ved langvarig og omfattende anvendelse af </w:t>
      </w:r>
      <w:proofErr w:type="spellStart"/>
      <w:r>
        <w:t>topikale</w:t>
      </w:r>
      <w:proofErr w:type="spellEnd"/>
      <w:r>
        <w:t xml:space="preserve"> </w:t>
      </w:r>
      <w:proofErr w:type="spellStart"/>
      <w:r>
        <w:t>kortikosteroidpræparater</w:t>
      </w:r>
      <w:proofErr w:type="spellEnd"/>
      <w:r>
        <w:rPr>
          <w:color w:val="8496B0" w:themeColor="text2" w:themeTint="99"/>
        </w:rPr>
        <w:t>.</w:t>
      </w:r>
    </w:p>
    <w:p w:rsidR="008A6372" w:rsidRPr="006B62C6" w:rsidRDefault="008A6372" w:rsidP="008A6372">
      <w:pPr>
        <w:ind w:left="851"/>
        <w:rPr>
          <w:szCs w:val="22"/>
        </w:rPr>
      </w:pPr>
    </w:p>
    <w:p w:rsidR="008A6372" w:rsidRPr="008A6372" w:rsidRDefault="008A6372" w:rsidP="008A6372">
      <w:pPr>
        <w:ind w:left="851"/>
        <w:rPr>
          <w:b/>
          <w:szCs w:val="22"/>
        </w:rPr>
      </w:pPr>
      <w:bookmarkStart w:id="0" w:name="_Hlk66891708"/>
      <w:r w:rsidRPr="006B62C6">
        <w:rPr>
          <w:szCs w:val="22"/>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w:t>
      </w:r>
      <w:r>
        <w:rPr>
          <w:szCs w:val="22"/>
        </w:rPr>
        <w:t xml:space="preserve"> ogs</w:t>
      </w:r>
      <w:r>
        <w:rPr>
          <w:color w:val="000000"/>
        </w:rPr>
        <w:t>å sidste afsnit i</w:t>
      </w:r>
      <w:r w:rsidRPr="006B62C6">
        <w:rPr>
          <w:szCs w:val="22"/>
        </w:rPr>
        <w:t xml:space="preserve"> indlægssedlen for de relevante kontaktoplysninger.</w:t>
      </w:r>
    </w:p>
    <w:bookmarkEnd w:id="0"/>
    <w:p w:rsidR="008A6372" w:rsidRPr="006B62C6" w:rsidRDefault="008A6372" w:rsidP="008A6372">
      <w:pPr>
        <w:rPr>
          <w:szCs w:val="22"/>
        </w:rPr>
      </w:pPr>
    </w:p>
    <w:p w:rsidR="008A6372" w:rsidRPr="006B62C6" w:rsidRDefault="008A6372" w:rsidP="008A6372">
      <w:pPr>
        <w:pStyle w:val="Style1"/>
        <w:ind w:left="851" w:hanging="851"/>
      </w:pPr>
      <w:r w:rsidRPr="006B62C6">
        <w:t>3.7</w:t>
      </w:r>
      <w:r w:rsidRPr="006B62C6">
        <w:tab/>
        <w:t>Anvendelse under drægtighed, laktation eller æglægning</w:t>
      </w:r>
    </w:p>
    <w:p w:rsidR="008A6372" w:rsidRPr="006B62C6" w:rsidRDefault="008A6372" w:rsidP="008A6372">
      <w:pPr>
        <w:rPr>
          <w:szCs w:val="22"/>
        </w:rPr>
      </w:pPr>
    </w:p>
    <w:p w:rsidR="008A6372" w:rsidRPr="006B62C6" w:rsidRDefault="008A6372" w:rsidP="008A6372">
      <w:pPr>
        <w:ind w:left="851"/>
        <w:rPr>
          <w:szCs w:val="22"/>
        </w:rPr>
      </w:pPr>
      <w:r w:rsidRPr="006B62C6">
        <w:rPr>
          <w:szCs w:val="22"/>
          <w:u w:val="single"/>
        </w:rPr>
        <w:t>Drægtighed og laktation</w:t>
      </w:r>
      <w:r w:rsidRPr="006B62C6">
        <w:rPr>
          <w:szCs w:val="22"/>
        </w:rPr>
        <w:t>:</w:t>
      </w:r>
    </w:p>
    <w:p w:rsidR="008A6372" w:rsidRPr="006B62C6" w:rsidRDefault="008A6372" w:rsidP="008A6372">
      <w:pPr>
        <w:ind w:left="851"/>
        <w:rPr>
          <w:szCs w:val="22"/>
        </w:rPr>
      </w:pPr>
      <w:r w:rsidRPr="001F2652">
        <w:rPr>
          <w:szCs w:val="22"/>
        </w:rPr>
        <w:t>Veterinærl</w:t>
      </w:r>
      <w:r w:rsidRPr="00EB0BC7">
        <w:t>æ</w:t>
      </w:r>
      <w:r w:rsidRPr="00F260F0">
        <w:t xml:space="preserve">gemidlets sikkerhed </w:t>
      </w:r>
      <w:r>
        <w:t xml:space="preserve">under </w:t>
      </w:r>
      <w:r w:rsidRPr="001F2652">
        <w:t>drægtighed</w:t>
      </w:r>
      <w:r>
        <w:t xml:space="preserve"> og </w:t>
      </w:r>
      <w:r w:rsidRPr="001F2652">
        <w:t>laktation er ikke fastlagt.</w:t>
      </w:r>
      <w:r>
        <w:t xml:space="preserve"> </w:t>
      </w:r>
      <w:r>
        <w:rPr>
          <w:color w:val="000000"/>
        </w:rPr>
        <w:t>Må ikke anvendes under drægtighed og laktation</w:t>
      </w:r>
      <w:r>
        <w:rPr>
          <w:szCs w:val="22"/>
        </w:rPr>
        <w:t>.</w:t>
      </w:r>
    </w:p>
    <w:p w:rsidR="008A6372" w:rsidRDefault="008A6372" w:rsidP="008A6372">
      <w:pPr>
        <w:pStyle w:val="Style1"/>
      </w:pPr>
    </w:p>
    <w:p w:rsidR="008A6372" w:rsidRPr="006B62C6" w:rsidRDefault="008A6372" w:rsidP="008A6372">
      <w:pPr>
        <w:pStyle w:val="Style1"/>
        <w:ind w:left="851" w:hanging="851"/>
      </w:pPr>
      <w:r w:rsidRPr="006B62C6">
        <w:t>3.8</w:t>
      </w:r>
      <w:r w:rsidRPr="006B62C6">
        <w:tab/>
        <w:t>Interaktion med andre lægemidler og andre former for interaktion</w:t>
      </w:r>
    </w:p>
    <w:p w:rsidR="008A6372" w:rsidRPr="006B62C6" w:rsidRDefault="008A6372" w:rsidP="008A6372">
      <w:pPr>
        <w:rPr>
          <w:szCs w:val="22"/>
        </w:rPr>
      </w:pPr>
    </w:p>
    <w:p w:rsidR="008A6372" w:rsidRPr="006B62C6" w:rsidRDefault="008A6372" w:rsidP="008A6372">
      <w:pPr>
        <w:ind w:left="851"/>
        <w:rPr>
          <w:szCs w:val="22"/>
        </w:rPr>
      </w:pPr>
      <w:r w:rsidRPr="006B62C6">
        <w:rPr>
          <w:szCs w:val="22"/>
        </w:rPr>
        <w:lastRenderedPageBreak/>
        <w:t>Der foreligger ingen data.</w:t>
      </w:r>
      <w:r w:rsidRPr="006B62C6">
        <w:rPr>
          <w:color w:val="FF0000"/>
          <w:szCs w:val="22"/>
        </w:rPr>
        <w:t xml:space="preserve"> </w:t>
      </w:r>
      <w:r w:rsidRPr="006B62C6">
        <w:rPr>
          <w:szCs w:val="22"/>
        </w:rPr>
        <w:t xml:space="preserve">Yderligere </w:t>
      </w:r>
      <w:proofErr w:type="spellStart"/>
      <w:r w:rsidRPr="006B62C6">
        <w:rPr>
          <w:szCs w:val="22"/>
        </w:rPr>
        <w:t>kortikosteroidbehandling</w:t>
      </w:r>
      <w:proofErr w:type="spellEnd"/>
      <w:r w:rsidRPr="006B62C6">
        <w:rPr>
          <w:szCs w:val="22"/>
        </w:rPr>
        <w:t xml:space="preserve"> må kun anvendes i overensstemmelse med den ansvarlige dyrlæges vurdering af benefit</w:t>
      </w:r>
      <w:r>
        <w:rPr>
          <w:szCs w:val="22"/>
        </w:rPr>
        <w:t>/</w:t>
      </w:r>
      <w:proofErr w:type="spellStart"/>
      <w:r>
        <w:rPr>
          <w:szCs w:val="22"/>
        </w:rPr>
        <w:t>risk</w:t>
      </w:r>
      <w:proofErr w:type="spellEnd"/>
      <w:r w:rsidRPr="006B62C6">
        <w:rPr>
          <w:szCs w:val="22"/>
        </w:rPr>
        <w:t>-forholdet.</w:t>
      </w:r>
    </w:p>
    <w:p w:rsidR="008A6372" w:rsidRPr="006B62C6" w:rsidRDefault="008A6372" w:rsidP="008A6372">
      <w:pPr>
        <w:ind w:left="851"/>
        <w:rPr>
          <w:szCs w:val="22"/>
        </w:rPr>
      </w:pPr>
    </w:p>
    <w:p w:rsidR="008A6372" w:rsidRPr="006B62C6" w:rsidRDefault="008A6372" w:rsidP="008A6372">
      <w:pPr>
        <w:pStyle w:val="Style1"/>
        <w:ind w:left="851" w:hanging="851"/>
      </w:pPr>
      <w:r w:rsidRPr="006B62C6">
        <w:t>3.9</w:t>
      </w:r>
      <w:r w:rsidRPr="006B62C6">
        <w:tab/>
        <w:t>Administrationsveje og dosering</w:t>
      </w:r>
    </w:p>
    <w:p w:rsidR="008A6372" w:rsidRPr="006B62C6" w:rsidRDefault="008A6372" w:rsidP="008A6372">
      <w:pPr>
        <w:rPr>
          <w:szCs w:val="22"/>
        </w:rPr>
      </w:pPr>
    </w:p>
    <w:p w:rsidR="008A6372" w:rsidRPr="00D555B5" w:rsidRDefault="008A6372" w:rsidP="008A6372">
      <w:pPr>
        <w:widowControl w:val="0"/>
        <w:autoSpaceDE w:val="0"/>
        <w:autoSpaceDN w:val="0"/>
        <w:adjustRightInd w:val="0"/>
        <w:ind w:left="851"/>
        <w:rPr>
          <w:szCs w:val="22"/>
        </w:rPr>
      </w:pPr>
      <w:proofErr w:type="spellStart"/>
      <w:r w:rsidRPr="00D555B5">
        <w:rPr>
          <w:szCs w:val="22"/>
        </w:rPr>
        <w:t>Kutan</w:t>
      </w:r>
      <w:proofErr w:type="spellEnd"/>
      <w:r w:rsidRPr="00D555B5">
        <w:rPr>
          <w:szCs w:val="22"/>
        </w:rPr>
        <w:t xml:space="preserve"> anvendelse. </w:t>
      </w:r>
    </w:p>
    <w:p w:rsidR="008A6372" w:rsidRPr="006B62C6" w:rsidRDefault="008A6372" w:rsidP="008A6372">
      <w:pPr>
        <w:widowControl w:val="0"/>
        <w:autoSpaceDE w:val="0"/>
        <w:autoSpaceDN w:val="0"/>
        <w:adjustRightInd w:val="0"/>
        <w:ind w:left="851"/>
        <w:rPr>
          <w:szCs w:val="22"/>
        </w:rPr>
      </w:pPr>
      <w:r w:rsidRPr="006B62C6">
        <w:rPr>
          <w:szCs w:val="22"/>
        </w:rPr>
        <w:t>Behandlingsdosis er 1 pumpeslag pr. 1,75 kg kropsvægt. Administreres to gange dagligt.</w:t>
      </w:r>
    </w:p>
    <w:p w:rsidR="008A6372" w:rsidRPr="006B62C6" w:rsidRDefault="008A6372" w:rsidP="008A6372">
      <w:pPr>
        <w:widowControl w:val="0"/>
        <w:autoSpaceDE w:val="0"/>
        <w:autoSpaceDN w:val="0"/>
        <w:adjustRightInd w:val="0"/>
        <w:ind w:left="851"/>
        <w:rPr>
          <w:szCs w:val="22"/>
        </w:rPr>
      </w:pPr>
    </w:p>
    <w:p w:rsidR="008A6372" w:rsidRPr="006B62C6" w:rsidRDefault="008A6372" w:rsidP="008A6372">
      <w:pPr>
        <w:widowControl w:val="0"/>
        <w:autoSpaceDE w:val="0"/>
        <w:autoSpaceDN w:val="0"/>
        <w:adjustRightInd w:val="0"/>
        <w:ind w:left="851"/>
        <w:rPr>
          <w:szCs w:val="22"/>
        </w:rPr>
      </w:pPr>
      <w:r w:rsidRPr="006B62C6">
        <w:rPr>
          <w:szCs w:val="22"/>
        </w:rPr>
        <w:t xml:space="preserve">Da </w:t>
      </w:r>
      <w:r>
        <w:rPr>
          <w:szCs w:val="22"/>
        </w:rPr>
        <w:t>veterinærlægemidlet</w:t>
      </w:r>
      <w:r w:rsidRPr="006B62C6">
        <w:rPr>
          <w:szCs w:val="22"/>
        </w:rPr>
        <w:t xml:space="preserve"> skal appliceres to gange dagligt, skal dyrene veje mindst 3,5 kg for at der kan gives 2 pumpeslag dagligt (1 pumpeslag to gange dagligt).</w:t>
      </w:r>
    </w:p>
    <w:p w:rsidR="008A6372" w:rsidRPr="006B62C6" w:rsidRDefault="008A6372" w:rsidP="008A6372">
      <w:pPr>
        <w:widowControl w:val="0"/>
        <w:autoSpaceDE w:val="0"/>
        <w:autoSpaceDN w:val="0"/>
        <w:adjustRightInd w:val="0"/>
        <w:ind w:left="851"/>
        <w:rPr>
          <w:szCs w:val="22"/>
        </w:rPr>
      </w:pPr>
    </w:p>
    <w:p w:rsidR="008A6372" w:rsidRPr="006B62C6" w:rsidRDefault="008A6372" w:rsidP="008A6372">
      <w:pPr>
        <w:widowControl w:val="0"/>
        <w:autoSpaceDE w:val="0"/>
        <w:autoSpaceDN w:val="0"/>
        <w:adjustRightInd w:val="0"/>
        <w:ind w:left="851"/>
        <w:rPr>
          <w:szCs w:val="22"/>
        </w:rPr>
      </w:pPr>
      <w:r w:rsidRPr="006B62C6">
        <w:rPr>
          <w:szCs w:val="22"/>
        </w:rPr>
        <w:t xml:space="preserve">Sørg for, at åbningen af spraypumpen peger hen mod området, der skal behandles. Børst dyrets pels modsat hårenes naturlige retning, og spray så veterinærlægemidlet ved at holde pumpen ca. </w:t>
      </w:r>
      <w:smartTag w:uri="urn:schemas-microsoft-com:office:smarttags" w:element="metricconverter">
        <w:smartTagPr>
          <w:attr w:name="ProductID" w:val="10 cm"/>
        </w:smartTagPr>
        <w:r w:rsidRPr="006B62C6">
          <w:rPr>
            <w:szCs w:val="22"/>
          </w:rPr>
          <w:t>10 cm</w:t>
        </w:r>
      </w:smartTag>
      <w:r w:rsidRPr="006B62C6">
        <w:rPr>
          <w:szCs w:val="22"/>
        </w:rPr>
        <w:t xml:space="preserve"> fra området, der skal behandles. Vær omhyggelig med at omgå at spraye i nærheden af dyrets ansigt.</w:t>
      </w:r>
    </w:p>
    <w:p w:rsidR="008A6372" w:rsidRPr="006B62C6" w:rsidRDefault="008A6372" w:rsidP="008A6372">
      <w:pPr>
        <w:widowControl w:val="0"/>
        <w:autoSpaceDE w:val="0"/>
        <w:autoSpaceDN w:val="0"/>
        <w:adjustRightInd w:val="0"/>
        <w:ind w:left="851"/>
        <w:rPr>
          <w:szCs w:val="22"/>
        </w:rPr>
      </w:pPr>
      <w:r w:rsidRPr="006B62C6">
        <w:rPr>
          <w:szCs w:val="22"/>
        </w:rPr>
        <w:t xml:space="preserve">Om nødvendigt gnides veterinærlægemidlet forsigtigt ind i området, så det kan trænge ind til hele det angrebne hudområde. Lad området tørre. Ved alvorlige tilfælde hos hunde, kan virkningen af veterinærlægemidlet øges ved at applicere et andet og tredje lag umiddelbart efter, at det første lag er tørret, hvis det samlede antal anvendte pumpeslag ikke overstiger det maksimale antal (1 pumpeslag pr. 1,75 kg. administreres to gange dagligt). Et pumpeslag leverer ca. 0,2 ml veterinærlægemiddel i et cirkelformet område på ca. </w:t>
      </w:r>
      <w:smartTag w:uri="urn:schemas-microsoft-com:office:smarttags" w:element="metricconverter">
        <w:smartTagPr>
          <w:attr w:name="ProductID" w:val="10 cm"/>
        </w:smartTagPr>
        <w:r w:rsidRPr="006B62C6">
          <w:rPr>
            <w:szCs w:val="22"/>
          </w:rPr>
          <w:t>10 cm</w:t>
        </w:r>
      </w:smartTag>
      <w:r w:rsidRPr="006B62C6">
        <w:rPr>
          <w:szCs w:val="22"/>
        </w:rPr>
        <w:t xml:space="preserve"> i diameter. </w:t>
      </w:r>
    </w:p>
    <w:p w:rsidR="008A6372" w:rsidRPr="006B62C6" w:rsidRDefault="008A6372" w:rsidP="008A6372">
      <w:pPr>
        <w:widowControl w:val="0"/>
        <w:autoSpaceDE w:val="0"/>
        <w:autoSpaceDN w:val="0"/>
        <w:adjustRightInd w:val="0"/>
        <w:ind w:left="851"/>
        <w:rPr>
          <w:szCs w:val="22"/>
        </w:rPr>
      </w:pPr>
      <w:r w:rsidRPr="006B62C6">
        <w:rPr>
          <w:szCs w:val="22"/>
        </w:rPr>
        <w:t>Behandlingen skal fortsættes uden afbrydelse indtil nogle få dage efter, at de kliniske symptomer er forsvundet helt, men ikke længere end 14 dage.</w:t>
      </w:r>
    </w:p>
    <w:p w:rsidR="008A6372" w:rsidRPr="006B62C6" w:rsidRDefault="008A6372" w:rsidP="008A6372">
      <w:pPr>
        <w:rPr>
          <w:b/>
          <w:szCs w:val="22"/>
        </w:rPr>
      </w:pPr>
    </w:p>
    <w:p w:rsidR="008A6372" w:rsidRPr="006B62C6" w:rsidRDefault="008A6372" w:rsidP="008A6372">
      <w:pPr>
        <w:pStyle w:val="Style1"/>
        <w:ind w:left="851" w:hanging="851"/>
      </w:pPr>
      <w:r w:rsidRPr="006B62C6">
        <w:t>3.10</w:t>
      </w:r>
      <w:r w:rsidRPr="006B62C6">
        <w:tab/>
        <w:t>Symptomer på overdosering (og, hvis relevant, nødforanstaltninger og modgift)</w:t>
      </w:r>
    </w:p>
    <w:p w:rsidR="008A6372" w:rsidRPr="006B62C6" w:rsidRDefault="008A6372" w:rsidP="008A6372">
      <w:pPr>
        <w:rPr>
          <w:szCs w:val="22"/>
        </w:rPr>
      </w:pPr>
    </w:p>
    <w:p w:rsidR="008A6372" w:rsidRPr="006B62C6" w:rsidRDefault="008A6372" w:rsidP="008A6372">
      <w:pPr>
        <w:widowControl w:val="0"/>
        <w:autoSpaceDE w:val="0"/>
        <w:autoSpaceDN w:val="0"/>
        <w:adjustRightInd w:val="0"/>
        <w:ind w:firstLine="851"/>
        <w:rPr>
          <w:szCs w:val="22"/>
        </w:rPr>
      </w:pPr>
      <w:r w:rsidRPr="006B62C6">
        <w:rPr>
          <w:szCs w:val="22"/>
        </w:rPr>
        <w:t xml:space="preserve">Langvarig anvendelse af høje doser </w:t>
      </w:r>
      <w:proofErr w:type="spellStart"/>
      <w:r w:rsidRPr="006B62C6">
        <w:rPr>
          <w:szCs w:val="22"/>
        </w:rPr>
        <w:t>triamcinolon</w:t>
      </w:r>
      <w:proofErr w:type="spellEnd"/>
      <w:r w:rsidRPr="006B62C6">
        <w:rPr>
          <w:szCs w:val="22"/>
        </w:rPr>
        <w:t xml:space="preserve"> kan fremkalde binyreinsufficiens.</w:t>
      </w:r>
    </w:p>
    <w:p w:rsidR="008A6372" w:rsidRPr="006B62C6" w:rsidRDefault="008A6372" w:rsidP="008A6372">
      <w:pPr>
        <w:rPr>
          <w:szCs w:val="22"/>
        </w:rPr>
      </w:pPr>
    </w:p>
    <w:p w:rsidR="008A6372" w:rsidRPr="006B62C6" w:rsidRDefault="008A6372" w:rsidP="008A6372">
      <w:pPr>
        <w:pStyle w:val="Style1"/>
        <w:ind w:left="851" w:hanging="851"/>
      </w:pPr>
      <w:r w:rsidRPr="006B62C6">
        <w:t>3.11</w:t>
      </w:r>
      <w:r w:rsidRPr="006B62C6">
        <w:tab/>
        <w:t>Særlige begrænsninger og betingelser for anvendelse, herunder begrænsninger for anvendelsen af antimikrobielle og antiparasitære veterinærlægemidler for at begrænse risikoen for udvikling af resistens</w:t>
      </w:r>
    </w:p>
    <w:p w:rsidR="008A6372" w:rsidRPr="006B62C6" w:rsidRDefault="008A6372" w:rsidP="008A6372">
      <w:pPr>
        <w:rPr>
          <w:szCs w:val="22"/>
        </w:rPr>
      </w:pPr>
    </w:p>
    <w:p w:rsidR="008A6372" w:rsidRDefault="008A6372" w:rsidP="008A6372">
      <w:pPr>
        <w:ind w:firstLine="851"/>
        <w:rPr>
          <w:szCs w:val="22"/>
        </w:rPr>
      </w:pPr>
      <w:r>
        <w:rPr>
          <w:szCs w:val="22"/>
        </w:rPr>
        <w:t>Ikke relevant.</w:t>
      </w:r>
    </w:p>
    <w:p w:rsidR="008A6372" w:rsidRPr="006B62C6" w:rsidRDefault="008A6372" w:rsidP="008A6372">
      <w:pPr>
        <w:rPr>
          <w:szCs w:val="22"/>
        </w:rPr>
      </w:pPr>
    </w:p>
    <w:p w:rsidR="008A6372" w:rsidRPr="006B62C6" w:rsidRDefault="008A6372" w:rsidP="008A6372">
      <w:pPr>
        <w:pStyle w:val="Style1"/>
        <w:ind w:left="851" w:hanging="851"/>
      </w:pPr>
      <w:r w:rsidRPr="006B62C6">
        <w:t>3.12</w:t>
      </w:r>
      <w:r w:rsidRPr="006B62C6">
        <w:tab/>
        <w:t>Tilbageholdelsestid(er)</w:t>
      </w:r>
    </w:p>
    <w:p w:rsidR="008A6372" w:rsidRPr="006B62C6" w:rsidRDefault="008A6372" w:rsidP="008A6372">
      <w:pPr>
        <w:rPr>
          <w:szCs w:val="22"/>
        </w:rPr>
      </w:pPr>
    </w:p>
    <w:p w:rsidR="008A6372" w:rsidRPr="006B62C6" w:rsidRDefault="008A6372" w:rsidP="008A6372">
      <w:pPr>
        <w:ind w:firstLine="851"/>
        <w:rPr>
          <w:szCs w:val="22"/>
        </w:rPr>
      </w:pPr>
      <w:r w:rsidRPr="006B62C6">
        <w:rPr>
          <w:szCs w:val="22"/>
        </w:rPr>
        <w:t>Ikke relevant.</w:t>
      </w:r>
    </w:p>
    <w:p w:rsidR="008A6372" w:rsidRPr="006B62C6" w:rsidRDefault="008A6372" w:rsidP="008A6372">
      <w:pPr>
        <w:rPr>
          <w:szCs w:val="22"/>
        </w:rPr>
      </w:pPr>
    </w:p>
    <w:p w:rsidR="008A6372" w:rsidRPr="006B62C6" w:rsidRDefault="008A6372" w:rsidP="008A6372">
      <w:pPr>
        <w:rPr>
          <w:szCs w:val="22"/>
        </w:rPr>
      </w:pPr>
    </w:p>
    <w:p w:rsidR="008A6372" w:rsidRPr="006B62C6" w:rsidRDefault="008A6372" w:rsidP="008A6372">
      <w:pPr>
        <w:pStyle w:val="Style1"/>
        <w:ind w:left="851" w:hanging="851"/>
      </w:pPr>
      <w:r w:rsidRPr="006B62C6">
        <w:t>4.</w:t>
      </w:r>
      <w:r w:rsidRPr="006B62C6">
        <w:tab/>
        <w:t>FARMAKOLOGISKE OPLYSNINGER</w:t>
      </w:r>
    </w:p>
    <w:p w:rsidR="008A6372" w:rsidRPr="006B62C6" w:rsidRDefault="008A6372" w:rsidP="008A6372">
      <w:pPr>
        <w:rPr>
          <w:szCs w:val="22"/>
        </w:rPr>
      </w:pPr>
    </w:p>
    <w:p w:rsidR="008A6372" w:rsidRPr="006B62C6" w:rsidRDefault="008A6372" w:rsidP="008A6372">
      <w:pPr>
        <w:pStyle w:val="Style1"/>
        <w:ind w:left="851" w:hanging="851"/>
      </w:pPr>
      <w:r w:rsidRPr="006B62C6">
        <w:t>4.1</w:t>
      </w:r>
      <w:r w:rsidRPr="006B62C6">
        <w:tab/>
      </w:r>
      <w:proofErr w:type="spellStart"/>
      <w:r w:rsidRPr="006B62C6">
        <w:t>ATCvet</w:t>
      </w:r>
      <w:proofErr w:type="spellEnd"/>
      <w:r w:rsidRPr="006B62C6">
        <w:t>-kode:</w:t>
      </w:r>
      <w:r>
        <w:t xml:space="preserve"> </w:t>
      </w:r>
      <w:r w:rsidRPr="005123B9">
        <w:rPr>
          <w:b w:val="0"/>
          <w:iCs/>
        </w:rPr>
        <w:t>QD07XB02</w:t>
      </w:r>
    </w:p>
    <w:p w:rsidR="008A6372" w:rsidRPr="006B62C6" w:rsidRDefault="008A6372" w:rsidP="008A6372">
      <w:pPr>
        <w:rPr>
          <w:szCs w:val="22"/>
        </w:rPr>
      </w:pPr>
    </w:p>
    <w:p w:rsidR="008A6372" w:rsidRPr="006B62C6" w:rsidRDefault="008A6372" w:rsidP="008A6372">
      <w:pPr>
        <w:pStyle w:val="Style1"/>
        <w:ind w:left="851" w:hanging="851"/>
      </w:pPr>
      <w:r w:rsidRPr="006B62C6">
        <w:t>4.2</w:t>
      </w:r>
      <w:r w:rsidRPr="006B62C6">
        <w:tab/>
      </w:r>
      <w:proofErr w:type="spellStart"/>
      <w:r w:rsidRPr="006B62C6">
        <w:t>Farmakodynamiske</w:t>
      </w:r>
      <w:proofErr w:type="spellEnd"/>
      <w:r w:rsidRPr="006B62C6">
        <w:t xml:space="preserve"> oplysninger</w:t>
      </w:r>
    </w:p>
    <w:p w:rsidR="008A6372" w:rsidRPr="006B62C6" w:rsidRDefault="008A6372" w:rsidP="008A6372">
      <w:pPr>
        <w:rPr>
          <w:szCs w:val="22"/>
        </w:rPr>
      </w:pPr>
    </w:p>
    <w:p w:rsidR="008A6372" w:rsidRPr="006B62C6" w:rsidRDefault="008A6372" w:rsidP="008A6372">
      <w:pPr>
        <w:ind w:left="851"/>
        <w:rPr>
          <w:szCs w:val="22"/>
        </w:rPr>
      </w:pPr>
      <w:proofErr w:type="spellStart"/>
      <w:r w:rsidRPr="006B62C6">
        <w:rPr>
          <w:szCs w:val="22"/>
        </w:rPr>
        <w:t>Triamcinolonacetonid</w:t>
      </w:r>
      <w:proofErr w:type="spellEnd"/>
      <w:r w:rsidRPr="006B62C6">
        <w:rPr>
          <w:szCs w:val="22"/>
        </w:rPr>
        <w:t xml:space="preserve"> i denne koncentration er et steroid med moderat styrke. </w:t>
      </w:r>
      <w:proofErr w:type="spellStart"/>
      <w:r w:rsidRPr="006B62C6">
        <w:rPr>
          <w:szCs w:val="22"/>
        </w:rPr>
        <w:t>Kortikosteroider</w:t>
      </w:r>
      <w:proofErr w:type="spellEnd"/>
      <w:r w:rsidRPr="006B62C6">
        <w:rPr>
          <w:szCs w:val="22"/>
        </w:rPr>
        <w:t xml:space="preserve"> har en antiinflammatorisk og karkontraherende virkning. De undertrykker det inflammatoriske respons og symptomerne på forskellige lidelser, der ofte forbindes med kløe. Behandlingen kurerer imidlertid ikke de underliggende sygdomme. </w:t>
      </w:r>
    </w:p>
    <w:p w:rsidR="008A6372" w:rsidRPr="006B62C6" w:rsidRDefault="008A6372" w:rsidP="008A6372">
      <w:pPr>
        <w:ind w:left="851"/>
        <w:rPr>
          <w:szCs w:val="22"/>
        </w:rPr>
      </w:pPr>
      <w:r w:rsidRPr="006B62C6">
        <w:rPr>
          <w:szCs w:val="22"/>
        </w:rPr>
        <w:t xml:space="preserve">Salicylsyre har en </w:t>
      </w:r>
      <w:proofErr w:type="spellStart"/>
      <w:r w:rsidRPr="006B62C6">
        <w:rPr>
          <w:szCs w:val="22"/>
        </w:rPr>
        <w:t>keratolytisk</w:t>
      </w:r>
      <w:proofErr w:type="spellEnd"/>
      <w:r w:rsidRPr="006B62C6">
        <w:rPr>
          <w:szCs w:val="22"/>
        </w:rPr>
        <w:t xml:space="preserve"> og </w:t>
      </w:r>
      <w:proofErr w:type="spellStart"/>
      <w:r w:rsidRPr="006B62C6">
        <w:rPr>
          <w:szCs w:val="22"/>
        </w:rPr>
        <w:t>surgørende</w:t>
      </w:r>
      <w:proofErr w:type="spellEnd"/>
      <w:r w:rsidRPr="006B62C6">
        <w:rPr>
          <w:szCs w:val="22"/>
        </w:rPr>
        <w:t xml:space="preserve"> virkning.</w:t>
      </w:r>
    </w:p>
    <w:p w:rsidR="008A6372" w:rsidRPr="006B62C6" w:rsidRDefault="008A6372" w:rsidP="008A6372">
      <w:pPr>
        <w:rPr>
          <w:szCs w:val="22"/>
        </w:rPr>
      </w:pPr>
    </w:p>
    <w:p w:rsidR="008A6372" w:rsidRPr="006B62C6" w:rsidRDefault="008A6372" w:rsidP="008A6372">
      <w:pPr>
        <w:pStyle w:val="Style1"/>
        <w:ind w:left="851" w:hanging="851"/>
      </w:pPr>
      <w:r w:rsidRPr="006B62C6">
        <w:t>4.3</w:t>
      </w:r>
      <w:r w:rsidRPr="006B62C6">
        <w:tab/>
      </w:r>
      <w:proofErr w:type="spellStart"/>
      <w:r w:rsidRPr="006B62C6">
        <w:t>Farmakokinetiske</w:t>
      </w:r>
      <w:proofErr w:type="spellEnd"/>
      <w:r w:rsidRPr="006B62C6">
        <w:t xml:space="preserve"> oplysninger</w:t>
      </w:r>
    </w:p>
    <w:p w:rsidR="008A6372" w:rsidRPr="006B62C6" w:rsidRDefault="008A6372" w:rsidP="008A6372">
      <w:pPr>
        <w:rPr>
          <w:szCs w:val="22"/>
        </w:rPr>
      </w:pPr>
    </w:p>
    <w:p w:rsidR="008A6372" w:rsidRPr="006B62C6" w:rsidRDefault="008A6372" w:rsidP="008A6372">
      <w:pPr>
        <w:ind w:left="851"/>
        <w:rPr>
          <w:szCs w:val="22"/>
        </w:rPr>
      </w:pPr>
      <w:proofErr w:type="spellStart"/>
      <w:r w:rsidRPr="006B62C6">
        <w:rPr>
          <w:szCs w:val="22"/>
        </w:rPr>
        <w:lastRenderedPageBreak/>
        <w:t>Triamcinolonacetonid</w:t>
      </w:r>
      <w:proofErr w:type="spellEnd"/>
      <w:r w:rsidRPr="006B62C6">
        <w:rPr>
          <w:szCs w:val="22"/>
        </w:rPr>
        <w:t xml:space="preserve"> kan absorberes gennem huden og selvom koncentrationen er lav, ekskluderes en systemisk virkning ikke. Efter systemisk absorption bindes 60-70 % </w:t>
      </w:r>
      <w:proofErr w:type="spellStart"/>
      <w:r w:rsidRPr="006B62C6">
        <w:rPr>
          <w:szCs w:val="22"/>
        </w:rPr>
        <w:t>triamcinolon</w:t>
      </w:r>
      <w:proofErr w:type="spellEnd"/>
      <w:r w:rsidRPr="006B62C6">
        <w:rPr>
          <w:szCs w:val="22"/>
        </w:rPr>
        <w:t xml:space="preserve"> til </w:t>
      </w:r>
      <w:proofErr w:type="spellStart"/>
      <w:r w:rsidRPr="006B62C6">
        <w:rPr>
          <w:szCs w:val="22"/>
        </w:rPr>
        <w:t>plasmasproteiner</w:t>
      </w:r>
      <w:proofErr w:type="spellEnd"/>
      <w:r w:rsidRPr="006B62C6">
        <w:rPr>
          <w:szCs w:val="22"/>
        </w:rPr>
        <w:t xml:space="preserve">. </w:t>
      </w:r>
      <w:proofErr w:type="spellStart"/>
      <w:r w:rsidRPr="006B62C6">
        <w:rPr>
          <w:szCs w:val="22"/>
        </w:rPr>
        <w:t>Triamcinolon</w:t>
      </w:r>
      <w:proofErr w:type="spellEnd"/>
      <w:r w:rsidRPr="006B62C6">
        <w:rPr>
          <w:szCs w:val="22"/>
        </w:rPr>
        <w:t xml:space="preserve"> omsættes primært i leveren. Den primære metabolit er 6β-</w:t>
      </w:r>
      <w:proofErr w:type="spellStart"/>
      <w:r w:rsidRPr="006B62C6">
        <w:rPr>
          <w:szCs w:val="22"/>
        </w:rPr>
        <w:t>hydroxytriamcinolon</w:t>
      </w:r>
      <w:proofErr w:type="spellEnd"/>
      <w:r w:rsidRPr="006B62C6">
        <w:rPr>
          <w:szCs w:val="22"/>
        </w:rPr>
        <w:t xml:space="preserve">, som primært udskilles i form af sulfater og </w:t>
      </w:r>
      <w:proofErr w:type="spellStart"/>
      <w:r w:rsidRPr="006B62C6">
        <w:rPr>
          <w:szCs w:val="22"/>
        </w:rPr>
        <w:t>glukuronider</w:t>
      </w:r>
      <w:proofErr w:type="spellEnd"/>
      <w:r w:rsidRPr="006B62C6">
        <w:rPr>
          <w:szCs w:val="22"/>
        </w:rPr>
        <w:t xml:space="preserve"> i urinen.</w:t>
      </w:r>
    </w:p>
    <w:p w:rsidR="008A6372" w:rsidRPr="006B62C6" w:rsidRDefault="008A6372" w:rsidP="008A6372">
      <w:pPr>
        <w:ind w:left="851"/>
        <w:rPr>
          <w:szCs w:val="22"/>
        </w:rPr>
      </w:pPr>
    </w:p>
    <w:p w:rsidR="008A6372" w:rsidRPr="006B62C6" w:rsidRDefault="008A6372" w:rsidP="008A6372">
      <w:pPr>
        <w:ind w:left="851"/>
        <w:rPr>
          <w:szCs w:val="22"/>
        </w:rPr>
      </w:pPr>
    </w:p>
    <w:p w:rsidR="008A6372" w:rsidRPr="006B62C6" w:rsidRDefault="008A6372" w:rsidP="008A6372">
      <w:pPr>
        <w:pStyle w:val="Style1"/>
        <w:ind w:left="851" w:hanging="851"/>
      </w:pPr>
      <w:r w:rsidRPr="006B62C6">
        <w:t>5.</w:t>
      </w:r>
      <w:r w:rsidRPr="006B62C6">
        <w:tab/>
        <w:t>FARMACEUTISKE OPLYSNINGER</w:t>
      </w:r>
    </w:p>
    <w:p w:rsidR="008A6372" w:rsidRPr="006B62C6" w:rsidRDefault="008A6372" w:rsidP="008A6372">
      <w:pPr>
        <w:rPr>
          <w:szCs w:val="22"/>
        </w:rPr>
      </w:pPr>
    </w:p>
    <w:p w:rsidR="008A6372" w:rsidRPr="006B62C6" w:rsidRDefault="008A6372" w:rsidP="008A6372">
      <w:pPr>
        <w:pStyle w:val="Style1"/>
        <w:ind w:left="851" w:hanging="851"/>
      </w:pPr>
      <w:r w:rsidRPr="006B62C6">
        <w:t>5.1</w:t>
      </w:r>
      <w:r w:rsidRPr="006B62C6">
        <w:tab/>
        <w:t>Væsentlige uforligeligheder</w:t>
      </w:r>
    </w:p>
    <w:p w:rsidR="008A6372" w:rsidRPr="006B62C6" w:rsidRDefault="008A6372" w:rsidP="008A6372">
      <w:pPr>
        <w:rPr>
          <w:szCs w:val="22"/>
        </w:rPr>
      </w:pPr>
    </w:p>
    <w:p w:rsidR="008A6372" w:rsidRPr="006B62C6" w:rsidRDefault="008A6372" w:rsidP="008A6372">
      <w:pPr>
        <w:ind w:left="851"/>
        <w:rPr>
          <w:szCs w:val="22"/>
        </w:rPr>
      </w:pPr>
      <w:r w:rsidRPr="006B62C6">
        <w:rPr>
          <w:szCs w:val="22"/>
        </w:rPr>
        <w:t xml:space="preserve">Da der ikke foreligger undersøgelser vedrørende eventuelle uforligeligheder, bør dette </w:t>
      </w:r>
      <w:r>
        <w:rPr>
          <w:szCs w:val="22"/>
        </w:rPr>
        <w:t>veterinær</w:t>
      </w:r>
      <w:r w:rsidRPr="006B62C6">
        <w:rPr>
          <w:szCs w:val="22"/>
        </w:rPr>
        <w:t xml:space="preserve">lægemiddel ikke blandes med andre </w:t>
      </w:r>
      <w:r>
        <w:rPr>
          <w:szCs w:val="22"/>
        </w:rPr>
        <w:t>veterinær</w:t>
      </w:r>
      <w:r w:rsidRPr="006B62C6">
        <w:rPr>
          <w:szCs w:val="22"/>
        </w:rPr>
        <w:t xml:space="preserve">lægemidler. </w:t>
      </w:r>
    </w:p>
    <w:p w:rsidR="008A6372" w:rsidRPr="006B62C6" w:rsidRDefault="008A6372" w:rsidP="008A6372">
      <w:pPr>
        <w:rPr>
          <w:szCs w:val="22"/>
        </w:rPr>
      </w:pPr>
    </w:p>
    <w:p w:rsidR="008A6372" w:rsidRPr="006B62C6" w:rsidRDefault="008A6372" w:rsidP="008A6372">
      <w:pPr>
        <w:pStyle w:val="Style1"/>
        <w:ind w:left="851" w:hanging="851"/>
      </w:pPr>
      <w:r w:rsidRPr="006B62C6">
        <w:t>5.2</w:t>
      </w:r>
      <w:r w:rsidRPr="006B62C6">
        <w:tab/>
        <w:t>Opbevaringstid</w:t>
      </w:r>
    </w:p>
    <w:p w:rsidR="008A6372" w:rsidRPr="006B62C6" w:rsidRDefault="008A6372" w:rsidP="008A6372">
      <w:pPr>
        <w:rPr>
          <w:szCs w:val="22"/>
        </w:rPr>
      </w:pPr>
    </w:p>
    <w:p w:rsidR="008A6372" w:rsidRPr="006B62C6" w:rsidRDefault="008A6372" w:rsidP="008A6372">
      <w:pPr>
        <w:ind w:right="-318" w:firstLine="851"/>
        <w:rPr>
          <w:szCs w:val="22"/>
        </w:rPr>
      </w:pPr>
      <w:r>
        <w:rPr>
          <w:szCs w:val="22"/>
        </w:rPr>
        <w:t>Opbevaringstid for veterinærlægemidlet i</w:t>
      </w:r>
      <w:r w:rsidRPr="006B62C6">
        <w:rPr>
          <w:szCs w:val="22"/>
        </w:rPr>
        <w:t xml:space="preserve"> salgspakning: 30 måneder.</w:t>
      </w:r>
    </w:p>
    <w:p w:rsidR="008A6372" w:rsidRPr="006B62C6" w:rsidRDefault="008A6372" w:rsidP="008A6372">
      <w:pPr>
        <w:ind w:right="-318" w:firstLine="851"/>
        <w:rPr>
          <w:szCs w:val="22"/>
        </w:rPr>
      </w:pPr>
      <w:r>
        <w:rPr>
          <w:szCs w:val="22"/>
        </w:rPr>
        <w:t>Opbevaringstid e</w:t>
      </w:r>
      <w:r w:rsidRPr="006B62C6">
        <w:rPr>
          <w:szCs w:val="22"/>
        </w:rPr>
        <w:t>fter første åbning af den indre emballage: 3 måneder</w:t>
      </w:r>
      <w:r>
        <w:rPr>
          <w:szCs w:val="22"/>
        </w:rPr>
        <w:t>.</w:t>
      </w:r>
    </w:p>
    <w:p w:rsidR="008A6372" w:rsidRPr="006B62C6" w:rsidRDefault="008A6372" w:rsidP="008A6372">
      <w:pPr>
        <w:rPr>
          <w:szCs w:val="22"/>
        </w:rPr>
      </w:pPr>
    </w:p>
    <w:p w:rsidR="008A6372" w:rsidRPr="006B62C6" w:rsidRDefault="008A6372" w:rsidP="008A6372">
      <w:pPr>
        <w:pStyle w:val="Style1"/>
        <w:ind w:left="851" w:hanging="851"/>
      </w:pPr>
      <w:r w:rsidRPr="006B62C6">
        <w:t>5.3</w:t>
      </w:r>
      <w:r w:rsidRPr="006B62C6">
        <w:tab/>
        <w:t>Særlige forholdsregler vedrørende opbevaring</w:t>
      </w:r>
    </w:p>
    <w:p w:rsidR="008A6372" w:rsidRPr="006B62C6" w:rsidRDefault="008A6372" w:rsidP="008A6372">
      <w:pPr>
        <w:rPr>
          <w:szCs w:val="22"/>
        </w:rPr>
      </w:pPr>
    </w:p>
    <w:p w:rsidR="008A6372" w:rsidRPr="006B62C6" w:rsidRDefault="008A6372" w:rsidP="008A6372">
      <w:pPr>
        <w:ind w:firstLine="851"/>
        <w:rPr>
          <w:szCs w:val="22"/>
        </w:rPr>
      </w:pPr>
      <w:r w:rsidRPr="006B62C6">
        <w:rPr>
          <w:szCs w:val="22"/>
        </w:rPr>
        <w:t>De</w:t>
      </w:r>
      <w:r>
        <w:rPr>
          <w:szCs w:val="22"/>
        </w:rPr>
        <w:t>r er ingen særlige krav vedrørende opbevaringsforhold for de</w:t>
      </w:r>
      <w:r w:rsidRPr="006B62C6">
        <w:rPr>
          <w:szCs w:val="22"/>
        </w:rPr>
        <w:t>tte veterinærlægemiddel.</w:t>
      </w:r>
    </w:p>
    <w:p w:rsidR="008A6372" w:rsidRPr="006B62C6" w:rsidRDefault="008A6372" w:rsidP="008A6372">
      <w:pPr>
        <w:rPr>
          <w:szCs w:val="22"/>
        </w:rPr>
      </w:pPr>
    </w:p>
    <w:p w:rsidR="008A6372" w:rsidRPr="006B62C6" w:rsidRDefault="008A6372" w:rsidP="008A6372">
      <w:pPr>
        <w:pStyle w:val="Style1"/>
        <w:ind w:left="851" w:hanging="851"/>
      </w:pPr>
      <w:r w:rsidRPr="006B62C6">
        <w:t>5.4</w:t>
      </w:r>
      <w:r w:rsidRPr="006B62C6">
        <w:tab/>
        <w:t>Den indre emballages art og indhold</w:t>
      </w:r>
    </w:p>
    <w:p w:rsidR="008A6372" w:rsidRPr="006B62C6" w:rsidRDefault="008A6372" w:rsidP="008A6372">
      <w:pPr>
        <w:rPr>
          <w:szCs w:val="22"/>
        </w:rPr>
      </w:pPr>
    </w:p>
    <w:p w:rsidR="008A6372" w:rsidRPr="006B62C6" w:rsidRDefault="008A6372" w:rsidP="008A6372">
      <w:pPr>
        <w:ind w:left="851" w:right="-318"/>
        <w:rPr>
          <w:szCs w:val="22"/>
        </w:rPr>
      </w:pPr>
      <w:r w:rsidRPr="006B62C6">
        <w:rPr>
          <w:szCs w:val="22"/>
        </w:rPr>
        <w:t>Æske med en 50 eller 75 ml hvid, HDPE-beholder med spraypumpe og en hætte af styren</w:t>
      </w:r>
      <w:r w:rsidRPr="006B62C6">
        <w:rPr>
          <w:szCs w:val="22"/>
        </w:rPr>
        <w:noBreakHyphen/>
      </w:r>
      <w:proofErr w:type="spellStart"/>
      <w:r w:rsidRPr="006B62C6">
        <w:rPr>
          <w:szCs w:val="22"/>
        </w:rPr>
        <w:t>acrylonitrilpolymer</w:t>
      </w:r>
      <w:proofErr w:type="spellEnd"/>
      <w:r w:rsidRPr="006B62C6">
        <w:rPr>
          <w:szCs w:val="22"/>
        </w:rPr>
        <w:t>. Ikke alle pakningsstørrelser er nødvendigvis markedsført.</w:t>
      </w:r>
    </w:p>
    <w:p w:rsidR="008A6372" w:rsidRPr="006B62C6" w:rsidRDefault="008A6372" w:rsidP="008A6372">
      <w:pPr>
        <w:rPr>
          <w:szCs w:val="22"/>
        </w:rPr>
      </w:pPr>
    </w:p>
    <w:p w:rsidR="008A6372" w:rsidRPr="006B62C6" w:rsidRDefault="008A6372" w:rsidP="008A6372">
      <w:pPr>
        <w:pStyle w:val="Style1"/>
        <w:ind w:left="851" w:hanging="851"/>
      </w:pPr>
      <w:r w:rsidRPr="006B62C6">
        <w:t>5.5</w:t>
      </w:r>
      <w:r w:rsidRPr="006B62C6">
        <w:tab/>
        <w:t>Særlige forholdsregler vedrørende bortskaffelse af ubrugte veterinærlægemidler eller affaldsmaterialer fra brugen heraf</w:t>
      </w:r>
    </w:p>
    <w:p w:rsidR="008A6372" w:rsidRPr="006B62C6" w:rsidRDefault="008A6372" w:rsidP="008A6372">
      <w:pPr>
        <w:rPr>
          <w:szCs w:val="22"/>
        </w:rPr>
      </w:pPr>
    </w:p>
    <w:p w:rsidR="008A6372" w:rsidRPr="006B62C6" w:rsidRDefault="008A6372" w:rsidP="008A6372">
      <w:pPr>
        <w:ind w:firstLine="851"/>
        <w:rPr>
          <w:szCs w:val="22"/>
        </w:rPr>
      </w:pPr>
      <w:r w:rsidRPr="006B62C6">
        <w:rPr>
          <w:szCs w:val="22"/>
        </w:rPr>
        <w:t>Lægemidler må ikke bortskaffes sammen med spildevand eller husholdningsaffald.</w:t>
      </w:r>
    </w:p>
    <w:p w:rsidR="008A6372" w:rsidRPr="006B62C6" w:rsidRDefault="008A6372" w:rsidP="008A6372">
      <w:pPr>
        <w:rPr>
          <w:szCs w:val="22"/>
        </w:rPr>
      </w:pPr>
    </w:p>
    <w:p w:rsidR="008A6372" w:rsidRPr="006B62C6" w:rsidRDefault="008A6372" w:rsidP="008A6372">
      <w:pPr>
        <w:ind w:left="851" w:right="-143"/>
        <w:rPr>
          <w:szCs w:val="22"/>
        </w:rPr>
      </w:pPr>
      <w:r w:rsidRPr="006B62C6">
        <w:rPr>
          <w:szCs w:val="22"/>
        </w:rPr>
        <w:t>Benyt returordninger ved bortskaffelse af ubrugte veterinærlægemidler eller affaldsmaterialer herfra i henhold til lokale retningslinjer og nationale indsamlingsordninger, der er relevante for det pågældende veterinærlægemiddel.</w:t>
      </w:r>
    </w:p>
    <w:p w:rsidR="008A6372" w:rsidRPr="006B62C6" w:rsidRDefault="008A6372" w:rsidP="008A6372">
      <w:pPr>
        <w:ind w:right="-318"/>
        <w:rPr>
          <w:i/>
          <w:szCs w:val="22"/>
        </w:rPr>
      </w:pPr>
    </w:p>
    <w:p w:rsidR="008A6372" w:rsidRPr="006B62C6" w:rsidRDefault="008A6372" w:rsidP="008A6372">
      <w:pPr>
        <w:rPr>
          <w:szCs w:val="22"/>
        </w:rPr>
      </w:pPr>
    </w:p>
    <w:p w:rsidR="008A6372" w:rsidRPr="006B62C6" w:rsidRDefault="008A6372" w:rsidP="008A6372">
      <w:pPr>
        <w:pStyle w:val="Style1"/>
        <w:ind w:left="851" w:hanging="851"/>
      </w:pPr>
      <w:r w:rsidRPr="006B62C6">
        <w:t>6.</w:t>
      </w:r>
      <w:r w:rsidRPr="006B62C6">
        <w:tab/>
        <w:t>NAVN PÅ INDEHAVEREN AF MARKEDSFØRINGSTILLADELSEN</w:t>
      </w:r>
    </w:p>
    <w:p w:rsidR="008A6372" w:rsidRPr="006B62C6" w:rsidRDefault="008A6372" w:rsidP="008A6372">
      <w:pPr>
        <w:rPr>
          <w:szCs w:val="22"/>
        </w:rPr>
      </w:pPr>
    </w:p>
    <w:p w:rsidR="008A6372" w:rsidRPr="008A6372" w:rsidRDefault="008A6372" w:rsidP="008A6372">
      <w:pPr>
        <w:ind w:right="-318" w:firstLine="851"/>
        <w:rPr>
          <w:szCs w:val="22"/>
          <w:lang w:val="sv-SE"/>
        </w:rPr>
      </w:pPr>
      <w:r w:rsidRPr="008A6372">
        <w:rPr>
          <w:szCs w:val="22"/>
          <w:lang w:val="sv-SE"/>
        </w:rPr>
        <w:t xml:space="preserve">Le Vet. </w:t>
      </w:r>
      <w:proofErr w:type="spellStart"/>
      <w:r w:rsidRPr="008A6372">
        <w:rPr>
          <w:szCs w:val="22"/>
          <w:lang w:val="sv-SE"/>
        </w:rPr>
        <w:t>Beheer</w:t>
      </w:r>
      <w:proofErr w:type="spellEnd"/>
      <w:r w:rsidRPr="008A6372">
        <w:rPr>
          <w:szCs w:val="22"/>
          <w:lang w:val="sv-SE"/>
        </w:rPr>
        <w:t xml:space="preserve"> B.V.</w:t>
      </w:r>
    </w:p>
    <w:p w:rsidR="008A6372" w:rsidRDefault="008A6372" w:rsidP="008A6372">
      <w:pPr>
        <w:ind w:right="-318" w:firstLine="851"/>
        <w:rPr>
          <w:szCs w:val="22"/>
        </w:rPr>
      </w:pPr>
      <w:proofErr w:type="spellStart"/>
      <w:r>
        <w:rPr>
          <w:szCs w:val="22"/>
        </w:rPr>
        <w:t>Wilgenweg</w:t>
      </w:r>
      <w:proofErr w:type="spellEnd"/>
      <w:r>
        <w:rPr>
          <w:szCs w:val="22"/>
        </w:rPr>
        <w:t xml:space="preserve"> 7</w:t>
      </w:r>
    </w:p>
    <w:p w:rsidR="008A6372" w:rsidRDefault="008A6372" w:rsidP="008A6372">
      <w:pPr>
        <w:ind w:right="-318" w:firstLine="851"/>
        <w:rPr>
          <w:szCs w:val="22"/>
        </w:rPr>
      </w:pPr>
      <w:r>
        <w:rPr>
          <w:szCs w:val="22"/>
        </w:rPr>
        <w:t xml:space="preserve">3421 TV </w:t>
      </w:r>
      <w:proofErr w:type="spellStart"/>
      <w:r>
        <w:rPr>
          <w:szCs w:val="22"/>
        </w:rPr>
        <w:t>Oudewater</w:t>
      </w:r>
      <w:proofErr w:type="spellEnd"/>
    </w:p>
    <w:p w:rsidR="008A6372" w:rsidRPr="008A6372" w:rsidRDefault="008A6372" w:rsidP="008A6372">
      <w:pPr>
        <w:ind w:right="-318" w:firstLine="851"/>
        <w:rPr>
          <w:szCs w:val="22"/>
        </w:rPr>
      </w:pPr>
      <w:r w:rsidRPr="008A6372">
        <w:rPr>
          <w:szCs w:val="22"/>
        </w:rPr>
        <w:t>Holland</w:t>
      </w:r>
    </w:p>
    <w:p w:rsidR="008A6372" w:rsidRPr="008A6372" w:rsidRDefault="008A6372" w:rsidP="008A6372">
      <w:pPr>
        <w:ind w:right="-318"/>
        <w:rPr>
          <w:szCs w:val="22"/>
        </w:rPr>
      </w:pPr>
    </w:p>
    <w:p w:rsidR="008A6372" w:rsidRDefault="008A6372" w:rsidP="008A6372">
      <w:pPr>
        <w:ind w:firstLine="851"/>
        <w:rPr>
          <w:b/>
          <w:szCs w:val="22"/>
          <w:lang w:val="en-US"/>
        </w:rPr>
      </w:pPr>
      <w:proofErr w:type="spellStart"/>
      <w:r w:rsidRPr="008A6372">
        <w:rPr>
          <w:b/>
          <w:szCs w:val="22"/>
          <w:lang w:val="en-US"/>
        </w:rPr>
        <w:t>Repræsentant</w:t>
      </w:r>
      <w:proofErr w:type="spellEnd"/>
    </w:p>
    <w:p w:rsidR="008A6372" w:rsidRDefault="008A6372" w:rsidP="008A6372">
      <w:pPr>
        <w:ind w:firstLine="851"/>
        <w:rPr>
          <w:szCs w:val="22"/>
          <w:lang w:val="en-US"/>
        </w:rPr>
      </w:pPr>
      <w:proofErr w:type="spellStart"/>
      <w:r w:rsidRPr="008A6372">
        <w:rPr>
          <w:szCs w:val="22"/>
          <w:lang w:val="en-US"/>
        </w:rPr>
        <w:t>Dechra</w:t>
      </w:r>
      <w:proofErr w:type="spellEnd"/>
      <w:r w:rsidRPr="008A6372">
        <w:rPr>
          <w:szCs w:val="22"/>
          <w:lang w:val="en-US"/>
        </w:rPr>
        <w:t xml:space="preserve"> Veterinary Products A/</w:t>
      </w:r>
      <w:proofErr w:type="spellStart"/>
      <w:r w:rsidRPr="008A6372">
        <w:rPr>
          <w:szCs w:val="22"/>
          <w:lang w:val="en-US"/>
        </w:rPr>
        <w:t>SMekuvej</w:t>
      </w:r>
      <w:proofErr w:type="spellEnd"/>
      <w:r w:rsidRPr="008A6372">
        <w:rPr>
          <w:szCs w:val="22"/>
          <w:lang w:val="en-US"/>
        </w:rPr>
        <w:t xml:space="preserve"> </w:t>
      </w:r>
    </w:p>
    <w:p w:rsidR="008A6372" w:rsidRPr="008A6372" w:rsidRDefault="008A6372" w:rsidP="008A6372">
      <w:pPr>
        <w:ind w:firstLine="851"/>
        <w:rPr>
          <w:szCs w:val="22"/>
          <w:lang w:val="en-US"/>
        </w:rPr>
      </w:pPr>
      <w:r w:rsidRPr="008A6372">
        <w:rPr>
          <w:szCs w:val="22"/>
          <w:lang w:val="en-US"/>
        </w:rPr>
        <w:t xml:space="preserve">97171 </w:t>
      </w:r>
      <w:proofErr w:type="spellStart"/>
      <w:r w:rsidRPr="008A6372">
        <w:rPr>
          <w:szCs w:val="22"/>
          <w:lang w:val="en-US"/>
        </w:rPr>
        <w:t>Uldum</w:t>
      </w:r>
      <w:proofErr w:type="spellEnd"/>
    </w:p>
    <w:p w:rsidR="008A6372" w:rsidRPr="008A6372" w:rsidRDefault="008A6372" w:rsidP="008A6372">
      <w:pPr>
        <w:rPr>
          <w:szCs w:val="22"/>
          <w:lang w:val="en-US"/>
        </w:rPr>
      </w:pPr>
    </w:p>
    <w:p w:rsidR="008A6372" w:rsidRPr="006B62C6" w:rsidRDefault="008A6372" w:rsidP="008A6372">
      <w:pPr>
        <w:pStyle w:val="Style1"/>
        <w:ind w:left="851" w:hanging="851"/>
      </w:pPr>
      <w:r w:rsidRPr="006B62C6">
        <w:t>7.</w:t>
      </w:r>
      <w:r w:rsidRPr="006B62C6">
        <w:tab/>
        <w:t>MARKEDSFØRINGSTILLADELSESNUMMER (-NUMRE)</w:t>
      </w:r>
    </w:p>
    <w:p w:rsidR="008A6372" w:rsidRPr="006B62C6" w:rsidRDefault="008A6372" w:rsidP="008A6372">
      <w:pPr>
        <w:rPr>
          <w:szCs w:val="22"/>
        </w:rPr>
      </w:pPr>
    </w:p>
    <w:p w:rsidR="008A6372" w:rsidRPr="006B62C6" w:rsidRDefault="008A6372" w:rsidP="008A6372">
      <w:pPr>
        <w:ind w:firstLine="851"/>
        <w:rPr>
          <w:szCs w:val="22"/>
        </w:rPr>
      </w:pPr>
      <w:r w:rsidRPr="006B62C6">
        <w:rPr>
          <w:szCs w:val="22"/>
        </w:rPr>
        <w:t>57005</w:t>
      </w:r>
    </w:p>
    <w:p w:rsidR="008A6372" w:rsidRPr="006B62C6" w:rsidRDefault="008A6372" w:rsidP="008A6372">
      <w:pPr>
        <w:rPr>
          <w:szCs w:val="22"/>
        </w:rPr>
      </w:pPr>
    </w:p>
    <w:p w:rsidR="008A6372" w:rsidRPr="006B62C6" w:rsidRDefault="008A6372" w:rsidP="008A6372">
      <w:pPr>
        <w:rPr>
          <w:szCs w:val="22"/>
        </w:rPr>
      </w:pPr>
    </w:p>
    <w:p w:rsidR="008A6372" w:rsidRPr="006B62C6" w:rsidRDefault="008A6372" w:rsidP="008A6372">
      <w:pPr>
        <w:pStyle w:val="Style1"/>
        <w:ind w:left="851" w:hanging="851"/>
      </w:pPr>
      <w:r w:rsidRPr="006B62C6">
        <w:t>8.</w:t>
      </w:r>
      <w:r w:rsidRPr="006B62C6">
        <w:tab/>
        <w:t>DATO FOR FØRSTE TILLADELSE</w:t>
      </w:r>
    </w:p>
    <w:p w:rsidR="008A6372" w:rsidRPr="006B62C6" w:rsidRDefault="008A6372" w:rsidP="008A6372">
      <w:pPr>
        <w:rPr>
          <w:szCs w:val="22"/>
        </w:rPr>
      </w:pPr>
    </w:p>
    <w:p w:rsidR="008A6372" w:rsidRPr="006B62C6" w:rsidRDefault="008A6372" w:rsidP="008A6372">
      <w:pPr>
        <w:ind w:firstLine="851"/>
        <w:rPr>
          <w:szCs w:val="22"/>
        </w:rPr>
      </w:pPr>
      <w:r w:rsidRPr="006B62C6">
        <w:rPr>
          <w:szCs w:val="22"/>
        </w:rPr>
        <w:t>Dato for første markedsføringstilladelse: 9. januar 2017</w:t>
      </w:r>
    </w:p>
    <w:p w:rsidR="008A6372" w:rsidRPr="006B62C6" w:rsidRDefault="008A6372" w:rsidP="008A6372">
      <w:pPr>
        <w:rPr>
          <w:szCs w:val="22"/>
        </w:rPr>
      </w:pPr>
    </w:p>
    <w:p w:rsidR="008A6372" w:rsidRPr="006B62C6" w:rsidRDefault="008A6372" w:rsidP="008A6372">
      <w:pPr>
        <w:rPr>
          <w:szCs w:val="22"/>
        </w:rPr>
      </w:pPr>
    </w:p>
    <w:p w:rsidR="008A6372" w:rsidRPr="006B62C6" w:rsidRDefault="008A6372" w:rsidP="008A6372">
      <w:pPr>
        <w:pStyle w:val="Style1"/>
        <w:ind w:left="851" w:hanging="851"/>
      </w:pPr>
      <w:r w:rsidRPr="006B62C6">
        <w:t>9.</w:t>
      </w:r>
      <w:r w:rsidRPr="006B62C6">
        <w:tab/>
        <w:t>DATO FOR SENESTE ÆNDRING AF PRODUKTRESUMÉET</w:t>
      </w:r>
    </w:p>
    <w:p w:rsidR="008A6372" w:rsidRDefault="008A6372" w:rsidP="008A6372">
      <w:pPr>
        <w:rPr>
          <w:szCs w:val="22"/>
        </w:rPr>
      </w:pPr>
    </w:p>
    <w:p w:rsidR="008A6372" w:rsidRDefault="008A6372" w:rsidP="008A6372">
      <w:pPr>
        <w:ind w:firstLine="851"/>
        <w:rPr>
          <w:szCs w:val="22"/>
        </w:rPr>
      </w:pPr>
      <w:r>
        <w:rPr>
          <w:sz w:val="24"/>
          <w:szCs w:val="24"/>
        </w:rPr>
        <w:t>31. oktober 2024</w:t>
      </w:r>
    </w:p>
    <w:p w:rsidR="008A6372" w:rsidRPr="006B62C6" w:rsidRDefault="008A6372" w:rsidP="008A6372">
      <w:pPr>
        <w:rPr>
          <w:szCs w:val="22"/>
        </w:rPr>
      </w:pPr>
    </w:p>
    <w:p w:rsidR="008A6372" w:rsidRPr="006B62C6" w:rsidRDefault="008A6372" w:rsidP="008A6372">
      <w:pPr>
        <w:pStyle w:val="Style1"/>
        <w:ind w:left="851" w:hanging="851"/>
      </w:pPr>
      <w:r w:rsidRPr="006B62C6">
        <w:t>10.</w:t>
      </w:r>
      <w:r w:rsidRPr="006B62C6">
        <w:tab/>
        <w:t>KLASSIFICERING AF VETERINÆRLÆGEMIDLER</w:t>
      </w:r>
    </w:p>
    <w:p w:rsidR="008A6372" w:rsidRPr="006B62C6" w:rsidRDefault="008A6372" w:rsidP="008A6372">
      <w:pPr>
        <w:rPr>
          <w:szCs w:val="22"/>
        </w:rPr>
      </w:pPr>
    </w:p>
    <w:p w:rsidR="008A6372" w:rsidRPr="006B62C6" w:rsidRDefault="008A6372" w:rsidP="008A6372">
      <w:pPr>
        <w:numPr>
          <w:ilvl w:val="12"/>
          <w:numId w:val="0"/>
        </w:numPr>
        <w:ind w:firstLine="851"/>
        <w:rPr>
          <w:szCs w:val="22"/>
        </w:rPr>
      </w:pPr>
      <w:r>
        <w:rPr>
          <w:szCs w:val="22"/>
        </w:rPr>
        <w:t>B</w:t>
      </w:r>
    </w:p>
    <w:p w:rsidR="008A6372" w:rsidRPr="006B62C6" w:rsidRDefault="008A6372" w:rsidP="008A6372">
      <w:pPr>
        <w:ind w:right="-318"/>
        <w:rPr>
          <w:szCs w:val="22"/>
        </w:rPr>
      </w:pPr>
    </w:p>
    <w:p w:rsidR="008A6372" w:rsidRPr="006B62C6" w:rsidRDefault="008A6372" w:rsidP="008A6372">
      <w:pPr>
        <w:ind w:right="-318" w:firstLine="851"/>
        <w:rPr>
          <w:szCs w:val="22"/>
        </w:rPr>
      </w:pPr>
      <w:bookmarkStart w:id="1" w:name="_Hlk73467306"/>
      <w:bookmarkStart w:id="2" w:name="_GoBack"/>
      <w:bookmarkEnd w:id="2"/>
      <w:r w:rsidRPr="006B62C6">
        <w:rPr>
          <w:szCs w:val="22"/>
        </w:rPr>
        <w:t>Der findes detaljerede oplysninger om dette veterinærlægemiddel i EU-lægemiddeldatabasen.</w:t>
      </w:r>
    </w:p>
    <w:bookmarkEnd w:id="1"/>
    <w:p w:rsidR="002D0F59" w:rsidRPr="006C33C2" w:rsidRDefault="002D0F59" w:rsidP="008A6372">
      <w:pPr>
        <w:ind w:left="851" w:hanging="851"/>
      </w:pPr>
    </w:p>
    <w:p w:rsidR="0003527F" w:rsidRPr="002D0F59" w:rsidRDefault="0003527F" w:rsidP="002D0F59"/>
    <w:sectPr w:rsidR="0003527F" w:rsidRPr="002D0F5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F59" w:rsidRDefault="002D0F59">
      <w:r>
        <w:separator/>
      </w:r>
    </w:p>
  </w:endnote>
  <w:endnote w:type="continuationSeparator" w:id="0">
    <w:p w:rsidR="002D0F59" w:rsidRDefault="002D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E478A3">
    <w:pPr>
      <w:pStyle w:val="Sidefod"/>
      <w:tabs>
        <w:tab w:val="clear" w:pos="4819"/>
        <w:tab w:val="left" w:pos="8647"/>
      </w:tabs>
      <w:rPr>
        <w:i/>
        <w:sz w:val="18"/>
      </w:rPr>
    </w:pPr>
    <w:proofErr w:type="spellStart"/>
    <w:r w:rsidRPr="00E478A3">
      <w:rPr>
        <w:i/>
        <w:snapToGrid w:val="0"/>
        <w:sz w:val="18"/>
      </w:rPr>
      <w:t>Dermanolon</w:t>
    </w:r>
    <w:proofErr w:type="spellEnd"/>
    <w:r w:rsidRPr="00E478A3">
      <w:rPr>
        <w:i/>
        <w:snapToGrid w:val="0"/>
        <w:sz w:val="18"/>
      </w:rPr>
      <w:t xml:space="preserve"> </w:t>
    </w:r>
    <w:proofErr w:type="spellStart"/>
    <w:r w:rsidRPr="00E478A3">
      <w:rPr>
        <w:i/>
        <w:snapToGrid w:val="0"/>
        <w:sz w:val="18"/>
      </w:rPr>
      <w:t>Vet</w:t>
    </w:r>
    <w:proofErr w:type="spellEnd"/>
    <w:r w:rsidRPr="00E478A3">
      <w:rPr>
        <w:i/>
        <w:snapToGrid w:val="0"/>
        <w:sz w:val="18"/>
      </w:rPr>
      <w:t xml:space="preserve">., </w:t>
    </w:r>
    <w:proofErr w:type="spellStart"/>
    <w:r w:rsidRPr="00E478A3">
      <w:rPr>
        <w:i/>
        <w:snapToGrid w:val="0"/>
        <w:sz w:val="18"/>
      </w:rPr>
      <w:t>kutanspray</w:t>
    </w:r>
    <w:proofErr w:type="spellEnd"/>
    <w:r w:rsidRPr="00E478A3">
      <w:rPr>
        <w:i/>
        <w:snapToGrid w:val="0"/>
        <w:sz w:val="18"/>
      </w:rPr>
      <w:t>, opløsning 1,77 mg-ml+17,7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D0F59">
      <w:rPr>
        <w:i/>
        <w:noProof/>
        <w:snapToGrid w:val="0"/>
        <w:sz w:val="18"/>
      </w:rPr>
      <w:t>Dokument221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F59" w:rsidRDefault="002D0F59">
      <w:r>
        <w:separator/>
      </w:r>
    </w:p>
  </w:footnote>
  <w:footnote w:type="continuationSeparator" w:id="0">
    <w:p w:rsidR="002D0F59" w:rsidRDefault="002D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59"/>
    <w:rsid w:val="0003527F"/>
    <w:rsid w:val="00065C7D"/>
    <w:rsid w:val="00097A22"/>
    <w:rsid w:val="000C6CD4"/>
    <w:rsid w:val="001577E4"/>
    <w:rsid w:val="001858CA"/>
    <w:rsid w:val="001C4AEF"/>
    <w:rsid w:val="001D3CC5"/>
    <w:rsid w:val="002008FB"/>
    <w:rsid w:val="0025301B"/>
    <w:rsid w:val="00277EB7"/>
    <w:rsid w:val="002D0F59"/>
    <w:rsid w:val="00322BDE"/>
    <w:rsid w:val="00406EE7"/>
    <w:rsid w:val="00407013"/>
    <w:rsid w:val="004115A9"/>
    <w:rsid w:val="004A62CC"/>
    <w:rsid w:val="004D1104"/>
    <w:rsid w:val="004F04E0"/>
    <w:rsid w:val="00565A74"/>
    <w:rsid w:val="005B0036"/>
    <w:rsid w:val="005F5831"/>
    <w:rsid w:val="00662012"/>
    <w:rsid w:val="00666B01"/>
    <w:rsid w:val="006B1539"/>
    <w:rsid w:val="006D4B41"/>
    <w:rsid w:val="006F5621"/>
    <w:rsid w:val="00736F0C"/>
    <w:rsid w:val="007D5822"/>
    <w:rsid w:val="007E2A00"/>
    <w:rsid w:val="008010F2"/>
    <w:rsid w:val="00831125"/>
    <w:rsid w:val="008A6372"/>
    <w:rsid w:val="009202AE"/>
    <w:rsid w:val="00932676"/>
    <w:rsid w:val="009D66C6"/>
    <w:rsid w:val="00A96525"/>
    <w:rsid w:val="00AE29E5"/>
    <w:rsid w:val="00AE5757"/>
    <w:rsid w:val="00B25EB8"/>
    <w:rsid w:val="00BC634B"/>
    <w:rsid w:val="00BF2AE0"/>
    <w:rsid w:val="00C3641C"/>
    <w:rsid w:val="00C479BF"/>
    <w:rsid w:val="00D567AA"/>
    <w:rsid w:val="00DD6D71"/>
    <w:rsid w:val="00DF32BE"/>
    <w:rsid w:val="00E14F0A"/>
    <w:rsid w:val="00E478A3"/>
    <w:rsid w:val="00E55C45"/>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214DAF"/>
  <w15:chartTrackingRefBased/>
  <w15:docId w15:val="{68A7B969-580F-4829-8B3A-281F90B1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8A6372"/>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1389</Words>
  <Characters>9498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2023083025 pkt QRD9 opdatering</dc:description>
  <cp:lastModifiedBy>Gitte Ronnovius</cp:lastModifiedBy>
  <cp:revision>3</cp:revision>
  <dcterms:created xsi:type="dcterms:W3CDTF">2024-10-25T10:42:00Z</dcterms:created>
  <dcterms:modified xsi:type="dcterms:W3CDTF">2024-10-25T10:50:00Z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