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819" w:rsidRPr="008F49E1" w:rsidRDefault="00BE6819" w:rsidP="00BE6819">
      <w:pPr>
        <w:rPr>
          <w:sz w:val="24"/>
          <w:szCs w:val="24"/>
        </w:rPr>
      </w:pPr>
      <w:r w:rsidRPr="005B0036">
        <w:rPr>
          <w:noProof/>
          <w:sz w:val="24"/>
          <w:szCs w:val="24"/>
          <w:lang w:eastAsia="da-DK"/>
        </w:rPr>
        <w:drawing>
          <wp:inline distT="0" distB="0" distL="0" distR="0" wp14:anchorId="748A08CC" wp14:editId="6E806B1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E6819" w:rsidRPr="00406EE7" w:rsidRDefault="004312E0" w:rsidP="00014AFE">
      <w:pPr>
        <w:tabs>
          <w:tab w:val="right" w:pos="9356"/>
        </w:tabs>
        <w:jc w:val="right"/>
        <w:rPr>
          <w:b/>
          <w:sz w:val="24"/>
          <w:szCs w:val="24"/>
        </w:rPr>
      </w:pPr>
      <w:r>
        <w:rPr>
          <w:b/>
          <w:sz w:val="24"/>
          <w:szCs w:val="24"/>
        </w:rPr>
        <w:t>13. september 2021</w:t>
      </w:r>
    </w:p>
    <w:p w:rsidR="00BE6819" w:rsidRPr="00406EE7" w:rsidRDefault="00BE6819" w:rsidP="00BE6819">
      <w:pPr>
        <w:rPr>
          <w:sz w:val="24"/>
          <w:szCs w:val="24"/>
        </w:rPr>
      </w:pPr>
    </w:p>
    <w:p w:rsidR="00BE6819" w:rsidRDefault="00BE6819" w:rsidP="00BE6819">
      <w:pPr>
        <w:rPr>
          <w:sz w:val="24"/>
          <w:szCs w:val="24"/>
        </w:rPr>
      </w:pPr>
    </w:p>
    <w:p w:rsidR="00BE6819" w:rsidRPr="00406EE7" w:rsidRDefault="00BE6819" w:rsidP="00BE6819">
      <w:pPr>
        <w:rPr>
          <w:sz w:val="24"/>
          <w:szCs w:val="24"/>
        </w:rPr>
      </w:pPr>
    </w:p>
    <w:p w:rsidR="00BE6819" w:rsidRPr="00406EE7" w:rsidRDefault="00BE6819" w:rsidP="00BE6819">
      <w:pPr>
        <w:tabs>
          <w:tab w:val="left" w:pos="8222"/>
        </w:tabs>
        <w:jc w:val="center"/>
        <w:rPr>
          <w:b/>
          <w:sz w:val="24"/>
          <w:szCs w:val="24"/>
        </w:rPr>
      </w:pPr>
      <w:bookmarkStart w:id="0" w:name="_GoBack"/>
      <w:bookmarkEnd w:id="0"/>
      <w:r w:rsidRPr="00406EE7">
        <w:rPr>
          <w:b/>
          <w:sz w:val="24"/>
          <w:szCs w:val="24"/>
        </w:rPr>
        <w:t>PRODUKTRESUMÉ</w:t>
      </w:r>
    </w:p>
    <w:p w:rsidR="00BE6819" w:rsidRPr="00406EE7" w:rsidRDefault="00BE6819" w:rsidP="00BE6819">
      <w:pPr>
        <w:tabs>
          <w:tab w:val="left" w:pos="8222"/>
        </w:tabs>
        <w:jc w:val="center"/>
        <w:rPr>
          <w:b/>
          <w:sz w:val="24"/>
          <w:szCs w:val="24"/>
        </w:rPr>
      </w:pPr>
    </w:p>
    <w:p w:rsidR="00BE6819" w:rsidRPr="00406EE7" w:rsidRDefault="00BE6819" w:rsidP="00BE6819">
      <w:pPr>
        <w:tabs>
          <w:tab w:val="left" w:pos="8222"/>
        </w:tabs>
        <w:jc w:val="center"/>
        <w:rPr>
          <w:b/>
          <w:sz w:val="24"/>
          <w:szCs w:val="24"/>
        </w:rPr>
      </w:pPr>
      <w:r w:rsidRPr="00406EE7">
        <w:rPr>
          <w:b/>
          <w:sz w:val="24"/>
          <w:szCs w:val="24"/>
        </w:rPr>
        <w:t>for</w:t>
      </w:r>
    </w:p>
    <w:p w:rsidR="00BE6819" w:rsidRPr="00406EE7" w:rsidRDefault="00BE6819" w:rsidP="00BE6819">
      <w:pPr>
        <w:tabs>
          <w:tab w:val="left" w:pos="8222"/>
        </w:tabs>
        <w:jc w:val="center"/>
        <w:rPr>
          <w:b/>
          <w:sz w:val="24"/>
          <w:szCs w:val="24"/>
        </w:rPr>
      </w:pPr>
    </w:p>
    <w:p w:rsidR="00BE6819" w:rsidRPr="00565A74" w:rsidRDefault="00BE6819" w:rsidP="00BE6819">
      <w:pPr>
        <w:tabs>
          <w:tab w:val="left" w:pos="8222"/>
        </w:tabs>
        <w:jc w:val="center"/>
        <w:rPr>
          <w:b/>
          <w:sz w:val="24"/>
          <w:szCs w:val="24"/>
        </w:rPr>
      </w:pPr>
      <w:proofErr w:type="spellStart"/>
      <w:r>
        <w:rPr>
          <w:b/>
          <w:sz w:val="24"/>
          <w:szCs w:val="24"/>
        </w:rPr>
        <w:t>Dexmopet</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BE6819" w:rsidRPr="00406EE7" w:rsidRDefault="00BE6819" w:rsidP="00BE6819">
      <w:pPr>
        <w:tabs>
          <w:tab w:val="left" w:pos="8222"/>
        </w:tabs>
        <w:jc w:val="both"/>
        <w:rPr>
          <w:sz w:val="24"/>
          <w:szCs w:val="24"/>
        </w:rPr>
      </w:pPr>
    </w:p>
    <w:p w:rsidR="00BE6819" w:rsidRPr="00005923" w:rsidRDefault="00BE6819" w:rsidP="00BE6819">
      <w:pPr>
        <w:tabs>
          <w:tab w:val="left" w:pos="8222"/>
        </w:tabs>
        <w:ind w:left="851" w:hanging="851"/>
        <w:jc w:val="both"/>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0.</w:t>
      </w:r>
      <w:r w:rsidRPr="00005923">
        <w:rPr>
          <w:b/>
          <w:sz w:val="24"/>
          <w:szCs w:val="24"/>
        </w:rPr>
        <w:tab/>
        <w:t>D.SP.NR.</w:t>
      </w:r>
    </w:p>
    <w:p w:rsidR="00BE6819" w:rsidRPr="00005923" w:rsidRDefault="00BE6819" w:rsidP="00BE6819">
      <w:pPr>
        <w:tabs>
          <w:tab w:val="left" w:pos="8222"/>
        </w:tabs>
        <w:ind w:left="851" w:hanging="851"/>
        <w:rPr>
          <w:sz w:val="24"/>
          <w:szCs w:val="24"/>
        </w:rPr>
      </w:pPr>
      <w:r>
        <w:rPr>
          <w:sz w:val="24"/>
          <w:szCs w:val="24"/>
        </w:rPr>
        <w:tab/>
      </w:r>
      <w:r w:rsidRPr="00005923">
        <w:rPr>
          <w:sz w:val="24"/>
          <w:szCs w:val="24"/>
        </w:rPr>
        <w:t>29756</w:t>
      </w:r>
    </w:p>
    <w:p w:rsidR="00BE6819" w:rsidRPr="00005923" w:rsidRDefault="00BE6819" w:rsidP="00BE6819">
      <w:pPr>
        <w:tabs>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1.</w:t>
      </w:r>
      <w:r w:rsidRPr="00005923">
        <w:rPr>
          <w:b/>
          <w:sz w:val="24"/>
          <w:szCs w:val="24"/>
        </w:rPr>
        <w:tab/>
        <w:t>VETERINÆRLÆGEMIDLETS NAVN</w:t>
      </w:r>
    </w:p>
    <w:p w:rsidR="00BE6819" w:rsidRPr="00005923" w:rsidRDefault="00BE6819" w:rsidP="00BE6819">
      <w:pPr>
        <w:tabs>
          <w:tab w:val="left" w:pos="8222"/>
        </w:tabs>
        <w:ind w:left="851" w:hanging="851"/>
        <w:rPr>
          <w:sz w:val="24"/>
          <w:szCs w:val="24"/>
        </w:rPr>
      </w:pPr>
      <w:r>
        <w:rPr>
          <w:sz w:val="24"/>
          <w:szCs w:val="24"/>
        </w:rPr>
        <w:tab/>
      </w:r>
      <w:proofErr w:type="spellStart"/>
      <w:r w:rsidRPr="00005923">
        <w:rPr>
          <w:sz w:val="24"/>
          <w:szCs w:val="24"/>
        </w:rPr>
        <w:t>Dexmopet</w:t>
      </w:r>
      <w:proofErr w:type="spellEnd"/>
      <w:r w:rsidRPr="00005923">
        <w:rPr>
          <w:sz w:val="24"/>
          <w:szCs w:val="24"/>
        </w:rPr>
        <w:t xml:space="preserve"> </w:t>
      </w:r>
      <w:proofErr w:type="spellStart"/>
      <w:r w:rsidRPr="00005923">
        <w:rPr>
          <w:sz w:val="24"/>
          <w:szCs w:val="24"/>
        </w:rPr>
        <w:t>Vet</w:t>
      </w:r>
      <w:proofErr w:type="spellEnd"/>
      <w:r w:rsidRPr="00005923">
        <w:rPr>
          <w:sz w:val="24"/>
          <w:szCs w:val="24"/>
        </w:rPr>
        <w:t>.</w:t>
      </w:r>
    </w:p>
    <w:p w:rsidR="00BE6819" w:rsidRPr="00005923" w:rsidRDefault="00BE6819" w:rsidP="00BE6819">
      <w:pPr>
        <w:tabs>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2.</w:t>
      </w:r>
      <w:r w:rsidRPr="00005923">
        <w:rPr>
          <w:b/>
          <w:sz w:val="24"/>
          <w:szCs w:val="24"/>
        </w:rPr>
        <w:tab/>
        <w:t>KVALITATIV OG KVANTITATIV SAMMENSÆTNING</w:t>
      </w:r>
    </w:p>
    <w:p w:rsidR="00BE6819" w:rsidRPr="00005923" w:rsidRDefault="007E2804" w:rsidP="00BE6819">
      <w:pPr>
        <w:ind w:left="851"/>
        <w:rPr>
          <w:b/>
          <w:sz w:val="24"/>
          <w:szCs w:val="24"/>
          <w:lang w:eastAsia="da-DK"/>
        </w:rPr>
      </w:pPr>
      <w:r>
        <w:rPr>
          <w:b/>
          <w:sz w:val="24"/>
          <w:szCs w:val="24"/>
          <w:lang w:eastAsia="da-DK"/>
        </w:rPr>
        <w:t>Hver</w:t>
      </w:r>
      <w:r w:rsidR="00BE6819" w:rsidRPr="00005923">
        <w:rPr>
          <w:b/>
          <w:sz w:val="24"/>
          <w:szCs w:val="24"/>
          <w:lang w:eastAsia="da-DK"/>
        </w:rPr>
        <w:t xml:space="preserve"> ml indeholder:</w:t>
      </w:r>
    </w:p>
    <w:p w:rsidR="00BE6819" w:rsidRPr="00005923" w:rsidRDefault="00BE6819" w:rsidP="00BE6819">
      <w:pPr>
        <w:ind w:left="851" w:hanging="851"/>
        <w:rPr>
          <w:sz w:val="24"/>
          <w:szCs w:val="24"/>
        </w:rPr>
      </w:pPr>
    </w:p>
    <w:p w:rsidR="00BE6819" w:rsidRPr="00005923" w:rsidRDefault="00BE6819" w:rsidP="00BE6819">
      <w:pPr>
        <w:widowControl w:val="0"/>
        <w:tabs>
          <w:tab w:val="left" w:pos="1304"/>
        </w:tabs>
        <w:autoSpaceDE w:val="0"/>
        <w:autoSpaceDN w:val="0"/>
        <w:adjustRightInd w:val="0"/>
        <w:ind w:left="851" w:hanging="851"/>
        <w:rPr>
          <w:b/>
          <w:bCs/>
          <w:sz w:val="24"/>
          <w:szCs w:val="24"/>
          <w:lang w:eastAsia="da-DK"/>
        </w:rPr>
      </w:pPr>
      <w:r>
        <w:rPr>
          <w:b/>
          <w:bCs/>
          <w:sz w:val="24"/>
          <w:szCs w:val="24"/>
          <w:lang w:eastAsia="da-DK"/>
        </w:rPr>
        <w:tab/>
      </w:r>
      <w:r w:rsidRPr="00005923">
        <w:rPr>
          <w:b/>
          <w:bCs/>
          <w:sz w:val="24"/>
          <w:szCs w:val="24"/>
          <w:lang w:eastAsia="da-DK"/>
        </w:rPr>
        <w:t xml:space="preserve">Aktivt stof: </w:t>
      </w:r>
      <w:r w:rsidRPr="00005923">
        <w:rPr>
          <w:b/>
          <w:bCs/>
          <w:sz w:val="24"/>
          <w:szCs w:val="24"/>
          <w:lang w:eastAsia="da-DK"/>
        </w:rPr>
        <w:tab/>
      </w:r>
      <w:r w:rsidRPr="00005923">
        <w:rPr>
          <w:b/>
          <w:bCs/>
          <w:sz w:val="24"/>
          <w:szCs w:val="24"/>
          <w:lang w:eastAsia="da-DK"/>
        </w:rPr>
        <w:tab/>
      </w:r>
    </w:p>
    <w:p w:rsidR="00BE6819" w:rsidRPr="00005923" w:rsidRDefault="00BE6819" w:rsidP="00BE6819">
      <w:pPr>
        <w:widowControl w:val="0"/>
        <w:tabs>
          <w:tab w:val="left" w:pos="1304"/>
        </w:tabs>
        <w:autoSpaceDE w:val="0"/>
        <w:autoSpaceDN w:val="0"/>
        <w:adjustRightInd w:val="0"/>
        <w:ind w:left="851" w:hanging="851"/>
        <w:rPr>
          <w:sz w:val="24"/>
          <w:szCs w:val="24"/>
          <w:lang w:eastAsia="da-DK"/>
        </w:rPr>
      </w:pPr>
      <w:r>
        <w:rPr>
          <w:sz w:val="24"/>
          <w:szCs w:val="24"/>
          <w:lang w:eastAsia="da-DK"/>
        </w:rPr>
        <w:tab/>
      </w:r>
      <w:proofErr w:type="spellStart"/>
      <w:r w:rsidRPr="00005923">
        <w:rPr>
          <w:sz w:val="24"/>
          <w:szCs w:val="24"/>
          <w:lang w:eastAsia="da-DK"/>
        </w:rPr>
        <w:t>Dexmedetomidinhydrochlorid</w:t>
      </w:r>
      <w:proofErr w:type="spellEnd"/>
      <w:r w:rsidRPr="00005923">
        <w:rPr>
          <w:sz w:val="24"/>
          <w:szCs w:val="24"/>
          <w:lang w:eastAsia="da-DK"/>
        </w:rPr>
        <w:tab/>
      </w:r>
      <w:r w:rsidRPr="00005923">
        <w:rPr>
          <w:sz w:val="24"/>
          <w:szCs w:val="24"/>
          <w:lang w:eastAsia="da-DK"/>
        </w:rPr>
        <w:tab/>
        <w:t>0,5 mg</w:t>
      </w:r>
    </w:p>
    <w:p w:rsidR="00BE6819" w:rsidRPr="00005923" w:rsidRDefault="00BE6819" w:rsidP="00BE6819">
      <w:pPr>
        <w:widowControl w:val="0"/>
        <w:tabs>
          <w:tab w:val="left" w:pos="1304"/>
        </w:tabs>
        <w:autoSpaceDE w:val="0"/>
        <w:autoSpaceDN w:val="0"/>
        <w:adjustRightInd w:val="0"/>
        <w:ind w:left="851" w:hanging="851"/>
        <w:rPr>
          <w:sz w:val="24"/>
          <w:szCs w:val="24"/>
          <w:lang w:eastAsia="da-DK"/>
        </w:rPr>
      </w:pPr>
      <w:r>
        <w:rPr>
          <w:sz w:val="24"/>
          <w:szCs w:val="24"/>
          <w:lang w:eastAsia="da-DK"/>
        </w:rPr>
        <w:tab/>
      </w:r>
      <w:r w:rsidR="00014AFE">
        <w:rPr>
          <w:sz w:val="24"/>
          <w:szCs w:val="24"/>
          <w:lang w:eastAsia="da-DK"/>
        </w:rPr>
        <w:t>(</w:t>
      </w:r>
      <w:r w:rsidRPr="00005923">
        <w:rPr>
          <w:sz w:val="24"/>
          <w:szCs w:val="24"/>
          <w:lang w:eastAsia="da-DK"/>
        </w:rPr>
        <w:t xml:space="preserve">svarende til 0,42 mg </w:t>
      </w:r>
      <w:proofErr w:type="spellStart"/>
      <w:r w:rsidRPr="00005923">
        <w:rPr>
          <w:sz w:val="24"/>
          <w:szCs w:val="24"/>
          <w:lang w:eastAsia="da-DK"/>
        </w:rPr>
        <w:t>dexmedetomidin</w:t>
      </w:r>
      <w:proofErr w:type="spellEnd"/>
      <w:r w:rsidR="00014AFE">
        <w:rPr>
          <w:sz w:val="24"/>
          <w:szCs w:val="24"/>
          <w:lang w:eastAsia="da-DK"/>
        </w:rPr>
        <w:t>)</w:t>
      </w:r>
    </w:p>
    <w:p w:rsidR="00BE6819" w:rsidRPr="00005923" w:rsidRDefault="00BE6819" w:rsidP="00BE6819">
      <w:pPr>
        <w:ind w:left="851" w:hanging="851"/>
        <w:rPr>
          <w:sz w:val="24"/>
          <w:szCs w:val="24"/>
        </w:rPr>
      </w:pPr>
    </w:p>
    <w:p w:rsidR="00BE6819" w:rsidRPr="00005923" w:rsidRDefault="00BE6819" w:rsidP="00BE6819">
      <w:pPr>
        <w:widowControl w:val="0"/>
        <w:tabs>
          <w:tab w:val="left" w:pos="1304"/>
        </w:tabs>
        <w:autoSpaceDE w:val="0"/>
        <w:autoSpaceDN w:val="0"/>
        <w:adjustRightInd w:val="0"/>
        <w:spacing w:after="240"/>
        <w:ind w:left="851" w:hanging="851"/>
        <w:contextualSpacing/>
        <w:rPr>
          <w:b/>
          <w:bCs/>
          <w:sz w:val="24"/>
          <w:szCs w:val="24"/>
          <w:lang w:eastAsia="da-DK"/>
        </w:rPr>
      </w:pPr>
      <w:r>
        <w:rPr>
          <w:b/>
          <w:bCs/>
          <w:sz w:val="24"/>
          <w:szCs w:val="24"/>
          <w:lang w:eastAsia="da-DK"/>
        </w:rPr>
        <w:tab/>
      </w:r>
      <w:r w:rsidRPr="00005923">
        <w:rPr>
          <w:b/>
          <w:bCs/>
          <w:sz w:val="24"/>
          <w:szCs w:val="24"/>
          <w:lang w:eastAsia="da-DK"/>
        </w:rPr>
        <w:t xml:space="preserve">Hjælpestoffer: </w:t>
      </w:r>
      <w:r w:rsidRPr="00005923">
        <w:rPr>
          <w:b/>
          <w:bCs/>
          <w:sz w:val="24"/>
          <w:szCs w:val="24"/>
          <w:lang w:eastAsia="da-DK"/>
        </w:rPr>
        <w:tab/>
      </w:r>
    </w:p>
    <w:p w:rsidR="00BE6819" w:rsidRPr="00005923" w:rsidRDefault="00BE6819" w:rsidP="00BE6819">
      <w:pPr>
        <w:widowControl w:val="0"/>
        <w:tabs>
          <w:tab w:val="left" w:pos="1304"/>
        </w:tabs>
        <w:autoSpaceDE w:val="0"/>
        <w:autoSpaceDN w:val="0"/>
        <w:adjustRightInd w:val="0"/>
        <w:spacing w:after="240"/>
        <w:ind w:left="851" w:hanging="851"/>
        <w:contextualSpacing/>
        <w:rPr>
          <w:sz w:val="24"/>
          <w:szCs w:val="24"/>
          <w:lang w:eastAsia="da-DK"/>
        </w:rPr>
      </w:pPr>
      <w:r>
        <w:rPr>
          <w:bCs/>
          <w:sz w:val="24"/>
          <w:szCs w:val="24"/>
          <w:lang w:eastAsia="da-DK"/>
        </w:rPr>
        <w:tab/>
      </w:r>
      <w:proofErr w:type="spellStart"/>
      <w:r w:rsidRPr="00005923">
        <w:rPr>
          <w:bCs/>
          <w:sz w:val="24"/>
          <w:szCs w:val="24"/>
          <w:lang w:eastAsia="da-DK"/>
        </w:rPr>
        <w:t>Methylparahydroxybenzoat</w:t>
      </w:r>
      <w:proofErr w:type="spellEnd"/>
      <w:r w:rsidRPr="00005923">
        <w:rPr>
          <w:bCs/>
          <w:sz w:val="24"/>
          <w:szCs w:val="24"/>
          <w:lang w:eastAsia="da-DK"/>
        </w:rPr>
        <w:t xml:space="preserve"> (E 218) </w:t>
      </w:r>
      <w:r w:rsidRPr="00005923">
        <w:rPr>
          <w:bCs/>
          <w:sz w:val="24"/>
          <w:szCs w:val="24"/>
          <w:lang w:eastAsia="da-DK"/>
        </w:rPr>
        <w:tab/>
      </w:r>
      <w:r w:rsidRPr="00005923">
        <w:rPr>
          <w:sz w:val="24"/>
          <w:szCs w:val="24"/>
          <w:lang w:eastAsia="da-DK"/>
        </w:rPr>
        <w:t>1,6</w:t>
      </w:r>
      <w:r w:rsidR="00014AFE">
        <w:rPr>
          <w:sz w:val="24"/>
          <w:szCs w:val="24"/>
          <w:lang w:eastAsia="da-DK"/>
        </w:rPr>
        <w:t>0</w:t>
      </w:r>
      <w:r w:rsidRPr="00005923">
        <w:rPr>
          <w:sz w:val="24"/>
          <w:szCs w:val="24"/>
          <w:lang w:eastAsia="da-DK"/>
        </w:rPr>
        <w:t xml:space="preserve"> mg </w:t>
      </w:r>
    </w:p>
    <w:p w:rsidR="00BE6819" w:rsidRPr="00005923" w:rsidRDefault="00BE6819" w:rsidP="00BE6819">
      <w:pPr>
        <w:widowControl w:val="0"/>
        <w:tabs>
          <w:tab w:val="left" w:pos="1304"/>
        </w:tabs>
        <w:autoSpaceDE w:val="0"/>
        <w:autoSpaceDN w:val="0"/>
        <w:adjustRightInd w:val="0"/>
        <w:spacing w:after="240"/>
        <w:ind w:left="851" w:hanging="851"/>
        <w:contextualSpacing/>
        <w:rPr>
          <w:sz w:val="24"/>
          <w:szCs w:val="24"/>
          <w:lang w:eastAsia="da-DK"/>
        </w:rPr>
      </w:pPr>
      <w:r>
        <w:rPr>
          <w:bCs/>
          <w:sz w:val="24"/>
          <w:szCs w:val="24"/>
          <w:lang w:eastAsia="da-DK"/>
        </w:rPr>
        <w:tab/>
      </w:r>
      <w:proofErr w:type="spellStart"/>
      <w:r w:rsidRPr="00005923">
        <w:rPr>
          <w:bCs/>
          <w:sz w:val="24"/>
          <w:szCs w:val="24"/>
          <w:lang w:eastAsia="da-DK"/>
        </w:rPr>
        <w:t>Propylparahydroxybenzoat</w:t>
      </w:r>
      <w:proofErr w:type="spellEnd"/>
      <w:r w:rsidRPr="00005923">
        <w:rPr>
          <w:bCs/>
          <w:sz w:val="24"/>
          <w:szCs w:val="24"/>
          <w:lang w:eastAsia="da-DK"/>
        </w:rPr>
        <w:tab/>
        <w:t xml:space="preserve"> </w:t>
      </w:r>
      <w:r w:rsidRPr="00005923">
        <w:rPr>
          <w:bCs/>
          <w:sz w:val="24"/>
          <w:szCs w:val="24"/>
          <w:lang w:eastAsia="da-DK"/>
        </w:rPr>
        <w:tab/>
      </w:r>
      <w:r w:rsidRPr="00005923">
        <w:rPr>
          <w:sz w:val="24"/>
          <w:szCs w:val="24"/>
          <w:lang w:eastAsia="da-DK"/>
        </w:rPr>
        <w:t>0,2 mg</w:t>
      </w:r>
    </w:p>
    <w:p w:rsidR="00BE6819" w:rsidRPr="00005923" w:rsidRDefault="00BE6819" w:rsidP="00BE6819">
      <w:pPr>
        <w:rPr>
          <w:sz w:val="24"/>
          <w:szCs w:val="24"/>
          <w:lang w:eastAsia="da-DK"/>
        </w:rPr>
      </w:pPr>
    </w:p>
    <w:p w:rsidR="00BE6819" w:rsidRPr="00005923" w:rsidRDefault="00BE6819" w:rsidP="00BE6819">
      <w:pPr>
        <w:ind w:firstLine="851"/>
        <w:rPr>
          <w:sz w:val="24"/>
          <w:szCs w:val="24"/>
          <w:lang w:eastAsia="da-DK"/>
        </w:rPr>
      </w:pPr>
      <w:r w:rsidRPr="00005923">
        <w:rPr>
          <w:sz w:val="24"/>
          <w:szCs w:val="24"/>
          <w:lang w:eastAsia="da-DK"/>
        </w:rPr>
        <w:t>Alle hjælpestoffer er anført under pkt. 6.1.</w:t>
      </w:r>
    </w:p>
    <w:p w:rsidR="00BE6819" w:rsidRPr="00005923" w:rsidRDefault="00BE6819" w:rsidP="00BE6819">
      <w:pPr>
        <w:tabs>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3.</w:t>
      </w:r>
      <w:r w:rsidRPr="00005923">
        <w:rPr>
          <w:b/>
          <w:sz w:val="24"/>
          <w:szCs w:val="24"/>
        </w:rPr>
        <w:tab/>
        <w:t>LÆGEMIDDELFORM</w:t>
      </w:r>
    </w:p>
    <w:p w:rsidR="00BE6819" w:rsidRPr="00005923" w:rsidRDefault="00BE6819" w:rsidP="00BE6819">
      <w:pPr>
        <w:widowControl w:val="0"/>
        <w:tabs>
          <w:tab w:val="left" w:pos="1304"/>
        </w:tabs>
        <w:autoSpaceDE w:val="0"/>
        <w:autoSpaceDN w:val="0"/>
        <w:adjustRightInd w:val="0"/>
        <w:spacing w:after="240"/>
        <w:ind w:left="851" w:hanging="851"/>
        <w:contextualSpacing/>
        <w:rPr>
          <w:sz w:val="24"/>
          <w:szCs w:val="24"/>
          <w:lang w:eastAsia="da-DK"/>
        </w:rPr>
      </w:pPr>
      <w:r>
        <w:rPr>
          <w:sz w:val="24"/>
          <w:szCs w:val="24"/>
          <w:lang w:eastAsia="da-DK"/>
        </w:rPr>
        <w:tab/>
      </w:r>
      <w:r w:rsidRPr="00005923">
        <w:rPr>
          <w:sz w:val="24"/>
          <w:szCs w:val="24"/>
          <w:lang w:eastAsia="da-DK"/>
        </w:rPr>
        <w:t>Injektionsvæske, opløsning.</w:t>
      </w:r>
    </w:p>
    <w:p w:rsidR="00BE6819" w:rsidRPr="00005923" w:rsidRDefault="00BE6819" w:rsidP="00BE6819">
      <w:pPr>
        <w:widowControl w:val="0"/>
        <w:tabs>
          <w:tab w:val="left" w:pos="1304"/>
        </w:tabs>
        <w:autoSpaceDE w:val="0"/>
        <w:autoSpaceDN w:val="0"/>
        <w:adjustRightInd w:val="0"/>
        <w:spacing w:after="240"/>
        <w:ind w:left="851" w:hanging="851"/>
        <w:contextualSpacing/>
        <w:rPr>
          <w:sz w:val="24"/>
          <w:szCs w:val="24"/>
          <w:lang w:eastAsia="da-DK"/>
        </w:rPr>
      </w:pPr>
      <w:r>
        <w:rPr>
          <w:sz w:val="24"/>
          <w:szCs w:val="24"/>
          <w:lang w:eastAsia="da-DK"/>
        </w:rPr>
        <w:tab/>
      </w:r>
      <w:r w:rsidRPr="00005923">
        <w:rPr>
          <w:sz w:val="24"/>
          <w:szCs w:val="24"/>
          <w:lang w:eastAsia="da-DK"/>
        </w:rPr>
        <w:t>Klar, farveløs opløsning.</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4.</w:t>
      </w:r>
      <w:r w:rsidRPr="00005923">
        <w:rPr>
          <w:b/>
          <w:sz w:val="24"/>
          <w:szCs w:val="24"/>
        </w:rPr>
        <w:tab/>
        <w:t>KLINISKE OPLYSNINGER</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u w:val="single"/>
        </w:rPr>
      </w:pPr>
      <w:r w:rsidRPr="00005923">
        <w:rPr>
          <w:b/>
          <w:sz w:val="24"/>
          <w:szCs w:val="24"/>
        </w:rPr>
        <w:t>4.1</w:t>
      </w:r>
      <w:r w:rsidRPr="00005923">
        <w:rPr>
          <w:b/>
          <w:sz w:val="24"/>
          <w:szCs w:val="24"/>
        </w:rPr>
        <w:tab/>
        <w:t>Dyrearter</w:t>
      </w:r>
    </w:p>
    <w:p w:rsidR="00BE6819" w:rsidRPr="00005923" w:rsidRDefault="00BE6819" w:rsidP="00BE6819">
      <w:pPr>
        <w:ind w:firstLine="851"/>
        <w:rPr>
          <w:sz w:val="24"/>
          <w:szCs w:val="24"/>
          <w:lang w:eastAsia="da-DK"/>
        </w:rPr>
      </w:pPr>
      <w:r w:rsidRPr="00005923">
        <w:rPr>
          <w:sz w:val="24"/>
          <w:szCs w:val="24"/>
          <w:lang w:eastAsia="da-DK"/>
        </w:rPr>
        <w:t>Hund og kat.</w:t>
      </w:r>
    </w:p>
    <w:p w:rsidR="00BE6819" w:rsidRPr="00005923" w:rsidRDefault="00BE6819" w:rsidP="00BE6819">
      <w:pPr>
        <w:tabs>
          <w:tab w:val="left" w:pos="8222"/>
        </w:tabs>
        <w:ind w:left="851" w:hanging="851"/>
        <w:rPr>
          <w:sz w:val="24"/>
          <w:szCs w:val="24"/>
        </w:rPr>
      </w:pPr>
    </w:p>
    <w:p w:rsidR="00BE6819" w:rsidRPr="00005923" w:rsidRDefault="00BE6819" w:rsidP="00BE6819">
      <w:pPr>
        <w:pStyle w:val="Sidehoved"/>
        <w:tabs>
          <w:tab w:val="clear" w:pos="4819"/>
          <w:tab w:val="left" w:pos="8222"/>
        </w:tabs>
        <w:ind w:left="851" w:hanging="851"/>
        <w:rPr>
          <w:b/>
          <w:szCs w:val="24"/>
        </w:rPr>
      </w:pPr>
      <w:r w:rsidRPr="00005923">
        <w:rPr>
          <w:b/>
          <w:szCs w:val="24"/>
        </w:rPr>
        <w:t>4.2</w:t>
      </w:r>
      <w:r w:rsidRPr="00005923">
        <w:rPr>
          <w:b/>
          <w:szCs w:val="24"/>
        </w:rPr>
        <w:tab/>
        <w:t>Terapeutiske indikationer</w:t>
      </w:r>
    </w:p>
    <w:p w:rsidR="00BE6819" w:rsidRPr="00005923" w:rsidRDefault="00BE6819" w:rsidP="00BE6819">
      <w:pPr>
        <w:ind w:left="851"/>
        <w:rPr>
          <w:sz w:val="24"/>
          <w:szCs w:val="24"/>
        </w:rPr>
      </w:pPr>
      <w:r w:rsidRPr="00005923">
        <w:rPr>
          <w:sz w:val="24"/>
          <w:szCs w:val="24"/>
        </w:rPr>
        <w:t>Til ikke-invasive, svagt til moderat smertefulde procedurer og undersøgelser, der kræver fiksering, sedation og analgesi af hunde og katte.</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Dyb sedation og analgesi hos hunde i kombination med </w:t>
      </w:r>
      <w:proofErr w:type="spellStart"/>
      <w:r w:rsidRPr="00005923">
        <w:rPr>
          <w:sz w:val="24"/>
          <w:szCs w:val="24"/>
        </w:rPr>
        <w:t>butorphanol</w:t>
      </w:r>
      <w:proofErr w:type="spellEnd"/>
      <w:r w:rsidRPr="00005923">
        <w:rPr>
          <w:sz w:val="24"/>
          <w:szCs w:val="24"/>
        </w:rPr>
        <w:t xml:space="preserve"> til kliniske undersøgelser og mindre kirurgiske indgreb.</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lastRenderedPageBreak/>
        <w:t>Præmedicinering af hunde og katte inden induktion og vedligeholdelse af generel anæstesi.</w:t>
      </w:r>
    </w:p>
    <w:p w:rsidR="00BE6819" w:rsidRPr="00005923" w:rsidRDefault="00BE6819" w:rsidP="00BE6819">
      <w:pPr>
        <w:pStyle w:val="Sidehoved"/>
        <w:tabs>
          <w:tab w:val="clear" w:pos="4819"/>
          <w:tab w:val="left" w:pos="8222"/>
        </w:tabs>
        <w:ind w:left="851" w:hanging="851"/>
        <w:rPr>
          <w:szCs w:val="24"/>
        </w:rPr>
      </w:pPr>
    </w:p>
    <w:p w:rsidR="00BE6819" w:rsidRPr="00005923" w:rsidRDefault="00BE6819" w:rsidP="00BE6819">
      <w:pPr>
        <w:pStyle w:val="Sidehoved"/>
        <w:tabs>
          <w:tab w:val="clear" w:pos="4819"/>
          <w:tab w:val="left" w:pos="851"/>
          <w:tab w:val="left" w:pos="8222"/>
        </w:tabs>
        <w:ind w:left="851" w:hanging="851"/>
        <w:rPr>
          <w:b/>
          <w:szCs w:val="24"/>
        </w:rPr>
      </w:pPr>
      <w:r w:rsidRPr="00005923">
        <w:rPr>
          <w:b/>
          <w:szCs w:val="24"/>
        </w:rPr>
        <w:t>4.3</w:t>
      </w:r>
      <w:r w:rsidRPr="00005923">
        <w:rPr>
          <w:b/>
          <w:szCs w:val="24"/>
        </w:rPr>
        <w:tab/>
        <w:t>Kontraindikationer</w:t>
      </w:r>
    </w:p>
    <w:p w:rsidR="00757861" w:rsidRDefault="00757861" w:rsidP="00757861">
      <w:pPr>
        <w:ind w:left="851"/>
        <w:rPr>
          <w:sz w:val="24"/>
          <w:szCs w:val="24"/>
        </w:rPr>
      </w:pPr>
      <w:r>
        <w:rPr>
          <w:sz w:val="24"/>
          <w:szCs w:val="24"/>
        </w:rPr>
        <w:t>Anvend ikke til dyr med hjerte-kar-lidelser, alvorlig systemisk lidelse eller nedsat lever- eller nyrefunktion.</w:t>
      </w:r>
    </w:p>
    <w:p w:rsidR="00757861" w:rsidRDefault="00757861" w:rsidP="00757861">
      <w:pPr>
        <w:ind w:left="851"/>
        <w:rPr>
          <w:sz w:val="24"/>
          <w:szCs w:val="24"/>
        </w:rPr>
      </w:pPr>
      <w:r>
        <w:rPr>
          <w:sz w:val="24"/>
          <w:szCs w:val="24"/>
        </w:rPr>
        <w:t xml:space="preserve">Anvend ikke til dyr med mekaniske forstyrrelser eller </w:t>
      </w:r>
      <w:proofErr w:type="spellStart"/>
      <w:r>
        <w:rPr>
          <w:sz w:val="24"/>
          <w:szCs w:val="24"/>
        </w:rPr>
        <w:t>mave-tarmkanalen</w:t>
      </w:r>
      <w:proofErr w:type="spellEnd"/>
      <w:r>
        <w:rPr>
          <w:sz w:val="24"/>
          <w:szCs w:val="24"/>
        </w:rPr>
        <w:t xml:space="preserve"> (</w:t>
      </w:r>
      <w:proofErr w:type="spellStart"/>
      <w:r>
        <w:rPr>
          <w:sz w:val="24"/>
          <w:szCs w:val="24"/>
        </w:rPr>
        <w:t>torsio</w:t>
      </w:r>
      <w:proofErr w:type="spellEnd"/>
      <w:r>
        <w:rPr>
          <w:sz w:val="24"/>
          <w:szCs w:val="24"/>
        </w:rPr>
        <w:t xml:space="preserve"> </w:t>
      </w:r>
      <w:proofErr w:type="spellStart"/>
      <w:r>
        <w:rPr>
          <w:sz w:val="24"/>
          <w:szCs w:val="24"/>
        </w:rPr>
        <w:t>ventriculi</w:t>
      </w:r>
      <w:proofErr w:type="spellEnd"/>
      <w:r>
        <w:rPr>
          <w:sz w:val="24"/>
          <w:szCs w:val="24"/>
        </w:rPr>
        <w:t xml:space="preserve">, </w:t>
      </w:r>
      <w:proofErr w:type="spellStart"/>
      <w:r>
        <w:rPr>
          <w:sz w:val="24"/>
          <w:szCs w:val="24"/>
        </w:rPr>
        <w:t>indespæringer</w:t>
      </w:r>
      <w:proofErr w:type="spellEnd"/>
      <w:r>
        <w:rPr>
          <w:sz w:val="24"/>
          <w:szCs w:val="24"/>
        </w:rPr>
        <w:t xml:space="preserve">, </w:t>
      </w:r>
      <w:proofErr w:type="spellStart"/>
      <w:r>
        <w:rPr>
          <w:sz w:val="24"/>
          <w:szCs w:val="24"/>
        </w:rPr>
        <w:t>øsofagushindringer</w:t>
      </w:r>
      <w:proofErr w:type="spellEnd"/>
      <w:r>
        <w:rPr>
          <w:sz w:val="24"/>
          <w:szCs w:val="24"/>
        </w:rPr>
        <w:t>).</w:t>
      </w:r>
    </w:p>
    <w:p w:rsidR="00757861" w:rsidRDefault="00757861" w:rsidP="00757861">
      <w:pPr>
        <w:ind w:left="851"/>
        <w:rPr>
          <w:sz w:val="24"/>
          <w:szCs w:val="24"/>
        </w:rPr>
      </w:pPr>
      <w:r>
        <w:rPr>
          <w:sz w:val="24"/>
          <w:szCs w:val="24"/>
        </w:rPr>
        <w:t>Anvend ikke til gravide dyr (se også sektion 4.7).</w:t>
      </w:r>
    </w:p>
    <w:p w:rsidR="00757861" w:rsidRDefault="00757861" w:rsidP="00757861">
      <w:pPr>
        <w:ind w:left="851"/>
        <w:rPr>
          <w:sz w:val="24"/>
          <w:szCs w:val="24"/>
        </w:rPr>
      </w:pPr>
      <w:r>
        <w:rPr>
          <w:sz w:val="24"/>
          <w:szCs w:val="24"/>
        </w:rPr>
        <w:t>Anvend ikke til dyr med diabetes mellitus.</w:t>
      </w:r>
    </w:p>
    <w:p w:rsidR="00BE6819" w:rsidRPr="00005923" w:rsidRDefault="00757861" w:rsidP="00757861">
      <w:pPr>
        <w:ind w:left="851"/>
        <w:rPr>
          <w:sz w:val="24"/>
          <w:szCs w:val="24"/>
        </w:rPr>
      </w:pPr>
      <w:r>
        <w:rPr>
          <w:sz w:val="24"/>
          <w:szCs w:val="24"/>
        </w:rPr>
        <w:t>Anvend ikke i tilfælde af chok, afmagring eller alvorlig svækkelse.</w:t>
      </w:r>
    </w:p>
    <w:p w:rsidR="00BE6819" w:rsidRPr="00005923" w:rsidRDefault="00BE6819" w:rsidP="00BE6819">
      <w:pPr>
        <w:ind w:left="1276" w:hanging="425"/>
        <w:rPr>
          <w:sz w:val="24"/>
          <w:szCs w:val="24"/>
        </w:rPr>
      </w:pPr>
    </w:p>
    <w:p w:rsidR="00757861" w:rsidRDefault="00757861" w:rsidP="00757861">
      <w:pPr>
        <w:ind w:left="851"/>
        <w:rPr>
          <w:sz w:val="24"/>
          <w:szCs w:val="24"/>
        </w:rPr>
      </w:pPr>
      <w:r>
        <w:rPr>
          <w:sz w:val="24"/>
          <w:szCs w:val="24"/>
        </w:rPr>
        <w:t xml:space="preserve">Anvend ikke samtidig med </w:t>
      </w:r>
      <w:proofErr w:type="spellStart"/>
      <w:r>
        <w:rPr>
          <w:sz w:val="24"/>
          <w:szCs w:val="24"/>
        </w:rPr>
        <w:t>sympatomimetiske</w:t>
      </w:r>
      <w:proofErr w:type="spellEnd"/>
      <w:r>
        <w:rPr>
          <w:sz w:val="24"/>
          <w:szCs w:val="24"/>
        </w:rPr>
        <w:t xml:space="preserve"> </w:t>
      </w:r>
      <w:proofErr w:type="spellStart"/>
      <w:r>
        <w:rPr>
          <w:sz w:val="24"/>
          <w:szCs w:val="24"/>
        </w:rPr>
        <w:t>aminer</w:t>
      </w:r>
      <w:proofErr w:type="spellEnd"/>
      <w:r>
        <w:rPr>
          <w:sz w:val="24"/>
          <w:szCs w:val="24"/>
        </w:rPr>
        <w:t>.</w:t>
      </w:r>
    </w:p>
    <w:p w:rsidR="00757861" w:rsidRDefault="00757861" w:rsidP="00757861">
      <w:pPr>
        <w:ind w:left="851"/>
        <w:rPr>
          <w:sz w:val="24"/>
          <w:szCs w:val="24"/>
        </w:rPr>
      </w:pPr>
      <w:r>
        <w:rPr>
          <w:sz w:val="24"/>
          <w:szCs w:val="24"/>
        </w:rPr>
        <w:t>Anvend ikke i tilfælde af kendt hypersensitivitet til det aktive middel eller til nogen af hjælpestofferne.</w:t>
      </w:r>
    </w:p>
    <w:p w:rsidR="00BE6819" w:rsidRPr="00005923" w:rsidRDefault="00757861" w:rsidP="00757861">
      <w:pPr>
        <w:ind w:left="851"/>
        <w:rPr>
          <w:sz w:val="24"/>
          <w:szCs w:val="24"/>
        </w:rPr>
      </w:pPr>
      <w:r>
        <w:rPr>
          <w:sz w:val="24"/>
          <w:szCs w:val="24"/>
        </w:rPr>
        <w:t xml:space="preserve">Anvend ikke til dyr med øjenproblemer, hvor en stigning i det </w:t>
      </w:r>
      <w:proofErr w:type="spellStart"/>
      <w:r>
        <w:rPr>
          <w:sz w:val="24"/>
          <w:szCs w:val="24"/>
        </w:rPr>
        <w:t>intraokulære</w:t>
      </w:r>
      <w:proofErr w:type="spellEnd"/>
      <w:r>
        <w:rPr>
          <w:sz w:val="24"/>
          <w:szCs w:val="24"/>
        </w:rPr>
        <w:t xml:space="preserve"> tryk ville være skadeligt</w:t>
      </w:r>
      <w:r w:rsidR="00BE6819" w:rsidRPr="00005923">
        <w:rPr>
          <w:sz w:val="24"/>
          <w:szCs w:val="24"/>
        </w:rPr>
        <w:t>.</w:t>
      </w:r>
    </w:p>
    <w:p w:rsidR="00BE6819" w:rsidRPr="00005923" w:rsidRDefault="00BE6819" w:rsidP="00BE6819">
      <w:pPr>
        <w:pStyle w:val="Sidehoved"/>
        <w:tabs>
          <w:tab w:val="clear" w:pos="4819"/>
          <w:tab w:val="left" w:pos="8222"/>
        </w:tabs>
        <w:ind w:left="851" w:hanging="851"/>
        <w:rPr>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4.4</w:t>
      </w:r>
      <w:r w:rsidRPr="00005923">
        <w:rPr>
          <w:b/>
          <w:sz w:val="24"/>
          <w:szCs w:val="24"/>
        </w:rPr>
        <w:tab/>
        <w:t>Særlige advarsler</w:t>
      </w: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Ingen.</w:t>
      </w:r>
    </w:p>
    <w:p w:rsidR="00BE6819" w:rsidRPr="00005923" w:rsidRDefault="00BE6819" w:rsidP="00BE6819">
      <w:pPr>
        <w:pStyle w:val="Sidehoved"/>
        <w:tabs>
          <w:tab w:val="clear" w:pos="4819"/>
          <w:tab w:val="left" w:pos="8222"/>
        </w:tabs>
        <w:ind w:left="851" w:hanging="851"/>
        <w:rPr>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4.5</w:t>
      </w:r>
      <w:r w:rsidRPr="00005923">
        <w:rPr>
          <w:b/>
          <w:sz w:val="24"/>
          <w:szCs w:val="24"/>
        </w:rPr>
        <w:tab/>
        <w:t>Særlige forsigtighedsregler vedrørende brugen</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Pr>
          <w:b/>
          <w:sz w:val="24"/>
          <w:szCs w:val="24"/>
        </w:rPr>
        <w:tab/>
      </w:r>
      <w:r w:rsidRPr="00005923">
        <w:rPr>
          <w:b/>
          <w:sz w:val="24"/>
          <w:szCs w:val="24"/>
        </w:rPr>
        <w:t>Særlige forsigtighedsregler for dyret</w:t>
      </w:r>
    </w:p>
    <w:p w:rsidR="00BE6819" w:rsidRPr="00005923" w:rsidRDefault="00BE6819" w:rsidP="00BE6819">
      <w:pPr>
        <w:ind w:left="851"/>
        <w:rPr>
          <w:sz w:val="24"/>
          <w:szCs w:val="24"/>
        </w:rPr>
      </w:pPr>
      <w:r w:rsidRPr="00005923">
        <w:rPr>
          <w:sz w:val="24"/>
          <w:szCs w:val="24"/>
        </w:rPr>
        <w:t>Behandlede dyr skal under procedure og opvågning holdes varme og ved konstant temperatur.</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Det anbefales, at dyret bliver fastet i 12 timer inden anvendelsen af </w:t>
      </w:r>
      <w:proofErr w:type="spellStart"/>
      <w:r w:rsidRPr="00005923">
        <w:rPr>
          <w:sz w:val="24"/>
          <w:szCs w:val="24"/>
        </w:rPr>
        <w:t>dexmedetomidin</w:t>
      </w:r>
      <w:proofErr w:type="spellEnd"/>
      <w:r w:rsidRPr="00005923">
        <w:rPr>
          <w:sz w:val="24"/>
          <w:szCs w:val="24"/>
        </w:rPr>
        <w:t>.</w:t>
      </w:r>
    </w:p>
    <w:p w:rsidR="00BE6819" w:rsidRPr="00005923" w:rsidRDefault="00BE6819" w:rsidP="00BE6819">
      <w:pPr>
        <w:ind w:left="851"/>
        <w:rPr>
          <w:sz w:val="24"/>
          <w:szCs w:val="24"/>
        </w:rPr>
      </w:pPr>
      <w:r w:rsidRPr="00005923">
        <w:rPr>
          <w:sz w:val="24"/>
          <w:szCs w:val="24"/>
        </w:rPr>
        <w:t>Dyret må gerne få vand.</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Efter behandling bør dyret ikke tilbydes foder eller vand, før det er i stand til at synke.</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Øjnene bør beskyttes med en passende øjensalve.</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Bør anvendes med forsigtighed hos ældre dyr.</w:t>
      </w:r>
    </w:p>
    <w:p w:rsidR="00BE6819" w:rsidRPr="00005923" w:rsidRDefault="00BE6819" w:rsidP="00BE6819">
      <w:pPr>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Nervøse, aggressive eller ophidsede dyr bør have mulighed for at falde til ro, før behandlingen påbegyndes.</w:t>
      </w:r>
    </w:p>
    <w:p w:rsidR="00BE6819" w:rsidRPr="00005923" w:rsidRDefault="00BE6819" w:rsidP="00BE6819">
      <w:pPr>
        <w:ind w:left="851" w:hanging="851"/>
        <w:rPr>
          <w:sz w:val="24"/>
          <w:szCs w:val="24"/>
        </w:rPr>
      </w:pPr>
    </w:p>
    <w:p w:rsidR="00BE6819" w:rsidRPr="00005923" w:rsidRDefault="00BE6819" w:rsidP="00BE6819">
      <w:pPr>
        <w:tabs>
          <w:tab w:val="left" w:pos="0"/>
        </w:tabs>
        <w:ind w:left="851" w:hanging="851"/>
        <w:rPr>
          <w:sz w:val="24"/>
          <w:szCs w:val="24"/>
        </w:rPr>
      </w:pPr>
      <w:r>
        <w:rPr>
          <w:sz w:val="24"/>
          <w:szCs w:val="24"/>
        </w:rPr>
        <w:tab/>
      </w:r>
      <w:r w:rsidRPr="00005923">
        <w:rPr>
          <w:sz w:val="24"/>
          <w:szCs w:val="24"/>
        </w:rPr>
        <w:t xml:space="preserve">Hyppig og regelmæssig monitorering af åndedræts- og hjertefunktion skal foretages. </w:t>
      </w:r>
      <w:proofErr w:type="spellStart"/>
      <w:r w:rsidRPr="00005923">
        <w:rPr>
          <w:sz w:val="24"/>
          <w:szCs w:val="24"/>
        </w:rPr>
        <w:t>Pulsoximetri</w:t>
      </w:r>
      <w:proofErr w:type="spellEnd"/>
      <w:r w:rsidRPr="00005923">
        <w:rPr>
          <w:sz w:val="24"/>
          <w:szCs w:val="24"/>
        </w:rPr>
        <w:t xml:space="preserve"> kan være nyttig, men er ikke nødvendig for tilstrækkelig overvågning. Udstyr til manuel ventilation skal være tilgængeligt, hvis depression af åndedrættet eller apnø skulle opstå når </w:t>
      </w:r>
      <w:proofErr w:type="spellStart"/>
      <w:r w:rsidRPr="00005923">
        <w:rPr>
          <w:sz w:val="24"/>
          <w:szCs w:val="24"/>
        </w:rPr>
        <w:t>dexmedetomidin</w:t>
      </w:r>
      <w:proofErr w:type="spellEnd"/>
      <w:r w:rsidRPr="00005923">
        <w:rPr>
          <w:sz w:val="24"/>
          <w:szCs w:val="24"/>
        </w:rPr>
        <w:t xml:space="preserve"> og </w:t>
      </w:r>
      <w:proofErr w:type="spellStart"/>
      <w:r w:rsidRPr="00005923">
        <w:rPr>
          <w:sz w:val="24"/>
          <w:szCs w:val="24"/>
        </w:rPr>
        <w:t>ketamin</w:t>
      </w:r>
      <w:proofErr w:type="spellEnd"/>
      <w:r w:rsidRPr="00005923">
        <w:rPr>
          <w:sz w:val="24"/>
          <w:szCs w:val="24"/>
        </w:rPr>
        <w:t xml:space="preserve"> gives efter hinanden til at bedøve katte. Det anbefales også at have oxygen til rådighed, hvis der skulle være tegn på eller mistanke om </w:t>
      </w:r>
      <w:proofErr w:type="spellStart"/>
      <w:r w:rsidRPr="00005923">
        <w:rPr>
          <w:sz w:val="24"/>
          <w:szCs w:val="24"/>
        </w:rPr>
        <w:t>hypoxæmi</w:t>
      </w:r>
      <w:proofErr w:type="spellEnd"/>
      <w:r w:rsidRPr="00005923">
        <w:rPr>
          <w:sz w:val="24"/>
          <w:szCs w:val="24"/>
        </w:rPr>
        <w:t>.</w:t>
      </w:r>
    </w:p>
    <w:p w:rsidR="00BE6819" w:rsidRPr="00005923" w:rsidRDefault="00BE6819" w:rsidP="00BE6819">
      <w:pPr>
        <w:tabs>
          <w:tab w:val="left" w:pos="0"/>
        </w:tabs>
        <w:ind w:left="851" w:hanging="851"/>
        <w:rPr>
          <w:sz w:val="24"/>
          <w:szCs w:val="24"/>
        </w:rPr>
      </w:pPr>
    </w:p>
    <w:p w:rsidR="00BE6819" w:rsidRPr="00005923" w:rsidRDefault="00BE6819" w:rsidP="00BE6819">
      <w:pPr>
        <w:tabs>
          <w:tab w:val="left" w:pos="0"/>
        </w:tabs>
        <w:ind w:left="851" w:hanging="851"/>
        <w:rPr>
          <w:sz w:val="24"/>
          <w:szCs w:val="24"/>
        </w:rPr>
      </w:pPr>
      <w:r>
        <w:rPr>
          <w:sz w:val="24"/>
          <w:szCs w:val="24"/>
        </w:rPr>
        <w:tab/>
      </w:r>
      <w:r w:rsidRPr="00005923">
        <w:rPr>
          <w:sz w:val="24"/>
          <w:szCs w:val="24"/>
        </w:rPr>
        <w:t xml:space="preserve">Syge og svækkede hunde og katte skal kun præmedicineres med </w:t>
      </w:r>
      <w:proofErr w:type="spellStart"/>
      <w:r w:rsidRPr="00005923">
        <w:rPr>
          <w:sz w:val="24"/>
          <w:szCs w:val="24"/>
        </w:rPr>
        <w:t>dexmedetomidin</w:t>
      </w:r>
      <w:proofErr w:type="spellEnd"/>
      <w:r w:rsidRPr="00005923">
        <w:rPr>
          <w:sz w:val="24"/>
          <w:szCs w:val="24"/>
        </w:rPr>
        <w:t xml:space="preserve"> før påbegyndelse og vedligeholdelse af generel bedøvelse, hvis der er foretaget en vurdering af risici og fordele.</w:t>
      </w:r>
    </w:p>
    <w:p w:rsidR="00BE6819" w:rsidRPr="00005923" w:rsidRDefault="00BE6819" w:rsidP="00BE6819">
      <w:pPr>
        <w:tabs>
          <w:tab w:val="left" w:pos="0"/>
        </w:tabs>
        <w:ind w:left="851" w:hanging="851"/>
        <w:rPr>
          <w:sz w:val="24"/>
          <w:szCs w:val="24"/>
        </w:rPr>
      </w:pPr>
    </w:p>
    <w:p w:rsidR="00BE6819" w:rsidRPr="00005923" w:rsidRDefault="00BE6819" w:rsidP="00BE6819">
      <w:pPr>
        <w:tabs>
          <w:tab w:val="left" w:pos="0"/>
        </w:tabs>
        <w:ind w:left="851" w:hanging="851"/>
        <w:rPr>
          <w:sz w:val="24"/>
          <w:szCs w:val="24"/>
        </w:rPr>
      </w:pPr>
      <w:r>
        <w:rPr>
          <w:sz w:val="24"/>
          <w:szCs w:val="24"/>
        </w:rPr>
        <w:tab/>
      </w:r>
      <w:r w:rsidRPr="00005923">
        <w:rPr>
          <w:sz w:val="24"/>
          <w:szCs w:val="24"/>
        </w:rPr>
        <w:t xml:space="preserve">Brug af </w:t>
      </w:r>
      <w:proofErr w:type="spellStart"/>
      <w:r w:rsidRPr="00005923">
        <w:rPr>
          <w:sz w:val="24"/>
          <w:szCs w:val="24"/>
        </w:rPr>
        <w:t>dexmedetomidin</w:t>
      </w:r>
      <w:proofErr w:type="spellEnd"/>
      <w:r w:rsidRPr="00005923">
        <w:rPr>
          <w:sz w:val="24"/>
          <w:szCs w:val="24"/>
        </w:rPr>
        <w:t xml:space="preserve"> til præmedicinering hos hunde og katte reducerer den mængde induktionsmedicin, der er nødvendig for induktion af anæstesi. Der bør udvises særlig </w:t>
      </w:r>
      <w:r w:rsidRPr="00005923">
        <w:rPr>
          <w:sz w:val="24"/>
          <w:szCs w:val="24"/>
        </w:rPr>
        <w:lastRenderedPageBreak/>
        <w:t>opmærksomhed under indgivelse af intravenøs induktionsmedicin til effekt. Behovet for mængden af anæstesigasser til vedligeholdelse af anæstesien reduceres også.</w:t>
      </w:r>
    </w:p>
    <w:p w:rsidR="00BE6819" w:rsidRPr="00005923" w:rsidRDefault="00BE6819" w:rsidP="00BE6819">
      <w:pPr>
        <w:tabs>
          <w:tab w:val="left" w:pos="0"/>
        </w:tabs>
        <w:ind w:left="851" w:hanging="851"/>
        <w:rPr>
          <w:sz w:val="24"/>
          <w:szCs w:val="24"/>
        </w:rPr>
      </w:pPr>
    </w:p>
    <w:p w:rsidR="00BE6819" w:rsidRPr="00005923" w:rsidRDefault="00BE6819" w:rsidP="00BE6819">
      <w:pPr>
        <w:tabs>
          <w:tab w:val="left" w:pos="0"/>
        </w:tabs>
        <w:ind w:left="851" w:hanging="851"/>
        <w:rPr>
          <w:sz w:val="24"/>
          <w:szCs w:val="24"/>
        </w:rPr>
      </w:pPr>
      <w:r>
        <w:rPr>
          <w:sz w:val="24"/>
          <w:szCs w:val="24"/>
        </w:rPr>
        <w:tab/>
      </w:r>
      <w:r w:rsidRPr="00005923">
        <w:rPr>
          <w:sz w:val="24"/>
          <w:szCs w:val="24"/>
        </w:rPr>
        <w:t xml:space="preserve">Anvendelse af </w:t>
      </w:r>
      <w:proofErr w:type="spellStart"/>
      <w:r w:rsidRPr="00005923">
        <w:rPr>
          <w:sz w:val="24"/>
          <w:szCs w:val="24"/>
        </w:rPr>
        <w:t>dexmedetomidin</w:t>
      </w:r>
      <w:proofErr w:type="spellEnd"/>
      <w:r w:rsidRPr="00005923">
        <w:rPr>
          <w:sz w:val="24"/>
          <w:szCs w:val="24"/>
        </w:rPr>
        <w:t xml:space="preserve"> til hvalpe under 16 uger eller killinger under 12 uger er ikke blevet undersøgt.</w:t>
      </w:r>
    </w:p>
    <w:p w:rsidR="00BE6819" w:rsidRPr="00005923" w:rsidRDefault="00BE6819" w:rsidP="00BE6819">
      <w:pPr>
        <w:tabs>
          <w:tab w:val="left" w:pos="0"/>
        </w:tabs>
        <w:ind w:left="851" w:hanging="851"/>
        <w:rPr>
          <w:sz w:val="24"/>
          <w:szCs w:val="24"/>
        </w:rPr>
      </w:pPr>
    </w:p>
    <w:p w:rsidR="00BE6819" w:rsidRPr="00005923" w:rsidRDefault="00BE6819" w:rsidP="00BE6819">
      <w:pPr>
        <w:tabs>
          <w:tab w:val="left" w:pos="0"/>
        </w:tabs>
        <w:ind w:left="851" w:hanging="851"/>
        <w:rPr>
          <w:sz w:val="24"/>
          <w:szCs w:val="24"/>
        </w:rPr>
      </w:pPr>
      <w:r>
        <w:rPr>
          <w:sz w:val="24"/>
          <w:szCs w:val="24"/>
        </w:rPr>
        <w:tab/>
      </w:r>
      <w:r w:rsidRPr="00005923">
        <w:rPr>
          <w:sz w:val="24"/>
          <w:szCs w:val="24"/>
        </w:rPr>
        <w:t>Lægemidlets sikkerhed er ikke fastlagt hos hanner, som skal bruges til avl.</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Pr>
          <w:b/>
          <w:sz w:val="24"/>
          <w:szCs w:val="24"/>
        </w:rPr>
        <w:tab/>
      </w:r>
      <w:r w:rsidRPr="00005923">
        <w:rPr>
          <w:b/>
          <w:sz w:val="24"/>
          <w:szCs w:val="24"/>
        </w:rPr>
        <w:t>Særlige forsigtighedsregler for personer, der administrerer lægemidlet</w:t>
      </w:r>
    </w:p>
    <w:p w:rsidR="00DD17A9" w:rsidRPr="00DD17A9" w:rsidRDefault="00DD17A9" w:rsidP="00DD17A9">
      <w:pPr>
        <w:ind w:left="851"/>
        <w:jc w:val="both"/>
        <w:rPr>
          <w:sz w:val="24"/>
          <w:szCs w:val="24"/>
        </w:rPr>
      </w:pPr>
      <w:r w:rsidRPr="00DD17A9">
        <w:rPr>
          <w:sz w:val="24"/>
          <w:szCs w:val="24"/>
        </w:rPr>
        <w:t>Da bedøvelse og ændringer i blodtryk kan forekomme, bør du IKKE KØRE i tilfælde af utilsigtet oral indtagelse eller selv-injektion, søg straks lægehjælp og vis indlægssedlen til lægen.</w:t>
      </w:r>
    </w:p>
    <w:p w:rsidR="00DD17A9" w:rsidRPr="00DD17A9" w:rsidRDefault="00DD17A9" w:rsidP="00DD17A9">
      <w:pPr>
        <w:ind w:left="851"/>
        <w:jc w:val="both"/>
        <w:rPr>
          <w:sz w:val="24"/>
          <w:szCs w:val="24"/>
        </w:rPr>
      </w:pPr>
    </w:p>
    <w:p w:rsidR="00DD17A9" w:rsidRPr="00DD17A9" w:rsidRDefault="00DD17A9" w:rsidP="00DD17A9">
      <w:pPr>
        <w:ind w:left="851"/>
        <w:jc w:val="both"/>
        <w:rPr>
          <w:sz w:val="24"/>
          <w:szCs w:val="24"/>
        </w:rPr>
      </w:pPr>
      <w:r w:rsidRPr="00DD17A9">
        <w:rPr>
          <w:sz w:val="24"/>
          <w:szCs w:val="24"/>
        </w:rPr>
        <w:t xml:space="preserve">I tilfælde af kontakt med hud, vask straks det udsatte hudområde efter udsættelse med store mængder vand. </w:t>
      </w:r>
      <w:bookmarkStart w:id="1" w:name="_Hlk74581757"/>
      <w:r w:rsidRPr="00DD17A9">
        <w:rPr>
          <w:sz w:val="24"/>
          <w:szCs w:val="24"/>
        </w:rPr>
        <w:t xml:space="preserve">Fjern forgiftet tøj, der er i direkte kontakt med huden. </w:t>
      </w:r>
    </w:p>
    <w:p w:rsidR="00DD17A9" w:rsidRPr="00DD17A9" w:rsidRDefault="00DD17A9" w:rsidP="00DD17A9">
      <w:pPr>
        <w:ind w:left="851"/>
        <w:jc w:val="both"/>
        <w:rPr>
          <w:sz w:val="24"/>
          <w:szCs w:val="24"/>
        </w:rPr>
      </w:pPr>
    </w:p>
    <w:bookmarkEnd w:id="1"/>
    <w:p w:rsidR="00DD17A9" w:rsidRPr="00DD17A9" w:rsidRDefault="00DD17A9" w:rsidP="00DD17A9">
      <w:pPr>
        <w:ind w:left="851"/>
        <w:jc w:val="both"/>
        <w:rPr>
          <w:sz w:val="24"/>
          <w:szCs w:val="24"/>
        </w:rPr>
      </w:pPr>
      <w:r w:rsidRPr="00DD17A9">
        <w:rPr>
          <w:sz w:val="24"/>
          <w:szCs w:val="24"/>
        </w:rPr>
        <w:t>I tilfælde af utilsigtet kontakt af produktet med øjnene, skyl grundigt med rent vand. Hvis der opstår symptomer, søg lægehjælp.</w:t>
      </w:r>
    </w:p>
    <w:p w:rsidR="00DD17A9" w:rsidRPr="00DD17A9" w:rsidRDefault="00DD17A9" w:rsidP="00DD17A9">
      <w:pPr>
        <w:ind w:left="851"/>
        <w:jc w:val="both"/>
        <w:rPr>
          <w:sz w:val="24"/>
          <w:szCs w:val="24"/>
        </w:rPr>
      </w:pPr>
      <w:r w:rsidRPr="00DD17A9">
        <w:rPr>
          <w:sz w:val="24"/>
          <w:szCs w:val="24"/>
        </w:rPr>
        <w:t>Undgå kontakt med hud, øjne eller slimhinder.</w:t>
      </w:r>
    </w:p>
    <w:p w:rsidR="00DD17A9" w:rsidRPr="00DD17A9" w:rsidRDefault="00DD17A9" w:rsidP="00DD17A9">
      <w:pPr>
        <w:ind w:left="851"/>
        <w:jc w:val="both"/>
        <w:rPr>
          <w:sz w:val="24"/>
          <w:szCs w:val="24"/>
        </w:rPr>
      </w:pPr>
    </w:p>
    <w:p w:rsidR="00DD17A9" w:rsidRPr="00DD17A9" w:rsidRDefault="00DD17A9" w:rsidP="00DD17A9">
      <w:pPr>
        <w:ind w:left="851"/>
        <w:jc w:val="both"/>
        <w:rPr>
          <w:sz w:val="24"/>
          <w:szCs w:val="24"/>
        </w:rPr>
      </w:pPr>
      <w:r w:rsidRPr="00DD17A9">
        <w:rPr>
          <w:sz w:val="24"/>
          <w:szCs w:val="24"/>
        </w:rPr>
        <w:t xml:space="preserve">Da uteruskontraktioner og nedsat </w:t>
      </w:r>
      <w:proofErr w:type="spellStart"/>
      <w:r w:rsidRPr="00DD17A9">
        <w:rPr>
          <w:sz w:val="24"/>
          <w:szCs w:val="24"/>
        </w:rPr>
        <w:t>føtalblodtryk</w:t>
      </w:r>
      <w:proofErr w:type="spellEnd"/>
      <w:r w:rsidRPr="00DD17A9">
        <w:rPr>
          <w:sz w:val="24"/>
          <w:szCs w:val="24"/>
        </w:rPr>
        <w:t xml:space="preserve"> kan forekomme efter utilsigtet systemisk eksponering, hvis gravide kvinder håndterer produktet, skal der udvises særlig forsigtighed med ikke at injicere sig selv.</w:t>
      </w:r>
    </w:p>
    <w:p w:rsidR="00DD17A9" w:rsidRPr="00DD17A9" w:rsidRDefault="00DD17A9" w:rsidP="00DD17A9">
      <w:pPr>
        <w:ind w:left="851"/>
        <w:jc w:val="both"/>
        <w:rPr>
          <w:sz w:val="24"/>
          <w:szCs w:val="24"/>
        </w:rPr>
      </w:pPr>
    </w:p>
    <w:p w:rsidR="00DD17A9" w:rsidRPr="00DD17A9" w:rsidRDefault="00DD17A9" w:rsidP="00DD17A9">
      <w:pPr>
        <w:ind w:left="851"/>
        <w:jc w:val="both"/>
        <w:rPr>
          <w:sz w:val="24"/>
          <w:szCs w:val="24"/>
        </w:rPr>
      </w:pPr>
      <w:r w:rsidRPr="00DD17A9">
        <w:rPr>
          <w:sz w:val="24"/>
          <w:szCs w:val="24"/>
        </w:rPr>
        <w:t xml:space="preserve">Folk med kendt hypersensitivitet til </w:t>
      </w:r>
      <w:proofErr w:type="spellStart"/>
      <w:r w:rsidRPr="00DD17A9">
        <w:rPr>
          <w:sz w:val="24"/>
          <w:szCs w:val="24"/>
        </w:rPr>
        <w:t>dexmedetomidin</w:t>
      </w:r>
      <w:proofErr w:type="spellEnd"/>
      <w:r w:rsidRPr="00DD17A9">
        <w:rPr>
          <w:sz w:val="24"/>
          <w:szCs w:val="24"/>
        </w:rPr>
        <w:t xml:space="preserve"> eller enhver af hjælpestofferne, bør administrere veterinærlægemidlet med forsigtighed.</w:t>
      </w:r>
    </w:p>
    <w:p w:rsidR="00BE6819" w:rsidRPr="00005923" w:rsidRDefault="00BE6819" w:rsidP="00BE6819">
      <w:pPr>
        <w:tabs>
          <w:tab w:val="left" w:pos="1304"/>
        </w:tabs>
        <w:autoSpaceDE w:val="0"/>
        <w:autoSpaceDN w:val="0"/>
        <w:adjustRightInd w:val="0"/>
        <w:ind w:left="851" w:hanging="851"/>
        <w:rPr>
          <w:sz w:val="24"/>
          <w:szCs w:val="24"/>
        </w:rPr>
      </w:pPr>
    </w:p>
    <w:p w:rsidR="00BE6819" w:rsidRPr="00005923" w:rsidRDefault="00BE6819" w:rsidP="00BE6819">
      <w:pPr>
        <w:tabs>
          <w:tab w:val="left" w:pos="1304"/>
        </w:tabs>
        <w:autoSpaceDE w:val="0"/>
        <w:autoSpaceDN w:val="0"/>
        <w:adjustRightInd w:val="0"/>
        <w:ind w:left="851" w:hanging="851"/>
        <w:rPr>
          <w:sz w:val="24"/>
          <w:szCs w:val="24"/>
        </w:rPr>
      </w:pPr>
      <w:r>
        <w:rPr>
          <w:sz w:val="24"/>
          <w:szCs w:val="24"/>
        </w:rPr>
        <w:tab/>
      </w:r>
      <w:r w:rsidRPr="00005923">
        <w:rPr>
          <w:sz w:val="24"/>
          <w:szCs w:val="24"/>
        </w:rPr>
        <w:t>Til lægen:</w:t>
      </w:r>
    </w:p>
    <w:p w:rsidR="00BE6819" w:rsidRPr="00005923" w:rsidRDefault="00BE6819" w:rsidP="00BE6819">
      <w:pPr>
        <w:ind w:left="851"/>
        <w:rPr>
          <w:sz w:val="24"/>
          <w:szCs w:val="24"/>
        </w:rPr>
      </w:pPr>
      <w:proofErr w:type="spellStart"/>
      <w:r w:rsidRPr="00005923">
        <w:rPr>
          <w:sz w:val="24"/>
          <w:szCs w:val="24"/>
          <w:lang w:eastAsia="da-DK"/>
        </w:rPr>
        <w:t>Dexmedetomidin</w:t>
      </w:r>
      <w:proofErr w:type="spellEnd"/>
      <w:r w:rsidRPr="00005923">
        <w:rPr>
          <w:sz w:val="24"/>
          <w:szCs w:val="24"/>
        </w:rPr>
        <w:t xml:space="preserve"> er en α2-adrenoceptor-agonist. Symptomerne på absorption kan omfatte: Dosisafhængig sedation, respiratorisk depression, bradykardi, hypotension, tør mund og </w:t>
      </w:r>
      <w:proofErr w:type="spellStart"/>
      <w:r w:rsidRPr="00005923">
        <w:rPr>
          <w:sz w:val="24"/>
          <w:szCs w:val="24"/>
        </w:rPr>
        <w:t>hyperglykæmi</w:t>
      </w:r>
      <w:proofErr w:type="spellEnd"/>
      <w:r w:rsidRPr="00005923">
        <w:rPr>
          <w:sz w:val="24"/>
          <w:szCs w:val="24"/>
        </w:rPr>
        <w:t xml:space="preserve">. </w:t>
      </w:r>
      <w:proofErr w:type="spellStart"/>
      <w:r w:rsidRPr="00005923">
        <w:rPr>
          <w:sz w:val="24"/>
          <w:szCs w:val="24"/>
        </w:rPr>
        <w:t>Ventrikulære</w:t>
      </w:r>
      <w:proofErr w:type="spellEnd"/>
      <w:r w:rsidRPr="00005923">
        <w:rPr>
          <w:sz w:val="24"/>
          <w:szCs w:val="24"/>
        </w:rPr>
        <w:t xml:space="preserve"> </w:t>
      </w:r>
      <w:proofErr w:type="spellStart"/>
      <w:r w:rsidRPr="00005923">
        <w:rPr>
          <w:sz w:val="24"/>
          <w:szCs w:val="24"/>
        </w:rPr>
        <w:t>arytmier</w:t>
      </w:r>
      <w:proofErr w:type="spellEnd"/>
      <w:r w:rsidRPr="00005923">
        <w:rPr>
          <w:sz w:val="24"/>
          <w:szCs w:val="24"/>
        </w:rPr>
        <w:t xml:space="preserve"> er også rapporteret. Respiratoriske og </w:t>
      </w:r>
      <w:proofErr w:type="spellStart"/>
      <w:r w:rsidRPr="00005923">
        <w:rPr>
          <w:sz w:val="24"/>
          <w:szCs w:val="24"/>
        </w:rPr>
        <w:t>hæmodynamiske</w:t>
      </w:r>
      <w:proofErr w:type="spellEnd"/>
      <w:r w:rsidRPr="00005923">
        <w:rPr>
          <w:sz w:val="24"/>
          <w:szCs w:val="24"/>
        </w:rPr>
        <w:t xml:space="preserve"> symptomer skal behandles symptomatisk. Den specifikke α</w:t>
      </w:r>
      <w:r w:rsidRPr="0025124D">
        <w:rPr>
          <w:sz w:val="24"/>
          <w:szCs w:val="24"/>
          <w:vertAlign w:val="subscript"/>
        </w:rPr>
        <w:t>2</w:t>
      </w:r>
      <w:r w:rsidRPr="00005923">
        <w:rPr>
          <w:sz w:val="24"/>
          <w:szCs w:val="24"/>
        </w:rPr>
        <w:t>–</w:t>
      </w:r>
      <w:proofErr w:type="spellStart"/>
      <w:r w:rsidRPr="00005923">
        <w:rPr>
          <w:sz w:val="24"/>
          <w:szCs w:val="24"/>
        </w:rPr>
        <w:t>adrenoceptor</w:t>
      </w:r>
      <w:proofErr w:type="spellEnd"/>
      <w:r w:rsidRPr="00005923">
        <w:rPr>
          <w:sz w:val="24"/>
          <w:szCs w:val="24"/>
        </w:rPr>
        <w:t xml:space="preserve">-antagonist, </w:t>
      </w:r>
      <w:proofErr w:type="spellStart"/>
      <w:r w:rsidRPr="00005923">
        <w:rPr>
          <w:sz w:val="24"/>
          <w:szCs w:val="24"/>
        </w:rPr>
        <w:t>atipamezol</w:t>
      </w:r>
      <w:proofErr w:type="spellEnd"/>
      <w:r w:rsidRPr="00005923">
        <w:rPr>
          <w:sz w:val="24"/>
          <w:szCs w:val="24"/>
        </w:rPr>
        <w:t xml:space="preserve">, som er godkendt til brug hos dyr, er kun blevet anvendt eksperimentelt hos mennesker til at ophæve virkningen af </w:t>
      </w:r>
      <w:proofErr w:type="spellStart"/>
      <w:r w:rsidRPr="00005923">
        <w:rPr>
          <w:sz w:val="24"/>
          <w:szCs w:val="24"/>
        </w:rPr>
        <w:t>dexmedetomidin</w:t>
      </w:r>
      <w:proofErr w:type="spellEnd"/>
      <w:r w:rsidRPr="00005923">
        <w:rPr>
          <w:sz w:val="24"/>
          <w:szCs w:val="24"/>
        </w:rPr>
        <w:t>-inducerede virkninger.</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Pr>
          <w:b/>
          <w:sz w:val="24"/>
          <w:szCs w:val="24"/>
        </w:rPr>
        <w:tab/>
      </w:r>
      <w:r w:rsidRPr="00005923">
        <w:rPr>
          <w:b/>
          <w:sz w:val="24"/>
          <w:szCs w:val="24"/>
        </w:rPr>
        <w:t>Andre forsigtighedsregler</w:t>
      </w:r>
    </w:p>
    <w:p w:rsidR="00BE6819" w:rsidRPr="00005923" w:rsidRDefault="00BE6819" w:rsidP="00BE6819">
      <w:pPr>
        <w:tabs>
          <w:tab w:val="left" w:pos="851"/>
          <w:tab w:val="left" w:pos="8222"/>
        </w:tabs>
        <w:ind w:left="851" w:hanging="851"/>
        <w:rPr>
          <w:sz w:val="24"/>
          <w:szCs w:val="24"/>
        </w:rPr>
      </w:pPr>
      <w:r>
        <w:rPr>
          <w:sz w:val="24"/>
          <w:szCs w:val="24"/>
        </w:rPr>
        <w:tab/>
      </w:r>
      <w:r w:rsidRPr="00005923">
        <w:rPr>
          <w:sz w:val="24"/>
          <w:szCs w:val="24"/>
        </w:rPr>
        <w:t>-</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4.6</w:t>
      </w:r>
      <w:r w:rsidRPr="00005923">
        <w:rPr>
          <w:b/>
          <w:sz w:val="24"/>
          <w:szCs w:val="24"/>
        </w:rPr>
        <w:tab/>
        <w:t>Bivirkninger</w:t>
      </w: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På grund af dets α</w:t>
      </w:r>
      <w:r w:rsidRPr="0025124D">
        <w:rPr>
          <w:sz w:val="24"/>
          <w:szCs w:val="24"/>
          <w:vertAlign w:val="subscript"/>
        </w:rPr>
        <w:t>2</w:t>
      </w:r>
      <w:r w:rsidRPr="00005923">
        <w:rPr>
          <w:sz w:val="24"/>
          <w:szCs w:val="24"/>
        </w:rPr>
        <w:t xml:space="preserve">-adrenerge aktivitet forårsager </w:t>
      </w:r>
      <w:proofErr w:type="spellStart"/>
      <w:r w:rsidRPr="00005923">
        <w:rPr>
          <w:sz w:val="24"/>
          <w:szCs w:val="24"/>
        </w:rPr>
        <w:t>dexmedetomidin</w:t>
      </w:r>
      <w:proofErr w:type="spellEnd"/>
      <w:r w:rsidRPr="00005923">
        <w:rPr>
          <w:sz w:val="24"/>
          <w:szCs w:val="24"/>
        </w:rPr>
        <w:t xml:space="preserve"> en nedsættelse af hjertefrekvens og legemstemperatur.</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 xml:space="preserve">Hos nogle hunde og katte kan der forekomme en nedsættelse af respirationsfrekvensen. Der er rapporteret sjældne tilfælde af lungeødem. Blodtrykket vil først stige og derefter vende tilbage til det normale eller lidt under det normale niveau. På grund af perifer </w:t>
      </w:r>
      <w:proofErr w:type="spellStart"/>
      <w:r w:rsidRPr="00005923">
        <w:rPr>
          <w:sz w:val="24"/>
          <w:szCs w:val="24"/>
        </w:rPr>
        <w:t>vasokonstriktion</w:t>
      </w:r>
      <w:proofErr w:type="spellEnd"/>
      <w:r w:rsidRPr="00005923">
        <w:rPr>
          <w:sz w:val="24"/>
          <w:szCs w:val="24"/>
        </w:rPr>
        <w:t xml:space="preserve"> og venøs </w:t>
      </w:r>
      <w:proofErr w:type="spellStart"/>
      <w:r w:rsidRPr="00005923">
        <w:rPr>
          <w:sz w:val="24"/>
          <w:szCs w:val="24"/>
        </w:rPr>
        <w:t>desaturation</w:t>
      </w:r>
      <w:proofErr w:type="spellEnd"/>
      <w:r w:rsidRPr="00005923">
        <w:rPr>
          <w:sz w:val="24"/>
          <w:szCs w:val="24"/>
        </w:rPr>
        <w:t xml:space="preserve"> i forbindelse med normal arteriel iltning kan der ses et blegt og/eller blåligt skær på slimhinderne.</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Der kan forekomme opkastning 5-10 minutter efter injektion. Nogle hunde og katte kan også kaste op ved opvågning.</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Der kan forekomme muskulære trækninger under sedationen.</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 xml:space="preserve">Der kan forekomme uklarhed af hornhinden hos katte under sedationen. </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 xml:space="preserve">Når </w:t>
      </w:r>
      <w:proofErr w:type="spellStart"/>
      <w:r w:rsidRPr="00005923">
        <w:rPr>
          <w:sz w:val="24"/>
          <w:szCs w:val="24"/>
        </w:rPr>
        <w:t>dexmedetomidin</w:t>
      </w:r>
      <w:proofErr w:type="spellEnd"/>
      <w:r w:rsidRPr="00005923">
        <w:rPr>
          <w:sz w:val="24"/>
          <w:szCs w:val="24"/>
        </w:rPr>
        <w:t xml:space="preserve"> og </w:t>
      </w:r>
      <w:proofErr w:type="spellStart"/>
      <w:r w:rsidRPr="00005923">
        <w:rPr>
          <w:sz w:val="24"/>
          <w:szCs w:val="24"/>
        </w:rPr>
        <w:t>ketamin</w:t>
      </w:r>
      <w:proofErr w:type="spellEnd"/>
      <w:r w:rsidRPr="00005923">
        <w:rPr>
          <w:sz w:val="24"/>
          <w:szCs w:val="24"/>
        </w:rPr>
        <w:t xml:space="preserve"> gives efter hinanden med 10 minutters interval, kan der lejlighedsvis forekomme AV-blok eller ekstrasystole hos katte. Forventelige åndedrætsproblemer er </w:t>
      </w:r>
      <w:proofErr w:type="spellStart"/>
      <w:r w:rsidRPr="00005923">
        <w:rPr>
          <w:sz w:val="24"/>
          <w:szCs w:val="24"/>
        </w:rPr>
        <w:t>bradypnø</w:t>
      </w:r>
      <w:proofErr w:type="spellEnd"/>
      <w:r w:rsidRPr="00005923">
        <w:rPr>
          <w:sz w:val="24"/>
          <w:szCs w:val="24"/>
        </w:rPr>
        <w:t xml:space="preserve"> og uregelmæssige åndedrætsrytmer, </w:t>
      </w:r>
      <w:proofErr w:type="spellStart"/>
      <w:r w:rsidRPr="00005923">
        <w:rPr>
          <w:sz w:val="24"/>
          <w:szCs w:val="24"/>
        </w:rPr>
        <w:t>hypoventilation</w:t>
      </w:r>
      <w:proofErr w:type="spellEnd"/>
      <w:r w:rsidRPr="00005923">
        <w:rPr>
          <w:sz w:val="24"/>
          <w:szCs w:val="24"/>
        </w:rPr>
        <w:t xml:space="preserve"> og apnø. I kliniske forsøg var </w:t>
      </w:r>
      <w:proofErr w:type="spellStart"/>
      <w:r w:rsidRPr="00005923">
        <w:rPr>
          <w:sz w:val="24"/>
          <w:szCs w:val="24"/>
        </w:rPr>
        <w:t>hypoxæmi</w:t>
      </w:r>
      <w:proofErr w:type="spellEnd"/>
      <w:r w:rsidRPr="00005923">
        <w:rPr>
          <w:sz w:val="24"/>
          <w:szCs w:val="24"/>
        </w:rPr>
        <w:t xml:space="preserve"> almindeligt forekommende, især inden</w:t>
      </w:r>
      <w:r>
        <w:rPr>
          <w:sz w:val="24"/>
          <w:szCs w:val="24"/>
        </w:rPr>
        <w:t xml:space="preserve"> </w:t>
      </w:r>
      <w:r w:rsidRPr="00005923">
        <w:rPr>
          <w:sz w:val="24"/>
          <w:szCs w:val="24"/>
        </w:rPr>
        <w:t xml:space="preserve">for de første 15 minutter efter påbegyndt </w:t>
      </w:r>
      <w:proofErr w:type="spellStart"/>
      <w:r w:rsidRPr="00005923">
        <w:rPr>
          <w:sz w:val="24"/>
          <w:szCs w:val="24"/>
        </w:rPr>
        <w:t>dexmedetomidin-ketamin</w:t>
      </w:r>
      <w:proofErr w:type="spellEnd"/>
      <w:r w:rsidRPr="00005923">
        <w:rPr>
          <w:sz w:val="24"/>
          <w:szCs w:val="24"/>
        </w:rPr>
        <w:t xml:space="preserve"> anæstesi. Der er rapporteret om tilfælde af opkastning, </w:t>
      </w:r>
      <w:proofErr w:type="spellStart"/>
      <w:r w:rsidRPr="00005923">
        <w:rPr>
          <w:sz w:val="24"/>
          <w:szCs w:val="24"/>
        </w:rPr>
        <w:t>hypotermi</w:t>
      </w:r>
      <w:proofErr w:type="spellEnd"/>
      <w:r w:rsidRPr="00005923">
        <w:rPr>
          <w:sz w:val="24"/>
          <w:szCs w:val="24"/>
        </w:rPr>
        <w:t xml:space="preserve"> og nervøsitet efter denne anvendelse.</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 xml:space="preserve">Når </w:t>
      </w:r>
      <w:proofErr w:type="spellStart"/>
      <w:r w:rsidRPr="00005923">
        <w:rPr>
          <w:sz w:val="24"/>
          <w:szCs w:val="24"/>
        </w:rPr>
        <w:t>dexmedetomidin</w:t>
      </w:r>
      <w:proofErr w:type="spellEnd"/>
      <w:r w:rsidRPr="00005923">
        <w:rPr>
          <w:sz w:val="24"/>
          <w:szCs w:val="24"/>
        </w:rPr>
        <w:t xml:space="preserve"> og </w:t>
      </w:r>
      <w:proofErr w:type="spellStart"/>
      <w:r w:rsidRPr="00005923">
        <w:rPr>
          <w:sz w:val="24"/>
          <w:szCs w:val="24"/>
        </w:rPr>
        <w:t>butorphanol</w:t>
      </w:r>
      <w:proofErr w:type="spellEnd"/>
      <w:r w:rsidRPr="00005923">
        <w:rPr>
          <w:sz w:val="24"/>
          <w:szCs w:val="24"/>
        </w:rPr>
        <w:t xml:space="preserve"> anvendes samtidigt hos hunde, kan der forekomme </w:t>
      </w:r>
      <w:proofErr w:type="spellStart"/>
      <w:r w:rsidRPr="00005923">
        <w:rPr>
          <w:sz w:val="24"/>
          <w:szCs w:val="24"/>
        </w:rPr>
        <w:t>bradypnø</w:t>
      </w:r>
      <w:proofErr w:type="spellEnd"/>
      <w:r w:rsidRPr="00005923">
        <w:rPr>
          <w:sz w:val="24"/>
          <w:szCs w:val="24"/>
        </w:rPr>
        <w:t xml:space="preserve">, </w:t>
      </w:r>
      <w:proofErr w:type="spellStart"/>
      <w:r w:rsidRPr="00005923">
        <w:rPr>
          <w:sz w:val="24"/>
          <w:szCs w:val="24"/>
        </w:rPr>
        <w:t>tachypnø</w:t>
      </w:r>
      <w:proofErr w:type="spellEnd"/>
      <w:r w:rsidRPr="00005923">
        <w:rPr>
          <w:sz w:val="24"/>
          <w:szCs w:val="24"/>
        </w:rPr>
        <w:t xml:space="preserve">, uregelmæssige åndedrætsrytmer (20-30 sek. apnø efterfulgt af flere hurtige åndedrag), </w:t>
      </w:r>
      <w:proofErr w:type="spellStart"/>
      <w:r w:rsidRPr="00005923">
        <w:rPr>
          <w:sz w:val="24"/>
          <w:szCs w:val="24"/>
        </w:rPr>
        <w:t>hypoxæmi</w:t>
      </w:r>
      <w:proofErr w:type="spellEnd"/>
      <w:r w:rsidRPr="00005923">
        <w:rPr>
          <w:sz w:val="24"/>
          <w:szCs w:val="24"/>
        </w:rPr>
        <w:t xml:space="preserve">, </w:t>
      </w:r>
      <w:proofErr w:type="spellStart"/>
      <w:r w:rsidRPr="00005923">
        <w:rPr>
          <w:sz w:val="24"/>
          <w:szCs w:val="24"/>
        </w:rPr>
        <w:t>muskelspjætten</w:t>
      </w:r>
      <w:proofErr w:type="spellEnd"/>
      <w:r w:rsidRPr="00005923">
        <w:rPr>
          <w:sz w:val="24"/>
          <w:szCs w:val="24"/>
        </w:rPr>
        <w:t xml:space="preserve">, -rysten eller andre muskelbevægelser, </w:t>
      </w:r>
      <w:proofErr w:type="spellStart"/>
      <w:r w:rsidRPr="00005923">
        <w:rPr>
          <w:sz w:val="24"/>
          <w:szCs w:val="24"/>
        </w:rPr>
        <w:t>excitation</w:t>
      </w:r>
      <w:proofErr w:type="spellEnd"/>
      <w:r w:rsidRPr="00005923">
        <w:rPr>
          <w:sz w:val="24"/>
          <w:szCs w:val="24"/>
        </w:rPr>
        <w:t xml:space="preserve">, øget spytafsondring, </w:t>
      </w:r>
      <w:proofErr w:type="spellStart"/>
      <w:r w:rsidRPr="00005923">
        <w:rPr>
          <w:sz w:val="24"/>
          <w:szCs w:val="24"/>
        </w:rPr>
        <w:t>kløgning</w:t>
      </w:r>
      <w:proofErr w:type="spellEnd"/>
      <w:r w:rsidRPr="00005923">
        <w:rPr>
          <w:sz w:val="24"/>
          <w:szCs w:val="24"/>
        </w:rPr>
        <w:t xml:space="preserve">, opkastning, </w:t>
      </w:r>
      <w:proofErr w:type="spellStart"/>
      <w:r w:rsidRPr="00005923">
        <w:rPr>
          <w:sz w:val="24"/>
          <w:szCs w:val="24"/>
        </w:rPr>
        <w:t>urinering</w:t>
      </w:r>
      <w:proofErr w:type="spellEnd"/>
      <w:r w:rsidRPr="00005923">
        <w:rPr>
          <w:sz w:val="24"/>
          <w:szCs w:val="24"/>
        </w:rPr>
        <w:t xml:space="preserve">, </w:t>
      </w:r>
      <w:proofErr w:type="spellStart"/>
      <w:r w:rsidRPr="00005923">
        <w:rPr>
          <w:sz w:val="24"/>
          <w:szCs w:val="24"/>
        </w:rPr>
        <w:t>huderytem</w:t>
      </w:r>
      <w:proofErr w:type="spellEnd"/>
      <w:r w:rsidRPr="00005923">
        <w:rPr>
          <w:sz w:val="24"/>
          <w:szCs w:val="24"/>
        </w:rPr>
        <w:t xml:space="preserve">, pludselig agitation eller forlænget sedation. Der er blevet rapporteret brady- og </w:t>
      </w:r>
      <w:proofErr w:type="spellStart"/>
      <w:r w:rsidRPr="00005923">
        <w:rPr>
          <w:sz w:val="24"/>
          <w:szCs w:val="24"/>
        </w:rPr>
        <w:t>tachyarytmi</w:t>
      </w:r>
      <w:proofErr w:type="spellEnd"/>
      <w:r w:rsidRPr="00005923">
        <w:rPr>
          <w:sz w:val="24"/>
          <w:szCs w:val="24"/>
        </w:rPr>
        <w:t>. Dette kan inkludere kraftig sinus-</w:t>
      </w:r>
      <w:proofErr w:type="spellStart"/>
      <w:r w:rsidRPr="00005923">
        <w:rPr>
          <w:sz w:val="24"/>
          <w:szCs w:val="24"/>
        </w:rPr>
        <w:t>bradycardia</w:t>
      </w:r>
      <w:proofErr w:type="spellEnd"/>
      <w:r w:rsidRPr="00005923">
        <w:rPr>
          <w:sz w:val="24"/>
          <w:szCs w:val="24"/>
        </w:rPr>
        <w:t xml:space="preserve">, første og anden grad AV-blok, sinusophør eller -pause samt </w:t>
      </w:r>
      <w:proofErr w:type="spellStart"/>
      <w:r w:rsidRPr="00005923">
        <w:rPr>
          <w:sz w:val="24"/>
          <w:szCs w:val="24"/>
        </w:rPr>
        <w:t>atriale</w:t>
      </w:r>
      <w:proofErr w:type="spellEnd"/>
      <w:r w:rsidRPr="00005923">
        <w:rPr>
          <w:sz w:val="24"/>
          <w:szCs w:val="24"/>
        </w:rPr>
        <w:t xml:space="preserve">, </w:t>
      </w:r>
      <w:proofErr w:type="spellStart"/>
      <w:r w:rsidRPr="00005923">
        <w:rPr>
          <w:sz w:val="24"/>
          <w:szCs w:val="24"/>
        </w:rPr>
        <w:t>supraventriculare</w:t>
      </w:r>
      <w:proofErr w:type="spellEnd"/>
      <w:r w:rsidRPr="00005923">
        <w:rPr>
          <w:sz w:val="24"/>
          <w:szCs w:val="24"/>
        </w:rPr>
        <w:t xml:space="preserve"> og </w:t>
      </w:r>
      <w:proofErr w:type="spellStart"/>
      <w:r w:rsidRPr="00005923">
        <w:rPr>
          <w:sz w:val="24"/>
          <w:szCs w:val="24"/>
        </w:rPr>
        <w:t>ventrikulære</w:t>
      </w:r>
      <w:proofErr w:type="spellEnd"/>
      <w:r w:rsidRPr="00005923">
        <w:rPr>
          <w:sz w:val="24"/>
          <w:szCs w:val="24"/>
        </w:rPr>
        <w:t xml:space="preserve"> præmature komplekser.</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 xml:space="preserve">Når </w:t>
      </w:r>
      <w:proofErr w:type="spellStart"/>
      <w:r w:rsidRPr="00005923">
        <w:rPr>
          <w:sz w:val="24"/>
          <w:szCs w:val="24"/>
        </w:rPr>
        <w:t>dexmedetomidin</w:t>
      </w:r>
      <w:proofErr w:type="spellEnd"/>
      <w:r w:rsidRPr="00005923">
        <w:rPr>
          <w:sz w:val="24"/>
          <w:szCs w:val="24"/>
        </w:rPr>
        <w:t xml:space="preserve"> bruges til præmedicinering hos hunde, kan der opstå </w:t>
      </w:r>
      <w:proofErr w:type="spellStart"/>
      <w:r w:rsidRPr="00005923">
        <w:rPr>
          <w:sz w:val="24"/>
          <w:szCs w:val="24"/>
        </w:rPr>
        <w:t>bradypnø</w:t>
      </w:r>
      <w:proofErr w:type="spellEnd"/>
      <w:r w:rsidRPr="00005923">
        <w:rPr>
          <w:sz w:val="24"/>
          <w:szCs w:val="24"/>
        </w:rPr>
        <w:t xml:space="preserve">, </w:t>
      </w:r>
      <w:proofErr w:type="spellStart"/>
      <w:r w:rsidRPr="00005923">
        <w:rPr>
          <w:sz w:val="24"/>
          <w:szCs w:val="24"/>
        </w:rPr>
        <w:t>takypnø</w:t>
      </w:r>
      <w:proofErr w:type="spellEnd"/>
      <w:r w:rsidRPr="00005923">
        <w:rPr>
          <w:sz w:val="24"/>
          <w:szCs w:val="24"/>
        </w:rPr>
        <w:t xml:space="preserve"> og opkastning. Der er rapporteret om tilfælde af brady- og </w:t>
      </w:r>
      <w:proofErr w:type="spellStart"/>
      <w:r w:rsidRPr="00005923">
        <w:rPr>
          <w:sz w:val="24"/>
          <w:szCs w:val="24"/>
        </w:rPr>
        <w:t>takyarytmi</w:t>
      </w:r>
      <w:proofErr w:type="spellEnd"/>
      <w:r w:rsidRPr="00005923">
        <w:rPr>
          <w:sz w:val="24"/>
          <w:szCs w:val="24"/>
        </w:rPr>
        <w:t xml:space="preserve"> med udtalt sinusbradykardi, første- og </w:t>
      </w:r>
      <w:proofErr w:type="spellStart"/>
      <w:r w:rsidRPr="00005923">
        <w:rPr>
          <w:sz w:val="24"/>
          <w:szCs w:val="24"/>
        </w:rPr>
        <w:t>andengrads</w:t>
      </w:r>
      <w:proofErr w:type="spellEnd"/>
      <w:r w:rsidRPr="00005923">
        <w:rPr>
          <w:sz w:val="24"/>
          <w:szCs w:val="24"/>
        </w:rPr>
        <w:t xml:space="preserve"> AV-blok samt sinusstop. Der kan også i sjældne tilfælde observeres </w:t>
      </w:r>
      <w:proofErr w:type="spellStart"/>
      <w:r w:rsidRPr="00005923">
        <w:rPr>
          <w:sz w:val="24"/>
          <w:szCs w:val="24"/>
        </w:rPr>
        <w:t>supraventrikulære</w:t>
      </w:r>
      <w:proofErr w:type="spellEnd"/>
      <w:r w:rsidRPr="00005923">
        <w:rPr>
          <w:sz w:val="24"/>
          <w:szCs w:val="24"/>
        </w:rPr>
        <w:t xml:space="preserve"> og </w:t>
      </w:r>
      <w:proofErr w:type="spellStart"/>
      <w:r w:rsidRPr="00005923">
        <w:rPr>
          <w:sz w:val="24"/>
          <w:szCs w:val="24"/>
        </w:rPr>
        <w:t>ventrikulære</w:t>
      </w:r>
      <w:proofErr w:type="spellEnd"/>
      <w:r w:rsidRPr="00005923">
        <w:rPr>
          <w:sz w:val="24"/>
          <w:szCs w:val="24"/>
        </w:rPr>
        <w:t xml:space="preserve"> præmature komplekser, sinuspause og tredjegrads AV-blok.</w:t>
      </w:r>
    </w:p>
    <w:p w:rsidR="00BE6819" w:rsidRPr="00005923" w:rsidRDefault="00BE6819" w:rsidP="00BE6819">
      <w:pPr>
        <w:tabs>
          <w:tab w:val="left" w:pos="1304"/>
        </w:tabs>
        <w:ind w:left="851" w:hanging="851"/>
        <w:rPr>
          <w:sz w:val="24"/>
          <w:szCs w:val="24"/>
        </w:rPr>
      </w:pPr>
    </w:p>
    <w:p w:rsidR="00BE6819" w:rsidRDefault="00BE6819" w:rsidP="00BE6819">
      <w:pPr>
        <w:tabs>
          <w:tab w:val="left" w:pos="1304"/>
        </w:tabs>
        <w:ind w:left="851" w:hanging="851"/>
        <w:rPr>
          <w:sz w:val="24"/>
          <w:szCs w:val="24"/>
        </w:rPr>
      </w:pPr>
      <w:r>
        <w:rPr>
          <w:sz w:val="24"/>
          <w:szCs w:val="24"/>
        </w:rPr>
        <w:tab/>
      </w:r>
      <w:r w:rsidRPr="00005923">
        <w:rPr>
          <w:sz w:val="24"/>
          <w:szCs w:val="24"/>
        </w:rPr>
        <w:t xml:space="preserve">Når </w:t>
      </w:r>
      <w:proofErr w:type="spellStart"/>
      <w:r w:rsidRPr="00005923">
        <w:rPr>
          <w:sz w:val="24"/>
          <w:szCs w:val="24"/>
        </w:rPr>
        <w:t>dexmedetomidin</w:t>
      </w:r>
      <w:proofErr w:type="spellEnd"/>
      <w:r w:rsidRPr="00005923">
        <w:rPr>
          <w:sz w:val="24"/>
          <w:szCs w:val="24"/>
        </w:rPr>
        <w:t xml:space="preserve"> bruges til præmedicinering hos katte, kan der optræde opkastning, </w:t>
      </w:r>
      <w:proofErr w:type="spellStart"/>
      <w:r w:rsidRPr="00005923">
        <w:rPr>
          <w:sz w:val="24"/>
          <w:szCs w:val="24"/>
        </w:rPr>
        <w:t>kløgning</w:t>
      </w:r>
      <w:proofErr w:type="spellEnd"/>
      <w:r w:rsidRPr="00005923">
        <w:rPr>
          <w:sz w:val="24"/>
          <w:szCs w:val="24"/>
        </w:rPr>
        <w:t xml:space="preserve">, blege slimhinder og </w:t>
      </w:r>
      <w:proofErr w:type="spellStart"/>
      <w:r w:rsidRPr="00005923">
        <w:rPr>
          <w:sz w:val="24"/>
          <w:szCs w:val="24"/>
        </w:rPr>
        <w:t>hypotermi</w:t>
      </w:r>
      <w:proofErr w:type="spellEnd"/>
      <w:r w:rsidRPr="00005923">
        <w:rPr>
          <w:sz w:val="24"/>
          <w:szCs w:val="24"/>
        </w:rPr>
        <w:t xml:space="preserve">. Intramuskulær administration med 40 mikrogram/kg (efterfulgt af </w:t>
      </w:r>
      <w:proofErr w:type="spellStart"/>
      <w:r w:rsidRPr="00005923">
        <w:rPr>
          <w:sz w:val="24"/>
          <w:szCs w:val="24"/>
        </w:rPr>
        <w:t>ketamin</w:t>
      </w:r>
      <w:proofErr w:type="spellEnd"/>
      <w:r w:rsidRPr="00005923">
        <w:rPr>
          <w:sz w:val="24"/>
          <w:szCs w:val="24"/>
        </w:rPr>
        <w:t xml:space="preserve"> eller </w:t>
      </w:r>
      <w:proofErr w:type="spellStart"/>
      <w:r w:rsidRPr="00005923">
        <w:rPr>
          <w:sz w:val="24"/>
          <w:szCs w:val="24"/>
        </w:rPr>
        <w:t>propofol</w:t>
      </w:r>
      <w:proofErr w:type="spellEnd"/>
      <w:r w:rsidRPr="00005923">
        <w:rPr>
          <w:sz w:val="24"/>
          <w:szCs w:val="24"/>
        </w:rPr>
        <w:t xml:space="preserve">) resulterede hyppigt i sinusbradykardi og </w:t>
      </w:r>
      <w:proofErr w:type="spellStart"/>
      <w:r w:rsidRPr="00005923">
        <w:rPr>
          <w:sz w:val="24"/>
          <w:szCs w:val="24"/>
        </w:rPr>
        <w:t>sinusarytmi</w:t>
      </w:r>
      <w:proofErr w:type="spellEnd"/>
      <w:r w:rsidRPr="00005923">
        <w:rPr>
          <w:sz w:val="24"/>
          <w:szCs w:val="24"/>
        </w:rPr>
        <w:t xml:space="preserve">, resulterede lejlighedsvis i førstegrads AV-blok, mens der sjældent opstod </w:t>
      </w:r>
      <w:proofErr w:type="spellStart"/>
      <w:r w:rsidRPr="00005923">
        <w:rPr>
          <w:sz w:val="24"/>
          <w:szCs w:val="24"/>
        </w:rPr>
        <w:t>supraventrikulære</w:t>
      </w:r>
      <w:proofErr w:type="spellEnd"/>
      <w:r w:rsidRPr="00005923">
        <w:rPr>
          <w:sz w:val="24"/>
          <w:szCs w:val="24"/>
        </w:rPr>
        <w:t xml:space="preserve"> præmature depolariseringer, </w:t>
      </w:r>
      <w:proofErr w:type="spellStart"/>
      <w:r w:rsidRPr="00005923">
        <w:rPr>
          <w:sz w:val="24"/>
          <w:szCs w:val="24"/>
        </w:rPr>
        <w:t>atrielle</w:t>
      </w:r>
      <w:proofErr w:type="spellEnd"/>
      <w:r w:rsidRPr="00005923">
        <w:rPr>
          <w:sz w:val="24"/>
          <w:szCs w:val="24"/>
        </w:rPr>
        <w:t xml:space="preserve"> </w:t>
      </w:r>
      <w:proofErr w:type="spellStart"/>
      <w:r w:rsidRPr="00005923">
        <w:rPr>
          <w:sz w:val="24"/>
          <w:szCs w:val="24"/>
        </w:rPr>
        <w:t>bigeminier</w:t>
      </w:r>
      <w:proofErr w:type="spellEnd"/>
      <w:r w:rsidRPr="00005923">
        <w:rPr>
          <w:sz w:val="24"/>
          <w:szCs w:val="24"/>
        </w:rPr>
        <w:t xml:space="preserve">, sinuspauser, </w:t>
      </w:r>
      <w:proofErr w:type="spellStart"/>
      <w:r w:rsidRPr="00005923">
        <w:rPr>
          <w:sz w:val="24"/>
          <w:szCs w:val="24"/>
        </w:rPr>
        <w:t>andengrads</w:t>
      </w:r>
      <w:proofErr w:type="spellEnd"/>
      <w:r w:rsidRPr="00005923">
        <w:rPr>
          <w:sz w:val="24"/>
          <w:szCs w:val="24"/>
        </w:rPr>
        <w:t xml:space="preserve"> AV-blok eller </w:t>
      </w:r>
      <w:proofErr w:type="spellStart"/>
      <w:r w:rsidRPr="00005923">
        <w:rPr>
          <w:sz w:val="24"/>
          <w:szCs w:val="24"/>
        </w:rPr>
        <w:t>arytmi</w:t>
      </w:r>
      <w:proofErr w:type="spellEnd"/>
      <w:r w:rsidRPr="00005923">
        <w:rPr>
          <w:sz w:val="24"/>
          <w:szCs w:val="24"/>
        </w:rPr>
        <w:t xml:space="preserve"> (</w:t>
      </w:r>
      <w:proofErr w:type="spellStart"/>
      <w:r w:rsidRPr="00005923">
        <w:rPr>
          <w:i/>
          <w:iCs/>
          <w:sz w:val="24"/>
          <w:szCs w:val="24"/>
        </w:rPr>
        <w:t>escape</w:t>
      </w:r>
      <w:proofErr w:type="spellEnd"/>
      <w:r w:rsidRPr="00005923">
        <w:rPr>
          <w:i/>
          <w:iCs/>
          <w:sz w:val="24"/>
          <w:szCs w:val="24"/>
        </w:rPr>
        <w:t xml:space="preserve"> beats)</w:t>
      </w:r>
      <w:r w:rsidRPr="00005923">
        <w:rPr>
          <w:sz w:val="24"/>
          <w:szCs w:val="24"/>
        </w:rPr>
        <w:t>.</w:t>
      </w:r>
    </w:p>
    <w:p w:rsidR="00B904E5" w:rsidRDefault="00B904E5" w:rsidP="00BE6819">
      <w:pPr>
        <w:tabs>
          <w:tab w:val="left" w:pos="1304"/>
        </w:tabs>
        <w:ind w:left="851" w:hanging="851"/>
        <w:rPr>
          <w:sz w:val="24"/>
          <w:szCs w:val="24"/>
        </w:rPr>
      </w:pPr>
    </w:p>
    <w:p w:rsidR="00B904E5" w:rsidRPr="00EA0895" w:rsidRDefault="00B904E5" w:rsidP="00B904E5">
      <w:pPr>
        <w:tabs>
          <w:tab w:val="left" w:pos="1304"/>
        </w:tabs>
        <w:ind w:left="1702" w:hanging="851"/>
        <w:rPr>
          <w:sz w:val="24"/>
          <w:szCs w:val="24"/>
        </w:rPr>
      </w:pPr>
      <w:r w:rsidRPr="00EA0895">
        <w:rPr>
          <w:sz w:val="24"/>
          <w:szCs w:val="24"/>
        </w:rPr>
        <w:t>Hyppigheden af bivirkninger er defineret som:</w:t>
      </w:r>
    </w:p>
    <w:p w:rsidR="00B904E5" w:rsidRDefault="00B904E5" w:rsidP="00B904E5">
      <w:pPr>
        <w:tabs>
          <w:tab w:val="left" w:pos="1304"/>
        </w:tabs>
        <w:ind w:left="1702" w:hanging="851"/>
        <w:rPr>
          <w:sz w:val="24"/>
          <w:szCs w:val="24"/>
        </w:rPr>
      </w:pPr>
      <w:r w:rsidRPr="00EA0895">
        <w:rPr>
          <w:sz w:val="24"/>
          <w:szCs w:val="24"/>
        </w:rPr>
        <w:t xml:space="preserve">- Meget almindelig (flere end 1 ud af 10 behandlede dyr, der viser bivirkninger i løbet af en </w:t>
      </w:r>
    </w:p>
    <w:p w:rsidR="00B904E5" w:rsidRPr="00EA0895" w:rsidRDefault="00B904E5" w:rsidP="00B904E5">
      <w:pPr>
        <w:tabs>
          <w:tab w:val="left" w:pos="1304"/>
        </w:tabs>
        <w:ind w:left="1702" w:hanging="851"/>
        <w:rPr>
          <w:sz w:val="24"/>
          <w:szCs w:val="24"/>
        </w:rPr>
      </w:pPr>
      <w:r w:rsidRPr="00EA0895">
        <w:rPr>
          <w:sz w:val="24"/>
          <w:szCs w:val="24"/>
        </w:rPr>
        <w:t>behandling)</w:t>
      </w:r>
    </w:p>
    <w:p w:rsidR="00B904E5" w:rsidRPr="00EA0895" w:rsidRDefault="00B904E5" w:rsidP="00B904E5">
      <w:pPr>
        <w:tabs>
          <w:tab w:val="left" w:pos="1304"/>
        </w:tabs>
        <w:ind w:left="1702" w:hanging="851"/>
        <w:rPr>
          <w:sz w:val="24"/>
          <w:szCs w:val="24"/>
        </w:rPr>
      </w:pPr>
      <w:r w:rsidRPr="00EA0895">
        <w:rPr>
          <w:sz w:val="24"/>
          <w:szCs w:val="24"/>
        </w:rPr>
        <w:t>- Almindelige (flere end 1, men færre end 10 dyr af 100 behandlede dyr)</w:t>
      </w:r>
    </w:p>
    <w:p w:rsidR="00B904E5" w:rsidRPr="00EA0895" w:rsidRDefault="00B904E5" w:rsidP="00B904E5">
      <w:pPr>
        <w:tabs>
          <w:tab w:val="left" w:pos="1304"/>
        </w:tabs>
        <w:ind w:left="1702" w:hanging="851"/>
        <w:rPr>
          <w:sz w:val="24"/>
          <w:szCs w:val="24"/>
        </w:rPr>
      </w:pPr>
      <w:r w:rsidRPr="00EA0895">
        <w:rPr>
          <w:sz w:val="24"/>
          <w:szCs w:val="24"/>
        </w:rPr>
        <w:t>-  Ikke almindelige (flere end 1, men færre end 10 dyr af 1.000 behandlede dyr)</w:t>
      </w:r>
    </w:p>
    <w:p w:rsidR="00B904E5" w:rsidRPr="00EA0895" w:rsidRDefault="00B904E5" w:rsidP="00B904E5">
      <w:pPr>
        <w:tabs>
          <w:tab w:val="left" w:pos="1304"/>
        </w:tabs>
        <w:ind w:left="1702" w:hanging="851"/>
        <w:rPr>
          <w:sz w:val="24"/>
          <w:szCs w:val="24"/>
        </w:rPr>
      </w:pPr>
      <w:r w:rsidRPr="00EA0895">
        <w:rPr>
          <w:sz w:val="24"/>
          <w:szCs w:val="24"/>
        </w:rPr>
        <w:t>- Sjældne (flere end 1, men færre end 10 dyr ud af 10.000 behandlede dyr)</w:t>
      </w:r>
    </w:p>
    <w:p w:rsidR="00B904E5" w:rsidRDefault="00B904E5" w:rsidP="00B904E5">
      <w:pPr>
        <w:tabs>
          <w:tab w:val="left" w:pos="1304"/>
        </w:tabs>
        <w:ind w:left="1702" w:hanging="851"/>
        <w:rPr>
          <w:sz w:val="24"/>
          <w:szCs w:val="24"/>
        </w:rPr>
      </w:pPr>
      <w:r w:rsidRPr="00EA0895">
        <w:rPr>
          <w:sz w:val="24"/>
          <w:szCs w:val="24"/>
        </w:rPr>
        <w:t xml:space="preserve">- Meget sjælden (færre end 1 dyr ud af 10.000 behandlede dyr, herunder isolerede </w:t>
      </w:r>
    </w:p>
    <w:p w:rsidR="00B904E5" w:rsidRPr="00005923" w:rsidRDefault="00B904E5" w:rsidP="00B904E5">
      <w:pPr>
        <w:tabs>
          <w:tab w:val="left" w:pos="1304"/>
        </w:tabs>
        <w:ind w:left="1702" w:hanging="851"/>
        <w:rPr>
          <w:sz w:val="24"/>
          <w:szCs w:val="24"/>
        </w:rPr>
      </w:pPr>
      <w:r w:rsidRPr="00EA0895">
        <w:rPr>
          <w:sz w:val="24"/>
          <w:szCs w:val="24"/>
        </w:rPr>
        <w:t>rapporter)</w:t>
      </w:r>
    </w:p>
    <w:p w:rsidR="00B904E5" w:rsidRPr="00005923" w:rsidRDefault="00B904E5" w:rsidP="00BE6819">
      <w:pPr>
        <w:tabs>
          <w:tab w:val="left" w:pos="1304"/>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4.7</w:t>
      </w:r>
      <w:r w:rsidRPr="00005923">
        <w:rPr>
          <w:b/>
          <w:sz w:val="24"/>
          <w:szCs w:val="24"/>
        </w:rPr>
        <w:tab/>
        <w:t>Drægtighed, diegivning eller æglægning</w:t>
      </w:r>
    </w:p>
    <w:p w:rsidR="00BE6819" w:rsidRPr="00005923" w:rsidRDefault="00BE6819" w:rsidP="00BE6819">
      <w:pPr>
        <w:ind w:left="851"/>
        <w:rPr>
          <w:sz w:val="24"/>
          <w:szCs w:val="24"/>
        </w:rPr>
      </w:pPr>
      <w:r w:rsidRPr="00005923">
        <w:rPr>
          <w:sz w:val="24"/>
          <w:szCs w:val="24"/>
        </w:rPr>
        <w:t xml:space="preserve">Lægemidlets sikkerhed under drægtighed og </w:t>
      </w:r>
      <w:r>
        <w:rPr>
          <w:sz w:val="24"/>
          <w:szCs w:val="24"/>
        </w:rPr>
        <w:t>diegivning</w:t>
      </w:r>
      <w:r w:rsidRPr="00005923">
        <w:rPr>
          <w:sz w:val="24"/>
          <w:szCs w:val="24"/>
        </w:rPr>
        <w:t xml:space="preserve"> er ikke fastlagt hos de dyrearter, lægemidlet er godkendt til. Derfor frarådes anvendelse under drægtighed og </w:t>
      </w:r>
      <w:r>
        <w:rPr>
          <w:sz w:val="24"/>
          <w:szCs w:val="24"/>
        </w:rPr>
        <w:t>diegivning</w:t>
      </w:r>
      <w:r w:rsidRPr="00005923">
        <w:rPr>
          <w:sz w:val="24"/>
          <w:szCs w:val="24"/>
        </w:rPr>
        <w:t>.</w:t>
      </w:r>
    </w:p>
    <w:p w:rsidR="00B904E5" w:rsidRDefault="00B904E5">
      <w:pPr>
        <w:rPr>
          <w:sz w:val="24"/>
          <w:szCs w:val="24"/>
        </w:rPr>
      </w:pPr>
      <w:r>
        <w:rPr>
          <w:sz w:val="24"/>
          <w:szCs w:val="24"/>
        </w:rPr>
        <w:br w:type="page"/>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4.8</w:t>
      </w:r>
      <w:r w:rsidRPr="00005923">
        <w:rPr>
          <w:b/>
          <w:sz w:val="24"/>
          <w:szCs w:val="24"/>
        </w:rPr>
        <w:tab/>
        <w:t>Interaktion med andre lægemidler og andre former for interaktion</w:t>
      </w:r>
    </w:p>
    <w:p w:rsidR="00BE6819" w:rsidRPr="00005923" w:rsidRDefault="00BE6819" w:rsidP="00BE6819">
      <w:pPr>
        <w:ind w:left="851"/>
        <w:rPr>
          <w:sz w:val="24"/>
          <w:szCs w:val="24"/>
        </w:rPr>
      </w:pPr>
      <w:r w:rsidRPr="00005923">
        <w:rPr>
          <w:sz w:val="24"/>
          <w:szCs w:val="24"/>
        </w:rPr>
        <w:t>Brugen af andre CNS-</w:t>
      </w:r>
      <w:proofErr w:type="spellStart"/>
      <w:r w:rsidRPr="00005923">
        <w:rPr>
          <w:sz w:val="24"/>
          <w:szCs w:val="24"/>
        </w:rPr>
        <w:t>sedativa</w:t>
      </w:r>
      <w:proofErr w:type="spellEnd"/>
      <w:r w:rsidRPr="00005923">
        <w:rPr>
          <w:sz w:val="24"/>
          <w:szCs w:val="24"/>
        </w:rPr>
        <w:t xml:space="preserve"> kan forventes at forstærke virkningerne af </w:t>
      </w:r>
      <w:proofErr w:type="spellStart"/>
      <w:r w:rsidRPr="00005923">
        <w:rPr>
          <w:sz w:val="24"/>
          <w:szCs w:val="24"/>
        </w:rPr>
        <w:t>dexmedetomidin</w:t>
      </w:r>
      <w:proofErr w:type="spellEnd"/>
      <w:r w:rsidRPr="00005923">
        <w:rPr>
          <w:sz w:val="24"/>
          <w:szCs w:val="24"/>
        </w:rPr>
        <w:t xml:space="preserve">, og der bør derfor foretages en passende justering af dosen. </w:t>
      </w:r>
      <w:proofErr w:type="spellStart"/>
      <w:r w:rsidRPr="00005923">
        <w:rPr>
          <w:sz w:val="24"/>
          <w:szCs w:val="24"/>
        </w:rPr>
        <w:t>Antikolinerge</w:t>
      </w:r>
      <w:proofErr w:type="spellEnd"/>
      <w:r w:rsidRPr="00005923">
        <w:rPr>
          <w:sz w:val="24"/>
          <w:szCs w:val="24"/>
        </w:rPr>
        <w:t xml:space="preserve"> midler bør anvendes med forsigtighed sammen med </w:t>
      </w:r>
      <w:proofErr w:type="spellStart"/>
      <w:r w:rsidRPr="00005923">
        <w:rPr>
          <w:sz w:val="24"/>
          <w:szCs w:val="24"/>
        </w:rPr>
        <w:t>dexmedetomidin</w:t>
      </w:r>
      <w:proofErr w:type="spellEnd"/>
      <w:r w:rsidRPr="00005923">
        <w:rPr>
          <w:sz w:val="24"/>
          <w:szCs w:val="24"/>
        </w:rPr>
        <w:t>.</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Indgivelse af </w:t>
      </w:r>
      <w:proofErr w:type="spellStart"/>
      <w:r w:rsidRPr="00005923">
        <w:rPr>
          <w:sz w:val="24"/>
          <w:szCs w:val="24"/>
        </w:rPr>
        <w:t>atipamezol</w:t>
      </w:r>
      <w:proofErr w:type="spellEnd"/>
      <w:r w:rsidRPr="00005923">
        <w:rPr>
          <w:sz w:val="24"/>
          <w:szCs w:val="24"/>
        </w:rPr>
        <w:t xml:space="preserve"> efter </w:t>
      </w:r>
      <w:proofErr w:type="spellStart"/>
      <w:r w:rsidRPr="00005923">
        <w:rPr>
          <w:sz w:val="24"/>
          <w:szCs w:val="24"/>
        </w:rPr>
        <w:t>dexmedetomidin</w:t>
      </w:r>
      <w:proofErr w:type="spellEnd"/>
      <w:r w:rsidRPr="00005923">
        <w:rPr>
          <w:sz w:val="24"/>
          <w:szCs w:val="24"/>
        </w:rPr>
        <w:t xml:space="preserve"> ophæver hurtigt virkningen og forkorter på den måde opvågningstiden. Inden for 15 minutter er hunde og katte normalt vågne og står op.</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Katte:</w:t>
      </w:r>
    </w:p>
    <w:p w:rsidR="00BE6819" w:rsidRPr="00005923" w:rsidRDefault="00BE6819" w:rsidP="00BE6819">
      <w:pPr>
        <w:ind w:left="851"/>
        <w:rPr>
          <w:sz w:val="24"/>
          <w:szCs w:val="24"/>
        </w:rPr>
      </w:pPr>
      <w:r w:rsidRPr="00005923">
        <w:rPr>
          <w:sz w:val="24"/>
          <w:szCs w:val="24"/>
        </w:rPr>
        <w:t xml:space="preserve">Efter indgivelse af 40 mikrogram </w:t>
      </w:r>
      <w:proofErr w:type="spellStart"/>
      <w:r w:rsidRPr="00005923">
        <w:rPr>
          <w:sz w:val="24"/>
          <w:szCs w:val="24"/>
        </w:rPr>
        <w:t>dexmedetomidin</w:t>
      </w:r>
      <w:proofErr w:type="spellEnd"/>
      <w:r w:rsidRPr="00005923">
        <w:rPr>
          <w:sz w:val="24"/>
          <w:szCs w:val="24"/>
        </w:rPr>
        <w:t xml:space="preserve">/ kg legemsvægt </w:t>
      </w:r>
      <w:proofErr w:type="spellStart"/>
      <w:r w:rsidRPr="00005923">
        <w:rPr>
          <w:sz w:val="24"/>
          <w:szCs w:val="24"/>
        </w:rPr>
        <w:t>i.m</w:t>
      </w:r>
      <w:proofErr w:type="spellEnd"/>
      <w:r w:rsidRPr="00005923">
        <w:rPr>
          <w:sz w:val="24"/>
          <w:szCs w:val="24"/>
        </w:rPr>
        <w:t xml:space="preserve">. samtidigt med 5 mg </w:t>
      </w:r>
      <w:proofErr w:type="spellStart"/>
      <w:r w:rsidRPr="00005923">
        <w:rPr>
          <w:sz w:val="24"/>
          <w:szCs w:val="24"/>
        </w:rPr>
        <w:t>ketamin</w:t>
      </w:r>
      <w:proofErr w:type="spellEnd"/>
      <w:r w:rsidRPr="00005923">
        <w:rPr>
          <w:sz w:val="24"/>
          <w:szCs w:val="24"/>
        </w:rPr>
        <w:t xml:space="preserve"> /kg legemsvægt, fordobles maksimumkoncentrationen af </w:t>
      </w:r>
      <w:proofErr w:type="spellStart"/>
      <w:r w:rsidRPr="00005923">
        <w:rPr>
          <w:sz w:val="24"/>
          <w:szCs w:val="24"/>
        </w:rPr>
        <w:t>dexmedetomidin</w:t>
      </w:r>
      <w:proofErr w:type="spellEnd"/>
      <w:r w:rsidRPr="00005923">
        <w:rPr>
          <w:sz w:val="24"/>
          <w:szCs w:val="24"/>
        </w:rPr>
        <w:t xml:space="preserve">, men </w:t>
      </w:r>
      <w:proofErr w:type="spellStart"/>
      <w:r w:rsidRPr="00005923">
        <w:rPr>
          <w:sz w:val="24"/>
          <w:szCs w:val="24"/>
        </w:rPr>
        <w:t>T</w:t>
      </w:r>
      <w:r w:rsidRPr="00005923">
        <w:rPr>
          <w:sz w:val="24"/>
          <w:szCs w:val="24"/>
          <w:vertAlign w:val="subscript"/>
        </w:rPr>
        <w:t>max</w:t>
      </w:r>
      <w:proofErr w:type="spellEnd"/>
      <w:r w:rsidRPr="00005923">
        <w:rPr>
          <w:sz w:val="24"/>
          <w:szCs w:val="24"/>
        </w:rPr>
        <w:t xml:space="preserve"> påvirkes ikke deraf. Middelhalveringstiden af </w:t>
      </w:r>
      <w:proofErr w:type="spellStart"/>
      <w:r w:rsidRPr="00005923">
        <w:rPr>
          <w:sz w:val="24"/>
          <w:szCs w:val="24"/>
        </w:rPr>
        <w:t>dexmedetomidin</w:t>
      </w:r>
      <w:proofErr w:type="spellEnd"/>
      <w:r w:rsidRPr="00005923">
        <w:rPr>
          <w:sz w:val="24"/>
          <w:szCs w:val="24"/>
        </w:rPr>
        <w:t xml:space="preserve"> steg til 1,6 t og den totale eksponering (AUC) blev øget med 50 %.</w:t>
      </w:r>
    </w:p>
    <w:p w:rsidR="00BE6819" w:rsidRPr="00005923" w:rsidRDefault="00BE6819" w:rsidP="00BE6819">
      <w:pPr>
        <w:ind w:left="851" w:hanging="851"/>
        <w:rPr>
          <w:sz w:val="24"/>
          <w:szCs w:val="24"/>
        </w:rPr>
      </w:pPr>
    </w:p>
    <w:p w:rsidR="00BE6819" w:rsidRDefault="00BE6819" w:rsidP="00BE6819">
      <w:pPr>
        <w:ind w:left="851"/>
        <w:rPr>
          <w:sz w:val="24"/>
          <w:szCs w:val="24"/>
        </w:rPr>
      </w:pPr>
      <w:r w:rsidRPr="00005923">
        <w:rPr>
          <w:sz w:val="24"/>
          <w:szCs w:val="24"/>
        </w:rPr>
        <w:t xml:space="preserve">En dosis på 10 mg </w:t>
      </w:r>
      <w:proofErr w:type="spellStart"/>
      <w:r w:rsidRPr="00005923">
        <w:rPr>
          <w:sz w:val="24"/>
          <w:szCs w:val="24"/>
        </w:rPr>
        <w:t>ketamin</w:t>
      </w:r>
      <w:proofErr w:type="spellEnd"/>
      <w:r w:rsidRPr="00005923">
        <w:rPr>
          <w:sz w:val="24"/>
          <w:szCs w:val="24"/>
        </w:rPr>
        <w:t xml:space="preserve"> pr. kg legemsvægt kan forårsage </w:t>
      </w:r>
      <w:proofErr w:type="spellStart"/>
      <w:r w:rsidRPr="00005923">
        <w:rPr>
          <w:sz w:val="24"/>
          <w:szCs w:val="24"/>
        </w:rPr>
        <w:t>takykardi</w:t>
      </w:r>
      <w:proofErr w:type="spellEnd"/>
      <w:r w:rsidRPr="00005923">
        <w:rPr>
          <w:sz w:val="24"/>
          <w:szCs w:val="24"/>
        </w:rPr>
        <w:t xml:space="preserve">, hvis det anvendes sammen med 40 mikrogram </w:t>
      </w:r>
      <w:proofErr w:type="spellStart"/>
      <w:r w:rsidRPr="00005923">
        <w:rPr>
          <w:sz w:val="24"/>
          <w:szCs w:val="24"/>
        </w:rPr>
        <w:t>dexmedetomidin</w:t>
      </w:r>
      <w:proofErr w:type="spellEnd"/>
      <w:r w:rsidRPr="00005923">
        <w:rPr>
          <w:sz w:val="24"/>
          <w:szCs w:val="24"/>
        </w:rPr>
        <w:t xml:space="preserve"> pr. kg legemsvægt. </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4.9</w:t>
      </w:r>
      <w:r w:rsidRPr="00005923">
        <w:rPr>
          <w:b/>
          <w:sz w:val="24"/>
          <w:szCs w:val="24"/>
        </w:rPr>
        <w:tab/>
        <w:t>Dosering og indgivelsesmåde</w:t>
      </w:r>
    </w:p>
    <w:p w:rsidR="00B904E5" w:rsidRDefault="00B904E5" w:rsidP="00BE6819">
      <w:pPr>
        <w:ind w:left="851"/>
        <w:rPr>
          <w:sz w:val="24"/>
          <w:szCs w:val="24"/>
        </w:rPr>
      </w:pPr>
    </w:p>
    <w:p w:rsidR="00BE6819" w:rsidRPr="00005923" w:rsidRDefault="00BE6819" w:rsidP="00BE6819">
      <w:pPr>
        <w:ind w:left="851"/>
        <w:rPr>
          <w:sz w:val="24"/>
          <w:szCs w:val="24"/>
        </w:rPr>
      </w:pPr>
      <w:r w:rsidRPr="00005923">
        <w:rPr>
          <w:sz w:val="24"/>
          <w:szCs w:val="24"/>
        </w:rPr>
        <w:t xml:space="preserve">Hunde: intravenøs eller intramuskulær anvendelse </w:t>
      </w:r>
    </w:p>
    <w:p w:rsidR="00BE6819" w:rsidRPr="00005923" w:rsidRDefault="00BE6819" w:rsidP="00BE6819">
      <w:pPr>
        <w:ind w:left="851"/>
        <w:rPr>
          <w:sz w:val="24"/>
          <w:szCs w:val="24"/>
        </w:rPr>
      </w:pPr>
      <w:r w:rsidRPr="00005923">
        <w:rPr>
          <w:sz w:val="24"/>
          <w:szCs w:val="24"/>
        </w:rPr>
        <w:t xml:space="preserve">Katte: intramuskulær anvendelse </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Dette produkt er ikke beregnet til gentagne injektioner.</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proofErr w:type="spellStart"/>
      <w:r w:rsidRPr="00005923">
        <w:rPr>
          <w:sz w:val="24"/>
          <w:szCs w:val="24"/>
          <w:lang w:eastAsia="da-DK"/>
        </w:rPr>
        <w:t>Dexmedetomidin</w:t>
      </w:r>
      <w:proofErr w:type="spellEnd"/>
      <w:r w:rsidRPr="00005923">
        <w:rPr>
          <w:sz w:val="24"/>
          <w:szCs w:val="24"/>
        </w:rPr>
        <w:t xml:space="preserve">, </w:t>
      </w:r>
      <w:proofErr w:type="spellStart"/>
      <w:r w:rsidRPr="00005923">
        <w:rPr>
          <w:sz w:val="24"/>
          <w:szCs w:val="24"/>
        </w:rPr>
        <w:t>butorphanol</w:t>
      </w:r>
      <w:proofErr w:type="spellEnd"/>
      <w:r w:rsidRPr="00005923">
        <w:rPr>
          <w:sz w:val="24"/>
          <w:szCs w:val="24"/>
        </w:rPr>
        <w:t xml:space="preserve"> og/eller </w:t>
      </w:r>
      <w:proofErr w:type="spellStart"/>
      <w:r w:rsidRPr="00005923">
        <w:rPr>
          <w:sz w:val="24"/>
          <w:szCs w:val="24"/>
        </w:rPr>
        <w:t>ketamin</w:t>
      </w:r>
      <w:proofErr w:type="spellEnd"/>
      <w:r w:rsidRPr="00005923">
        <w:rPr>
          <w:sz w:val="24"/>
          <w:szCs w:val="24"/>
        </w:rPr>
        <w:t xml:space="preserve"> kan blandes i den samme sprøjte, da de er vist at være farmakologisk forenelige. </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Produktet kan være blandet med </w:t>
      </w:r>
      <w:proofErr w:type="spellStart"/>
      <w:r w:rsidRPr="00005923">
        <w:rPr>
          <w:sz w:val="24"/>
          <w:szCs w:val="24"/>
        </w:rPr>
        <w:t>butorphanol</w:t>
      </w:r>
      <w:proofErr w:type="spellEnd"/>
      <w:r w:rsidRPr="00005923">
        <w:rPr>
          <w:sz w:val="24"/>
          <w:szCs w:val="24"/>
        </w:rPr>
        <w:t xml:space="preserve"> og </w:t>
      </w:r>
      <w:proofErr w:type="spellStart"/>
      <w:r w:rsidRPr="00005923">
        <w:rPr>
          <w:sz w:val="24"/>
          <w:szCs w:val="24"/>
        </w:rPr>
        <w:t>ketamin</w:t>
      </w:r>
      <w:proofErr w:type="spellEnd"/>
      <w:r w:rsidRPr="00005923">
        <w:rPr>
          <w:sz w:val="24"/>
          <w:szCs w:val="24"/>
        </w:rPr>
        <w:t xml:space="preserve"> i den samme sprøjte i mindst 2 timer.</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Gummiproppen bør højst perforeres 25 gange.</w:t>
      </w:r>
    </w:p>
    <w:p w:rsidR="00BE6819" w:rsidRPr="00005923" w:rsidRDefault="00BE6819" w:rsidP="00BE6819">
      <w:pPr>
        <w:ind w:left="851" w:hanging="851"/>
        <w:rPr>
          <w:sz w:val="24"/>
          <w:szCs w:val="24"/>
        </w:rPr>
      </w:pPr>
    </w:p>
    <w:p w:rsidR="00BE6819" w:rsidRPr="00005923" w:rsidRDefault="00BE6819" w:rsidP="00BE6819">
      <w:pPr>
        <w:ind w:left="851"/>
        <w:rPr>
          <w:sz w:val="24"/>
          <w:szCs w:val="24"/>
          <w:u w:val="single"/>
        </w:rPr>
      </w:pPr>
      <w:r w:rsidRPr="00005923">
        <w:rPr>
          <w:sz w:val="24"/>
          <w:szCs w:val="24"/>
          <w:u w:val="single"/>
        </w:rPr>
        <w:t>Dosering:</w:t>
      </w:r>
    </w:p>
    <w:p w:rsidR="00BE6819" w:rsidRDefault="00BE6819" w:rsidP="00BE6819">
      <w:pPr>
        <w:tabs>
          <w:tab w:val="left" w:pos="1304"/>
        </w:tabs>
        <w:ind w:left="851" w:hanging="851"/>
        <w:rPr>
          <w:sz w:val="24"/>
          <w:szCs w:val="24"/>
        </w:rPr>
      </w:pPr>
      <w:r>
        <w:rPr>
          <w:sz w:val="24"/>
          <w:szCs w:val="24"/>
        </w:rPr>
        <w:tab/>
      </w:r>
      <w:r w:rsidRPr="00005923">
        <w:rPr>
          <w:sz w:val="24"/>
          <w:szCs w:val="24"/>
        </w:rPr>
        <w:t>Følgende doser anbefales:</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b/>
          <w:bCs/>
          <w:sz w:val="24"/>
          <w:szCs w:val="24"/>
        </w:rPr>
        <w:tab/>
      </w:r>
      <w:r w:rsidRPr="00005923">
        <w:rPr>
          <w:b/>
          <w:bCs/>
          <w:sz w:val="24"/>
          <w:szCs w:val="24"/>
        </w:rPr>
        <w:t xml:space="preserve">HUNDE: </w:t>
      </w: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 xml:space="preserve">Dosering af </w:t>
      </w:r>
      <w:proofErr w:type="spellStart"/>
      <w:r w:rsidR="008A5737">
        <w:rPr>
          <w:sz w:val="24"/>
          <w:szCs w:val="24"/>
          <w:lang w:eastAsia="da-DK"/>
        </w:rPr>
        <w:t>dexmedetomidinhydrochlorid</w:t>
      </w:r>
      <w:proofErr w:type="spellEnd"/>
      <w:r w:rsidR="008A5737">
        <w:rPr>
          <w:sz w:val="24"/>
          <w:szCs w:val="24"/>
          <w:lang w:eastAsia="da-DK"/>
        </w:rPr>
        <w:t xml:space="preserve"> </w:t>
      </w:r>
      <w:r w:rsidRPr="00005923">
        <w:rPr>
          <w:sz w:val="24"/>
          <w:szCs w:val="24"/>
        </w:rPr>
        <w:t>til hunde er baseret på kroppens overfladeareal:</w:t>
      </w:r>
    </w:p>
    <w:p w:rsidR="00BE6819" w:rsidRPr="00005923" w:rsidRDefault="00BE6819" w:rsidP="00BE6819">
      <w:pPr>
        <w:tabs>
          <w:tab w:val="left" w:pos="1304"/>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Intravenøst: op til 375 mikrogram/m</w:t>
      </w:r>
      <w:r w:rsidRPr="0025124D">
        <w:rPr>
          <w:sz w:val="24"/>
          <w:szCs w:val="24"/>
          <w:vertAlign w:val="superscript"/>
        </w:rPr>
        <w:t>2</w:t>
      </w:r>
      <w:r w:rsidRPr="00005923">
        <w:rPr>
          <w:sz w:val="24"/>
          <w:szCs w:val="24"/>
        </w:rPr>
        <w:t xml:space="preserve"> legemsoverflade</w:t>
      </w:r>
    </w:p>
    <w:p w:rsidR="00BE6819" w:rsidRPr="00005923" w:rsidRDefault="00BE6819" w:rsidP="00BE6819">
      <w:pPr>
        <w:tabs>
          <w:tab w:val="left" w:pos="1304"/>
        </w:tabs>
        <w:ind w:left="851" w:hanging="851"/>
        <w:rPr>
          <w:sz w:val="24"/>
          <w:szCs w:val="24"/>
        </w:rPr>
      </w:pPr>
      <w:r>
        <w:rPr>
          <w:sz w:val="24"/>
          <w:szCs w:val="24"/>
        </w:rPr>
        <w:tab/>
      </w:r>
      <w:r w:rsidRPr="00005923">
        <w:rPr>
          <w:sz w:val="24"/>
          <w:szCs w:val="24"/>
        </w:rPr>
        <w:t>Intramuskulært: op til 500 mikrogram/m</w:t>
      </w:r>
      <w:r w:rsidRPr="00005923">
        <w:rPr>
          <w:sz w:val="24"/>
          <w:szCs w:val="24"/>
          <w:vertAlign w:val="superscript"/>
        </w:rPr>
        <w:t>2</w:t>
      </w:r>
      <w:r w:rsidRPr="00005923">
        <w:rPr>
          <w:sz w:val="24"/>
          <w:szCs w:val="24"/>
        </w:rPr>
        <w:t xml:space="preserve"> legemsoverflade. </w:t>
      </w:r>
    </w:p>
    <w:p w:rsidR="00BE6819" w:rsidRPr="00005923" w:rsidRDefault="00BE6819" w:rsidP="00BE6819">
      <w:pPr>
        <w:numPr>
          <w:ilvl w:val="0"/>
          <w:numId w:val="5"/>
        </w:numPr>
        <w:tabs>
          <w:tab w:val="left" w:pos="1304"/>
        </w:tabs>
        <w:ind w:left="851" w:hanging="851"/>
        <w:rPr>
          <w:sz w:val="24"/>
          <w:szCs w:val="24"/>
        </w:rPr>
      </w:pPr>
    </w:p>
    <w:p w:rsidR="00BE6819" w:rsidRPr="00005923" w:rsidRDefault="00BE6819" w:rsidP="00BE6819">
      <w:pPr>
        <w:numPr>
          <w:ilvl w:val="0"/>
          <w:numId w:val="5"/>
        </w:numPr>
        <w:ind w:left="851" w:hanging="851"/>
        <w:rPr>
          <w:sz w:val="24"/>
          <w:szCs w:val="24"/>
        </w:rPr>
      </w:pPr>
      <w:r w:rsidRPr="00005923">
        <w:rPr>
          <w:sz w:val="24"/>
          <w:szCs w:val="24"/>
        </w:rPr>
        <w:t xml:space="preserve">Ved indgivelse sammen med </w:t>
      </w:r>
      <w:proofErr w:type="spellStart"/>
      <w:r w:rsidRPr="00005923">
        <w:rPr>
          <w:sz w:val="24"/>
          <w:szCs w:val="24"/>
        </w:rPr>
        <w:t>butorphanol</w:t>
      </w:r>
      <w:proofErr w:type="spellEnd"/>
      <w:r w:rsidRPr="00005923">
        <w:rPr>
          <w:sz w:val="24"/>
          <w:szCs w:val="24"/>
        </w:rPr>
        <w:t xml:space="preserve"> (0,1 mg/kg</w:t>
      </w:r>
      <w:r w:rsidR="00B904E5">
        <w:rPr>
          <w:sz w:val="24"/>
          <w:szCs w:val="24"/>
        </w:rPr>
        <w:t xml:space="preserve"> legemsvægt</w:t>
      </w:r>
      <w:r w:rsidRPr="00005923">
        <w:rPr>
          <w:sz w:val="24"/>
          <w:szCs w:val="24"/>
        </w:rPr>
        <w:t xml:space="preserve">) til dyb sedation og analgesi, er den intramuskulære dosis af </w:t>
      </w:r>
      <w:proofErr w:type="spellStart"/>
      <w:r w:rsidR="008A5737">
        <w:rPr>
          <w:sz w:val="24"/>
          <w:szCs w:val="24"/>
          <w:lang w:eastAsia="da-DK"/>
        </w:rPr>
        <w:t>dexmedetomidinhydrochlorid</w:t>
      </w:r>
      <w:proofErr w:type="spellEnd"/>
      <w:r w:rsidR="008A5737">
        <w:rPr>
          <w:sz w:val="24"/>
          <w:szCs w:val="24"/>
          <w:lang w:eastAsia="da-DK"/>
        </w:rPr>
        <w:t xml:space="preserve"> </w:t>
      </w:r>
      <w:r w:rsidRPr="00005923">
        <w:rPr>
          <w:sz w:val="24"/>
          <w:szCs w:val="24"/>
        </w:rPr>
        <w:t>300 mikrogram/m</w:t>
      </w:r>
      <w:r w:rsidRPr="00005923">
        <w:rPr>
          <w:sz w:val="24"/>
          <w:szCs w:val="24"/>
          <w:vertAlign w:val="superscript"/>
        </w:rPr>
        <w:t>2</w:t>
      </w:r>
      <w:r w:rsidRPr="00005923">
        <w:rPr>
          <w:sz w:val="24"/>
          <w:szCs w:val="24"/>
        </w:rPr>
        <w:t xml:space="preserve"> legemsoverflade. Dosis af </w:t>
      </w:r>
      <w:proofErr w:type="spellStart"/>
      <w:r w:rsidR="008A5737">
        <w:rPr>
          <w:sz w:val="24"/>
          <w:szCs w:val="24"/>
          <w:lang w:eastAsia="da-DK"/>
        </w:rPr>
        <w:t>dexmedetomidinhydrochlorid</w:t>
      </w:r>
      <w:proofErr w:type="spellEnd"/>
      <w:r w:rsidR="008A5737">
        <w:rPr>
          <w:sz w:val="24"/>
          <w:szCs w:val="24"/>
          <w:lang w:eastAsia="da-DK"/>
        </w:rPr>
        <w:t xml:space="preserve"> </w:t>
      </w:r>
      <w:r w:rsidRPr="00005923">
        <w:rPr>
          <w:sz w:val="24"/>
          <w:szCs w:val="24"/>
        </w:rPr>
        <w:t>ved præmedicinering er 125 - 375 mikrogram/m</w:t>
      </w:r>
      <w:r w:rsidRPr="00005923">
        <w:rPr>
          <w:sz w:val="24"/>
          <w:szCs w:val="24"/>
          <w:vertAlign w:val="superscript"/>
        </w:rPr>
        <w:t xml:space="preserve">2 </w:t>
      </w:r>
      <w:r w:rsidRPr="00005923">
        <w:rPr>
          <w:sz w:val="24"/>
          <w:szCs w:val="24"/>
        </w:rPr>
        <w:t>legemsoverflade, som indgives 20 minutter inden induktion ved anæstesikrævende procedurer. Dosis bør justeres efter typen af kirurgisk indgreb, procedurens længde samt patientens temperament.</w:t>
      </w:r>
    </w:p>
    <w:p w:rsidR="00BE6819" w:rsidRPr="00005923" w:rsidRDefault="00BE6819" w:rsidP="00BE6819">
      <w:pPr>
        <w:ind w:left="851" w:hanging="851"/>
        <w:rPr>
          <w:sz w:val="24"/>
          <w:szCs w:val="24"/>
        </w:rPr>
      </w:pPr>
    </w:p>
    <w:p w:rsidR="00BE6819" w:rsidRPr="00005923" w:rsidRDefault="00BE6819" w:rsidP="00BE6819">
      <w:pPr>
        <w:numPr>
          <w:ilvl w:val="0"/>
          <w:numId w:val="5"/>
        </w:numPr>
        <w:ind w:left="851" w:hanging="851"/>
        <w:rPr>
          <w:sz w:val="24"/>
          <w:szCs w:val="24"/>
        </w:rPr>
      </w:pPr>
      <w:r w:rsidRPr="00005923">
        <w:rPr>
          <w:sz w:val="24"/>
          <w:szCs w:val="24"/>
        </w:rPr>
        <w:lastRenderedPageBreak/>
        <w:t xml:space="preserve">Samtidig brug af </w:t>
      </w:r>
      <w:proofErr w:type="spellStart"/>
      <w:r w:rsidRPr="00005923">
        <w:rPr>
          <w:sz w:val="24"/>
          <w:szCs w:val="24"/>
        </w:rPr>
        <w:t>dexmedetomidin</w:t>
      </w:r>
      <w:proofErr w:type="spellEnd"/>
      <w:r w:rsidRPr="00005923">
        <w:rPr>
          <w:sz w:val="24"/>
          <w:szCs w:val="24"/>
        </w:rPr>
        <w:t xml:space="preserve"> og </w:t>
      </w:r>
      <w:proofErr w:type="spellStart"/>
      <w:r w:rsidRPr="00005923">
        <w:rPr>
          <w:sz w:val="24"/>
          <w:szCs w:val="24"/>
        </w:rPr>
        <w:t>butorphanol</w:t>
      </w:r>
      <w:proofErr w:type="spellEnd"/>
      <w:r w:rsidRPr="00005923">
        <w:rPr>
          <w:sz w:val="24"/>
          <w:szCs w:val="24"/>
        </w:rPr>
        <w:t xml:space="preserve"> medfører sedation og analgesi senest 15 minutter efter administration. Den sedative og analgetiske virkning topper indenfor 30 minutter efter indgivelse. Sedationen varer mindst 120 minutter efter indgivelse, analgesien i mindst 90 minutter. Der forekommer spontan opvågning inden for tre timer.</w:t>
      </w:r>
    </w:p>
    <w:p w:rsidR="00BE6819" w:rsidRPr="00005923" w:rsidRDefault="00BE6819" w:rsidP="00BE6819">
      <w:pPr>
        <w:ind w:left="851" w:hanging="851"/>
        <w:rPr>
          <w:sz w:val="24"/>
          <w:szCs w:val="24"/>
        </w:rPr>
      </w:pPr>
    </w:p>
    <w:p w:rsidR="00BE6819" w:rsidRPr="00005923" w:rsidRDefault="00BE6819" w:rsidP="00BE6819">
      <w:pPr>
        <w:numPr>
          <w:ilvl w:val="0"/>
          <w:numId w:val="5"/>
        </w:numPr>
        <w:ind w:left="851" w:hanging="851"/>
        <w:rPr>
          <w:sz w:val="24"/>
          <w:szCs w:val="24"/>
        </w:rPr>
      </w:pPr>
      <w:r w:rsidRPr="00005923">
        <w:rPr>
          <w:sz w:val="24"/>
          <w:szCs w:val="24"/>
        </w:rPr>
        <w:t xml:space="preserve">Præmedicinering med </w:t>
      </w:r>
      <w:proofErr w:type="spellStart"/>
      <w:r w:rsidRPr="00005923">
        <w:rPr>
          <w:sz w:val="24"/>
          <w:szCs w:val="24"/>
        </w:rPr>
        <w:t>dexmedetomidin</w:t>
      </w:r>
      <w:proofErr w:type="spellEnd"/>
      <w:r w:rsidRPr="00005923">
        <w:rPr>
          <w:sz w:val="24"/>
          <w:szCs w:val="24"/>
        </w:rPr>
        <w:t xml:space="preserve"> vil nedsætte den nødvendige dosis af induktionsmidlet væsentligt samt reducere mængden af anæstesigasser der kræves til vedligeholdelse af anæstesien. I et klinisk forsøg blev behovet for </w:t>
      </w:r>
      <w:proofErr w:type="spellStart"/>
      <w:r w:rsidRPr="00005923">
        <w:rPr>
          <w:sz w:val="24"/>
          <w:szCs w:val="24"/>
        </w:rPr>
        <w:t>propofol</w:t>
      </w:r>
      <w:proofErr w:type="spellEnd"/>
      <w:r w:rsidRPr="00005923">
        <w:rPr>
          <w:sz w:val="24"/>
          <w:szCs w:val="24"/>
        </w:rPr>
        <w:t xml:space="preserve"> og </w:t>
      </w:r>
      <w:proofErr w:type="spellStart"/>
      <w:r w:rsidRPr="00005923">
        <w:rPr>
          <w:sz w:val="24"/>
          <w:szCs w:val="24"/>
        </w:rPr>
        <w:t>tiopental</w:t>
      </w:r>
      <w:proofErr w:type="spellEnd"/>
      <w:r w:rsidRPr="00005923">
        <w:rPr>
          <w:sz w:val="24"/>
          <w:szCs w:val="24"/>
        </w:rPr>
        <w:t xml:space="preserve"> reduceret med henholdsvis 30% og 60%. Alle anæstesimidler, der benyttes til induktion eller vedligeholdelse af anæstesi, bør administreres til effekt. I en klinisk undersøgelse bevirkede </w:t>
      </w:r>
      <w:proofErr w:type="spellStart"/>
      <w:r w:rsidRPr="00005923">
        <w:rPr>
          <w:sz w:val="24"/>
          <w:szCs w:val="24"/>
        </w:rPr>
        <w:t>dexmedetomidin</w:t>
      </w:r>
      <w:proofErr w:type="spellEnd"/>
      <w:r w:rsidRPr="00005923">
        <w:rPr>
          <w:sz w:val="24"/>
          <w:szCs w:val="24"/>
        </w:rPr>
        <w:t xml:space="preserve"> postoperativ analgesi i 0,5 - 4 timer. Varigheden er dog afhængig af en række variabler, og yderligere analgesi bør administreres efter klinisk skøn. </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Doseringer baseret på legemsvægt angives i de følgende tabeller. Det anbefales at benytte en sprøjte med passende skalering for at sikre korrekt dosering ved administrering af små mængder.</w:t>
      </w:r>
    </w:p>
    <w:p w:rsidR="00BE6819" w:rsidRPr="00005923" w:rsidRDefault="00BE6819" w:rsidP="00BE6819">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431"/>
        <w:gridCol w:w="1334"/>
        <w:gridCol w:w="1431"/>
        <w:gridCol w:w="1331"/>
        <w:gridCol w:w="1431"/>
        <w:gridCol w:w="1331"/>
      </w:tblGrid>
      <w:tr w:rsidR="00BE6819" w:rsidRPr="0025124D" w:rsidTr="008A5737">
        <w:trPr>
          <w:trHeight w:val="228"/>
          <w:jc w:val="center"/>
        </w:trPr>
        <w:tc>
          <w:tcPr>
            <w:tcW w:w="695" w:type="pct"/>
            <w:tcBorders>
              <w:top w:val="single" w:sz="4" w:space="0" w:color="auto"/>
              <w:left w:val="single" w:sz="4" w:space="0" w:color="auto"/>
              <w:bottom w:val="nil"/>
              <w:right w:val="single" w:sz="4" w:space="0" w:color="auto"/>
            </w:tcBorders>
            <w:hideMark/>
          </w:tcPr>
          <w:p w:rsidR="00BE6819" w:rsidRPr="0025124D" w:rsidRDefault="00BE6819" w:rsidP="00014AFE">
            <w:pPr>
              <w:rPr>
                <w:b/>
                <w:lang w:val="es-ES" w:eastAsia="es-ES"/>
              </w:rPr>
            </w:pPr>
            <w:r w:rsidRPr="0025124D">
              <w:rPr>
                <w:b/>
                <w:lang w:val="es-ES" w:eastAsia="es-ES"/>
              </w:rPr>
              <w:t>Hund</w:t>
            </w:r>
          </w:p>
          <w:p w:rsidR="00BE6819" w:rsidRPr="0025124D" w:rsidRDefault="00BE6819" w:rsidP="00014AFE">
            <w:pPr>
              <w:rPr>
                <w:b/>
                <w:lang w:val="es-ES" w:eastAsia="es-ES"/>
              </w:rPr>
            </w:pPr>
            <w:r w:rsidRPr="0025124D">
              <w:rPr>
                <w:b/>
                <w:lang w:val="es-ES" w:eastAsia="es-ES"/>
              </w:rPr>
              <w:t>Vægt</w:t>
            </w:r>
          </w:p>
        </w:tc>
        <w:tc>
          <w:tcPr>
            <w:tcW w:w="1436" w:type="pct"/>
            <w:gridSpan w:val="2"/>
            <w:tcBorders>
              <w:top w:val="single" w:sz="4" w:space="0" w:color="auto"/>
              <w:left w:val="single" w:sz="4" w:space="0" w:color="auto"/>
              <w:bottom w:val="nil"/>
              <w:right w:val="single" w:sz="4" w:space="0" w:color="auto"/>
            </w:tcBorders>
            <w:hideMark/>
          </w:tcPr>
          <w:p w:rsidR="00BE6819" w:rsidRPr="0025124D" w:rsidRDefault="008A5737" w:rsidP="00014AFE">
            <w:pPr>
              <w:jc w:val="center"/>
              <w:rPr>
                <w:b/>
                <w:lang w:val="es-ES" w:eastAsia="es-ES"/>
              </w:rPr>
            </w:pPr>
            <w:proofErr w:type="spellStart"/>
            <w:r>
              <w:rPr>
                <w:b/>
                <w:bCs/>
                <w:sz w:val="24"/>
                <w:szCs w:val="24"/>
                <w:lang w:eastAsia="da-DK"/>
              </w:rPr>
              <w:t>Dexmedetomidin</w:t>
            </w:r>
            <w:r>
              <w:rPr>
                <w:b/>
                <w:bCs/>
                <w:sz w:val="24"/>
                <w:szCs w:val="24"/>
                <w:lang w:eastAsia="da-DK"/>
              </w:rPr>
              <w:t>-</w:t>
            </w:r>
            <w:r>
              <w:rPr>
                <w:b/>
                <w:bCs/>
                <w:sz w:val="24"/>
                <w:szCs w:val="24"/>
                <w:lang w:eastAsia="da-DK"/>
              </w:rPr>
              <w:t>hydrochlorid</w:t>
            </w:r>
            <w:proofErr w:type="spellEnd"/>
          </w:p>
          <w:p w:rsidR="008A5737" w:rsidRPr="008A5737" w:rsidRDefault="00BE6819" w:rsidP="00014AFE">
            <w:pPr>
              <w:jc w:val="center"/>
              <w:rPr>
                <w:b/>
                <w:vertAlign w:val="superscript"/>
                <w:lang w:val="es-ES" w:eastAsia="es-ES"/>
              </w:rPr>
            </w:pPr>
            <w:r w:rsidRPr="0025124D">
              <w:rPr>
                <w:b/>
                <w:lang w:val="es-ES" w:eastAsia="es-ES"/>
              </w:rPr>
              <w:t>125 mikrogram/m</w:t>
            </w:r>
            <w:r w:rsidRPr="0025124D">
              <w:rPr>
                <w:b/>
                <w:vertAlign w:val="superscript"/>
                <w:lang w:val="es-ES" w:eastAsia="es-ES"/>
              </w:rPr>
              <w:t>2</w:t>
            </w:r>
          </w:p>
        </w:tc>
        <w:tc>
          <w:tcPr>
            <w:tcW w:w="1434" w:type="pct"/>
            <w:gridSpan w:val="2"/>
            <w:tcBorders>
              <w:top w:val="single" w:sz="4" w:space="0" w:color="auto"/>
              <w:left w:val="single" w:sz="4" w:space="0" w:color="auto"/>
              <w:bottom w:val="nil"/>
              <w:right w:val="single" w:sz="4" w:space="0" w:color="auto"/>
            </w:tcBorders>
            <w:hideMark/>
          </w:tcPr>
          <w:p w:rsidR="00BE6819" w:rsidRPr="0025124D" w:rsidRDefault="008A5737" w:rsidP="00014AFE">
            <w:pPr>
              <w:jc w:val="center"/>
              <w:rPr>
                <w:b/>
                <w:lang w:val="es-ES" w:eastAsia="es-ES"/>
              </w:rPr>
            </w:pPr>
            <w:proofErr w:type="spellStart"/>
            <w:r>
              <w:rPr>
                <w:b/>
                <w:bCs/>
                <w:sz w:val="24"/>
                <w:szCs w:val="24"/>
                <w:lang w:eastAsia="da-DK"/>
              </w:rPr>
              <w:t>Dexmedetomidin</w:t>
            </w:r>
            <w:r>
              <w:rPr>
                <w:b/>
                <w:bCs/>
                <w:sz w:val="24"/>
                <w:szCs w:val="24"/>
                <w:lang w:eastAsia="da-DK"/>
              </w:rPr>
              <w:t>-</w:t>
            </w:r>
            <w:r>
              <w:rPr>
                <w:b/>
                <w:bCs/>
                <w:sz w:val="24"/>
                <w:szCs w:val="24"/>
                <w:lang w:eastAsia="da-DK"/>
              </w:rPr>
              <w:t>hydrochlorid</w:t>
            </w:r>
            <w:proofErr w:type="spellEnd"/>
            <w:r>
              <w:rPr>
                <w:sz w:val="24"/>
                <w:szCs w:val="24"/>
                <w:lang w:eastAsia="da-DK"/>
              </w:rPr>
              <w:t xml:space="preserve"> </w:t>
            </w:r>
            <w:r>
              <w:rPr>
                <w:sz w:val="24"/>
                <w:szCs w:val="24"/>
                <w:lang w:eastAsia="da-DK"/>
              </w:rPr>
              <w:br/>
            </w:r>
            <w:r w:rsidR="00BE6819" w:rsidRPr="0025124D">
              <w:rPr>
                <w:b/>
                <w:lang w:val="es-ES" w:eastAsia="es-ES"/>
              </w:rPr>
              <w:t>375 mikrogram/m</w:t>
            </w:r>
            <w:r w:rsidR="00BE6819" w:rsidRPr="0025124D">
              <w:rPr>
                <w:b/>
                <w:vertAlign w:val="superscript"/>
                <w:lang w:val="es-ES" w:eastAsia="es-ES"/>
              </w:rPr>
              <w:t>2</w:t>
            </w:r>
          </w:p>
        </w:tc>
        <w:tc>
          <w:tcPr>
            <w:tcW w:w="1434" w:type="pct"/>
            <w:gridSpan w:val="2"/>
            <w:tcBorders>
              <w:top w:val="single" w:sz="4" w:space="0" w:color="auto"/>
              <w:left w:val="single" w:sz="4" w:space="0" w:color="auto"/>
              <w:bottom w:val="nil"/>
              <w:right w:val="single" w:sz="4" w:space="0" w:color="auto"/>
            </w:tcBorders>
            <w:hideMark/>
          </w:tcPr>
          <w:p w:rsidR="008A5737" w:rsidRDefault="008A5737" w:rsidP="00014AFE">
            <w:pPr>
              <w:jc w:val="center"/>
              <w:rPr>
                <w:sz w:val="24"/>
                <w:szCs w:val="24"/>
                <w:lang w:eastAsia="da-DK"/>
              </w:rPr>
            </w:pPr>
            <w:proofErr w:type="spellStart"/>
            <w:r>
              <w:rPr>
                <w:b/>
                <w:bCs/>
                <w:sz w:val="24"/>
                <w:szCs w:val="24"/>
                <w:lang w:eastAsia="da-DK"/>
              </w:rPr>
              <w:t>Dexmedetomidin</w:t>
            </w:r>
            <w:r>
              <w:rPr>
                <w:b/>
                <w:bCs/>
                <w:sz w:val="24"/>
                <w:szCs w:val="24"/>
                <w:lang w:eastAsia="da-DK"/>
              </w:rPr>
              <w:t>-</w:t>
            </w:r>
            <w:r>
              <w:rPr>
                <w:b/>
                <w:bCs/>
                <w:sz w:val="24"/>
                <w:szCs w:val="24"/>
                <w:lang w:eastAsia="da-DK"/>
              </w:rPr>
              <w:t>hydrochlorid</w:t>
            </w:r>
            <w:proofErr w:type="spellEnd"/>
            <w:r>
              <w:rPr>
                <w:sz w:val="24"/>
                <w:szCs w:val="24"/>
                <w:lang w:eastAsia="da-DK"/>
              </w:rPr>
              <w:t xml:space="preserve"> </w:t>
            </w:r>
          </w:p>
          <w:p w:rsidR="00BE6819" w:rsidRPr="0025124D" w:rsidRDefault="00BE6819" w:rsidP="00014AFE">
            <w:pPr>
              <w:jc w:val="center"/>
              <w:rPr>
                <w:b/>
                <w:lang w:val="es-ES" w:eastAsia="es-ES"/>
              </w:rPr>
            </w:pPr>
            <w:r w:rsidRPr="0025124D">
              <w:rPr>
                <w:b/>
                <w:lang w:val="es-ES" w:eastAsia="es-ES"/>
              </w:rPr>
              <w:t>500 mikrogram/m</w:t>
            </w:r>
            <w:r w:rsidRPr="0025124D">
              <w:rPr>
                <w:b/>
                <w:vertAlign w:val="superscript"/>
                <w:lang w:val="es-ES" w:eastAsia="es-ES"/>
              </w:rPr>
              <w:t>2</w:t>
            </w:r>
          </w:p>
        </w:tc>
      </w:tr>
      <w:tr w:rsidR="008A5737" w:rsidRPr="0025124D" w:rsidTr="008A5737">
        <w:trPr>
          <w:trHeight w:val="98"/>
          <w:jc w:val="center"/>
        </w:trPr>
        <w:tc>
          <w:tcPr>
            <w:tcW w:w="695" w:type="pct"/>
            <w:tcBorders>
              <w:top w:val="nil"/>
              <w:left w:val="single" w:sz="4" w:space="0" w:color="auto"/>
              <w:bottom w:val="single" w:sz="4" w:space="0" w:color="auto"/>
              <w:right w:val="single" w:sz="4" w:space="0" w:color="auto"/>
            </w:tcBorders>
            <w:hideMark/>
          </w:tcPr>
          <w:p w:rsidR="008A5737" w:rsidRPr="0025124D" w:rsidRDefault="008A5737" w:rsidP="008A5737">
            <w:pPr>
              <w:rPr>
                <w:b/>
                <w:lang w:val="es-ES" w:eastAsia="es-ES"/>
              </w:rPr>
            </w:pPr>
            <w:r w:rsidRPr="0025124D">
              <w:rPr>
                <w:b/>
                <w:lang w:val="es-ES" w:eastAsia="es-ES"/>
              </w:rPr>
              <w:t>(kg)</w:t>
            </w:r>
          </w:p>
        </w:tc>
        <w:tc>
          <w:tcPr>
            <w:tcW w:w="743" w:type="pct"/>
            <w:tcBorders>
              <w:top w:val="nil"/>
              <w:left w:val="single" w:sz="4" w:space="0" w:color="auto"/>
              <w:bottom w:val="single" w:sz="4" w:space="0" w:color="auto"/>
              <w:right w:val="nil"/>
            </w:tcBorders>
            <w:hideMark/>
          </w:tcPr>
          <w:p w:rsidR="008A5737" w:rsidRDefault="008A5737" w:rsidP="008A5737">
            <w:pPr>
              <w:jc w:val="center"/>
              <w:rPr>
                <w:b/>
                <w:lang w:val="es-ES" w:eastAsia="es-ES"/>
              </w:rPr>
            </w:pPr>
            <w:r>
              <w:rPr>
                <w:b/>
                <w:lang w:val="es-ES" w:eastAsia="es-ES"/>
              </w:rPr>
              <w:t>Aktivt stof</w:t>
            </w:r>
          </w:p>
          <w:p w:rsidR="008A5737" w:rsidRPr="0025124D" w:rsidRDefault="008A5737" w:rsidP="008A5737">
            <w:pPr>
              <w:jc w:val="center"/>
              <w:rPr>
                <w:b/>
                <w:lang w:val="es-ES" w:eastAsia="es-ES"/>
              </w:rPr>
            </w:pPr>
            <w:r w:rsidRPr="0025124D">
              <w:rPr>
                <w:b/>
                <w:lang w:val="es-ES" w:eastAsia="es-ES"/>
              </w:rPr>
              <w:t>(μg/kg</w:t>
            </w:r>
            <w:r>
              <w:rPr>
                <w:b/>
                <w:lang w:val="es-ES" w:eastAsia="es-ES"/>
              </w:rPr>
              <w:t xml:space="preserve"> legemsvægt</w:t>
            </w:r>
            <w:r w:rsidRPr="0025124D">
              <w:rPr>
                <w:b/>
                <w:lang w:val="es-ES" w:eastAsia="es-ES"/>
              </w:rPr>
              <w:t>)</w:t>
            </w:r>
          </w:p>
        </w:tc>
        <w:tc>
          <w:tcPr>
            <w:tcW w:w="693" w:type="pct"/>
            <w:tcBorders>
              <w:top w:val="nil"/>
              <w:left w:val="nil"/>
              <w:bottom w:val="single" w:sz="4" w:space="0" w:color="auto"/>
              <w:right w:val="single" w:sz="4" w:space="0" w:color="auto"/>
            </w:tcBorders>
            <w:hideMark/>
          </w:tcPr>
          <w:p w:rsidR="008A5737" w:rsidRDefault="008A5737" w:rsidP="008A5737">
            <w:pPr>
              <w:jc w:val="center"/>
              <w:rPr>
                <w:b/>
                <w:lang w:val="es-ES" w:eastAsia="es-ES"/>
              </w:rPr>
            </w:pPr>
            <w:r>
              <w:rPr>
                <w:b/>
                <w:lang w:val="es-ES" w:eastAsia="es-ES"/>
              </w:rPr>
              <w:t>Produkt</w:t>
            </w:r>
          </w:p>
          <w:p w:rsidR="008A5737" w:rsidRPr="0025124D" w:rsidRDefault="008A5737" w:rsidP="008A5737">
            <w:pPr>
              <w:jc w:val="center"/>
              <w:rPr>
                <w:b/>
                <w:lang w:val="es-ES" w:eastAsia="es-ES"/>
              </w:rPr>
            </w:pPr>
            <w:r w:rsidRPr="0025124D">
              <w:rPr>
                <w:b/>
                <w:lang w:val="es-ES" w:eastAsia="es-ES"/>
              </w:rPr>
              <w:t>(ml)</w:t>
            </w:r>
          </w:p>
        </w:tc>
        <w:tc>
          <w:tcPr>
            <w:tcW w:w="743" w:type="pct"/>
            <w:tcBorders>
              <w:top w:val="nil"/>
              <w:left w:val="single" w:sz="4" w:space="0" w:color="auto"/>
              <w:bottom w:val="single" w:sz="4" w:space="0" w:color="auto"/>
              <w:right w:val="nil"/>
            </w:tcBorders>
            <w:hideMark/>
          </w:tcPr>
          <w:p w:rsidR="008A5737" w:rsidRDefault="008A5737" w:rsidP="008A5737">
            <w:pPr>
              <w:jc w:val="center"/>
              <w:rPr>
                <w:b/>
                <w:lang w:val="es-ES" w:eastAsia="es-ES"/>
              </w:rPr>
            </w:pPr>
            <w:r>
              <w:rPr>
                <w:b/>
                <w:lang w:val="es-ES" w:eastAsia="es-ES"/>
              </w:rPr>
              <w:t>Aktivt stof</w:t>
            </w:r>
          </w:p>
          <w:p w:rsidR="008A5737" w:rsidRPr="0025124D" w:rsidRDefault="008A5737" w:rsidP="008A5737">
            <w:pPr>
              <w:jc w:val="center"/>
              <w:rPr>
                <w:b/>
                <w:lang w:val="es-ES" w:eastAsia="es-ES"/>
              </w:rPr>
            </w:pPr>
            <w:r w:rsidRPr="0025124D">
              <w:rPr>
                <w:b/>
                <w:lang w:val="es-ES" w:eastAsia="es-ES"/>
              </w:rPr>
              <w:t>(μg/kg</w:t>
            </w:r>
            <w:r>
              <w:rPr>
                <w:b/>
                <w:lang w:val="es-ES" w:eastAsia="es-ES"/>
              </w:rPr>
              <w:t xml:space="preserve"> legemsvægt</w:t>
            </w:r>
            <w:r w:rsidRPr="0025124D">
              <w:rPr>
                <w:b/>
                <w:lang w:val="es-ES" w:eastAsia="es-ES"/>
              </w:rPr>
              <w:t>)</w:t>
            </w:r>
          </w:p>
        </w:tc>
        <w:tc>
          <w:tcPr>
            <w:tcW w:w="691" w:type="pct"/>
            <w:tcBorders>
              <w:top w:val="nil"/>
              <w:left w:val="nil"/>
              <w:bottom w:val="single" w:sz="4" w:space="0" w:color="auto"/>
              <w:right w:val="single" w:sz="4" w:space="0" w:color="auto"/>
            </w:tcBorders>
            <w:hideMark/>
          </w:tcPr>
          <w:p w:rsidR="008A5737" w:rsidRDefault="008A5737" w:rsidP="008A5737">
            <w:pPr>
              <w:jc w:val="center"/>
              <w:rPr>
                <w:b/>
                <w:lang w:val="es-ES" w:eastAsia="es-ES"/>
              </w:rPr>
            </w:pPr>
            <w:r>
              <w:rPr>
                <w:b/>
                <w:lang w:val="es-ES" w:eastAsia="es-ES"/>
              </w:rPr>
              <w:t>Produkt</w:t>
            </w:r>
          </w:p>
          <w:p w:rsidR="008A5737" w:rsidRPr="0025124D" w:rsidRDefault="008A5737" w:rsidP="008A5737">
            <w:pPr>
              <w:jc w:val="center"/>
              <w:rPr>
                <w:b/>
                <w:lang w:val="es-ES" w:eastAsia="es-ES"/>
              </w:rPr>
            </w:pPr>
            <w:r w:rsidRPr="0025124D">
              <w:rPr>
                <w:b/>
                <w:lang w:val="es-ES" w:eastAsia="es-ES"/>
              </w:rPr>
              <w:t>(ml)</w:t>
            </w:r>
          </w:p>
        </w:tc>
        <w:tc>
          <w:tcPr>
            <w:tcW w:w="743" w:type="pct"/>
            <w:tcBorders>
              <w:top w:val="nil"/>
              <w:left w:val="single" w:sz="4" w:space="0" w:color="auto"/>
              <w:bottom w:val="single" w:sz="4" w:space="0" w:color="auto"/>
              <w:right w:val="nil"/>
            </w:tcBorders>
            <w:hideMark/>
          </w:tcPr>
          <w:p w:rsidR="008A5737" w:rsidRDefault="008A5737" w:rsidP="008A5737">
            <w:pPr>
              <w:jc w:val="center"/>
              <w:rPr>
                <w:b/>
                <w:lang w:val="es-ES" w:eastAsia="es-ES"/>
              </w:rPr>
            </w:pPr>
            <w:r>
              <w:rPr>
                <w:b/>
                <w:lang w:val="es-ES" w:eastAsia="es-ES"/>
              </w:rPr>
              <w:t>Aktivt stof</w:t>
            </w:r>
          </w:p>
          <w:p w:rsidR="008A5737" w:rsidRPr="0025124D" w:rsidRDefault="008A5737" w:rsidP="008A5737">
            <w:pPr>
              <w:jc w:val="center"/>
              <w:rPr>
                <w:b/>
                <w:lang w:val="es-ES" w:eastAsia="es-ES"/>
              </w:rPr>
            </w:pPr>
            <w:r w:rsidRPr="0025124D">
              <w:rPr>
                <w:b/>
                <w:lang w:val="es-ES" w:eastAsia="es-ES"/>
              </w:rPr>
              <w:t>(μg/kg</w:t>
            </w:r>
            <w:r>
              <w:rPr>
                <w:b/>
                <w:lang w:val="es-ES" w:eastAsia="es-ES"/>
              </w:rPr>
              <w:t xml:space="preserve"> legemsvægt</w:t>
            </w:r>
            <w:r w:rsidRPr="0025124D">
              <w:rPr>
                <w:b/>
                <w:lang w:val="es-ES" w:eastAsia="es-ES"/>
              </w:rPr>
              <w:t>)</w:t>
            </w:r>
          </w:p>
        </w:tc>
        <w:tc>
          <w:tcPr>
            <w:tcW w:w="691" w:type="pct"/>
            <w:tcBorders>
              <w:top w:val="nil"/>
              <w:left w:val="nil"/>
              <w:bottom w:val="single" w:sz="4" w:space="0" w:color="auto"/>
              <w:right w:val="single" w:sz="4" w:space="0" w:color="auto"/>
            </w:tcBorders>
            <w:hideMark/>
          </w:tcPr>
          <w:p w:rsidR="008A5737" w:rsidRDefault="008A5737" w:rsidP="008A5737">
            <w:pPr>
              <w:jc w:val="center"/>
              <w:rPr>
                <w:b/>
                <w:lang w:val="es-ES" w:eastAsia="es-ES"/>
              </w:rPr>
            </w:pPr>
            <w:r>
              <w:rPr>
                <w:b/>
                <w:lang w:val="es-ES" w:eastAsia="es-ES"/>
              </w:rPr>
              <w:t>Produkt</w:t>
            </w:r>
          </w:p>
          <w:p w:rsidR="008A5737" w:rsidRPr="0025124D" w:rsidRDefault="008A5737" w:rsidP="008A5737">
            <w:pPr>
              <w:jc w:val="center"/>
              <w:rPr>
                <w:b/>
                <w:lang w:val="es-ES" w:eastAsia="es-ES"/>
              </w:rPr>
            </w:pPr>
            <w:r w:rsidRPr="0025124D">
              <w:rPr>
                <w:b/>
                <w:lang w:val="es-ES" w:eastAsia="es-ES"/>
              </w:rPr>
              <w:t>(ml)</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2-3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9,4</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0,04</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28,1</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0,12</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40</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0,15</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3-4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8,3</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0,05</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0,17</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4-5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7,7</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0,07</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23</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30</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5-10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6,5</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19,6</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0,29</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0,4</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10-13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5,6</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0,13</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16,8</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0,38</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23</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0,5</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13-15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5,2</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0,15</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15,7</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0,44</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21</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0,6</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15-20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4,9</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0,17</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14,6</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0,51</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20</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0,7</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20-25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4,5</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13,4</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0,6</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18</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0,8</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25-30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4,2</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0,23</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12,6</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0,69</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17</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0,9</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30-33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0,25</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12</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0,75</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16</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1,0</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33-37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3,9</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0,27</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11,6</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0,81</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1,1</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37-45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3,7</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11</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0,9</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14,5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1,2</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45-50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3,5</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0,33</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10,5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0,99</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14</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1,3</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50-55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3,4</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0,35</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10,1</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1,06</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13,5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1,4</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55-60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3,3</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0,38</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9,8</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1,13</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13</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1,5</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60-65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3,2</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0,4</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9,5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1,19</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12,8</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1,6</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65-70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3,1</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0,42</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9,3</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1,26</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12,5</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1,7</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70-80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3</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0,45</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9</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1,35</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12,3</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1,8</w:t>
            </w:r>
          </w:p>
        </w:tc>
      </w:tr>
      <w:tr w:rsidR="008A5737" w:rsidRPr="00005923" w:rsidTr="008A5737">
        <w:trPr>
          <w:trHeight w:val="99"/>
          <w:jc w:val="center"/>
        </w:trPr>
        <w:tc>
          <w:tcPr>
            <w:tcW w:w="695"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&gt;80 </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2,9</w:t>
            </w:r>
          </w:p>
        </w:tc>
        <w:tc>
          <w:tcPr>
            <w:tcW w:w="693"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0,47</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8,7</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1,42</w:t>
            </w:r>
          </w:p>
        </w:tc>
        <w:tc>
          <w:tcPr>
            <w:tcW w:w="743"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12</w:t>
            </w:r>
          </w:p>
        </w:tc>
        <w:tc>
          <w:tcPr>
            <w:tcW w:w="69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1,9</w:t>
            </w:r>
          </w:p>
        </w:tc>
      </w:tr>
    </w:tbl>
    <w:p w:rsidR="00BE6819" w:rsidRPr="00005923" w:rsidRDefault="00BE6819" w:rsidP="00BE6819">
      <w:pPr>
        <w:ind w:left="851" w:hanging="851"/>
        <w:rPr>
          <w:sz w:val="24"/>
          <w:szCs w:val="24"/>
        </w:rPr>
      </w:pPr>
    </w:p>
    <w:p w:rsidR="00156A5E" w:rsidRDefault="00156A5E">
      <w:pPr>
        <w:rPr>
          <w:sz w:val="24"/>
          <w:szCs w:val="24"/>
        </w:rPr>
      </w:pPr>
      <w:r>
        <w:rPr>
          <w:sz w:val="24"/>
          <w:szCs w:val="24"/>
        </w:rPr>
        <w:br w:type="page"/>
      </w:r>
    </w:p>
    <w:p w:rsidR="00BE6819" w:rsidRPr="00005923" w:rsidRDefault="00BE6819" w:rsidP="00BE6819">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123"/>
        <w:gridCol w:w="4125"/>
      </w:tblGrid>
      <w:tr w:rsidR="00BE6819" w:rsidRPr="0025124D" w:rsidTr="00014AFE">
        <w:trPr>
          <w:trHeight w:val="98"/>
          <w:jc w:val="center"/>
        </w:trPr>
        <w:tc>
          <w:tcPr>
            <w:tcW w:w="5000" w:type="pct"/>
            <w:gridSpan w:val="3"/>
            <w:tcBorders>
              <w:top w:val="single" w:sz="4" w:space="0" w:color="auto"/>
              <w:left w:val="single" w:sz="4" w:space="0" w:color="auto"/>
              <w:bottom w:val="single" w:sz="4" w:space="0" w:color="auto"/>
              <w:right w:val="single" w:sz="4" w:space="0" w:color="auto"/>
            </w:tcBorders>
          </w:tcPr>
          <w:p w:rsidR="00BE6819" w:rsidRPr="0025124D" w:rsidRDefault="00BE6819" w:rsidP="00014AFE">
            <w:pPr>
              <w:jc w:val="center"/>
              <w:rPr>
                <w:b/>
                <w:lang w:eastAsia="es-ES"/>
              </w:rPr>
            </w:pPr>
            <w:r w:rsidRPr="0025124D">
              <w:rPr>
                <w:b/>
                <w:lang w:eastAsia="es-ES"/>
              </w:rPr>
              <w:t xml:space="preserve">Til dyb sedation og analgesi med </w:t>
            </w:r>
            <w:proofErr w:type="spellStart"/>
            <w:r w:rsidRPr="0025124D">
              <w:rPr>
                <w:b/>
                <w:lang w:eastAsia="es-ES"/>
              </w:rPr>
              <w:t>butorphanol</w:t>
            </w:r>
            <w:proofErr w:type="spellEnd"/>
          </w:p>
          <w:p w:rsidR="00BE6819" w:rsidRPr="0025124D" w:rsidRDefault="00BE6819" w:rsidP="00014AFE">
            <w:pPr>
              <w:jc w:val="center"/>
              <w:rPr>
                <w:b/>
                <w:lang w:eastAsia="es-ES"/>
              </w:rPr>
            </w:pPr>
          </w:p>
        </w:tc>
      </w:tr>
      <w:tr w:rsidR="00BE6819" w:rsidRPr="0025124D" w:rsidTr="00014AFE">
        <w:trPr>
          <w:trHeight w:val="228"/>
          <w:jc w:val="center"/>
        </w:trPr>
        <w:tc>
          <w:tcPr>
            <w:tcW w:w="717" w:type="pct"/>
            <w:tcBorders>
              <w:top w:val="single" w:sz="4" w:space="0" w:color="auto"/>
              <w:left w:val="single" w:sz="4" w:space="0" w:color="auto"/>
              <w:bottom w:val="nil"/>
              <w:right w:val="single" w:sz="4" w:space="0" w:color="auto"/>
            </w:tcBorders>
            <w:hideMark/>
          </w:tcPr>
          <w:p w:rsidR="00BE6819" w:rsidRPr="0025124D" w:rsidRDefault="00BE6819" w:rsidP="00014AFE">
            <w:pPr>
              <w:rPr>
                <w:b/>
                <w:lang w:val="es-ES" w:eastAsia="es-ES"/>
              </w:rPr>
            </w:pPr>
            <w:r w:rsidRPr="0025124D">
              <w:rPr>
                <w:b/>
                <w:lang w:val="es-ES" w:eastAsia="es-ES"/>
              </w:rPr>
              <w:t>Hund</w:t>
            </w:r>
          </w:p>
          <w:p w:rsidR="00BE6819" w:rsidRPr="0025124D" w:rsidRDefault="00BE6819" w:rsidP="00014AFE">
            <w:pPr>
              <w:rPr>
                <w:b/>
                <w:lang w:val="es-ES" w:eastAsia="es-ES"/>
              </w:rPr>
            </w:pPr>
            <w:r w:rsidRPr="0025124D">
              <w:rPr>
                <w:b/>
                <w:lang w:val="es-ES" w:eastAsia="es-ES"/>
              </w:rPr>
              <w:t xml:space="preserve">Vægt </w:t>
            </w:r>
          </w:p>
        </w:tc>
        <w:tc>
          <w:tcPr>
            <w:tcW w:w="4283" w:type="pct"/>
            <w:gridSpan w:val="2"/>
            <w:tcBorders>
              <w:top w:val="single" w:sz="4" w:space="0" w:color="auto"/>
              <w:left w:val="single" w:sz="4" w:space="0" w:color="auto"/>
              <w:bottom w:val="nil"/>
              <w:right w:val="single" w:sz="4" w:space="0" w:color="auto"/>
            </w:tcBorders>
            <w:hideMark/>
          </w:tcPr>
          <w:p w:rsidR="00BE6819" w:rsidRPr="0025124D" w:rsidRDefault="008A5737" w:rsidP="00014AFE">
            <w:pPr>
              <w:jc w:val="center"/>
              <w:rPr>
                <w:b/>
                <w:lang w:val="es-ES" w:eastAsia="es-ES"/>
              </w:rPr>
            </w:pPr>
            <w:proofErr w:type="spellStart"/>
            <w:r>
              <w:rPr>
                <w:b/>
                <w:bCs/>
                <w:sz w:val="24"/>
                <w:szCs w:val="24"/>
                <w:lang w:eastAsia="da-DK"/>
              </w:rPr>
              <w:t>Dexmedetomidinhydrochlorid</w:t>
            </w:r>
            <w:proofErr w:type="spellEnd"/>
          </w:p>
          <w:p w:rsidR="00BE6819" w:rsidRPr="0025124D" w:rsidRDefault="00BE6819" w:rsidP="00014AFE">
            <w:pPr>
              <w:jc w:val="center"/>
              <w:rPr>
                <w:b/>
                <w:lang w:val="es-ES" w:eastAsia="es-ES"/>
              </w:rPr>
            </w:pPr>
            <w:r w:rsidRPr="0025124D">
              <w:rPr>
                <w:b/>
                <w:lang w:val="es-ES" w:eastAsia="es-ES"/>
              </w:rPr>
              <w:t>300 mikrogram/m</w:t>
            </w:r>
            <w:r w:rsidRPr="0025124D">
              <w:rPr>
                <w:b/>
                <w:vertAlign w:val="superscript"/>
                <w:lang w:val="es-ES" w:eastAsia="es-ES"/>
              </w:rPr>
              <w:t>2</w:t>
            </w:r>
            <w:r w:rsidRPr="0025124D">
              <w:rPr>
                <w:b/>
                <w:lang w:val="es-ES" w:eastAsia="es-ES"/>
              </w:rPr>
              <w:t xml:space="preserve"> intramuskulært</w:t>
            </w:r>
          </w:p>
        </w:tc>
      </w:tr>
      <w:tr w:rsidR="00BE6819" w:rsidRPr="0025124D" w:rsidTr="00014AFE">
        <w:trPr>
          <w:trHeight w:val="98"/>
          <w:jc w:val="center"/>
        </w:trPr>
        <w:tc>
          <w:tcPr>
            <w:tcW w:w="717" w:type="pct"/>
            <w:tcBorders>
              <w:top w:val="nil"/>
              <w:left w:val="single" w:sz="4" w:space="0" w:color="auto"/>
              <w:bottom w:val="single" w:sz="4" w:space="0" w:color="auto"/>
              <w:right w:val="single" w:sz="4" w:space="0" w:color="auto"/>
            </w:tcBorders>
            <w:hideMark/>
          </w:tcPr>
          <w:p w:rsidR="00BE6819" w:rsidRPr="0025124D" w:rsidRDefault="00BE6819" w:rsidP="00014AFE">
            <w:pPr>
              <w:rPr>
                <w:b/>
                <w:lang w:val="es-ES" w:eastAsia="es-ES"/>
              </w:rPr>
            </w:pPr>
            <w:r w:rsidRPr="0025124D">
              <w:rPr>
                <w:b/>
                <w:lang w:val="es-ES" w:eastAsia="es-ES"/>
              </w:rPr>
              <w:t xml:space="preserve">(kg) </w:t>
            </w:r>
          </w:p>
        </w:tc>
        <w:tc>
          <w:tcPr>
            <w:tcW w:w="2141" w:type="pct"/>
            <w:tcBorders>
              <w:top w:val="nil"/>
              <w:left w:val="single" w:sz="4" w:space="0" w:color="auto"/>
              <w:bottom w:val="single" w:sz="4" w:space="0" w:color="auto"/>
              <w:right w:val="nil"/>
            </w:tcBorders>
            <w:hideMark/>
          </w:tcPr>
          <w:p w:rsidR="00BE6819" w:rsidRPr="0025124D" w:rsidRDefault="008A5737" w:rsidP="00014AFE">
            <w:pPr>
              <w:jc w:val="center"/>
              <w:rPr>
                <w:b/>
                <w:lang w:val="es-ES" w:eastAsia="es-ES"/>
              </w:rPr>
            </w:pPr>
            <w:r w:rsidRPr="008A5737">
              <w:rPr>
                <w:b/>
                <w:lang w:eastAsia="es-ES"/>
              </w:rPr>
              <w:t xml:space="preserve">Aktivt stof </w:t>
            </w:r>
            <w:r w:rsidR="00BE6819" w:rsidRPr="0025124D">
              <w:rPr>
                <w:b/>
                <w:lang w:val="es-ES" w:eastAsia="es-ES"/>
              </w:rPr>
              <w:t>(μg/kg</w:t>
            </w:r>
            <w:r w:rsidR="00B904E5">
              <w:rPr>
                <w:b/>
                <w:lang w:val="es-ES" w:eastAsia="es-ES"/>
              </w:rPr>
              <w:t xml:space="preserve"> legemsvægt</w:t>
            </w:r>
            <w:r w:rsidR="00BE6819" w:rsidRPr="0025124D">
              <w:rPr>
                <w:b/>
                <w:lang w:val="es-ES" w:eastAsia="es-ES"/>
              </w:rPr>
              <w:t>)</w:t>
            </w:r>
          </w:p>
        </w:tc>
        <w:tc>
          <w:tcPr>
            <w:tcW w:w="2141" w:type="pct"/>
            <w:tcBorders>
              <w:top w:val="nil"/>
              <w:left w:val="nil"/>
              <w:bottom w:val="single" w:sz="4" w:space="0" w:color="auto"/>
              <w:right w:val="single" w:sz="4" w:space="0" w:color="auto"/>
            </w:tcBorders>
            <w:hideMark/>
          </w:tcPr>
          <w:p w:rsidR="00BE6819" w:rsidRPr="0025124D" w:rsidRDefault="008A5737" w:rsidP="00014AFE">
            <w:pPr>
              <w:jc w:val="center"/>
              <w:rPr>
                <w:b/>
                <w:lang w:val="es-ES" w:eastAsia="es-ES"/>
              </w:rPr>
            </w:pPr>
            <w:r>
              <w:rPr>
                <w:b/>
                <w:lang w:val="es-ES" w:eastAsia="es-ES"/>
              </w:rPr>
              <w:t xml:space="preserve">Produkt </w:t>
            </w:r>
            <w:r w:rsidR="00BE6819" w:rsidRPr="0025124D">
              <w:rPr>
                <w:b/>
                <w:lang w:val="es-ES" w:eastAsia="es-ES"/>
              </w:rPr>
              <w:t>(ml)</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2-3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24</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0,12</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3-4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23</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0,16</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4-5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22,2</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5-10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16,7</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0,25</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10-13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13</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13-15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12,5</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0,35</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15-20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11,4</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0,4</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20-25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11,1</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0,5</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25-30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10</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0,55</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30-33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9,5</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0,6</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33-37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9,3</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0,65</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37-45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8,5</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0,7</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45-50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8,4</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0,8</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50-55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8,1</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0,85</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55-60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7,8</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0,9</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60-65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7,6</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0,95</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65-70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7,4</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70-80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7,3</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1,1</w:t>
            </w:r>
          </w:p>
        </w:tc>
      </w:tr>
      <w:tr w:rsidR="00BE6819" w:rsidRPr="00005923" w:rsidTr="00014AFE">
        <w:trPr>
          <w:trHeight w:val="99"/>
          <w:jc w:val="center"/>
        </w:trPr>
        <w:tc>
          <w:tcPr>
            <w:tcW w:w="717"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&gt;80 </w:t>
            </w:r>
          </w:p>
        </w:tc>
        <w:tc>
          <w:tcPr>
            <w:tcW w:w="2141"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7</w:t>
            </w:r>
          </w:p>
        </w:tc>
        <w:tc>
          <w:tcPr>
            <w:tcW w:w="2141"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1,2</w:t>
            </w:r>
          </w:p>
        </w:tc>
      </w:tr>
    </w:tbl>
    <w:p w:rsidR="00BE6819" w:rsidRPr="00005923" w:rsidRDefault="00BE6819" w:rsidP="00BE6819">
      <w:pPr>
        <w:ind w:left="851" w:hanging="851"/>
        <w:rPr>
          <w:sz w:val="24"/>
          <w:szCs w:val="24"/>
        </w:rPr>
      </w:pPr>
    </w:p>
    <w:p w:rsidR="00BE6819" w:rsidRPr="00005923" w:rsidRDefault="00BE6819" w:rsidP="00BE6819">
      <w:pPr>
        <w:ind w:left="851"/>
        <w:rPr>
          <w:b/>
          <w:sz w:val="24"/>
          <w:szCs w:val="24"/>
        </w:rPr>
      </w:pPr>
      <w:r w:rsidRPr="00005923">
        <w:rPr>
          <w:b/>
          <w:sz w:val="24"/>
          <w:szCs w:val="24"/>
        </w:rPr>
        <w:t>KATTE:</w:t>
      </w:r>
    </w:p>
    <w:p w:rsidR="00BE6819" w:rsidRPr="00005923" w:rsidRDefault="00BE6819" w:rsidP="00BE6819">
      <w:pPr>
        <w:ind w:left="851"/>
        <w:rPr>
          <w:sz w:val="24"/>
          <w:szCs w:val="24"/>
        </w:rPr>
      </w:pPr>
      <w:r w:rsidRPr="00005923">
        <w:rPr>
          <w:sz w:val="24"/>
          <w:szCs w:val="24"/>
        </w:rPr>
        <w:t xml:space="preserve">Doseringen til katte er 40 mikrogram </w:t>
      </w:r>
      <w:proofErr w:type="spellStart"/>
      <w:r w:rsidRPr="00005923">
        <w:rPr>
          <w:sz w:val="24"/>
          <w:szCs w:val="24"/>
        </w:rPr>
        <w:t>dexmedetomidinhydrochlorid</w:t>
      </w:r>
      <w:proofErr w:type="spellEnd"/>
      <w:r w:rsidRPr="00005923">
        <w:rPr>
          <w:sz w:val="24"/>
          <w:szCs w:val="24"/>
        </w:rPr>
        <w:t>/kg legemsvægt, svarende til en dosisvolumen på 0,08 ml produkt /kg legemsvægt ved anvendelse til ikke-invasive, let til moderat smertefulde procedurer, der kræver fiksering, bedøvelse og analgesi.</w:t>
      </w:r>
    </w:p>
    <w:p w:rsidR="00BE6819" w:rsidRPr="00005923" w:rsidRDefault="00BE6819" w:rsidP="00BE6819">
      <w:pPr>
        <w:ind w:left="851"/>
        <w:rPr>
          <w:sz w:val="24"/>
          <w:szCs w:val="24"/>
        </w:rPr>
      </w:pPr>
      <w:r w:rsidRPr="00005923">
        <w:rPr>
          <w:sz w:val="24"/>
          <w:szCs w:val="24"/>
        </w:rPr>
        <w:t xml:space="preserve">Når </w:t>
      </w:r>
      <w:proofErr w:type="spellStart"/>
      <w:r w:rsidRPr="00005923">
        <w:rPr>
          <w:sz w:val="24"/>
          <w:szCs w:val="24"/>
        </w:rPr>
        <w:t>dexmedetomidin</w:t>
      </w:r>
      <w:proofErr w:type="spellEnd"/>
      <w:r w:rsidRPr="00005923">
        <w:rPr>
          <w:sz w:val="24"/>
          <w:szCs w:val="24"/>
        </w:rPr>
        <w:t xml:space="preserve"> bruges til præmedicinering hos katte, anvendes den samme dosis. </w:t>
      </w:r>
    </w:p>
    <w:p w:rsidR="00BE6819" w:rsidRPr="00005923" w:rsidRDefault="00BE6819" w:rsidP="00BE6819">
      <w:pPr>
        <w:ind w:left="851"/>
        <w:rPr>
          <w:sz w:val="24"/>
          <w:szCs w:val="24"/>
        </w:rPr>
      </w:pPr>
      <w:r w:rsidRPr="00005923">
        <w:rPr>
          <w:sz w:val="24"/>
          <w:szCs w:val="24"/>
        </w:rPr>
        <w:t xml:space="preserve">Præmedicinering med </w:t>
      </w:r>
      <w:proofErr w:type="spellStart"/>
      <w:r w:rsidRPr="00005923">
        <w:rPr>
          <w:sz w:val="24"/>
          <w:szCs w:val="24"/>
        </w:rPr>
        <w:t>dexmedetomidin</w:t>
      </w:r>
      <w:proofErr w:type="spellEnd"/>
      <w:r w:rsidRPr="00005923">
        <w:rPr>
          <w:sz w:val="24"/>
          <w:szCs w:val="24"/>
        </w:rPr>
        <w:t xml:space="preserve"> vil nedsætte den påkrævede dosis af induktionsmidlet signifikant samt reducere mængden af anæstesigasser der kræves til vedligeholdelse af anæstesien. I et klinisk forsøg blev behovet for </w:t>
      </w:r>
      <w:proofErr w:type="spellStart"/>
      <w:r w:rsidRPr="00005923">
        <w:rPr>
          <w:sz w:val="24"/>
          <w:szCs w:val="24"/>
        </w:rPr>
        <w:t>propofol</w:t>
      </w:r>
      <w:proofErr w:type="spellEnd"/>
      <w:r w:rsidRPr="00005923">
        <w:rPr>
          <w:sz w:val="24"/>
          <w:szCs w:val="24"/>
        </w:rPr>
        <w:t xml:space="preserve"> reduceret med 50%. Alle anæstesimidler, der benyttes til induktion eller vedligeholdelse af anæstesi, bør administreres til effekt.</w:t>
      </w:r>
    </w:p>
    <w:p w:rsidR="00BE6819" w:rsidRPr="00005923" w:rsidRDefault="00BE6819" w:rsidP="00BE6819">
      <w:pPr>
        <w:ind w:left="851"/>
        <w:rPr>
          <w:sz w:val="24"/>
          <w:szCs w:val="24"/>
        </w:rPr>
      </w:pPr>
      <w:r w:rsidRPr="00005923">
        <w:rPr>
          <w:sz w:val="24"/>
          <w:szCs w:val="24"/>
        </w:rPr>
        <w:t xml:space="preserve">Anæstesi kan induceres 10 minutter efter præmedicinering via intramuskulær injektion af en </w:t>
      </w:r>
      <w:proofErr w:type="spellStart"/>
      <w:r w:rsidRPr="00005923">
        <w:rPr>
          <w:sz w:val="24"/>
          <w:szCs w:val="24"/>
        </w:rPr>
        <w:t>ketamindosis</w:t>
      </w:r>
      <w:proofErr w:type="spellEnd"/>
      <w:r w:rsidRPr="00005923">
        <w:rPr>
          <w:sz w:val="24"/>
          <w:szCs w:val="24"/>
        </w:rPr>
        <w:t xml:space="preserve"> på 5 mg/kg legemsvægt eller ved intravenøs administration af </w:t>
      </w:r>
      <w:proofErr w:type="spellStart"/>
      <w:r w:rsidRPr="00005923">
        <w:rPr>
          <w:sz w:val="24"/>
          <w:szCs w:val="24"/>
        </w:rPr>
        <w:t>propofol</w:t>
      </w:r>
      <w:proofErr w:type="spellEnd"/>
      <w:r w:rsidRPr="00005923">
        <w:rPr>
          <w:sz w:val="24"/>
          <w:szCs w:val="24"/>
        </w:rPr>
        <w:t xml:space="preserve"> til effekt. Doseringen til katte angives i tabellen nedenfor.</w:t>
      </w:r>
    </w:p>
    <w:p w:rsidR="00BE6819" w:rsidRPr="00005923" w:rsidRDefault="00BE6819" w:rsidP="00BE6819">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130"/>
        <w:gridCol w:w="4130"/>
      </w:tblGrid>
      <w:tr w:rsidR="00BE6819" w:rsidRPr="0025124D" w:rsidTr="00014AFE">
        <w:trPr>
          <w:trHeight w:val="227"/>
          <w:jc w:val="center"/>
        </w:trPr>
        <w:tc>
          <w:tcPr>
            <w:tcW w:w="710" w:type="pct"/>
            <w:tcBorders>
              <w:top w:val="single" w:sz="4" w:space="0" w:color="auto"/>
              <w:left w:val="single" w:sz="4" w:space="0" w:color="auto"/>
              <w:bottom w:val="nil"/>
              <w:right w:val="single" w:sz="4" w:space="0" w:color="auto"/>
            </w:tcBorders>
            <w:hideMark/>
          </w:tcPr>
          <w:p w:rsidR="00BE6819" w:rsidRPr="0025124D" w:rsidRDefault="00BE6819" w:rsidP="00014AFE">
            <w:pPr>
              <w:rPr>
                <w:b/>
                <w:lang w:val="es-ES" w:eastAsia="es-ES"/>
              </w:rPr>
            </w:pPr>
            <w:r w:rsidRPr="0025124D">
              <w:rPr>
                <w:b/>
                <w:lang w:val="es-ES" w:eastAsia="es-ES"/>
              </w:rPr>
              <w:t>Kat</w:t>
            </w:r>
          </w:p>
          <w:p w:rsidR="00BE6819" w:rsidRPr="0025124D" w:rsidRDefault="00BE6819" w:rsidP="00014AFE">
            <w:pPr>
              <w:rPr>
                <w:b/>
                <w:lang w:val="es-ES" w:eastAsia="es-ES"/>
              </w:rPr>
            </w:pPr>
            <w:r w:rsidRPr="0025124D">
              <w:rPr>
                <w:b/>
                <w:lang w:val="es-ES" w:eastAsia="es-ES"/>
              </w:rPr>
              <w:t>Vægt</w:t>
            </w:r>
          </w:p>
        </w:tc>
        <w:tc>
          <w:tcPr>
            <w:tcW w:w="4290" w:type="pct"/>
            <w:gridSpan w:val="2"/>
            <w:tcBorders>
              <w:top w:val="single" w:sz="4" w:space="0" w:color="auto"/>
              <w:left w:val="single" w:sz="4" w:space="0" w:color="auto"/>
              <w:bottom w:val="nil"/>
              <w:right w:val="single" w:sz="4" w:space="0" w:color="auto"/>
            </w:tcBorders>
          </w:tcPr>
          <w:p w:rsidR="00BE6819" w:rsidRPr="0025124D" w:rsidRDefault="00BE6819" w:rsidP="00014AFE">
            <w:pPr>
              <w:jc w:val="center"/>
              <w:rPr>
                <w:b/>
                <w:lang w:val="es-ES" w:eastAsia="es-ES"/>
              </w:rPr>
            </w:pPr>
          </w:p>
          <w:p w:rsidR="00BE6819" w:rsidRPr="0025124D" w:rsidRDefault="008A5737" w:rsidP="00014AFE">
            <w:pPr>
              <w:jc w:val="center"/>
              <w:rPr>
                <w:b/>
                <w:lang w:val="es-ES" w:eastAsia="es-ES"/>
              </w:rPr>
            </w:pPr>
            <w:r>
              <w:rPr>
                <w:b/>
                <w:lang w:val="es-ES" w:eastAsia="es-ES"/>
              </w:rPr>
              <w:t xml:space="preserve">Dexmedetomidinhydrochlorid </w:t>
            </w:r>
            <w:r w:rsidR="00BE6819" w:rsidRPr="0025124D">
              <w:rPr>
                <w:b/>
                <w:lang w:val="es-ES" w:eastAsia="es-ES"/>
              </w:rPr>
              <w:t>40 mikrogram/kg intramuskulært</w:t>
            </w:r>
          </w:p>
        </w:tc>
      </w:tr>
      <w:tr w:rsidR="00BE6819" w:rsidRPr="0025124D" w:rsidTr="00014AFE">
        <w:trPr>
          <w:trHeight w:val="98"/>
          <w:jc w:val="center"/>
        </w:trPr>
        <w:tc>
          <w:tcPr>
            <w:tcW w:w="710" w:type="pct"/>
            <w:tcBorders>
              <w:top w:val="nil"/>
              <w:left w:val="single" w:sz="4" w:space="0" w:color="auto"/>
              <w:bottom w:val="single" w:sz="4" w:space="0" w:color="auto"/>
              <w:right w:val="single" w:sz="4" w:space="0" w:color="auto"/>
            </w:tcBorders>
            <w:hideMark/>
          </w:tcPr>
          <w:p w:rsidR="00BE6819" w:rsidRPr="0025124D" w:rsidRDefault="00BE6819" w:rsidP="00014AFE">
            <w:pPr>
              <w:rPr>
                <w:b/>
                <w:lang w:val="es-ES" w:eastAsia="es-ES"/>
              </w:rPr>
            </w:pPr>
            <w:r w:rsidRPr="0025124D">
              <w:rPr>
                <w:b/>
                <w:lang w:val="es-ES" w:eastAsia="es-ES"/>
              </w:rPr>
              <w:t xml:space="preserve">(kg) </w:t>
            </w:r>
          </w:p>
        </w:tc>
        <w:tc>
          <w:tcPr>
            <w:tcW w:w="2145" w:type="pct"/>
            <w:tcBorders>
              <w:top w:val="nil"/>
              <w:left w:val="single" w:sz="4" w:space="0" w:color="auto"/>
              <w:bottom w:val="single" w:sz="4" w:space="0" w:color="auto"/>
              <w:right w:val="nil"/>
            </w:tcBorders>
            <w:hideMark/>
          </w:tcPr>
          <w:p w:rsidR="00BE6819" w:rsidRPr="0025124D" w:rsidRDefault="008A5737" w:rsidP="00014AFE">
            <w:pPr>
              <w:jc w:val="center"/>
              <w:rPr>
                <w:b/>
                <w:lang w:val="es-ES" w:eastAsia="es-ES"/>
              </w:rPr>
            </w:pPr>
            <w:r w:rsidRPr="008A5737">
              <w:rPr>
                <w:b/>
                <w:lang w:eastAsia="es-ES"/>
              </w:rPr>
              <w:t xml:space="preserve">Aktivt stof </w:t>
            </w:r>
            <w:r w:rsidR="00BE6819" w:rsidRPr="0025124D">
              <w:rPr>
                <w:b/>
                <w:lang w:val="es-ES" w:eastAsia="es-ES"/>
              </w:rPr>
              <w:t>(μg/kg</w:t>
            </w:r>
            <w:r w:rsidR="00B904E5">
              <w:rPr>
                <w:b/>
                <w:lang w:val="es-ES" w:eastAsia="es-ES"/>
              </w:rPr>
              <w:t xml:space="preserve"> legemsvægt</w:t>
            </w:r>
            <w:r w:rsidR="00BE6819" w:rsidRPr="0025124D">
              <w:rPr>
                <w:b/>
                <w:lang w:val="es-ES" w:eastAsia="es-ES"/>
              </w:rPr>
              <w:t>)</w:t>
            </w:r>
          </w:p>
        </w:tc>
        <w:tc>
          <w:tcPr>
            <w:tcW w:w="2145" w:type="pct"/>
            <w:tcBorders>
              <w:top w:val="nil"/>
              <w:left w:val="nil"/>
              <w:bottom w:val="single" w:sz="4" w:space="0" w:color="auto"/>
              <w:right w:val="single" w:sz="4" w:space="0" w:color="auto"/>
            </w:tcBorders>
            <w:hideMark/>
          </w:tcPr>
          <w:p w:rsidR="00BE6819" w:rsidRPr="0025124D" w:rsidRDefault="008A5737" w:rsidP="00014AFE">
            <w:pPr>
              <w:jc w:val="center"/>
              <w:rPr>
                <w:b/>
                <w:lang w:val="es-ES" w:eastAsia="es-ES"/>
              </w:rPr>
            </w:pPr>
            <w:r>
              <w:rPr>
                <w:b/>
                <w:lang w:val="es-ES" w:eastAsia="es-ES"/>
              </w:rPr>
              <w:t xml:space="preserve">Produkt </w:t>
            </w:r>
            <w:r w:rsidR="00BE6819" w:rsidRPr="0025124D">
              <w:rPr>
                <w:b/>
                <w:lang w:val="es-ES" w:eastAsia="es-ES"/>
              </w:rPr>
              <w:t>(ml)</w:t>
            </w:r>
          </w:p>
        </w:tc>
      </w:tr>
      <w:tr w:rsidR="00BE6819" w:rsidRPr="00005923" w:rsidTr="00014AFE">
        <w:trPr>
          <w:trHeight w:val="99"/>
          <w:jc w:val="center"/>
        </w:trPr>
        <w:tc>
          <w:tcPr>
            <w:tcW w:w="710"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1-2 </w:t>
            </w:r>
          </w:p>
        </w:tc>
        <w:tc>
          <w:tcPr>
            <w:tcW w:w="2145"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40</w:t>
            </w:r>
          </w:p>
        </w:tc>
        <w:tc>
          <w:tcPr>
            <w:tcW w:w="2145"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0,1</w:t>
            </w:r>
          </w:p>
        </w:tc>
      </w:tr>
      <w:tr w:rsidR="00BE6819" w:rsidRPr="00005923" w:rsidTr="00014AFE">
        <w:trPr>
          <w:trHeight w:val="99"/>
          <w:jc w:val="center"/>
        </w:trPr>
        <w:tc>
          <w:tcPr>
            <w:tcW w:w="710"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2-3 </w:t>
            </w:r>
          </w:p>
        </w:tc>
        <w:tc>
          <w:tcPr>
            <w:tcW w:w="2145"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40</w:t>
            </w:r>
          </w:p>
        </w:tc>
        <w:tc>
          <w:tcPr>
            <w:tcW w:w="2145"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0,2</w:t>
            </w:r>
          </w:p>
        </w:tc>
      </w:tr>
      <w:tr w:rsidR="00BE6819" w:rsidRPr="00005923" w:rsidTr="00014AFE">
        <w:trPr>
          <w:trHeight w:val="99"/>
          <w:jc w:val="center"/>
        </w:trPr>
        <w:tc>
          <w:tcPr>
            <w:tcW w:w="710"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3-4 </w:t>
            </w:r>
          </w:p>
        </w:tc>
        <w:tc>
          <w:tcPr>
            <w:tcW w:w="2145"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40</w:t>
            </w:r>
          </w:p>
        </w:tc>
        <w:tc>
          <w:tcPr>
            <w:tcW w:w="2145"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0,3</w:t>
            </w:r>
          </w:p>
        </w:tc>
      </w:tr>
      <w:tr w:rsidR="00BE6819" w:rsidRPr="00005923" w:rsidTr="00014AFE">
        <w:trPr>
          <w:trHeight w:val="99"/>
          <w:jc w:val="center"/>
        </w:trPr>
        <w:tc>
          <w:tcPr>
            <w:tcW w:w="710"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4-6 </w:t>
            </w:r>
          </w:p>
        </w:tc>
        <w:tc>
          <w:tcPr>
            <w:tcW w:w="2145"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40</w:t>
            </w:r>
          </w:p>
        </w:tc>
        <w:tc>
          <w:tcPr>
            <w:tcW w:w="2145"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0,4</w:t>
            </w:r>
          </w:p>
        </w:tc>
      </w:tr>
      <w:tr w:rsidR="00BE6819" w:rsidRPr="00005923" w:rsidTr="00014AFE">
        <w:trPr>
          <w:trHeight w:val="99"/>
          <w:jc w:val="center"/>
        </w:trPr>
        <w:tc>
          <w:tcPr>
            <w:tcW w:w="710"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6-7 </w:t>
            </w:r>
          </w:p>
        </w:tc>
        <w:tc>
          <w:tcPr>
            <w:tcW w:w="2145"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40</w:t>
            </w:r>
          </w:p>
        </w:tc>
        <w:tc>
          <w:tcPr>
            <w:tcW w:w="2145"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0,5</w:t>
            </w:r>
          </w:p>
        </w:tc>
      </w:tr>
      <w:tr w:rsidR="00BE6819" w:rsidRPr="00005923" w:rsidTr="00014AFE">
        <w:trPr>
          <w:trHeight w:val="99"/>
          <w:jc w:val="center"/>
        </w:trPr>
        <w:tc>
          <w:tcPr>
            <w:tcW w:w="710"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7-8 </w:t>
            </w:r>
          </w:p>
        </w:tc>
        <w:tc>
          <w:tcPr>
            <w:tcW w:w="2145"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40</w:t>
            </w:r>
          </w:p>
        </w:tc>
        <w:tc>
          <w:tcPr>
            <w:tcW w:w="2145"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0,6</w:t>
            </w:r>
          </w:p>
        </w:tc>
      </w:tr>
      <w:tr w:rsidR="00BE6819" w:rsidRPr="00005923" w:rsidTr="00014AFE">
        <w:trPr>
          <w:trHeight w:val="99"/>
          <w:jc w:val="center"/>
        </w:trPr>
        <w:tc>
          <w:tcPr>
            <w:tcW w:w="710" w:type="pct"/>
            <w:tcBorders>
              <w:top w:val="single" w:sz="4" w:space="0" w:color="auto"/>
              <w:left w:val="single" w:sz="4" w:space="0" w:color="auto"/>
              <w:bottom w:val="single" w:sz="4" w:space="0" w:color="auto"/>
              <w:right w:val="single" w:sz="4" w:space="0" w:color="auto"/>
            </w:tcBorders>
            <w:hideMark/>
          </w:tcPr>
          <w:p w:rsidR="00BE6819" w:rsidRPr="00005923" w:rsidRDefault="00BE6819" w:rsidP="00014AFE">
            <w:pPr>
              <w:rPr>
                <w:lang w:val="es-ES" w:eastAsia="es-ES"/>
              </w:rPr>
            </w:pPr>
            <w:r w:rsidRPr="00005923">
              <w:rPr>
                <w:lang w:val="es-ES" w:eastAsia="es-ES"/>
              </w:rPr>
              <w:t xml:space="preserve">8-10 </w:t>
            </w:r>
          </w:p>
        </w:tc>
        <w:tc>
          <w:tcPr>
            <w:tcW w:w="2145" w:type="pct"/>
            <w:tcBorders>
              <w:top w:val="single" w:sz="4" w:space="0" w:color="auto"/>
              <w:left w:val="single" w:sz="4" w:space="0" w:color="auto"/>
              <w:bottom w:val="single" w:sz="4" w:space="0" w:color="auto"/>
              <w:right w:val="nil"/>
            </w:tcBorders>
            <w:hideMark/>
          </w:tcPr>
          <w:p w:rsidR="00BE6819" w:rsidRPr="00005923" w:rsidRDefault="00BE6819" w:rsidP="00014AFE">
            <w:pPr>
              <w:jc w:val="center"/>
              <w:rPr>
                <w:lang w:val="es-ES" w:eastAsia="es-ES"/>
              </w:rPr>
            </w:pPr>
            <w:r w:rsidRPr="00005923">
              <w:rPr>
                <w:lang w:val="es-ES" w:eastAsia="es-ES"/>
              </w:rPr>
              <w:t>40</w:t>
            </w:r>
          </w:p>
        </w:tc>
        <w:tc>
          <w:tcPr>
            <w:tcW w:w="2145" w:type="pct"/>
            <w:tcBorders>
              <w:top w:val="single" w:sz="4" w:space="0" w:color="auto"/>
              <w:left w:val="nil"/>
              <w:bottom w:val="single" w:sz="4" w:space="0" w:color="auto"/>
              <w:right w:val="single" w:sz="4" w:space="0" w:color="auto"/>
            </w:tcBorders>
            <w:hideMark/>
          </w:tcPr>
          <w:p w:rsidR="00BE6819" w:rsidRPr="00005923" w:rsidRDefault="00BE6819" w:rsidP="00014AFE">
            <w:pPr>
              <w:jc w:val="center"/>
              <w:rPr>
                <w:lang w:val="es-ES" w:eastAsia="es-ES"/>
              </w:rPr>
            </w:pPr>
            <w:r w:rsidRPr="00005923">
              <w:rPr>
                <w:lang w:val="es-ES" w:eastAsia="es-ES"/>
              </w:rPr>
              <w:t>0,7</w:t>
            </w:r>
          </w:p>
        </w:tc>
      </w:tr>
    </w:tbl>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De forventede sedative og analgesiske virkninger opnås inden for 15 minutter efter indgivelse og varer i op til 60 minutter efter indgivelse. </w:t>
      </w:r>
      <w:proofErr w:type="spellStart"/>
      <w:r w:rsidRPr="00005923">
        <w:rPr>
          <w:sz w:val="24"/>
          <w:szCs w:val="24"/>
        </w:rPr>
        <w:t>Sedering</w:t>
      </w:r>
      <w:proofErr w:type="spellEnd"/>
      <w:r w:rsidRPr="00005923">
        <w:rPr>
          <w:sz w:val="24"/>
          <w:szCs w:val="24"/>
        </w:rPr>
        <w:t xml:space="preserve"> kan ophæves med </w:t>
      </w:r>
      <w:proofErr w:type="spellStart"/>
      <w:r w:rsidRPr="00005923">
        <w:rPr>
          <w:sz w:val="24"/>
          <w:szCs w:val="24"/>
        </w:rPr>
        <w:t>atipamezol</w:t>
      </w:r>
      <w:proofErr w:type="spellEnd"/>
      <w:r w:rsidRPr="00005923">
        <w:rPr>
          <w:sz w:val="24"/>
          <w:szCs w:val="24"/>
        </w:rPr>
        <w:t xml:space="preserve">. </w:t>
      </w:r>
      <w:proofErr w:type="spellStart"/>
      <w:r w:rsidRPr="00005923">
        <w:rPr>
          <w:sz w:val="24"/>
          <w:szCs w:val="24"/>
        </w:rPr>
        <w:t>Atipamezol</w:t>
      </w:r>
      <w:proofErr w:type="spellEnd"/>
      <w:r w:rsidRPr="00005923">
        <w:rPr>
          <w:sz w:val="24"/>
          <w:szCs w:val="24"/>
        </w:rPr>
        <w:t xml:space="preserve"> bør ikke gives de første 30 minutter efter administration af </w:t>
      </w:r>
      <w:proofErr w:type="spellStart"/>
      <w:r w:rsidRPr="00005923">
        <w:rPr>
          <w:sz w:val="24"/>
          <w:szCs w:val="24"/>
        </w:rPr>
        <w:t>ketamin</w:t>
      </w:r>
      <w:proofErr w:type="spellEnd"/>
      <w:r w:rsidRPr="00005923">
        <w:rPr>
          <w:sz w:val="24"/>
          <w:szCs w:val="24"/>
        </w:rPr>
        <w:t>.</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4.10</w:t>
      </w:r>
      <w:r w:rsidRPr="00005923">
        <w:rPr>
          <w:b/>
          <w:sz w:val="24"/>
          <w:szCs w:val="24"/>
        </w:rPr>
        <w:tab/>
        <w:t>Overdosering</w:t>
      </w:r>
    </w:p>
    <w:p w:rsidR="00BE6819" w:rsidRPr="00005923" w:rsidRDefault="00BE6819" w:rsidP="00BE6819">
      <w:pPr>
        <w:ind w:left="851"/>
        <w:rPr>
          <w:sz w:val="24"/>
          <w:szCs w:val="24"/>
        </w:rPr>
      </w:pPr>
      <w:r w:rsidRPr="00005923">
        <w:rPr>
          <w:sz w:val="24"/>
          <w:szCs w:val="24"/>
        </w:rPr>
        <w:t xml:space="preserve">Hunde: I tilfælde af overdosering, eller hvis virkningerne af </w:t>
      </w:r>
      <w:proofErr w:type="spellStart"/>
      <w:r w:rsidRPr="00005923">
        <w:rPr>
          <w:sz w:val="24"/>
          <w:szCs w:val="24"/>
        </w:rPr>
        <w:t>dexmedetomidin</w:t>
      </w:r>
      <w:proofErr w:type="spellEnd"/>
      <w:r w:rsidRPr="00005923">
        <w:rPr>
          <w:sz w:val="24"/>
          <w:szCs w:val="24"/>
        </w:rPr>
        <w:t xml:space="preserve"> bliver potentielt livstruende, er den relevante </w:t>
      </w:r>
      <w:proofErr w:type="spellStart"/>
      <w:r w:rsidRPr="00005923">
        <w:rPr>
          <w:sz w:val="24"/>
          <w:szCs w:val="24"/>
        </w:rPr>
        <w:t>atipamezoldosis</w:t>
      </w:r>
      <w:proofErr w:type="spellEnd"/>
      <w:r w:rsidRPr="00005923">
        <w:rPr>
          <w:sz w:val="24"/>
          <w:szCs w:val="24"/>
        </w:rPr>
        <w:t xml:space="preserve"> ti gange den anvendte initiale dosis af </w:t>
      </w:r>
      <w:proofErr w:type="spellStart"/>
      <w:r w:rsidRPr="00005923">
        <w:rPr>
          <w:sz w:val="24"/>
          <w:szCs w:val="24"/>
        </w:rPr>
        <w:t>dexmedetomidin</w:t>
      </w:r>
      <w:proofErr w:type="spellEnd"/>
      <w:r w:rsidRPr="00005923">
        <w:rPr>
          <w:sz w:val="24"/>
          <w:szCs w:val="24"/>
        </w:rPr>
        <w:t xml:space="preserve"> (mikrogram pr. kg legemsvægt eller mikrogram pr. m</w:t>
      </w:r>
      <w:r w:rsidRPr="00005923">
        <w:rPr>
          <w:sz w:val="24"/>
          <w:szCs w:val="24"/>
          <w:vertAlign w:val="superscript"/>
        </w:rPr>
        <w:t>2</w:t>
      </w:r>
      <w:r>
        <w:rPr>
          <w:sz w:val="24"/>
          <w:szCs w:val="24"/>
        </w:rPr>
        <w:t xml:space="preserve"> </w:t>
      </w:r>
      <w:r w:rsidRPr="00005923">
        <w:rPr>
          <w:sz w:val="24"/>
          <w:szCs w:val="24"/>
        </w:rPr>
        <w:t>legems</w:t>
      </w:r>
      <w:r>
        <w:rPr>
          <w:sz w:val="24"/>
          <w:szCs w:val="24"/>
        </w:rPr>
        <w:softHyphen/>
      </w:r>
      <w:r w:rsidRPr="00005923">
        <w:rPr>
          <w:sz w:val="24"/>
          <w:szCs w:val="24"/>
        </w:rPr>
        <w:t xml:space="preserve">overflade). Dosisvolumen af </w:t>
      </w:r>
      <w:proofErr w:type="spellStart"/>
      <w:r w:rsidRPr="00005923">
        <w:rPr>
          <w:sz w:val="24"/>
          <w:szCs w:val="24"/>
        </w:rPr>
        <w:t>atipamezol</w:t>
      </w:r>
      <w:proofErr w:type="spellEnd"/>
      <w:r w:rsidRPr="00005923">
        <w:rPr>
          <w:sz w:val="24"/>
          <w:szCs w:val="24"/>
        </w:rPr>
        <w:t xml:space="preserve"> ved en koncentration på 5 mg/ml svarer til den dosisvolumen af produktet, som blev givet til hunden, uanset administrationsvej.</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Katte: I tilfælde af overdosering, eller hvis virkningerne af </w:t>
      </w:r>
      <w:proofErr w:type="spellStart"/>
      <w:r w:rsidRPr="00005923">
        <w:rPr>
          <w:sz w:val="24"/>
          <w:szCs w:val="24"/>
        </w:rPr>
        <w:t>dexmedetomidin</w:t>
      </w:r>
      <w:proofErr w:type="spellEnd"/>
      <w:r w:rsidRPr="00005923">
        <w:rPr>
          <w:sz w:val="24"/>
          <w:szCs w:val="24"/>
        </w:rPr>
        <w:t xml:space="preserve"> bliver potentielt livstruende, er den relevante antagonist </w:t>
      </w:r>
      <w:proofErr w:type="spellStart"/>
      <w:r w:rsidRPr="00005923">
        <w:rPr>
          <w:sz w:val="24"/>
          <w:szCs w:val="24"/>
        </w:rPr>
        <w:t>atipamezol</w:t>
      </w:r>
      <w:proofErr w:type="spellEnd"/>
      <w:r w:rsidRPr="00005923">
        <w:rPr>
          <w:sz w:val="24"/>
          <w:szCs w:val="24"/>
        </w:rPr>
        <w:t xml:space="preserve">, injiceret intramuskulært, med følgende doser: fem gange den initiale dosis </w:t>
      </w:r>
      <w:proofErr w:type="spellStart"/>
      <w:r w:rsidRPr="00005923">
        <w:rPr>
          <w:sz w:val="24"/>
          <w:szCs w:val="24"/>
        </w:rPr>
        <w:t>dexmedetomidin</w:t>
      </w:r>
      <w:proofErr w:type="spellEnd"/>
      <w:r w:rsidRPr="00005923">
        <w:rPr>
          <w:sz w:val="24"/>
          <w:szCs w:val="24"/>
        </w:rPr>
        <w:t xml:space="preserve"> i mikrogram pr. kg legemsvægt.</w:t>
      </w:r>
    </w:p>
    <w:p w:rsidR="00BE6819" w:rsidRPr="00005923" w:rsidRDefault="00BE6819" w:rsidP="00BE6819">
      <w:pPr>
        <w:ind w:left="851"/>
        <w:rPr>
          <w:sz w:val="24"/>
          <w:szCs w:val="24"/>
        </w:rPr>
      </w:pPr>
      <w:r w:rsidRPr="00005923">
        <w:rPr>
          <w:sz w:val="24"/>
          <w:szCs w:val="24"/>
        </w:rPr>
        <w:t xml:space="preserve">Efter samtidig udsættelse for en tredobbelt (3x) overdosis </w:t>
      </w:r>
      <w:proofErr w:type="spellStart"/>
      <w:r w:rsidRPr="00005923">
        <w:rPr>
          <w:sz w:val="24"/>
          <w:szCs w:val="24"/>
        </w:rPr>
        <w:t>dexmedetomidin</w:t>
      </w:r>
      <w:proofErr w:type="spellEnd"/>
      <w:r w:rsidRPr="00005923">
        <w:rPr>
          <w:sz w:val="24"/>
          <w:szCs w:val="24"/>
        </w:rPr>
        <w:t xml:space="preserve"> og 15 mg </w:t>
      </w:r>
      <w:proofErr w:type="spellStart"/>
      <w:r w:rsidRPr="00005923">
        <w:rPr>
          <w:sz w:val="24"/>
          <w:szCs w:val="24"/>
        </w:rPr>
        <w:t>ketamin</w:t>
      </w:r>
      <w:proofErr w:type="spellEnd"/>
      <w:r w:rsidRPr="00005923">
        <w:rPr>
          <w:sz w:val="24"/>
          <w:szCs w:val="24"/>
        </w:rPr>
        <w:t xml:space="preserve"> pr. kg legemsvægt kan der administreres den anbefalede mængde </w:t>
      </w:r>
      <w:proofErr w:type="spellStart"/>
      <w:r w:rsidRPr="00005923">
        <w:rPr>
          <w:sz w:val="24"/>
          <w:szCs w:val="24"/>
        </w:rPr>
        <w:t>atipamezol</w:t>
      </w:r>
      <w:proofErr w:type="spellEnd"/>
      <w:r w:rsidRPr="00005923">
        <w:rPr>
          <w:sz w:val="24"/>
          <w:szCs w:val="24"/>
        </w:rPr>
        <w:t xml:space="preserve"> for at ophæve de bivirkninger, der er forårsaget af </w:t>
      </w:r>
      <w:proofErr w:type="spellStart"/>
      <w:r w:rsidRPr="00005923">
        <w:rPr>
          <w:sz w:val="24"/>
          <w:szCs w:val="24"/>
        </w:rPr>
        <w:t>dexmedetomidin</w:t>
      </w:r>
      <w:proofErr w:type="spellEnd"/>
      <w:r w:rsidRPr="00005923">
        <w:rPr>
          <w:sz w:val="24"/>
          <w:szCs w:val="24"/>
        </w:rPr>
        <w:t xml:space="preserve">. Et dosisvolumen af </w:t>
      </w:r>
      <w:proofErr w:type="spellStart"/>
      <w:r w:rsidRPr="00005923">
        <w:rPr>
          <w:sz w:val="24"/>
          <w:szCs w:val="24"/>
        </w:rPr>
        <w:t>atipamezol</w:t>
      </w:r>
      <w:proofErr w:type="spellEnd"/>
      <w:r w:rsidRPr="00005923">
        <w:rPr>
          <w:sz w:val="24"/>
          <w:szCs w:val="24"/>
        </w:rPr>
        <w:t xml:space="preserve"> ved en koncentration på 5 mg/ml svarer til det halve dosisvolumen af produktet, som blev givet til katten.</w:t>
      </w:r>
    </w:p>
    <w:p w:rsidR="00BE6819" w:rsidRPr="00005923" w:rsidRDefault="00BE6819" w:rsidP="00BE6819">
      <w:pPr>
        <w:ind w:left="851"/>
        <w:rPr>
          <w:sz w:val="24"/>
          <w:szCs w:val="24"/>
        </w:rPr>
      </w:pPr>
      <w:r w:rsidRPr="00005923">
        <w:rPr>
          <w:sz w:val="24"/>
          <w:szCs w:val="24"/>
        </w:rPr>
        <w:t xml:space="preserve">Ved høje serumkoncentrationer af </w:t>
      </w:r>
      <w:proofErr w:type="spellStart"/>
      <w:r w:rsidRPr="00005923">
        <w:rPr>
          <w:sz w:val="24"/>
          <w:szCs w:val="24"/>
        </w:rPr>
        <w:t>dexmedetomidin</w:t>
      </w:r>
      <w:proofErr w:type="spellEnd"/>
      <w:r w:rsidRPr="00005923">
        <w:rPr>
          <w:sz w:val="24"/>
          <w:szCs w:val="24"/>
        </w:rPr>
        <w:t>, øges sedationen ikke, selvom analgesiniveauet forøges ved forhøjelse af dosen.</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4.11</w:t>
      </w:r>
      <w:r w:rsidRPr="00005923">
        <w:rPr>
          <w:b/>
          <w:sz w:val="24"/>
          <w:szCs w:val="24"/>
        </w:rPr>
        <w:tab/>
        <w:t>Tilbageholdelsestid</w:t>
      </w:r>
    </w:p>
    <w:p w:rsidR="00BE6819" w:rsidRPr="00005923" w:rsidRDefault="00BE6819" w:rsidP="00BE6819">
      <w:pPr>
        <w:ind w:left="851"/>
        <w:rPr>
          <w:sz w:val="24"/>
          <w:szCs w:val="24"/>
        </w:rPr>
      </w:pPr>
      <w:r w:rsidRPr="00005923">
        <w:rPr>
          <w:sz w:val="24"/>
          <w:szCs w:val="24"/>
        </w:rPr>
        <w:t>Ikke relevant</w:t>
      </w:r>
    </w:p>
    <w:p w:rsidR="00BE6819" w:rsidRPr="00005923" w:rsidRDefault="00BE6819" w:rsidP="00BE6819">
      <w:pPr>
        <w:pStyle w:val="Sidehoved"/>
        <w:tabs>
          <w:tab w:val="clear" w:pos="4819"/>
          <w:tab w:val="left" w:pos="8222"/>
        </w:tabs>
        <w:ind w:left="851" w:hanging="851"/>
        <w:rPr>
          <w:szCs w:val="24"/>
        </w:rPr>
      </w:pP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5.</w:t>
      </w:r>
      <w:r w:rsidRPr="00005923">
        <w:rPr>
          <w:b/>
          <w:sz w:val="24"/>
          <w:szCs w:val="24"/>
        </w:rPr>
        <w:tab/>
        <w:t>FARMAKOLOGISKE EGENSKABER</w:t>
      </w:r>
    </w:p>
    <w:p w:rsidR="00BE6819" w:rsidRPr="00005923" w:rsidRDefault="00BE6819" w:rsidP="00BE6819">
      <w:pPr>
        <w:tabs>
          <w:tab w:val="left" w:pos="8222"/>
        </w:tabs>
        <w:ind w:left="851" w:hanging="851"/>
        <w:rPr>
          <w:sz w:val="24"/>
          <w:szCs w:val="24"/>
        </w:rPr>
      </w:pPr>
    </w:p>
    <w:p w:rsidR="00BE6819" w:rsidRPr="00005923" w:rsidRDefault="00BE6819" w:rsidP="00BE6819">
      <w:pPr>
        <w:tabs>
          <w:tab w:val="left" w:pos="1304"/>
        </w:tabs>
        <w:ind w:left="851" w:hanging="851"/>
        <w:rPr>
          <w:sz w:val="24"/>
          <w:szCs w:val="24"/>
        </w:rPr>
      </w:pPr>
      <w:r>
        <w:rPr>
          <w:sz w:val="24"/>
          <w:szCs w:val="24"/>
        </w:rPr>
        <w:tab/>
      </w:r>
      <w:proofErr w:type="spellStart"/>
      <w:r w:rsidRPr="00005923">
        <w:rPr>
          <w:sz w:val="24"/>
          <w:szCs w:val="24"/>
        </w:rPr>
        <w:t>Farmakoterapeutisk</w:t>
      </w:r>
      <w:proofErr w:type="spellEnd"/>
      <w:r w:rsidRPr="00005923">
        <w:rPr>
          <w:sz w:val="24"/>
          <w:szCs w:val="24"/>
        </w:rPr>
        <w:t xml:space="preserve"> gruppe: </w:t>
      </w:r>
      <w:proofErr w:type="spellStart"/>
      <w:r w:rsidRPr="00005923">
        <w:rPr>
          <w:sz w:val="24"/>
          <w:szCs w:val="24"/>
        </w:rPr>
        <w:t>Psykoleptika</w:t>
      </w:r>
      <w:proofErr w:type="spellEnd"/>
      <w:r w:rsidRPr="00005923">
        <w:rPr>
          <w:sz w:val="24"/>
          <w:szCs w:val="24"/>
        </w:rPr>
        <w:t xml:space="preserve">, </w:t>
      </w:r>
      <w:proofErr w:type="spellStart"/>
      <w:r w:rsidRPr="00005923">
        <w:rPr>
          <w:sz w:val="24"/>
          <w:szCs w:val="24"/>
        </w:rPr>
        <w:t>hypnotika</w:t>
      </w:r>
      <w:proofErr w:type="spellEnd"/>
      <w:r w:rsidRPr="00005923">
        <w:rPr>
          <w:sz w:val="24"/>
          <w:szCs w:val="24"/>
        </w:rPr>
        <w:t xml:space="preserve"> og sedative.</w:t>
      </w:r>
    </w:p>
    <w:p w:rsidR="00BE6819" w:rsidRPr="00005923" w:rsidRDefault="00BE6819" w:rsidP="00BE6819">
      <w:pPr>
        <w:tabs>
          <w:tab w:val="left" w:pos="1304"/>
        </w:tabs>
        <w:ind w:left="851" w:hanging="851"/>
        <w:rPr>
          <w:sz w:val="24"/>
          <w:szCs w:val="24"/>
        </w:rPr>
      </w:pPr>
      <w:r>
        <w:rPr>
          <w:sz w:val="24"/>
          <w:szCs w:val="24"/>
        </w:rPr>
        <w:tab/>
      </w:r>
      <w:proofErr w:type="spellStart"/>
      <w:r w:rsidRPr="00005923">
        <w:rPr>
          <w:sz w:val="24"/>
          <w:szCs w:val="24"/>
        </w:rPr>
        <w:t>ATCvet</w:t>
      </w:r>
      <w:proofErr w:type="spellEnd"/>
      <w:r w:rsidRPr="00005923">
        <w:rPr>
          <w:sz w:val="24"/>
          <w:szCs w:val="24"/>
        </w:rPr>
        <w:t>-kode: QN</w:t>
      </w:r>
      <w:r>
        <w:rPr>
          <w:sz w:val="24"/>
          <w:szCs w:val="24"/>
        </w:rPr>
        <w:t xml:space="preserve"> </w:t>
      </w:r>
      <w:r w:rsidRPr="00005923">
        <w:rPr>
          <w:sz w:val="24"/>
          <w:szCs w:val="24"/>
        </w:rPr>
        <w:t>05</w:t>
      </w:r>
      <w:r>
        <w:rPr>
          <w:sz w:val="24"/>
          <w:szCs w:val="24"/>
        </w:rPr>
        <w:t xml:space="preserve"> </w:t>
      </w:r>
      <w:r w:rsidRPr="00005923">
        <w:rPr>
          <w:sz w:val="24"/>
          <w:szCs w:val="24"/>
        </w:rPr>
        <w:t>CM</w:t>
      </w:r>
      <w:r>
        <w:rPr>
          <w:sz w:val="24"/>
          <w:szCs w:val="24"/>
        </w:rPr>
        <w:t xml:space="preserve"> </w:t>
      </w:r>
      <w:r w:rsidRPr="00005923">
        <w:rPr>
          <w:sz w:val="24"/>
          <w:szCs w:val="24"/>
        </w:rPr>
        <w:t>18.</w:t>
      </w:r>
    </w:p>
    <w:p w:rsidR="00BE6819" w:rsidRPr="00005923" w:rsidRDefault="00BE6819" w:rsidP="00BE6819">
      <w:pPr>
        <w:tabs>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5.1</w:t>
      </w:r>
      <w:r w:rsidRPr="00005923">
        <w:rPr>
          <w:b/>
          <w:sz w:val="24"/>
          <w:szCs w:val="24"/>
        </w:rPr>
        <w:tab/>
      </w:r>
      <w:proofErr w:type="spellStart"/>
      <w:r w:rsidRPr="00005923">
        <w:rPr>
          <w:b/>
          <w:sz w:val="24"/>
          <w:szCs w:val="24"/>
        </w:rPr>
        <w:t>Farmakodynamiske</w:t>
      </w:r>
      <w:proofErr w:type="spellEnd"/>
      <w:r w:rsidRPr="00005923">
        <w:rPr>
          <w:b/>
          <w:sz w:val="24"/>
          <w:szCs w:val="24"/>
        </w:rPr>
        <w:t xml:space="preserve"> egenskaber</w:t>
      </w:r>
    </w:p>
    <w:p w:rsidR="00BE6819" w:rsidRPr="00005923" w:rsidRDefault="00BE6819" w:rsidP="00BE6819">
      <w:pPr>
        <w:tabs>
          <w:tab w:val="left" w:pos="0"/>
        </w:tabs>
        <w:ind w:left="851" w:hanging="851"/>
        <w:rPr>
          <w:sz w:val="24"/>
          <w:szCs w:val="24"/>
        </w:rPr>
      </w:pPr>
      <w:r>
        <w:rPr>
          <w:sz w:val="24"/>
          <w:szCs w:val="24"/>
        </w:rPr>
        <w:tab/>
      </w:r>
      <w:r w:rsidRPr="00005923">
        <w:rPr>
          <w:sz w:val="24"/>
          <w:szCs w:val="24"/>
        </w:rPr>
        <w:t xml:space="preserve">Veterinærpræparatet indeholder </w:t>
      </w:r>
      <w:proofErr w:type="spellStart"/>
      <w:r w:rsidRPr="00005923">
        <w:rPr>
          <w:sz w:val="24"/>
          <w:szCs w:val="24"/>
        </w:rPr>
        <w:t>dexmedetomidin</w:t>
      </w:r>
      <w:proofErr w:type="spellEnd"/>
      <w:r w:rsidRPr="00005923">
        <w:rPr>
          <w:sz w:val="24"/>
          <w:szCs w:val="24"/>
        </w:rPr>
        <w:t xml:space="preserve"> som det aktive stof, der frembringer sedation og analgesi hos hunde og katte. Varigheden og dybden af sedationen og analgesien er dosisafhængig. Ved maksimal effekt er dyret roligt, ligger ned og reagerer ikke på stimulering udefra.</w:t>
      </w:r>
    </w:p>
    <w:p w:rsidR="00BE6819" w:rsidRPr="00005923" w:rsidRDefault="00BE6819" w:rsidP="00BE6819">
      <w:pPr>
        <w:tabs>
          <w:tab w:val="left" w:pos="0"/>
        </w:tabs>
        <w:ind w:left="851" w:hanging="851"/>
        <w:rPr>
          <w:sz w:val="24"/>
          <w:szCs w:val="24"/>
        </w:rPr>
      </w:pPr>
    </w:p>
    <w:p w:rsidR="00BE6819" w:rsidRPr="00005923" w:rsidRDefault="00BE6819" w:rsidP="00BE6819">
      <w:pPr>
        <w:tabs>
          <w:tab w:val="left" w:pos="0"/>
        </w:tabs>
        <w:ind w:left="851" w:hanging="851"/>
        <w:rPr>
          <w:sz w:val="24"/>
          <w:szCs w:val="24"/>
        </w:rPr>
      </w:pPr>
      <w:r>
        <w:rPr>
          <w:sz w:val="24"/>
          <w:szCs w:val="24"/>
        </w:rPr>
        <w:tab/>
      </w:r>
      <w:proofErr w:type="spellStart"/>
      <w:r w:rsidRPr="00005923">
        <w:rPr>
          <w:sz w:val="24"/>
          <w:szCs w:val="24"/>
        </w:rPr>
        <w:t>Dexmedetomidin</w:t>
      </w:r>
      <w:proofErr w:type="spellEnd"/>
      <w:r w:rsidRPr="00005923">
        <w:rPr>
          <w:sz w:val="24"/>
          <w:szCs w:val="24"/>
        </w:rPr>
        <w:t xml:space="preserve"> er en potent og selektiv α</w:t>
      </w:r>
      <w:r w:rsidRPr="0025124D">
        <w:rPr>
          <w:sz w:val="24"/>
          <w:szCs w:val="24"/>
          <w:vertAlign w:val="subscript"/>
        </w:rPr>
        <w:t>2</w:t>
      </w:r>
      <w:r w:rsidRPr="00005923">
        <w:rPr>
          <w:sz w:val="24"/>
          <w:szCs w:val="24"/>
        </w:rPr>
        <w:t xml:space="preserve">-adrenoceptor-agonist, som hæmmer frigivelsen af noradrenalin fra </w:t>
      </w:r>
      <w:proofErr w:type="spellStart"/>
      <w:r w:rsidRPr="00005923">
        <w:rPr>
          <w:sz w:val="24"/>
          <w:szCs w:val="24"/>
        </w:rPr>
        <w:t>noradrenerge</w:t>
      </w:r>
      <w:proofErr w:type="spellEnd"/>
      <w:r w:rsidRPr="00005923">
        <w:rPr>
          <w:sz w:val="24"/>
          <w:szCs w:val="24"/>
        </w:rPr>
        <w:t xml:space="preserve"> neuroner. Sympatisk </w:t>
      </w:r>
      <w:proofErr w:type="spellStart"/>
      <w:r w:rsidRPr="00005923">
        <w:rPr>
          <w:sz w:val="24"/>
          <w:szCs w:val="24"/>
        </w:rPr>
        <w:t>neurotransmission</w:t>
      </w:r>
      <w:proofErr w:type="spellEnd"/>
      <w:r w:rsidRPr="00005923">
        <w:rPr>
          <w:sz w:val="24"/>
          <w:szCs w:val="24"/>
        </w:rPr>
        <w:t xml:space="preserve"> forhindres, og bevidsthedsniveauet falder. Efter indgivelse af </w:t>
      </w:r>
      <w:proofErr w:type="spellStart"/>
      <w:r w:rsidRPr="00005923">
        <w:rPr>
          <w:sz w:val="24"/>
          <w:szCs w:val="24"/>
        </w:rPr>
        <w:t>dexmedetomidin</w:t>
      </w:r>
      <w:proofErr w:type="spellEnd"/>
      <w:r w:rsidRPr="00005923">
        <w:rPr>
          <w:sz w:val="24"/>
          <w:szCs w:val="24"/>
        </w:rPr>
        <w:t xml:space="preserve"> kan der forekomme nedsat hjertefrekvens og midlertidig AV-blok. Blodtrykket stiger først og falder derefter til det normale eller lidt under det normale niveau. Respirationsfrekvensen kan lejlighedsvis blive nedsat. </w:t>
      </w:r>
      <w:proofErr w:type="spellStart"/>
      <w:r w:rsidRPr="00005923">
        <w:rPr>
          <w:sz w:val="24"/>
          <w:szCs w:val="24"/>
        </w:rPr>
        <w:t>Dexmedetomidin</w:t>
      </w:r>
      <w:proofErr w:type="spellEnd"/>
      <w:r w:rsidRPr="00005923">
        <w:rPr>
          <w:sz w:val="24"/>
          <w:szCs w:val="24"/>
        </w:rPr>
        <w:t xml:space="preserve"> inducerer ligeledes en række andre α</w:t>
      </w:r>
      <w:r w:rsidRPr="0025124D">
        <w:rPr>
          <w:sz w:val="24"/>
          <w:szCs w:val="24"/>
          <w:vertAlign w:val="subscript"/>
        </w:rPr>
        <w:t>2</w:t>
      </w:r>
      <w:r>
        <w:rPr>
          <w:sz w:val="24"/>
          <w:szCs w:val="24"/>
        </w:rPr>
        <w:t>-</w:t>
      </w:r>
      <w:r w:rsidRPr="00005923">
        <w:rPr>
          <w:sz w:val="24"/>
          <w:szCs w:val="24"/>
        </w:rPr>
        <w:t xml:space="preserve">adrenoceptor-medierede virkninger, der omfatter hårrejsning, depression af motoriske og </w:t>
      </w:r>
      <w:proofErr w:type="spellStart"/>
      <w:r w:rsidRPr="00005923">
        <w:rPr>
          <w:sz w:val="24"/>
          <w:szCs w:val="24"/>
        </w:rPr>
        <w:t>sekretoriske</w:t>
      </w:r>
      <w:proofErr w:type="spellEnd"/>
      <w:r w:rsidRPr="00005923">
        <w:rPr>
          <w:sz w:val="24"/>
          <w:szCs w:val="24"/>
        </w:rPr>
        <w:t xml:space="preserve"> funktioner i </w:t>
      </w:r>
      <w:proofErr w:type="spellStart"/>
      <w:r w:rsidRPr="00005923">
        <w:rPr>
          <w:sz w:val="24"/>
          <w:szCs w:val="24"/>
        </w:rPr>
        <w:t>gastrointestinalkanalen</w:t>
      </w:r>
      <w:proofErr w:type="spellEnd"/>
      <w:r w:rsidRPr="00005923">
        <w:rPr>
          <w:sz w:val="24"/>
          <w:szCs w:val="24"/>
        </w:rPr>
        <w:t xml:space="preserve">, diurese og </w:t>
      </w:r>
      <w:proofErr w:type="spellStart"/>
      <w:r w:rsidRPr="00005923">
        <w:rPr>
          <w:sz w:val="24"/>
          <w:szCs w:val="24"/>
        </w:rPr>
        <w:t>hyperglykæmi</w:t>
      </w:r>
      <w:proofErr w:type="spellEnd"/>
      <w:r w:rsidRPr="00005923">
        <w:rPr>
          <w:sz w:val="24"/>
          <w:szCs w:val="24"/>
        </w:rPr>
        <w:t>.</w:t>
      </w:r>
    </w:p>
    <w:p w:rsidR="00BE6819" w:rsidRPr="00005923" w:rsidRDefault="00BE6819" w:rsidP="00BE6819">
      <w:pPr>
        <w:ind w:left="851"/>
        <w:rPr>
          <w:b/>
          <w:sz w:val="24"/>
          <w:szCs w:val="24"/>
        </w:rPr>
      </w:pPr>
      <w:r w:rsidRPr="00005923">
        <w:rPr>
          <w:sz w:val="24"/>
          <w:szCs w:val="24"/>
        </w:rPr>
        <w:t>Der kan forekomme et mindre temperaturfald</w:t>
      </w:r>
      <w:r w:rsidRPr="00005923">
        <w:rPr>
          <w:b/>
          <w:sz w:val="24"/>
          <w:szCs w:val="24"/>
        </w:rPr>
        <w:t>.</w:t>
      </w:r>
    </w:p>
    <w:p w:rsidR="00156A5E" w:rsidRDefault="00156A5E">
      <w:pPr>
        <w:rPr>
          <w:sz w:val="24"/>
          <w:szCs w:val="24"/>
        </w:rPr>
      </w:pPr>
      <w:r>
        <w:rPr>
          <w:sz w:val="24"/>
          <w:szCs w:val="24"/>
        </w:rPr>
        <w:br w:type="page"/>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5.2</w:t>
      </w:r>
      <w:r w:rsidRPr="00005923">
        <w:rPr>
          <w:b/>
          <w:sz w:val="24"/>
          <w:szCs w:val="24"/>
        </w:rPr>
        <w:tab/>
      </w:r>
      <w:proofErr w:type="spellStart"/>
      <w:r w:rsidRPr="00005923">
        <w:rPr>
          <w:b/>
          <w:sz w:val="24"/>
          <w:szCs w:val="24"/>
        </w:rPr>
        <w:t>Farmakokinetiske</w:t>
      </w:r>
      <w:proofErr w:type="spellEnd"/>
      <w:r w:rsidRPr="00005923">
        <w:rPr>
          <w:b/>
          <w:sz w:val="24"/>
          <w:szCs w:val="24"/>
        </w:rPr>
        <w:t xml:space="preserve"> egenskaber</w:t>
      </w:r>
    </w:p>
    <w:p w:rsidR="00BE6819" w:rsidRPr="00005923" w:rsidRDefault="00BE6819" w:rsidP="00BE6819">
      <w:pPr>
        <w:ind w:left="851"/>
        <w:rPr>
          <w:sz w:val="24"/>
          <w:szCs w:val="24"/>
        </w:rPr>
      </w:pPr>
      <w:r w:rsidRPr="00005923">
        <w:rPr>
          <w:sz w:val="24"/>
          <w:szCs w:val="24"/>
        </w:rPr>
        <w:t xml:space="preserve">Da </w:t>
      </w:r>
      <w:proofErr w:type="spellStart"/>
      <w:r w:rsidRPr="00005923">
        <w:rPr>
          <w:sz w:val="24"/>
          <w:szCs w:val="24"/>
        </w:rPr>
        <w:t>dexmedetomidin</w:t>
      </w:r>
      <w:proofErr w:type="spellEnd"/>
      <w:r w:rsidRPr="00005923">
        <w:rPr>
          <w:sz w:val="24"/>
          <w:szCs w:val="24"/>
        </w:rPr>
        <w:t xml:space="preserve"> er et </w:t>
      </w:r>
      <w:proofErr w:type="spellStart"/>
      <w:r w:rsidRPr="00005923">
        <w:rPr>
          <w:sz w:val="24"/>
          <w:szCs w:val="24"/>
        </w:rPr>
        <w:t>lipofilt</w:t>
      </w:r>
      <w:proofErr w:type="spellEnd"/>
      <w:r w:rsidRPr="00005923">
        <w:rPr>
          <w:sz w:val="24"/>
          <w:szCs w:val="24"/>
        </w:rPr>
        <w:t xml:space="preserve"> stof absorberes det godt hos både hunde og katte efter intramuskulær administration. </w:t>
      </w:r>
      <w:proofErr w:type="spellStart"/>
      <w:r w:rsidRPr="00005923">
        <w:rPr>
          <w:sz w:val="24"/>
          <w:szCs w:val="24"/>
        </w:rPr>
        <w:t>Dexmedetomidin</w:t>
      </w:r>
      <w:proofErr w:type="spellEnd"/>
      <w:r w:rsidRPr="00005923">
        <w:rPr>
          <w:sz w:val="24"/>
          <w:szCs w:val="24"/>
        </w:rPr>
        <w:t xml:space="preserve"> distribueres også hurtigt i kroppen og penetrerer let blodhjernebarrieren. Ifølge forsøg med rotter er maksimumkoncentrationen i centralnervesystemet adskillige gange det, der svarer til den tilsvarende koncentration i plasma. I kredsløbet binder </w:t>
      </w:r>
      <w:proofErr w:type="spellStart"/>
      <w:r w:rsidRPr="00005923">
        <w:rPr>
          <w:sz w:val="24"/>
          <w:szCs w:val="24"/>
        </w:rPr>
        <w:t>dexmedetomidin</w:t>
      </w:r>
      <w:proofErr w:type="spellEnd"/>
      <w:r w:rsidRPr="00005923">
        <w:rPr>
          <w:sz w:val="24"/>
          <w:szCs w:val="24"/>
        </w:rPr>
        <w:t xml:space="preserve"> sig hovedsagelig til plasmaproteiner (&gt;90%).</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Hunde: Efter en intramuskulær dosis på 50 mikrogram/kg nås maksimumkoncentrationen i plasma på ca. 12 </w:t>
      </w:r>
      <w:proofErr w:type="spellStart"/>
      <w:r w:rsidRPr="00005923">
        <w:rPr>
          <w:sz w:val="24"/>
          <w:szCs w:val="24"/>
        </w:rPr>
        <w:t>ng</w:t>
      </w:r>
      <w:proofErr w:type="spellEnd"/>
      <w:r w:rsidRPr="00005923">
        <w:rPr>
          <w:sz w:val="24"/>
          <w:szCs w:val="24"/>
        </w:rPr>
        <w:t xml:space="preserve">/ml i løbet af 0,6 timer. Biotilgængeligheden af </w:t>
      </w:r>
      <w:proofErr w:type="spellStart"/>
      <w:r w:rsidRPr="00005923">
        <w:rPr>
          <w:sz w:val="24"/>
          <w:szCs w:val="24"/>
        </w:rPr>
        <w:t>dexmedetomidin</w:t>
      </w:r>
      <w:proofErr w:type="spellEnd"/>
      <w:r w:rsidRPr="00005923">
        <w:rPr>
          <w:sz w:val="24"/>
          <w:szCs w:val="24"/>
        </w:rPr>
        <w:t xml:space="preserve"> er 60%, og fordelings volumen (</w:t>
      </w:r>
      <w:proofErr w:type="spellStart"/>
      <w:r w:rsidRPr="00005923">
        <w:rPr>
          <w:sz w:val="24"/>
          <w:szCs w:val="24"/>
        </w:rPr>
        <w:t>Vd</w:t>
      </w:r>
      <w:proofErr w:type="spellEnd"/>
      <w:r w:rsidRPr="00005923">
        <w:rPr>
          <w:sz w:val="24"/>
          <w:szCs w:val="24"/>
        </w:rPr>
        <w:t>) er 0,9 L/kg. Halveringstiden (t½) for elimination er 40-50 minutter.</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Væsentlige biotransformationer hos hunde inkluderer </w:t>
      </w:r>
      <w:proofErr w:type="spellStart"/>
      <w:r w:rsidRPr="00005923">
        <w:rPr>
          <w:sz w:val="24"/>
          <w:szCs w:val="24"/>
        </w:rPr>
        <w:t>hydroxylering</w:t>
      </w:r>
      <w:proofErr w:type="spellEnd"/>
      <w:r w:rsidRPr="00005923">
        <w:rPr>
          <w:sz w:val="24"/>
          <w:szCs w:val="24"/>
        </w:rPr>
        <w:t xml:space="preserve">, </w:t>
      </w:r>
      <w:proofErr w:type="spellStart"/>
      <w:r w:rsidRPr="00005923">
        <w:rPr>
          <w:sz w:val="24"/>
          <w:szCs w:val="24"/>
        </w:rPr>
        <w:t>konjugering</w:t>
      </w:r>
      <w:proofErr w:type="spellEnd"/>
      <w:r w:rsidRPr="00005923">
        <w:rPr>
          <w:sz w:val="24"/>
          <w:szCs w:val="24"/>
        </w:rPr>
        <w:t xml:space="preserve"> med </w:t>
      </w:r>
      <w:proofErr w:type="spellStart"/>
      <w:r w:rsidRPr="00005923">
        <w:rPr>
          <w:sz w:val="24"/>
          <w:szCs w:val="24"/>
        </w:rPr>
        <w:t>glukoronsyre</w:t>
      </w:r>
      <w:proofErr w:type="spellEnd"/>
      <w:r w:rsidRPr="00005923">
        <w:rPr>
          <w:sz w:val="24"/>
          <w:szCs w:val="24"/>
        </w:rPr>
        <w:t xml:space="preserve"> og N- </w:t>
      </w:r>
      <w:proofErr w:type="spellStart"/>
      <w:r w:rsidRPr="00005923">
        <w:rPr>
          <w:sz w:val="24"/>
          <w:szCs w:val="24"/>
        </w:rPr>
        <w:t>methylering</w:t>
      </w:r>
      <w:proofErr w:type="spellEnd"/>
      <w:r w:rsidRPr="00005923">
        <w:rPr>
          <w:sz w:val="24"/>
          <w:szCs w:val="24"/>
        </w:rPr>
        <w:t xml:space="preserve"> i leveren. Alle kendte metabolitter er uden farmakologisk aktivitet. Metabolitterne udskilles hovedsagelig i urinen og i mindre grad i afføringen. </w:t>
      </w:r>
      <w:proofErr w:type="spellStart"/>
      <w:r w:rsidRPr="00005923">
        <w:rPr>
          <w:sz w:val="24"/>
          <w:szCs w:val="24"/>
        </w:rPr>
        <w:t>Dexmedetomidin</w:t>
      </w:r>
      <w:proofErr w:type="spellEnd"/>
      <w:r w:rsidRPr="00005923">
        <w:rPr>
          <w:sz w:val="24"/>
          <w:szCs w:val="24"/>
        </w:rPr>
        <w:t xml:space="preserve"> har en høj </w:t>
      </w:r>
      <w:proofErr w:type="spellStart"/>
      <w:r w:rsidRPr="00005923">
        <w:rPr>
          <w:sz w:val="24"/>
          <w:szCs w:val="24"/>
        </w:rPr>
        <w:t>clearance</w:t>
      </w:r>
      <w:proofErr w:type="spellEnd"/>
      <w:r w:rsidRPr="00005923">
        <w:rPr>
          <w:sz w:val="24"/>
          <w:szCs w:val="24"/>
        </w:rPr>
        <w:t xml:space="preserve">, og eliminationen afhænger af det </w:t>
      </w:r>
      <w:proofErr w:type="spellStart"/>
      <w:r w:rsidRPr="00005923">
        <w:rPr>
          <w:sz w:val="24"/>
          <w:szCs w:val="24"/>
        </w:rPr>
        <w:t>hepatiske</w:t>
      </w:r>
      <w:proofErr w:type="spellEnd"/>
      <w:r w:rsidRPr="00005923">
        <w:rPr>
          <w:sz w:val="24"/>
          <w:szCs w:val="24"/>
        </w:rPr>
        <w:t xml:space="preserve"> </w:t>
      </w:r>
      <w:proofErr w:type="spellStart"/>
      <w:r w:rsidRPr="00005923">
        <w:rPr>
          <w:sz w:val="24"/>
          <w:szCs w:val="24"/>
        </w:rPr>
        <w:t>blodflow</w:t>
      </w:r>
      <w:proofErr w:type="spellEnd"/>
      <w:r w:rsidRPr="00005923">
        <w:rPr>
          <w:sz w:val="24"/>
          <w:szCs w:val="24"/>
        </w:rPr>
        <w:t xml:space="preserve">. Der kan derfor forventes en forlænget eliminationshalveringstid i forbindelse med overdosering, eller hvis </w:t>
      </w:r>
      <w:proofErr w:type="spellStart"/>
      <w:r w:rsidRPr="00005923">
        <w:rPr>
          <w:sz w:val="24"/>
          <w:szCs w:val="24"/>
        </w:rPr>
        <w:t>dexmedetomidin</w:t>
      </w:r>
      <w:proofErr w:type="spellEnd"/>
      <w:r w:rsidRPr="00005923">
        <w:rPr>
          <w:sz w:val="24"/>
          <w:szCs w:val="24"/>
        </w:rPr>
        <w:t xml:space="preserve"> indgives sammen med andre lægemidler, der har indflydelse på det </w:t>
      </w:r>
      <w:proofErr w:type="spellStart"/>
      <w:r w:rsidRPr="00005923">
        <w:rPr>
          <w:sz w:val="24"/>
          <w:szCs w:val="24"/>
        </w:rPr>
        <w:t>hepatiske</w:t>
      </w:r>
      <w:proofErr w:type="spellEnd"/>
      <w:r w:rsidRPr="00005923">
        <w:rPr>
          <w:sz w:val="24"/>
          <w:szCs w:val="24"/>
        </w:rPr>
        <w:t xml:space="preserve"> kredsløb.</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Katte: Den maksimale plasmakoncentration nås på ca. 0,24 timer efter intramuskulær indgivelse. Efter en 40 mikrogram/kg legemsvægt intramuskulær dosis er </w:t>
      </w:r>
      <w:proofErr w:type="spellStart"/>
      <w:r w:rsidRPr="00005923">
        <w:rPr>
          <w:sz w:val="24"/>
          <w:szCs w:val="24"/>
        </w:rPr>
        <w:t>C</w:t>
      </w:r>
      <w:r w:rsidRPr="0025124D">
        <w:rPr>
          <w:sz w:val="24"/>
          <w:szCs w:val="24"/>
          <w:vertAlign w:val="subscript"/>
        </w:rPr>
        <w:t>max</w:t>
      </w:r>
      <w:proofErr w:type="spellEnd"/>
      <w:r w:rsidRPr="00005923">
        <w:rPr>
          <w:sz w:val="24"/>
          <w:szCs w:val="24"/>
        </w:rPr>
        <w:t xml:space="preserve"> 17 </w:t>
      </w:r>
      <w:proofErr w:type="spellStart"/>
      <w:r w:rsidRPr="00005923">
        <w:rPr>
          <w:sz w:val="24"/>
          <w:szCs w:val="24"/>
        </w:rPr>
        <w:t>ng</w:t>
      </w:r>
      <w:proofErr w:type="spellEnd"/>
      <w:r w:rsidRPr="00005923">
        <w:rPr>
          <w:sz w:val="24"/>
          <w:szCs w:val="24"/>
        </w:rPr>
        <w:t xml:space="preserve">/ml. </w:t>
      </w:r>
      <w:proofErr w:type="spellStart"/>
      <w:r w:rsidRPr="00005923">
        <w:rPr>
          <w:sz w:val="24"/>
          <w:szCs w:val="24"/>
        </w:rPr>
        <w:t>Fordelingsvolumet</w:t>
      </w:r>
      <w:proofErr w:type="spellEnd"/>
      <w:r w:rsidRPr="00005923">
        <w:rPr>
          <w:sz w:val="24"/>
          <w:szCs w:val="24"/>
        </w:rPr>
        <w:t xml:space="preserve"> (</w:t>
      </w:r>
      <w:proofErr w:type="spellStart"/>
      <w:r w:rsidRPr="00005923">
        <w:rPr>
          <w:sz w:val="24"/>
          <w:szCs w:val="24"/>
        </w:rPr>
        <w:t>Vd</w:t>
      </w:r>
      <w:proofErr w:type="spellEnd"/>
      <w:r w:rsidRPr="00005923">
        <w:rPr>
          <w:sz w:val="24"/>
          <w:szCs w:val="24"/>
        </w:rPr>
        <w:t>) er 2,2 L/kg, og eliminationshalveringstiden (t½) er en time.</w:t>
      </w:r>
    </w:p>
    <w:p w:rsidR="00BE6819" w:rsidRPr="00005923" w:rsidRDefault="00BE6819" w:rsidP="00BE6819">
      <w:pPr>
        <w:ind w:left="851" w:hanging="851"/>
        <w:rPr>
          <w:sz w:val="24"/>
          <w:szCs w:val="24"/>
        </w:rPr>
      </w:pPr>
    </w:p>
    <w:p w:rsidR="00BE6819" w:rsidRPr="00005923" w:rsidRDefault="00BE6819" w:rsidP="00BE6819">
      <w:pPr>
        <w:ind w:left="851"/>
        <w:rPr>
          <w:sz w:val="24"/>
          <w:szCs w:val="24"/>
        </w:rPr>
      </w:pPr>
      <w:r w:rsidRPr="00005923">
        <w:rPr>
          <w:sz w:val="24"/>
          <w:szCs w:val="24"/>
        </w:rPr>
        <w:t xml:space="preserve">Biotransformation hos kat sker ved </w:t>
      </w:r>
      <w:proofErr w:type="spellStart"/>
      <w:r w:rsidRPr="00005923">
        <w:rPr>
          <w:sz w:val="24"/>
          <w:szCs w:val="24"/>
        </w:rPr>
        <w:t>hydroxylering</w:t>
      </w:r>
      <w:proofErr w:type="spellEnd"/>
      <w:r w:rsidRPr="00005923">
        <w:rPr>
          <w:sz w:val="24"/>
          <w:szCs w:val="24"/>
        </w:rPr>
        <w:t xml:space="preserve"> i leveren. Metabolitterne udskilles hovedsagelig i urinen (51% af dosen) og i mindre grad i afføringen. Som hos hunde har </w:t>
      </w:r>
      <w:proofErr w:type="spellStart"/>
      <w:r w:rsidRPr="00005923">
        <w:rPr>
          <w:sz w:val="24"/>
          <w:szCs w:val="24"/>
        </w:rPr>
        <w:t>dexmedetomidin</w:t>
      </w:r>
      <w:proofErr w:type="spellEnd"/>
      <w:r w:rsidRPr="00005923">
        <w:rPr>
          <w:sz w:val="24"/>
          <w:szCs w:val="24"/>
        </w:rPr>
        <w:t xml:space="preserve"> en høj </w:t>
      </w:r>
      <w:proofErr w:type="spellStart"/>
      <w:r w:rsidRPr="00005923">
        <w:rPr>
          <w:sz w:val="24"/>
          <w:szCs w:val="24"/>
        </w:rPr>
        <w:t>clearance</w:t>
      </w:r>
      <w:proofErr w:type="spellEnd"/>
      <w:r w:rsidRPr="00005923">
        <w:rPr>
          <w:sz w:val="24"/>
          <w:szCs w:val="24"/>
        </w:rPr>
        <w:t xml:space="preserve"> hos katte, og eliminationen afhænger af det </w:t>
      </w:r>
      <w:proofErr w:type="spellStart"/>
      <w:r w:rsidRPr="00005923">
        <w:rPr>
          <w:sz w:val="24"/>
          <w:szCs w:val="24"/>
        </w:rPr>
        <w:t>hepatiske</w:t>
      </w:r>
      <w:proofErr w:type="spellEnd"/>
      <w:r w:rsidRPr="00005923">
        <w:rPr>
          <w:sz w:val="24"/>
          <w:szCs w:val="24"/>
        </w:rPr>
        <w:t xml:space="preserve"> </w:t>
      </w:r>
      <w:proofErr w:type="spellStart"/>
      <w:r w:rsidRPr="00005923">
        <w:rPr>
          <w:sz w:val="24"/>
          <w:szCs w:val="24"/>
        </w:rPr>
        <w:t>blodflow</w:t>
      </w:r>
      <w:proofErr w:type="spellEnd"/>
      <w:r w:rsidRPr="00005923">
        <w:rPr>
          <w:sz w:val="24"/>
          <w:szCs w:val="24"/>
        </w:rPr>
        <w:t xml:space="preserve">. Der kan derfor forventes en forlænget eliminationshalveringstid ved overdosering, eller hvis </w:t>
      </w:r>
      <w:proofErr w:type="spellStart"/>
      <w:r w:rsidRPr="00005923">
        <w:rPr>
          <w:sz w:val="24"/>
          <w:szCs w:val="24"/>
        </w:rPr>
        <w:t>dexmedetomidin</w:t>
      </w:r>
      <w:proofErr w:type="spellEnd"/>
      <w:r w:rsidRPr="00005923">
        <w:rPr>
          <w:sz w:val="24"/>
          <w:szCs w:val="24"/>
        </w:rPr>
        <w:t xml:space="preserve"> indgives sammen med andre lægemidler, der har indflydelse på det </w:t>
      </w:r>
      <w:proofErr w:type="spellStart"/>
      <w:r w:rsidRPr="00005923">
        <w:rPr>
          <w:sz w:val="24"/>
          <w:szCs w:val="24"/>
        </w:rPr>
        <w:t>hepatiske</w:t>
      </w:r>
      <w:proofErr w:type="spellEnd"/>
      <w:r w:rsidRPr="00005923">
        <w:rPr>
          <w:sz w:val="24"/>
          <w:szCs w:val="24"/>
        </w:rPr>
        <w:t xml:space="preserve"> kredsløb.</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5.3</w:t>
      </w:r>
      <w:r w:rsidRPr="00005923">
        <w:rPr>
          <w:b/>
          <w:sz w:val="24"/>
          <w:szCs w:val="24"/>
        </w:rPr>
        <w:tab/>
        <w:t>Miljømæssige forhold</w:t>
      </w:r>
    </w:p>
    <w:p w:rsidR="00BE6819" w:rsidRPr="00005923" w:rsidRDefault="00BE6819" w:rsidP="00BE6819">
      <w:pPr>
        <w:tabs>
          <w:tab w:val="left" w:pos="851"/>
          <w:tab w:val="left" w:pos="8222"/>
        </w:tabs>
        <w:ind w:left="851" w:hanging="851"/>
        <w:rPr>
          <w:sz w:val="24"/>
          <w:szCs w:val="24"/>
        </w:rPr>
      </w:pPr>
      <w:r>
        <w:rPr>
          <w:sz w:val="24"/>
          <w:szCs w:val="24"/>
        </w:rPr>
        <w:tab/>
      </w:r>
      <w:r w:rsidRPr="00005923">
        <w:rPr>
          <w:sz w:val="24"/>
          <w:szCs w:val="24"/>
        </w:rPr>
        <w:t>-</w:t>
      </w:r>
    </w:p>
    <w:p w:rsidR="00BE6819" w:rsidRPr="00005923" w:rsidRDefault="00BE6819" w:rsidP="00BE6819">
      <w:pPr>
        <w:tabs>
          <w:tab w:val="left" w:pos="8222"/>
        </w:tabs>
        <w:ind w:left="851" w:hanging="851"/>
        <w:rPr>
          <w:sz w:val="24"/>
          <w:szCs w:val="24"/>
        </w:rPr>
      </w:pP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6.</w:t>
      </w:r>
      <w:r w:rsidRPr="00005923">
        <w:rPr>
          <w:b/>
          <w:sz w:val="24"/>
          <w:szCs w:val="24"/>
        </w:rPr>
        <w:tab/>
        <w:t>FARMACEUTISKE OPLYSNINGER</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6.1</w:t>
      </w:r>
      <w:r w:rsidRPr="00005923">
        <w:rPr>
          <w:b/>
          <w:sz w:val="24"/>
          <w:szCs w:val="24"/>
        </w:rPr>
        <w:tab/>
        <w:t>Hjælpestoffer</w:t>
      </w:r>
    </w:p>
    <w:p w:rsidR="00BE6819" w:rsidRPr="00005923" w:rsidRDefault="00BE6819" w:rsidP="00BE6819">
      <w:pPr>
        <w:ind w:left="851"/>
        <w:rPr>
          <w:sz w:val="24"/>
          <w:szCs w:val="24"/>
        </w:rPr>
      </w:pPr>
      <w:proofErr w:type="spellStart"/>
      <w:r w:rsidRPr="00005923">
        <w:rPr>
          <w:sz w:val="24"/>
          <w:szCs w:val="24"/>
        </w:rPr>
        <w:t>Methylparahydroxybenzoat</w:t>
      </w:r>
      <w:proofErr w:type="spellEnd"/>
      <w:r w:rsidRPr="00005923">
        <w:rPr>
          <w:sz w:val="24"/>
          <w:szCs w:val="24"/>
        </w:rPr>
        <w:t xml:space="preserve"> (E 218)</w:t>
      </w:r>
    </w:p>
    <w:p w:rsidR="00BE6819" w:rsidRPr="00005923" w:rsidRDefault="00BE6819" w:rsidP="00BE6819">
      <w:pPr>
        <w:ind w:left="851"/>
        <w:rPr>
          <w:sz w:val="24"/>
          <w:szCs w:val="24"/>
        </w:rPr>
      </w:pPr>
      <w:proofErr w:type="spellStart"/>
      <w:r w:rsidRPr="00005923">
        <w:rPr>
          <w:sz w:val="24"/>
          <w:szCs w:val="24"/>
        </w:rPr>
        <w:t>Propylparahydroxybenzoat</w:t>
      </w:r>
      <w:proofErr w:type="spellEnd"/>
    </w:p>
    <w:p w:rsidR="00BE6819" w:rsidRPr="00005923" w:rsidRDefault="00BE6819" w:rsidP="00BE6819">
      <w:pPr>
        <w:ind w:left="851"/>
        <w:rPr>
          <w:sz w:val="24"/>
          <w:szCs w:val="24"/>
        </w:rPr>
      </w:pPr>
      <w:proofErr w:type="spellStart"/>
      <w:r w:rsidRPr="00005923">
        <w:rPr>
          <w:sz w:val="24"/>
          <w:szCs w:val="24"/>
        </w:rPr>
        <w:t>Natrium</w:t>
      </w:r>
      <w:r>
        <w:rPr>
          <w:sz w:val="24"/>
          <w:szCs w:val="24"/>
        </w:rPr>
        <w:t>ch</w:t>
      </w:r>
      <w:r w:rsidRPr="00005923">
        <w:rPr>
          <w:sz w:val="24"/>
          <w:szCs w:val="24"/>
        </w:rPr>
        <w:t>lorid</w:t>
      </w:r>
      <w:proofErr w:type="spellEnd"/>
    </w:p>
    <w:p w:rsidR="00BE6819" w:rsidRPr="00005923" w:rsidRDefault="00BE6819" w:rsidP="00BE6819">
      <w:pPr>
        <w:ind w:left="851"/>
        <w:rPr>
          <w:sz w:val="24"/>
          <w:szCs w:val="24"/>
        </w:rPr>
      </w:pPr>
      <w:r w:rsidRPr="00005923">
        <w:rPr>
          <w:sz w:val="24"/>
          <w:szCs w:val="24"/>
        </w:rPr>
        <w:t>Vand til injektionsvæsker</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6.2</w:t>
      </w:r>
      <w:r w:rsidRPr="00005923">
        <w:rPr>
          <w:b/>
          <w:sz w:val="24"/>
          <w:szCs w:val="24"/>
        </w:rPr>
        <w:tab/>
        <w:t>Uforligeligheder</w:t>
      </w:r>
    </w:p>
    <w:p w:rsidR="00BE6819" w:rsidRPr="00005923" w:rsidRDefault="00BE6819" w:rsidP="00BE6819">
      <w:pPr>
        <w:ind w:left="851"/>
        <w:rPr>
          <w:sz w:val="24"/>
          <w:szCs w:val="24"/>
        </w:rPr>
      </w:pPr>
      <w:r w:rsidRPr="00005923">
        <w:rPr>
          <w:sz w:val="24"/>
          <w:szCs w:val="24"/>
        </w:rPr>
        <w:t>Ingen kendte.</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6.3</w:t>
      </w:r>
      <w:r w:rsidRPr="00005923">
        <w:rPr>
          <w:b/>
          <w:sz w:val="24"/>
          <w:szCs w:val="24"/>
        </w:rPr>
        <w:tab/>
        <w:t>Opbevaringstid</w:t>
      </w:r>
    </w:p>
    <w:p w:rsidR="00BE6819" w:rsidRPr="00005923" w:rsidRDefault="00BE6819" w:rsidP="00BE6819">
      <w:pPr>
        <w:tabs>
          <w:tab w:val="left" w:pos="1304"/>
        </w:tabs>
        <w:ind w:left="851" w:right="-318" w:hanging="851"/>
        <w:rPr>
          <w:sz w:val="24"/>
          <w:szCs w:val="24"/>
        </w:rPr>
      </w:pPr>
      <w:r>
        <w:rPr>
          <w:sz w:val="24"/>
          <w:szCs w:val="24"/>
        </w:rPr>
        <w:tab/>
        <w:t>I</w:t>
      </w:r>
      <w:r w:rsidRPr="00005923">
        <w:rPr>
          <w:sz w:val="24"/>
          <w:szCs w:val="24"/>
        </w:rPr>
        <w:t xml:space="preserve"> salgspakning: 30 måneder</w:t>
      </w:r>
    </w:p>
    <w:p w:rsidR="00BE6819" w:rsidRPr="00005923" w:rsidRDefault="00BE6819" w:rsidP="00BE6819">
      <w:pPr>
        <w:tabs>
          <w:tab w:val="left" w:pos="1304"/>
        </w:tabs>
        <w:ind w:left="851" w:right="-318" w:hanging="851"/>
        <w:rPr>
          <w:sz w:val="24"/>
          <w:szCs w:val="24"/>
        </w:rPr>
      </w:pPr>
      <w:r>
        <w:rPr>
          <w:sz w:val="24"/>
          <w:szCs w:val="24"/>
        </w:rPr>
        <w:tab/>
        <w:t>E</w:t>
      </w:r>
      <w:r w:rsidRPr="00005923">
        <w:rPr>
          <w:sz w:val="24"/>
          <w:szCs w:val="24"/>
        </w:rPr>
        <w:t>fter første åbning af den indre emballage: 28 dage</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lastRenderedPageBreak/>
        <w:t>6.4</w:t>
      </w:r>
      <w:r w:rsidRPr="00005923">
        <w:rPr>
          <w:b/>
          <w:sz w:val="24"/>
          <w:szCs w:val="24"/>
        </w:rPr>
        <w:tab/>
        <w:t>Særlige opbevaringsforhold</w:t>
      </w:r>
    </w:p>
    <w:p w:rsidR="00BE6819" w:rsidRPr="00005923" w:rsidRDefault="00BE6819" w:rsidP="00BE6819">
      <w:pPr>
        <w:ind w:left="851"/>
        <w:rPr>
          <w:noProof/>
          <w:sz w:val="24"/>
          <w:szCs w:val="24"/>
        </w:rPr>
      </w:pPr>
      <w:r w:rsidRPr="00005923">
        <w:rPr>
          <w:noProof/>
          <w:sz w:val="24"/>
          <w:szCs w:val="24"/>
        </w:rPr>
        <w:t>Dette veterinærlægemiddel kræver ingen særlige forholdsregler vedrørende opbevaringen.</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222"/>
        </w:tabs>
        <w:ind w:left="851" w:hanging="851"/>
        <w:rPr>
          <w:b/>
          <w:sz w:val="24"/>
          <w:szCs w:val="24"/>
        </w:rPr>
      </w:pPr>
      <w:r w:rsidRPr="00005923">
        <w:rPr>
          <w:b/>
          <w:sz w:val="24"/>
          <w:szCs w:val="24"/>
        </w:rPr>
        <w:t>6.5</w:t>
      </w:r>
      <w:r w:rsidRPr="00005923">
        <w:rPr>
          <w:b/>
          <w:sz w:val="24"/>
          <w:szCs w:val="24"/>
        </w:rPr>
        <w:tab/>
        <w:t>Emballage</w:t>
      </w:r>
    </w:p>
    <w:p w:rsidR="00BE6819" w:rsidRPr="00005923" w:rsidRDefault="004F051A" w:rsidP="00BE6819">
      <w:pPr>
        <w:ind w:left="851"/>
        <w:rPr>
          <w:sz w:val="24"/>
          <w:szCs w:val="24"/>
        </w:rPr>
      </w:pPr>
      <w:r w:rsidRPr="004F051A">
        <w:rPr>
          <w:sz w:val="24"/>
          <w:szCs w:val="24"/>
        </w:rPr>
        <w:t>Pap</w:t>
      </w:r>
      <w:r>
        <w:rPr>
          <w:sz w:val="24"/>
          <w:szCs w:val="24"/>
        </w:rPr>
        <w:t>karton</w:t>
      </w:r>
      <w:r w:rsidRPr="004F051A">
        <w:rPr>
          <w:sz w:val="24"/>
          <w:szCs w:val="24"/>
        </w:rPr>
        <w:t xml:space="preserve"> med </w:t>
      </w:r>
      <w:proofErr w:type="gramStart"/>
      <w:r w:rsidRPr="004F051A">
        <w:rPr>
          <w:sz w:val="24"/>
          <w:szCs w:val="24"/>
        </w:rPr>
        <w:t>é</w:t>
      </w:r>
      <w:r>
        <w:rPr>
          <w:sz w:val="24"/>
          <w:szCs w:val="24"/>
        </w:rPr>
        <w:t>t</w:t>
      </w:r>
      <w:r w:rsidRPr="004F051A">
        <w:rPr>
          <w:sz w:val="24"/>
          <w:szCs w:val="24"/>
        </w:rPr>
        <w:t xml:space="preserve"> farveløs</w:t>
      </w:r>
      <w:r>
        <w:rPr>
          <w:sz w:val="24"/>
          <w:szCs w:val="24"/>
        </w:rPr>
        <w:t>t</w:t>
      </w:r>
      <w:r w:rsidRPr="004F051A">
        <w:rPr>
          <w:sz w:val="24"/>
          <w:szCs w:val="24"/>
        </w:rPr>
        <w:t xml:space="preserve"> type</w:t>
      </w:r>
      <w:proofErr w:type="gramEnd"/>
      <w:r w:rsidRPr="004F051A">
        <w:rPr>
          <w:sz w:val="24"/>
          <w:szCs w:val="24"/>
        </w:rPr>
        <w:t xml:space="preserve"> I hætteglas à 10 ml, lukket med en </w:t>
      </w:r>
      <w:proofErr w:type="spellStart"/>
      <w:r w:rsidRPr="004F051A">
        <w:rPr>
          <w:sz w:val="24"/>
          <w:szCs w:val="24"/>
        </w:rPr>
        <w:t>brombutylgummiprop</w:t>
      </w:r>
      <w:proofErr w:type="spellEnd"/>
      <w:r w:rsidRPr="004F051A">
        <w:rPr>
          <w:sz w:val="24"/>
          <w:szCs w:val="24"/>
        </w:rPr>
        <w:t xml:space="preserve"> og aluminiumshætte med et “</w:t>
      </w:r>
      <w:proofErr w:type="spellStart"/>
      <w:r w:rsidRPr="004F051A">
        <w:rPr>
          <w:sz w:val="24"/>
          <w:szCs w:val="24"/>
        </w:rPr>
        <w:t>riv-af”-segl</w:t>
      </w:r>
      <w:proofErr w:type="spellEnd"/>
      <w:r w:rsidRPr="004F051A">
        <w:rPr>
          <w:sz w:val="24"/>
          <w:szCs w:val="24"/>
        </w:rPr>
        <w:t xml:space="preserve"> af polypropylen.</w:t>
      </w:r>
    </w:p>
    <w:p w:rsidR="00156A5E" w:rsidRDefault="00156A5E" w:rsidP="00BE6819">
      <w:pPr>
        <w:ind w:left="851"/>
        <w:rPr>
          <w:sz w:val="24"/>
          <w:szCs w:val="24"/>
        </w:rPr>
      </w:pPr>
    </w:p>
    <w:p w:rsidR="006B3BBA" w:rsidRPr="00AB2426" w:rsidRDefault="006B3BBA" w:rsidP="006B3BBA">
      <w:pPr>
        <w:tabs>
          <w:tab w:val="left" w:pos="851"/>
        </w:tabs>
        <w:ind w:left="851"/>
        <w:rPr>
          <w:sz w:val="24"/>
          <w:szCs w:val="24"/>
        </w:rPr>
      </w:pPr>
      <w:r w:rsidRPr="00AB2426">
        <w:rPr>
          <w:sz w:val="24"/>
          <w:szCs w:val="24"/>
        </w:rPr>
        <w:t>Ikke alle pakningsstørrelser er nødvendigvis markedsført.</w:t>
      </w:r>
    </w:p>
    <w:p w:rsidR="00156A5E" w:rsidRPr="00005923" w:rsidRDefault="00156A5E" w:rsidP="00BE6819">
      <w:pPr>
        <w:ind w:left="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6.6</w:t>
      </w:r>
      <w:r w:rsidRPr="00005923">
        <w:rPr>
          <w:b/>
          <w:sz w:val="24"/>
          <w:szCs w:val="24"/>
        </w:rPr>
        <w:tab/>
        <w:t>Særlige forholdsregler ved bortskaffelse af rester af lægemidlet eller affald</w:t>
      </w:r>
    </w:p>
    <w:p w:rsidR="00BE6819" w:rsidRPr="00005923" w:rsidRDefault="00BE6819" w:rsidP="00BE6819">
      <w:pPr>
        <w:tabs>
          <w:tab w:val="left" w:pos="1304"/>
        </w:tabs>
        <w:ind w:left="851" w:right="-318" w:hanging="851"/>
        <w:rPr>
          <w:sz w:val="24"/>
          <w:szCs w:val="24"/>
        </w:rPr>
      </w:pPr>
      <w:r>
        <w:rPr>
          <w:sz w:val="24"/>
          <w:szCs w:val="24"/>
        </w:rPr>
        <w:tab/>
      </w:r>
      <w:r w:rsidRPr="00005923">
        <w:rPr>
          <w:sz w:val="24"/>
          <w:szCs w:val="24"/>
        </w:rPr>
        <w:t xml:space="preserve">Ikke anvendte veterinærlægemidler, samt affald heraf bør destrueres i henhold til lokale </w:t>
      </w:r>
      <w:r w:rsidR="004F051A" w:rsidRPr="00005923">
        <w:rPr>
          <w:sz w:val="24"/>
          <w:szCs w:val="24"/>
        </w:rPr>
        <w:t>retningslinjer</w:t>
      </w:r>
      <w:r w:rsidRPr="00005923">
        <w:rPr>
          <w:sz w:val="24"/>
          <w:szCs w:val="24"/>
        </w:rPr>
        <w:t xml:space="preserve">.  </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7.</w:t>
      </w:r>
      <w:r w:rsidRPr="00005923">
        <w:rPr>
          <w:b/>
          <w:sz w:val="24"/>
          <w:szCs w:val="24"/>
        </w:rPr>
        <w:tab/>
        <w:t>INDEHAVER AF MARKEDSFØRINGSTILLADELSEN</w:t>
      </w:r>
    </w:p>
    <w:p w:rsidR="00BE6819" w:rsidRPr="00005923" w:rsidRDefault="00BE6819" w:rsidP="00BE6819">
      <w:pPr>
        <w:tabs>
          <w:tab w:val="left" w:pos="1304"/>
        </w:tabs>
        <w:ind w:left="851" w:right="-318" w:hanging="851"/>
        <w:rPr>
          <w:bCs/>
          <w:sz w:val="24"/>
          <w:szCs w:val="24"/>
        </w:rPr>
      </w:pPr>
      <w:r>
        <w:rPr>
          <w:bCs/>
          <w:sz w:val="24"/>
          <w:szCs w:val="24"/>
        </w:rPr>
        <w:tab/>
      </w:r>
      <w:r w:rsidRPr="00005923">
        <w:rPr>
          <w:bCs/>
          <w:sz w:val="24"/>
          <w:szCs w:val="24"/>
        </w:rPr>
        <w:t>VETPHARMA ANIMAL HEALTH, S.L.</w:t>
      </w:r>
    </w:p>
    <w:p w:rsidR="00BE6819" w:rsidRPr="00DD2FF0" w:rsidRDefault="00BE6819" w:rsidP="00BE6819">
      <w:pPr>
        <w:tabs>
          <w:tab w:val="left" w:pos="1304"/>
        </w:tabs>
        <w:ind w:left="851" w:right="-318" w:hanging="851"/>
        <w:rPr>
          <w:bCs/>
          <w:sz w:val="24"/>
          <w:szCs w:val="24"/>
        </w:rPr>
      </w:pPr>
      <w:r w:rsidRPr="00375734">
        <w:rPr>
          <w:bCs/>
          <w:sz w:val="24"/>
          <w:szCs w:val="24"/>
        </w:rPr>
        <w:tab/>
      </w:r>
      <w:r w:rsidRPr="00DD2FF0">
        <w:rPr>
          <w:bCs/>
          <w:sz w:val="24"/>
          <w:szCs w:val="24"/>
        </w:rPr>
        <w:t>Les Corts, 23</w:t>
      </w:r>
    </w:p>
    <w:p w:rsidR="00BE6819" w:rsidRPr="00DD2FF0" w:rsidRDefault="00BE6819" w:rsidP="00BE6819">
      <w:pPr>
        <w:tabs>
          <w:tab w:val="left" w:pos="1304"/>
        </w:tabs>
        <w:ind w:left="851" w:right="-318" w:hanging="851"/>
        <w:rPr>
          <w:bCs/>
          <w:sz w:val="24"/>
          <w:szCs w:val="24"/>
        </w:rPr>
      </w:pPr>
      <w:r w:rsidRPr="00DD2FF0">
        <w:rPr>
          <w:bCs/>
          <w:sz w:val="24"/>
          <w:szCs w:val="24"/>
        </w:rPr>
        <w:tab/>
        <w:t>08028 – BARCELONA</w:t>
      </w:r>
    </w:p>
    <w:p w:rsidR="00BE6819" w:rsidRPr="00DD2FF0" w:rsidRDefault="00BE6819" w:rsidP="00BE6819">
      <w:pPr>
        <w:tabs>
          <w:tab w:val="left" w:pos="1304"/>
        </w:tabs>
        <w:ind w:left="851" w:right="-318" w:hanging="851"/>
        <w:rPr>
          <w:bCs/>
          <w:sz w:val="24"/>
          <w:szCs w:val="24"/>
        </w:rPr>
      </w:pPr>
      <w:r w:rsidRPr="00DD2FF0">
        <w:rPr>
          <w:bCs/>
          <w:sz w:val="24"/>
          <w:szCs w:val="24"/>
        </w:rPr>
        <w:tab/>
        <w:t>Spanien</w:t>
      </w:r>
    </w:p>
    <w:p w:rsidR="00BE6819" w:rsidRPr="00DD2FF0" w:rsidRDefault="00BE6819" w:rsidP="00BE6819">
      <w:pPr>
        <w:tabs>
          <w:tab w:val="left" w:pos="1304"/>
        </w:tabs>
        <w:ind w:left="851" w:right="-318" w:hanging="851"/>
        <w:rPr>
          <w:sz w:val="24"/>
          <w:szCs w:val="24"/>
        </w:rPr>
      </w:pPr>
    </w:p>
    <w:p w:rsidR="00BE6819" w:rsidRPr="00005923" w:rsidRDefault="00BE6819" w:rsidP="00C630E9">
      <w:pPr>
        <w:tabs>
          <w:tab w:val="left" w:pos="1304"/>
        </w:tabs>
        <w:ind w:left="851" w:right="-318" w:hanging="851"/>
        <w:rPr>
          <w:sz w:val="24"/>
          <w:szCs w:val="24"/>
        </w:rPr>
      </w:pPr>
      <w:r w:rsidRPr="00DD2FF0">
        <w:rPr>
          <w:b/>
          <w:sz w:val="24"/>
          <w:szCs w:val="24"/>
        </w:rPr>
        <w:tab/>
      </w:r>
    </w:p>
    <w:p w:rsidR="00BE6819" w:rsidRPr="00005923" w:rsidRDefault="00BE6819" w:rsidP="00BE6819">
      <w:pPr>
        <w:tabs>
          <w:tab w:val="left" w:pos="8222"/>
        </w:tabs>
        <w:ind w:left="851" w:hanging="851"/>
        <w:rPr>
          <w:b/>
          <w:sz w:val="24"/>
          <w:szCs w:val="24"/>
        </w:rPr>
      </w:pPr>
      <w:r w:rsidRPr="00005923">
        <w:rPr>
          <w:b/>
          <w:sz w:val="24"/>
          <w:szCs w:val="24"/>
        </w:rPr>
        <w:t>8.</w:t>
      </w:r>
      <w:r w:rsidRPr="00005923">
        <w:rPr>
          <w:b/>
          <w:sz w:val="24"/>
          <w:szCs w:val="24"/>
        </w:rPr>
        <w:tab/>
        <w:t>MARKEDSFØRINGSTILLADELSESNUMMER (NUMRE)</w:t>
      </w:r>
    </w:p>
    <w:p w:rsidR="00BE6819" w:rsidRPr="00005923" w:rsidRDefault="00BE6819" w:rsidP="00BE6819">
      <w:pPr>
        <w:tabs>
          <w:tab w:val="left" w:pos="851"/>
          <w:tab w:val="left" w:pos="8222"/>
        </w:tabs>
        <w:ind w:left="851" w:hanging="851"/>
        <w:rPr>
          <w:sz w:val="24"/>
          <w:szCs w:val="24"/>
        </w:rPr>
      </w:pPr>
      <w:r>
        <w:rPr>
          <w:sz w:val="24"/>
          <w:szCs w:val="24"/>
        </w:rPr>
        <w:tab/>
      </w:r>
      <w:r w:rsidRPr="00005923">
        <w:rPr>
          <w:sz w:val="24"/>
          <w:szCs w:val="24"/>
        </w:rPr>
        <w:t>55848</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9.</w:t>
      </w:r>
      <w:r w:rsidRPr="00005923">
        <w:rPr>
          <w:b/>
          <w:sz w:val="24"/>
          <w:szCs w:val="24"/>
        </w:rPr>
        <w:tab/>
        <w:t>DATO FOR FØRSTE MARKEDSFØRINGSTILLADELSE</w:t>
      </w:r>
    </w:p>
    <w:p w:rsidR="00BE6819" w:rsidRPr="00005923" w:rsidRDefault="00BE6819" w:rsidP="00BE6819">
      <w:pPr>
        <w:tabs>
          <w:tab w:val="left" w:pos="851"/>
          <w:tab w:val="left" w:pos="8222"/>
        </w:tabs>
        <w:ind w:left="851" w:hanging="851"/>
        <w:rPr>
          <w:sz w:val="24"/>
          <w:szCs w:val="24"/>
        </w:rPr>
      </w:pPr>
      <w:r>
        <w:rPr>
          <w:sz w:val="24"/>
          <w:szCs w:val="24"/>
        </w:rPr>
        <w:tab/>
      </w:r>
      <w:r w:rsidRPr="00005923">
        <w:rPr>
          <w:sz w:val="24"/>
          <w:szCs w:val="24"/>
        </w:rPr>
        <w:t>8. juni 2016</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10.</w:t>
      </w:r>
      <w:r w:rsidRPr="00005923">
        <w:rPr>
          <w:b/>
          <w:sz w:val="24"/>
          <w:szCs w:val="24"/>
        </w:rPr>
        <w:tab/>
        <w:t>DATO FOR ÆNDRING AF TEKSTEN</w:t>
      </w:r>
    </w:p>
    <w:p w:rsidR="00BE6819" w:rsidRPr="00005923" w:rsidRDefault="00BE6819" w:rsidP="00BE6819">
      <w:pPr>
        <w:tabs>
          <w:tab w:val="left" w:pos="851"/>
          <w:tab w:val="left" w:pos="8222"/>
        </w:tabs>
        <w:ind w:left="851" w:hanging="851"/>
        <w:rPr>
          <w:sz w:val="24"/>
          <w:szCs w:val="24"/>
        </w:rPr>
      </w:pPr>
      <w:r>
        <w:rPr>
          <w:sz w:val="24"/>
          <w:szCs w:val="24"/>
        </w:rPr>
        <w:tab/>
      </w:r>
      <w:r w:rsidR="008A5737">
        <w:rPr>
          <w:sz w:val="24"/>
          <w:szCs w:val="24"/>
        </w:rPr>
        <w:t>13. september 2021</w:t>
      </w:r>
    </w:p>
    <w:p w:rsidR="00BE6819" w:rsidRPr="00005923" w:rsidRDefault="00BE6819" w:rsidP="00BE6819">
      <w:pPr>
        <w:tabs>
          <w:tab w:val="left" w:pos="851"/>
          <w:tab w:val="left" w:pos="8222"/>
        </w:tabs>
        <w:ind w:left="851" w:hanging="851"/>
        <w:rPr>
          <w:sz w:val="24"/>
          <w:szCs w:val="24"/>
        </w:rPr>
      </w:pPr>
    </w:p>
    <w:p w:rsidR="00BE6819" w:rsidRPr="00005923" w:rsidRDefault="00BE6819" w:rsidP="00BE6819">
      <w:pPr>
        <w:tabs>
          <w:tab w:val="left" w:pos="851"/>
          <w:tab w:val="left" w:pos="8222"/>
        </w:tabs>
        <w:ind w:left="851" w:hanging="851"/>
        <w:rPr>
          <w:b/>
          <w:sz w:val="24"/>
          <w:szCs w:val="24"/>
        </w:rPr>
      </w:pPr>
      <w:r w:rsidRPr="00005923">
        <w:rPr>
          <w:b/>
          <w:sz w:val="24"/>
          <w:szCs w:val="24"/>
        </w:rPr>
        <w:t>11.</w:t>
      </w:r>
      <w:r w:rsidRPr="00005923">
        <w:rPr>
          <w:b/>
          <w:sz w:val="24"/>
          <w:szCs w:val="24"/>
        </w:rPr>
        <w:tab/>
        <w:t>UDLEVERINGSBESTEMMELSE</w:t>
      </w:r>
    </w:p>
    <w:p w:rsidR="00BE6819" w:rsidRPr="00005923" w:rsidRDefault="00BE6819" w:rsidP="00BE6819">
      <w:pPr>
        <w:pStyle w:val="Sidehoved"/>
        <w:tabs>
          <w:tab w:val="clear" w:pos="4819"/>
          <w:tab w:val="left" w:pos="851"/>
          <w:tab w:val="left" w:pos="8222"/>
        </w:tabs>
        <w:ind w:left="851" w:hanging="851"/>
        <w:rPr>
          <w:szCs w:val="24"/>
        </w:rPr>
      </w:pPr>
      <w:r>
        <w:rPr>
          <w:szCs w:val="24"/>
        </w:rPr>
        <w:tab/>
      </w:r>
      <w:r w:rsidRPr="00005923">
        <w:rPr>
          <w:szCs w:val="24"/>
        </w:rPr>
        <w:t>B</w:t>
      </w:r>
    </w:p>
    <w:p w:rsidR="00BE6819" w:rsidRPr="004B5792" w:rsidRDefault="00BE6819" w:rsidP="00BE6819"/>
    <w:p w:rsidR="0003527F" w:rsidRPr="00BE6819" w:rsidRDefault="0003527F" w:rsidP="00BE6819"/>
    <w:sectPr w:rsidR="0003527F" w:rsidRPr="00BE681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2E0" w:rsidRDefault="004312E0">
      <w:r>
        <w:separator/>
      </w:r>
    </w:p>
  </w:endnote>
  <w:endnote w:type="continuationSeparator" w:id="0">
    <w:p w:rsidR="004312E0" w:rsidRDefault="0043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2E0" w:rsidRDefault="004312E0">
    <w:pPr>
      <w:pStyle w:val="Sidefod"/>
      <w:pBdr>
        <w:bottom w:val="single" w:sz="6" w:space="1" w:color="auto"/>
      </w:pBdr>
      <w:tabs>
        <w:tab w:val="clear" w:pos="4819"/>
        <w:tab w:val="left" w:pos="8647"/>
      </w:tabs>
      <w:rPr>
        <w:i/>
        <w:snapToGrid w:val="0"/>
        <w:sz w:val="18"/>
      </w:rPr>
    </w:pPr>
  </w:p>
  <w:p w:rsidR="004312E0" w:rsidRDefault="004312E0">
    <w:pPr>
      <w:pStyle w:val="Sidefod"/>
      <w:tabs>
        <w:tab w:val="clear" w:pos="4819"/>
        <w:tab w:val="left" w:pos="8647"/>
      </w:tabs>
      <w:rPr>
        <w:i/>
        <w:snapToGrid w:val="0"/>
        <w:sz w:val="18"/>
      </w:rPr>
    </w:pPr>
  </w:p>
  <w:p w:rsidR="004312E0" w:rsidRDefault="004312E0">
    <w:pPr>
      <w:pStyle w:val="Sidefod"/>
      <w:tabs>
        <w:tab w:val="clear" w:pos="4819"/>
        <w:tab w:val="left" w:pos="8647"/>
      </w:tabs>
      <w:rPr>
        <w:i/>
        <w:sz w:val="18"/>
      </w:rPr>
    </w:pPr>
    <w:proofErr w:type="spellStart"/>
    <w:r w:rsidRPr="00D8230B">
      <w:rPr>
        <w:i/>
        <w:snapToGrid w:val="0"/>
        <w:sz w:val="18"/>
      </w:rPr>
      <w:t>Dexmopet</w:t>
    </w:r>
    <w:proofErr w:type="spellEnd"/>
    <w:r w:rsidRPr="00D8230B">
      <w:rPr>
        <w:i/>
        <w:snapToGrid w:val="0"/>
        <w:sz w:val="18"/>
      </w:rPr>
      <w:t xml:space="preserve"> </w:t>
    </w:r>
    <w:proofErr w:type="spellStart"/>
    <w:r w:rsidRPr="00D8230B">
      <w:rPr>
        <w:i/>
        <w:snapToGrid w:val="0"/>
        <w:sz w:val="18"/>
      </w:rPr>
      <w:t>Vet</w:t>
    </w:r>
    <w:proofErr w:type="spellEnd"/>
    <w:r w:rsidRPr="00D8230B">
      <w:rPr>
        <w:i/>
        <w:snapToGrid w:val="0"/>
        <w:sz w:val="18"/>
      </w:rPr>
      <w:t>., injektionsvæske, opløsning 0,5 mg-ml</w:t>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2E0" w:rsidRDefault="004312E0">
    <w:pPr>
      <w:pStyle w:val="Sidefod"/>
      <w:pBdr>
        <w:bottom w:val="single" w:sz="6" w:space="1" w:color="auto"/>
      </w:pBdr>
      <w:tabs>
        <w:tab w:val="clear" w:pos="4819"/>
        <w:tab w:val="left" w:pos="8647"/>
      </w:tabs>
      <w:rPr>
        <w:i/>
        <w:snapToGrid w:val="0"/>
        <w:sz w:val="18"/>
      </w:rPr>
    </w:pPr>
  </w:p>
  <w:p w:rsidR="004312E0" w:rsidRDefault="004312E0">
    <w:pPr>
      <w:pStyle w:val="Sidefod"/>
      <w:tabs>
        <w:tab w:val="clear" w:pos="4819"/>
        <w:tab w:val="left" w:pos="8647"/>
      </w:tabs>
      <w:rPr>
        <w:i/>
        <w:snapToGrid w:val="0"/>
        <w:sz w:val="18"/>
      </w:rPr>
    </w:pPr>
  </w:p>
  <w:p w:rsidR="004312E0" w:rsidRDefault="004312E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Dokument229</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2E0" w:rsidRDefault="004312E0">
      <w:r>
        <w:separator/>
      </w:r>
    </w:p>
  </w:footnote>
  <w:footnote w:type="continuationSeparator" w:id="0">
    <w:p w:rsidR="004312E0" w:rsidRDefault="00431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2E0" w:rsidRDefault="004312E0">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2E0" w:rsidRDefault="004312E0">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C200FEA"/>
    <w:multiLevelType w:val="hybridMultilevel"/>
    <w:tmpl w:val="7214D47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19"/>
    <w:rsid w:val="00014AFE"/>
    <w:rsid w:val="0003527F"/>
    <w:rsid w:val="00065C7D"/>
    <w:rsid w:val="000C6CD4"/>
    <w:rsid w:val="00156A5E"/>
    <w:rsid w:val="001577E4"/>
    <w:rsid w:val="001858CA"/>
    <w:rsid w:val="001A05BB"/>
    <w:rsid w:val="001C4AEF"/>
    <w:rsid w:val="001D3CC5"/>
    <w:rsid w:val="00322BDE"/>
    <w:rsid w:val="00406EE7"/>
    <w:rsid w:val="00407013"/>
    <w:rsid w:val="004312E0"/>
    <w:rsid w:val="00441338"/>
    <w:rsid w:val="004A62CC"/>
    <w:rsid w:val="004F051A"/>
    <w:rsid w:val="00565A74"/>
    <w:rsid w:val="0058289B"/>
    <w:rsid w:val="005B0036"/>
    <w:rsid w:val="005F5831"/>
    <w:rsid w:val="00662012"/>
    <w:rsid w:val="00666B01"/>
    <w:rsid w:val="006B1539"/>
    <w:rsid w:val="006B3BBA"/>
    <w:rsid w:val="006D4B41"/>
    <w:rsid w:val="006F5621"/>
    <w:rsid w:val="00757861"/>
    <w:rsid w:val="007E2804"/>
    <w:rsid w:val="007E2A00"/>
    <w:rsid w:val="008010F2"/>
    <w:rsid w:val="00861668"/>
    <w:rsid w:val="00875BD9"/>
    <w:rsid w:val="008800B3"/>
    <w:rsid w:val="008A5737"/>
    <w:rsid w:val="008F464E"/>
    <w:rsid w:val="009202AE"/>
    <w:rsid w:val="00932676"/>
    <w:rsid w:val="009D66C6"/>
    <w:rsid w:val="00A96525"/>
    <w:rsid w:val="00AE29E5"/>
    <w:rsid w:val="00AE5757"/>
    <w:rsid w:val="00B25EB8"/>
    <w:rsid w:val="00B904E5"/>
    <w:rsid w:val="00BC634B"/>
    <w:rsid w:val="00BE6819"/>
    <w:rsid w:val="00BF2AE0"/>
    <w:rsid w:val="00C479BF"/>
    <w:rsid w:val="00C630E9"/>
    <w:rsid w:val="00D567AA"/>
    <w:rsid w:val="00D8230B"/>
    <w:rsid w:val="00DD17A9"/>
    <w:rsid w:val="00DD2FF0"/>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AF344"/>
  <w15:chartTrackingRefBased/>
  <w15:docId w15:val="{C4F083BB-250C-4CDC-8ED4-18D9F30E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E6819"/>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297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96884813">
      <w:bodyDiv w:val="1"/>
      <w:marLeft w:val="0"/>
      <w:marRight w:val="0"/>
      <w:marTop w:val="0"/>
      <w:marBottom w:val="0"/>
      <w:divBdr>
        <w:top w:val="none" w:sz="0" w:space="0" w:color="auto"/>
        <w:left w:val="none" w:sz="0" w:space="0" w:color="auto"/>
        <w:bottom w:val="none" w:sz="0" w:space="0" w:color="auto"/>
        <w:right w:val="none" w:sz="0" w:space="0" w:color="auto"/>
      </w:divBdr>
    </w:div>
    <w:div w:id="13381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10</TotalTime>
  <Pages>10</Pages>
  <Words>2685</Words>
  <Characters>17280</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2020104120: MT forlængelse_x000d_
4.3, 4.5,</dc:description>
  <cp:lastModifiedBy>Helle Venn</cp:lastModifiedBy>
  <cp:revision>3</cp:revision>
  <dcterms:created xsi:type="dcterms:W3CDTF">2021-09-13T12:19:00Z</dcterms:created>
  <dcterms:modified xsi:type="dcterms:W3CDTF">2021-09-13T12:33:00Z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