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05B51" w14:textId="77777777" w:rsidR="008203A8" w:rsidRPr="00D85C42" w:rsidRDefault="008203A8" w:rsidP="008203A8">
      <w:pPr>
        <w:rPr>
          <w:sz w:val="24"/>
          <w:szCs w:val="24"/>
        </w:rPr>
      </w:pPr>
      <w:bookmarkStart w:id="0" w:name="_GoBack"/>
      <w:bookmarkEnd w:id="0"/>
      <w:r w:rsidRPr="00D85C42">
        <w:rPr>
          <w:noProof/>
          <w:sz w:val="24"/>
          <w:szCs w:val="24"/>
          <w:lang w:eastAsia="da-DK"/>
        </w:rPr>
        <w:drawing>
          <wp:inline distT="0" distB="0" distL="0" distR="0" wp14:anchorId="3E6C261E" wp14:editId="55FF2A42">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45BBFDA7" w14:textId="77777777" w:rsidR="008203A8" w:rsidRPr="00D85C42" w:rsidRDefault="008203A8" w:rsidP="008203A8">
      <w:pPr>
        <w:rPr>
          <w:sz w:val="24"/>
          <w:szCs w:val="24"/>
        </w:rPr>
      </w:pPr>
    </w:p>
    <w:p w14:paraId="57FED798" w14:textId="07A7917E" w:rsidR="008203A8" w:rsidRPr="00D85C42" w:rsidRDefault="008203A8" w:rsidP="008203A8">
      <w:pPr>
        <w:tabs>
          <w:tab w:val="right" w:pos="9356"/>
        </w:tabs>
        <w:rPr>
          <w:b/>
          <w:sz w:val="24"/>
          <w:szCs w:val="24"/>
        </w:rPr>
      </w:pPr>
      <w:r w:rsidRPr="00D85C42">
        <w:rPr>
          <w:b/>
          <w:sz w:val="24"/>
          <w:szCs w:val="24"/>
        </w:rPr>
        <w:tab/>
      </w:r>
      <w:r w:rsidR="00475769">
        <w:rPr>
          <w:b/>
          <w:sz w:val="24"/>
          <w:szCs w:val="24"/>
        </w:rPr>
        <w:t>2. februar 2026</w:t>
      </w:r>
    </w:p>
    <w:p w14:paraId="66A1B995" w14:textId="695AC643" w:rsidR="008203A8" w:rsidRPr="00D85C42" w:rsidRDefault="008203A8" w:rsidP="008203A8">
      <w:pPr>
        <w:rPr>
          <w:sz w:val="24"/>
          <w:szCs w:val="24"/>
        </w:rPr>
      </w:pPr>
    </w:p>
    <w:p w14:paraId="5A74E715" w14:textId="51D1FC4D" w:rsidR="00355FDF" w:rsidRPr="00D85C42" w:rsidRDefault="00355FDF" w:rsidP="008203A8">
      <w:pPr>
        <w:rPr>
          <w:sz w:val="24"/>
          <w:szCs w:val="24"/>
        </w:rPr>
      </w:pPr>
    </w:p>
    <w:p w14:paraId="7FC8F07C" w14:textId="77777777" w:rsidR="00355FDF" w:rsidRPr="00D85C42" w:rsidRDefault="00355FDF" w:rsidP="008203A8">
      <w:pPr>
        <w:rPr>
          <w:sz w:val="24"/>
          <w:szCs w:val="24"/>
        </w:rPr>
      </w:pPr>
    </w:p>
    <w:p w14:paraId="35C5A143" w14:textId="77777777" w:rsidR="008203A8" w:rsidRPr="00D85C42" w:rsidRDefault="008203A8" w:rsidP="008203A8">
      <w:pPr>
        <w:jc w:val="center"/>
        <w:rPr>
          <w:b/>
          <w:sz w:val="24"/>
          <w:szCs w:val="24"/>
        </w:rPr>
      </w:pPr>
      <w:r w:rsidRPr="00D85C42">
        <w:rPr>
          <w:b/>
          <w:sz w:val="24"/>
          <w:szCs w:val="24"/>
        </w:rPr>
        <w:t>PRODUKTRESUMÉ</w:t>
      </w:r>
    </w:p>
    <w:p w14:paraId="79C84933" w14:textId="77777777" w:rsidR="008203A8" w:rsidRPr="00D85C42" w:rsidRDefault="008203A8" w:rsidP="008203A8">
      <w:pPr>
        <w:jc w:val="center"/>
        <w:rPr>
          <w:b/>
          <w:sz w:val="24"/>
          <w:szCs w:val="24"/>
        </w:rPr>
      </w:pPr>
    </w:p>
    <w:p w14:paraId="13AD1CC5" w14:textId="77777777" w:rsidR="008203A8" w:rsidRPr="00D85C42" w:rsidRDefault="008203A8" w:rsidP="008203A8">
      <w:pPr>
        <w:jc w:val="center"/>
        <w:rPr>
          <w:b/>
          <w:sz w:val="24"/>
          <w:szCs w:val="24"/>
        </w:rPr>
      </w:pPr>
      <w:r w:rsidRPr="00D85C42">
        <w:rPr>
          <w:b/>
          <w:sz w:val="24"/>
          <w:szCs w:val="24"/>
        </w:rPr>
        <w:t>for</w:t>
      </w:r>
    </w:p>
    <w:p w14:paraId="73357320" w14:textId="77777777" w:rsidR="008203A8" w:rsidRPr="00D85C42" w:rsidRDefault="008203A8" w:rsidP="008203A8">
      <w:pPr>
        <w:jc w:val="center"/>
        <w:rPr>
          <w:b/>
          <w:sz w:val="24"/>
          <w:szCs w:val="24"/>
        </w:rPr>
      </w:pPr>
    </w:p>
    <w:p w14:paraId="648E905A" w14:textId="4B2BE6AC" w:rsidR="008203A8" w:rsidRPr="00D85C42" w:rsidRDefault="00574F7A" w:rsidP="008203A8">
      <w:pPr>
        <w:jc w:val="center"/>
        <w:rPr>
          <w:b/>
          <w:sz w:val="24"/>
          <w:szCs w:val="24"/>
        </w:rPr>
      </w:pPr>
      <w:proofErr w:type="spellStart"/>
      <w:r w:rsidRPr="00D85C42">
        <w:rPr>
          <w:b/>
          <w:sz w:val="24"/>
          <w:szCs w:val="24"/>
        </w:rPr>
        <w:t>Doliven</w:t>
      </w:r>
      <w:proofErr w:type="spellEnd"/>
      <w:r w:rsidRPr="00D85C42">
        <w:rPr>
          <w:b/>
          <w:sz w:val="24"/>
          <w:szCs w:val="24"/>
        </w:rPr>
        <w:t>, injektionsvæske, opløsning</w:t>
      </w:r>
    </w:p>
    <w:p w14:paraId="054A72AE" w14:textId="77777777" w:rsidR="008203A8" w:rsidRPr="00D85C42" w:rsidRDefault="008203A8" w:rsidP="008203A8">
      <w:pPr>
        <w:jc w:val="both"/>
        <w:rPr>
          <w:sz w:val="24"/>
          <w:szCs w:val="24"/>
        </w:rPr>
      </w:pPr>
    </w:p>
    <w:p w14:paraId="141E36D5" w14:textId="77777777" w:rsidR="008203A8" w:rsidRPr="00D85C42" w:rsidRDefault="008203A8" w:rsidP="008203A8">
      <w:pPr>
        <w:jc w:val="both"/>
        <w:rPr>
          <w:sz w:val="24"/>
          <w:szCs w:val="24"/>
        </w:rPr>
      </w:pPr>
    </w:p>
    <w:p w14:paraId="662A5701" w14:textId="77777777" w:rsidR="008203A8" w:rsidRPr="00D85C42" w:rsidRDefault="008203A8" w:rsidP="008203A8">
      <w:pPr>
        <w:ind w:left="851" w:hanging="851"/>
        <w:rPr>
          <w:b/>
          <w:sz w:val="24"/>
          <w:szCs w:val="24"/>
        </w:rPr>
      </w:pPr>
      <w:r w:rsidRPr="00D85C42">
        <w:rPr>
          <w:b/>
          <w:sz w:val="24"/>
          <w:szCs w:val="24"/>
        </w:rPr>
        <w:t>0.</w:t>
      </w:r>
      <w:r w:rsidRPr="00D85C42">
        <w:rPr>
          <w:b/>
          <w:sz w:val="24"/>
          <w:szCs w:val="24"/>
        </w:rPr>
        <w:tab/>
        <w:t>D.SP.NR.</w:t>
      </w:r>
    </w:p>
    <w:p w14:paraId="0158A21A" w14:textId="32D3F947" w:rsidR="008203A8" w:rsidRPr="00D85C42" w:rsidRDefault="00E57569" w:rsidP="008203A8">
      <w:pPr>
        <w:ind w:left="851"/>
        <w:rPr>
          <w:sz w:val="24"/>
          <w:szCs w:val="24"/>
        </w:rPr>
      </w:pPr>
      <w:r w:rsidRPr="00D85C42">
        <w:rPr>
          <w:sz w:val="24"/>
          <w:szCs w:val="24"/>
        </w:rPr>
        <w:t>34224</w:t>
      </w:r>
    </w:p>
    <w:p w14:paraId="404F5FAA" w14:textId="77777777" w:rsidR="008203A8" w:rsidRPr="00D85C42" w:rsidRDefault="008203A8" w:rsidP="008203A8">
      <w:pPr>
        <w:ind w:left="851"/>
        <w:rPr>
          <w:sz w:val="24"/>
          <w:szCs w:val="24"/>
        </w:rPr>
      </w:pPr>
    </w:p>
    <w:p w14:paraId="4015DAA5" w14:textId="77777777" w:rsidR="008203A8" w:rsidRPr="00D85C42" w:rsidRDefault="008203A8" w:rsidP="008203A8">
      <w:pPr>
        <w:ind w:left="851" w:hanging="851"/>
        <w:rPr>
          <w:b/>
          <w:sz w:val="24"/>
          <w:szCs w:val="24"/>
        </w:rPr>
      </w:pPr>
      <w:r w:rsidRPr="00D85C42">
        <w:rPr>
          <w:b/>
          <w:sz w:val="24"/>
          <w:szCs w:val="24"/>
        </w:rPr>
        <w:t>1.</w:t>
      </w:r>
      <w:r w:rsidRPr="00D85C42">
        <w:rPr>
          <w:b/>
          <w:sz w:val="24"/>
          <w:szCs w:val="24"/>
        </w:rPr>
        <w:tab/>
        <w:t>VETERINÆRLÆGEMIDLETS NAVN</w:t>
      </w:r>
    </w:p>
    <w:p w14:paraId="2171C1BD" w14:textId="59275848" w:rsidR="008203A8" w:rsidRPr="00D85C42" w:rsidRDefault="00574F7A" w:rsidP="008203A8">
      <w:pPr>
        <w:ind w:left="851"/>
        <w:rPr>
          <w:sz w:val="24"/>
          <w:szCs w:val="24"/>
        </w:rPr>
      </w:pPr>
      <w:proofErr w:type="spellStart"/>
      <w:r w:rsidRPr="00D85C42">
        <w:rPr>
          <w:sz w:val="24"/>
          <w:szCs w:val="24"/>
        </w:rPr>
        <w:t>Doliven</w:t>
      </w:r>
      <w:proofErr w:type="spellEnd"/>
    </w:p>
    <w:p w14:paraId="24222250" w14:textId="77777777" w:rsidR="008203A8" w:rsidRPr="00D85C42" w:rsidRDefault="008203A8" w:rsidP="008203A8">
      <w:pPr>
        <w:ind w:left="851"/>
        <w:rPr>
          <w:sz w:val="24"/>
          <w:szCs w:val="24"/>
        </w:rPr>
      </w:pPr>
    </w:p>
    <w:p w14:paraId="4C8B28CF" w14:textId="55EFCF16" w:rsidR="008203A8" w:rsidRPr="00D85C42" w:rsidRDefault="008203A8" w:rsidP="008203A8">
      <w:pPr>
        <w:ind w:left="851"/>
        <w:rPr>
          <w:sz w:val="24"/>
          <w:szCs w:val="24"/>
        </w:rPr>
      </w:pPr>
      <w:r w:rsidRPr="00D85C42">
        <w:rPr>
          <w:sz w:val="24"/>
          <w:szCs w:val="24"/>
        </w:rPr>
        <w:t xml:space="preserve">Lægemiddelform: </w:t>
      </w:r>
      <w:r w:rsidR="00574F7A" w:rsidRPr="00D85C42">
        <w:rPr>
          <w:sz w:val="24"/>
          <w:szCs w:val="24"/>
        </w:rPr>
        <w:t>Injektionsvæske, opløsning</w:t>
      </w:r>
    </w:p>
    <w:p w14:paraId="11A96D8F" w14:textId="07BDDF75" w:rsidR="008203A8" w:rsidRPr="00D85C42" w:rsidRDefault="008203A8" w:rsidP="008203A8">
      <w:pPr>
        <w:ind w:left="851"/>
        <w:rPr>
          <w:sz w:val="24"/>
          <w:szCs w:val="24"/>
        </w:rPr>
      </w:pPr>
      <w:r w:rsidRPr="00D85C42">
        <w:rPr>
          <w:sz w:val="24"/>
          <w:szCs w:val="24"/>
        </w:rPr>
        <w:t xml:space="preserve">Styrke(r): </w:t>
      </w:r>
      <w:r w:rsidR="00574F7A" w:rsidRPr="00D85C42">
        <w:rPr>
          <w:sz w:val="24"/>
          <w:szCs w:val="24"/>
        </w:rPr>
        <w:t>150 mg/ml</w:t>
      </w:r>
    </w:p>
    <w:p w14:paraId="2BDCD10E" w14:textId="77777777" w:rsidR="008203A8" w:rsidRPr="00D85C42" w:rsidRDefault="008203A8" w:rsidP="008203A8">
      <w:pPr>
        <w:ind w:left="851"/>
        <w:rPr>
          <w:sz w:val="24"/>
          <w:szCs w:val="24"/>
        </w:rPr>
      </w:pPr>
    </w:p>
    <w:p w14:paraId="514CD236" w14:textId="77777777" w:rsidR="008203A8" w:rsidRPr="00D85C42" w:rsidRDefault="008203A8" w:rsidP="008203A8">
      <w:pPr>
        <w:ind w:left="851" w:hanging="851"/>
        <w:rPr>
          <w:b/>
          <w:sz w:val="24"/>
          <w:szCs w:val="24"/>
        </w:rPr>
      </w:pPr>
      <w:r w:rsidRPr="00D85C42">
        <w:rPr>
          <w:b/>
          <w:sz w:val="24"/>
          <w:szCs w:val="24"/>
        </w:rPr>
        <w:t>2.</w:t>
      </w:r>
      <w:r w:rsidRPr="00D85C42">
        <w:rPr>
          <w:b/>
          <w:sz w:val="24"/>
          <w:szCs w:val="24"/>
        </w:rPr>
        <w:tab/>
        <w:t>KVALITATIV OG KVANTITATIV SAMMENSÆTNING</w:t>
      </w:r>
    </w:p>
    <w:p w14:paraId="111C940F" w14:textId="77777777" w:rsidR="00E57569" w:rsidRPr="00D85C42" w:rsidRDefault="00E57569" w:rsidP="00355FDF">
      <w:pPr>
        <w:ind w:left="851"/>
        <w:rPr>
          <w:sz w:val="24"/>
          <w:szCs w:val="24"/>
        </w:rPr>
      </w:pPr>
      <w:r w:rsidRPr="00D85C42">
        <w:rPr>
          <w:sz w:val="24"/>
          <w:szCs w:val="24"/>
        </w:rPr>
        <w:t>1 ml indeholder:</w:t>
      </w:r>
    </w:p>
    <w:p w14:paraId="1068CBD5" w14:textId="77777777" w:rsidR="00E57569" w:rsidRPr="00D85C42" w:rsidRDefault="00E57569" w:rsidP="00355FDF">
      <w:pPr>
        <w:ind w:left="851"/>
        <w:rPr>
          <w:sz w:val="24"/>
          <w:szCs w:val="24"/>
        </w:rPr>
      </w:pPr>
    </w:p>
    <w:p w14:paraId="1F606FB1" w14:textId="77777777" w:rsidR="00E57569" w:rsidRPr="00D85C42" w:rsidRDefault="00E57569" w:rsidP="00355FDF">
      <w:pPr>
        <w:ind w:left="851"/>
        <w:rPr>
          <w:b/>
          <w:sz w:val="24"/>
          <w:szCs w:val="24"/>
        </w:rPr>
      </w:pPr>
      <w:r w:rsidRPr="00D85C42">
        <w:rPr>
          <w:b/>
          <w:sz w:val="24"/>
          <w:szCs w:val="24"/>
        </w:rPr>
        <w:t>Aktivt stof:</w:t>
      </w:r>
    </w:p>
    <w:p w14:paraId="51A98D73" w14:textId="77777777" w:rsidR="00E57569" w:rsidRPr="00D85C42" w:rsidRDefault="00E57569" w:rsidP="00355FDF">
      <w:pPr>
        <w:ind w:left="851"/>
        <w:rPr>
          <w:iCs/>
          <w:sz w:val="24"/>
          <w:szCs w:val="24"/>
        </w:rPr>
      </w:pPr>
      <w:proofErr w:type="spellStart"/>
      <w:r w:rsidRPr="00D85C42">
        <w:rPr>
          <w:iCs/>
          <w:sz w:val="24"/>
          <w:szCs w:val="24"/>
        </w:rPr>
        <w:t>Ketoprofen</w:t>
      </w:r>
      <w:proofErr w:type="spellEnd"/>
      <w:r w:rsidRPr="00D85C42">
        <w:rPr>
          <w:iCs/>
          <w:sz w:val="24"/>
          <w:szCs w:val="24"/>
        </w:rPr>
        <w:tab/>
        <w:t>150 mg</w:t>
      </w:r>
    </w:p>
    <w:p w14:paraId="70A45ECC" w14:textId="77777777" w:rsidR="00E57569" w:rsidRPr="00D85C42" w:rsidRDefault="00E57569" w:rsidP="00355FDF">
      <w:pPr>
        <w:ind w:left="851"/>
        <w:rPr>
          <w:sz w:val="24"/>
          <w:szCs w:val="24"/>
        </w:rPr>
      </w:pPr>
    </w:p>
    <w:p w14:paraId="6CD5B922" w14:textId="77777777" w:rsidR="00E57569" w:rsidRPr="00D85C42" w:rsidRDefault="00E57569" w:rsidP="00355FDF">
      <w:pPr>
        <w:ind w:left="851"/>
        <w:rPr>
          <w:sz w:val="24"/>
          <w:szCs w:val="24"/>
        </w:rPr>
      </w:pPr>
      <w:r w:rsidRPr="00D85C42">
        <w:rPr>
          <w:b/>
          <w:sz w:val="24"/>
          <w:szCs w:val="24"/>
        </w:rPr>
        <w:t>Hjælpestoffer:</w:t>
      </w:r>
    </w:p>
    <w:p w14:paraId="5E2C4576" w14:textId="77777777" w:rsidR="00E57569" w:rsidRPr="00D85C42" w:rsidRDefault="00E57569" w:rsidP="00355FDF">
      <w:pPr>
        <w:ind w:left="851"/>
        <w:rPr>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267"/>
      </w:tblGrid>
      <w:tr w:rsidR="00E57569" w:rsidRPr="00D85C42" w14:paraId="67C0435D" w14:textId="77777777" w:rsidTr="00355FDF">
        <w:tc>
          <w:tcPr>
            <w:tcW w:w="4521" w:type="dxa"/>
            <w:tcBorders>
              <w:top w:val="single" w:sz="4" w:space="0" w:color="000000"/>
              <w:left w:val="single" w:sz="4" w:space="0" w:color="000000"/>
              <w:bottom w:val="single" w:sz="4" w:space="0" w:color="000000"/>
              <w:right w:val="single" w:sz="4" w:space="0" w:color="000000"/>
            </w:tcBorders>
            <w:vAlign w:val="center"/>
            <w:hideMark/>
          </w:tcPr>
          <w:p w14:paraId="6371A04C" w14:textId="77777777" w:rsidR="00E57569" w:rsidRPr="00D85C42" w:rsidRDefault="00E57569" w:rsidP="00CE507A">
            <w:pPr>
              <w:rPr>
                <w:b/>
                <w:bCs/>
                <w:iCs/>
                <w:sz w:val="24"/>
                <w:szCs w:val="24"/>
              </w:rPr>
            </w:pPr>
            <w:r w:rsidRPr="00D85C42">
              <w:rPr>
                <w:b/>
                <w:bCs/>
                <w:iCs/>
                <w:sz w:val="24"/>
                <w:szCs w:val="24"/>
              </w:rPr>
              <w:t>Kvalitativ sammensætning af hjælpestoffer og andre bestanddele</w:t>
            </w:r>
          </w:p>
        </w:tc>
        <w:tc>
          <w:tcPr>
            <w:tcW w:w="4267" w:type="dxa"/>
            <w:tcBorders>
              <w:top w:val="single" w:sz="4" w:space="0" w:color="000000"/>
              <w:left w:val="single" w:sz="4" w:space="0" w:color="000000"/>
              <w:bottom w:val="single" w:sz="4" w:space="0" w:color="000000"/>
              <w:right w:val="single" w:sz="4" w:space="0" w:color="000000"/>
            </w:tcBorders>
            <w:vAlign w:val="center"/>
            <w:hideMark/>
          </w:tcPr>
          <w:p w14:paraId="191F7B0C" w14:textId="77777777" w:rsidR="00E57569" w:rsidRPr="00D85C42" w:rsidRDefault="00E57569" w:rsidP="00CE507A">
            <w:pPr>
              <w:rPr>
                <w:b/>
                <w:bCs/>
                <w:iCs/>
                <w:sz w:val="24"/>
                <w:szCs w:val="24"/>
              </w:rPr>
            </w:pPr>
            <w:r w:rsidRPr="00D85C42">
              <w:rPr>
                <w:b/>
                <w:bCs/>
                <w:iCs/>
                <w:sz w:val="24"/>
                <w:szCs w:val="24"/>
              </w:rPr>
              <w:t>Kvantitativ sammensætning, hvis oplysningen er vigtig for korrekt administration af veterinærlægemidlet</w:t>
            </w:r>
          </w:p>
        </w:tc>
      </w:tr>
      <w:tr w:rsidR="00E57569" w:rsidRPr="00D85C42" w14:paraId="2B952D57" w14:textId="77777777" w:rsidTr="00355FDF">
        <w:tc>
          <w:tcPr>
            <w:tcW w:w="4521" w:type="dxa"/>
            <w:tcBorders>
              <w:top w:val="single" w:sz="4" w:space="0" w:color="000000"/>
              <w:left w:val="single" w:sz="4" w:space="0" w:color="000000"/>
              <w:bottom w:val="single" w:sz="4" w:space="0" w:color="000000"/>
              <w:right w:val="single" w:sz="4" w:space="0" w:color="000000"/>
            </w:tcBorders>
            <w:vAlign w:val="center"/>
            <w:hideMark/>
          </w:tcPr>
          <w:p w14:paraId="55E535FA" w14:textId="77777777" w:rsidR="00E57569" w:rsidRPr="00D85C42" w:rsidRDefault="00E57569" w:rsidP="00CE507A">
            <w:pPr>
              <w:ind w:left="567" w:hanging="567"/>
              <w:rPr>
                <w:iCs/>
                <w:sz w:val="24"/>
                <w:szCs w:val="24"/>
              </w:rPr>
            </w:pPr>
            <w:proofErr w:type="spellStart"/>
            <w:r w:rsidRPr="00D85C42">
              <w:rPr>
                <w:iCs/>
                <w:sz w:val="24"/>
                <w:szCs w:val="24"/>
              </w:rPr>
              <w:t>Benzylalkohol</w:t>
            </w:r>
            <w:proofErr w:type="spellEnd"/>
            <w:r w:rsidRPr="00D85C42">
              <w:rPr>
                <w:iCs/>
                <w:sz w:val="24"/>
                <w:szCs w:val="24"/>
              </w:rPr>
              <w:t xml:space="preserve"> (E1519)</w:t>
            </w:r>
          </w:p>
        </w:tc>
        <w:tc>
          <w:tcPr>
            <w:tcW w:w="4267" w:type="dxa"/>
            <w:tcBorders>
              <w:top w:val="single" w:sz="4" w:space="0" w:color="000000"/>
              <w:left w:val="single" w:sz="4" w:space="0" w:color="000000"/>
              <w:bottom w:val="single" w:sz="4" w:space="0" w:color="000000"/>
              <w:right w:val="single" w:sz="4" w:space="0" w:color="000000"/>
            </w:tcBorders>
            <w:vAlign w:val="center"/>
            <w:hideMark/>
          </w:tcPr>
          <w:p w14:paraId="5554A6F0" w14:textId="77777777" w:rsidR="00E57569" w:rsidRPr="00D85C42" w:rsidRDefault="00E57569" w:rsidP="00CE507A">
            <w:pPr>
              <w:rPr>
                <w:iCs/>
                <w:sz w:val="24"/>
                <w:szCs w:val="24"/>
              </w:rPr>
            </w:pPr>
            <w:r w:rsidRPr="00D85C42">
              <w:rPr>
                <w:iCs/>
                <w:sz w:val="24"/>
                <w:szCs w:val="24"/>
              </w:rPr>
              <w:t>10 mg</w:t>
            </w:r>
          </w:p>
        </w:tc>
      </w:tr>
      <w:tr w:rsidR="00E57569" w:rsidRPr="00D85C42" w14:paraId="0D092578" w14:textId="77777777" w:rsidTr="00355FDF">
        <w:tc>
          <w:tcPr>
            <w:tcW w:w="4521" w:type="dxa"/>
            <w:tcBorders>
              <w:top w:val="single" w:sz="4" w:space="0" w:color="000000"/>
              <w:left w:val="single" w:sz="4" w:space="0" w:color="000000"/>
              <w:bottom w:val="single" w:sz="4" w:space="0" w:color="000000"/>
              <w:right w:val="single" w:sz="4" w:space="0" w:color="000000"/>
            </w:tcBorders>
            <w:vAlign w:val="center"/>
            <w:hideMark/>
          </w:tcPr>
          <w:p w14:paraId="14F92884" w14:textId="77777777" w:rsidR="00E57569" w:rsidRPr="00D85C42" w:rsidRDefault="00E57569" w:rsidP="00CE507A">
            <w:pPr>
              <w:rPr>
                <w:iCs/>
                <w:color w:val="FF0000"/>
                <w:sz w:val="24"/>
                <w:szCs w:val="24"/>
              </w:rPr>
            </w:pPr>
            <w:proofErr w:type="spellStart"/>
            <w:r w:rsidRPr="00D85C42">
              <w:rPr>
                <w:iCs/>
                <w:sz w:val="24"/>
                <w:szCs w:val="24"/>
              </w:rPr>
              <w:t>Arginin</w:t>
            </w:r>
            <w:proofErr w:type="spellEnd"/>
          </w:p>
        </w:tc>
        <w:tc>
          <w:tcPr>
            <w:tcW w:w="4267" w:type="dxa"/>
            <w:tcBorders>
              <w:top w:val="single" w:sz="4" w:space="0" w:color="000000"/>
              <w:left w:val="single" w:sz="4" w:space="0" w:color="000000"/>
              <w:bottom w:val="single" w:sz="4" w:space="0" w:color="000000"/>
              <w:right w:val="single" w:sz="4" w:space="0" w:color="000000"/>
            </w:tcBorders>
            <w:vAlign w:val="center"/>
          </w:tcPr>
          <w:p w14:paraId="3594157D" w14:textId="77777777" w:rsidR="00E57569" w:rsidRPr="00D85C42" w:rsidRDefault="00E57569" w:rsidP="00CE507A">
            <w:pPr>
              <w:rPr>
                <w:iCs/>
                <w:color w:val="FF0000"/>
                <w:sz w:val="24"/>
                <w:szCs w:val="24"/>
              </w:rPr>
            </w:pPr>
          </w:p>
        </w:tc>
      </w:tr>
      <w:tr w:rsidR="00E57569" w:rsidRPr="00D85C42" w14:paraId="1DB71D6F" w14:textId="77777777" w:rsidTr="00355FDF">
        <w:tc>
          <w:tcPr>
            <w:tcW w:w="4521" w:type="dxa"/>
            <w:tcBorders>
              <w:top w:val="single" w:sz="4" w:space="0" w:color="000000"/>
              <w:left w:val="single" w:sz="4" w:space="0" w:color="000000"/>
              <w:bottom w:val="single" w:sz="4" w:space="0" w:color="000000"/>
              <w:right w:val="single" w:sz="4" w:space="0" w:color="000000"/>
            </w:tcBorders>
            <w:vAlign w:val="center"/>
            <w:hideMark/>
          </w:tcPr>
          <w:p w14:paraId="32EF23E4" w14:textId="77777777" w:rsidR="00E57569" w:rsidRPr="00D85C42" w:rsidRDefault="00E57569" w:rsidP="00CE507A">
            <w:pPr>
              <w:rPr>
                <w:iCs/>
                <w:color w:val="FF0000"/>
                <w:sz w:val="24"/>
                <w:szCs w:val="24"/>
              </w:rPr>
            </w:pPr>
            <w:r w:rsidRPr="00D85C42">
              <w:rPr>
                <w:iCs/>
                <w:sz w:val="24"/>
                <w:szCs w:val="24"/>
              </w:rPr>
              <w:t>Citronsyre (til pH-justering)</w:t>
            </w:r>
          </w:p>
        </w:tc>
        <w:tc>
          <w:tcPr>
            <w:tcW w:w="4267" w:type="dxa"/>
            <w:tcBorders>
              <w:top w:val="single" w:sz="4" w:space="0" w:color="000000"/>
              <w:left w:val="single" w:sz="4" w:space="0" w:color="000000"/>
              <w:bottom w:val="single" w:sz="4" w:space="0" w:color="000000"/>
              <w:right w:val="single" w:sz="4" w:space="0" w:color="000000"/>
            </w:tcBorders>
            <w:vAlign w:val="center"/>
          </w:tcPr>
          <w:p w14:paraId="1B40BD9E" w14:textId="77777777" w:rsidR="00E57569" w:rsidRPr="00D85C42" w:rsidRDefault="00E57569" w:rsidP="00CE507A">
            <w:pPr>
              <w:rPr>
                <w:iCs/>
                <w:color w:val="FF0000"/>
                <w:sz w:val="24"/>
                <w:szCs w:val="24"/>
              </w:rPr>
            </w:pPr>
          </w:p>
        </w:tc>
      </w:tr>
      <w:tr w:rsidR="00E57569" w:rsidRPr="00D85C42" w14:paraId="6AE531E5" w14:textId="77777777" w:rsidTr="00355FDF">
        <w:tc>
          <w:tcPr>
            <w:tcW w:w="4521" w:type="dxa"/>
            <w:tcBorders>
              <w:top w:val="single" w:sz="4" w:space="0" w:color="000000"/>
              <w:left w:val="single" w:sz="4" w:space="0" w:color="000000"/>
              <w:bottom w:val="single" w:sz="4" w:space="0" w:color="000000"/>
              <w:right w:val="single" w:sz="4" w:space="0" w:color="000000"/>
            </w:tcBorders>
            <w:vAlign w:val="center"/>
            <w:hideMark/>
          </w:tcPr>
          <w:p w14:paraId="14F0E64C" w14:textId="77777777" w:rsidR="00E57569" w:rsidRPr="00D85C42" w:rsidRDefault="00E57569" w:rsidP="00CE507A">
            <w:pPr>
              <w:ind w:left="567" w:hanging="567"/>
              <w:rPr>
                <w:b/>
                <w:bCs/>
                <w:iCs/>
                <w:color w:val="FF0000"/>
                <w:sz w:val="24"/>
                <w:szCs w:val="24"/>
              </w:rPr>
            </w:pPr>
            <w:r w:rsidRPr="00D85C42">
              <w:rPr>
                <w:iCs/>
                <w:sz w:val="24"/>
                <w:szCs w:val="24"/>
              </w:rPr>
              <w:t>Vand til injektionsvæsker</w:t>
            </w:r>
          </w:p>
        </w:tc>
        <w:tc>
          <w:tcPr>
            <w:tcW w:w="4267" w:type="dxa"/>
            <w:tcBorders>
              <w:top w:val="single" w:sz="4" w:space="0" w:color="000000"/>
              <w:left w:val="single" w:sz="4" w:space="0" w:color="000000"/>
              <w:bottom w:val="single" w:sz="4" w:space="0" w:color="000000"/>
              <w:right w:val="single" w:sz="4" w:space="0" w:color="000000"/>
            </w:tcBorders>
            <w:vAlign w:val="center"/>
          </w:tcPr>
          <w:p w14:paraId="78BFA335" w14:textId="77777777" w:rsidR="00E57569" w:rsidRPr="00D85C42" w:rsidRDefault="00E57569" w:rsidP="00CE507A">
            <w:pPr>
              <w:rPr>
                <w:iCs/>
                <w:color w:val="FF0000"/>
                <w:sz w:val="24"/>
                <w:szCs w:val="24"/>
              </w:rPr>
            </w:pPr>
          </w:p>
        </w:tc>
      </w:tr>
    </w:tbl>
    <w:p w14:paraId="75B811F4" w14:textId="77777777" w:rsidR="00E57569" w:rsidRPr="00D85C42" w:rsidRDefault="00E57569" w:rsidP="00355FDF">
      <w:pPr>
        <w:ind w:left="851"/>
        <w:rPr>
          <w:sz w:val="24"/>
          <w:szCs w:val="24"/>
        </w:rPr>
      </w:pPr>
    </w:p>
    <w:p w14:paraId="3195AFE8" w14:textId="77777777" w:rsidR="00E57569" w:rsidRPr="00D85C42" w:rsidRDefault="00E57569" w:rsidP="00355FDF">
      <w:pPr>
        <w:ind w:left="851"/>
        <w:rPr>
          <w:sz w:val="24"/>
          <w:szCs w:val="24"/>
        </w:rPr>
      </w:pPr>
      <w:r w:rsidRPr="00D85C42">
        <w:rPr>
          <w:sz w:val="24"/>
          <w:szCs w:val="24"/>
        </w:rPr>
        <w:t>Klar, farveløs til lysegul opløsning, fri for synlige partikler.</w:t>
      </w:r>
    </w:p>
    <w:p w14:paraId="4AFFA4F7" w14:textId="77777777" w:rsidR="008203A8" w:rsidRPr="00D85C42" w:rsidRDefault="008203A8" w:rsidP="008203A8">
      <w:pPr>
        <w:ind w:left="851"/>
        <w:rPr>
          <w:sz w:val="24"/>
          <w:szCs w:val="24"/>
        </w:rPr>
      </w:pPr>
    </w:p>
    <w:p w14:paraId="4C686E1F" w14:textId="77777777" w:rsidR="008203A8" w:rsidRPr="00D85C42" w:rsidRDefault="008203A8" w:rsidP="008203A8">
      <w:pPr>
        <w:ind w:left="851"/>
        <w:rPr>
          <w:sz w:val="24"/>
          <w:szCs w:val="24"/>
        </w:rPr>
      </w:pPr>
    </w:p>
    <w:p w14:paraId="5D5585A9" w14:textId="77777777" w:rsidR="008203A8" w:rsidRPr="00D85C42" w:rsidRDefault="008203A8" w:rsidP="008203A8">
      <w:pPr>
        <w:ind w:left="851" w:hanging="851"/>
        <w:rPr>
          <w:b/>
          <w:sz w:val="24"/>
          <w:szCs w:val="24"/>
        </w:rPr>
      </w:pPr>
      <w:r w:rsidRPr="00D85C42">
        <w:rPr>
          <w:b/>
          <w:sz w:val="24"/>
          <w:szCs w:val="24"/>
        </w:rPr>
        <w:t>3.</w:t>
      </w:r>
      <w:r w:rsidRPr="00D85C42">
        <w:rPr>
          <w:b/>
          <w:sz w:val="24"/>
          <w:szCs w:val="24"/>
        </w:rPr>
        <w:tab/>
        <w:t>KLINISKE OPLYSNINGER</w:t>
      </w:r>
    </w:p>
    <w:p w14:paraId="34F57B8A" w14:textId="77777777" w:rsidR="008203A8" w:rsidRPr="00D85C42" w:rsidRDefault="008203A8" w:rsidP="008203A8">
      <w:pPr>
        <w:tabs>
          <w:tab w:val="left" w:pos="851"/>
        </w:tabs>
        <w:ind w:left="851"/>
        <w:rPr>
          <w:sz w:val="24"/>
          <w:szCs w:val="24"/>
        </w:rPr>
      </w:pPr>
    </w:p>
    <w:p w14:paraId="48911A20" w14:textId="77777777" w:rsidR="008203A8" w:rsidRPr="00D85C42" w:rsidRDefault="008203A8" w:rsidP="008203A8">
      <w:pPr>
        <w:ind w:left="851" w:hanging="851"/>
        <w:rPr>
          <w:b/>
          <w:sz w:val="24"/>
          <w:szCs w:val="24"/>
          <w:u w:val="single"/>
        </w:rPr>
      </w:pPr>
      <w:r w:rsidRPr="00D85C42">
        <w:rPr>
          <w:b/>
          <w:sz w:val="24"/>
          <w:szCs w:val="24"/>
        </w:rPr>
        <w:t>3.1</w:t>
      </w:r>
      <w:r w:rsidRPr="00D85C42">
        <w:rPr>
          <w:b/>
          <w:sz w:val="24"/>
          <w:szCs w:val="24"/>
        </w:rPr>
        <w:tab/>
        <w:t>Dyrearter, som lægemidlet er beregnet til</w:t>
      </w:r>
    </w:p>
    <w:p w14:paraId="730F383B" w14:textId="77777777" w:rsidR="00E57569" w:rsidRPr="00D85C42" w:rsidRDefault="00E57569" w:rsidP="00355FDF">
      <w:pPr>
        <w:ind w:left="851"/>
        <w:rPr>
          <w:sz w:val="24"/>
          <w:szCs w:val="24"/>
        </w:rPr>
      </w:pPr>
      <w:r w:rsidRPr="00D85C42">
        <w:rPr>
          <w:sz w:val="24"/>
          <w:szCs w:val="24"/>
        </w:rPr>
        <w:t>Kvæg, svin og hest.</w:t>
      </w:r>
    </w:p>
    <w:p w14:paraId="0E504B7A" w14:textId="126351B7" w:rsidR="00CE507A" w:rsidRDefault="00CE507A">
      <w:pPr>
        <w:rPr>
          <w:sz w:val="24"/>
          <w:szCs w:val="24"/>
        </w:rPr>
      </w:pPr>
      <w:r>
        <w:rPr>
          <w:sz w:val="24"/>
          <w:szCs w:val="24"/>
        </w:rPr>
        <w:br w:type="page"/>
      </w:r>
    </w:p>
    <w:p w14:paraId="07429A39" w14:textId="77777777" w:rsidR="008203A8" w:rsidRPr="00D85C42" w:rsidRDefault="008203A8" w:rsidP="008203A8">
      <w:pPr>
        <w:ind w:left="851"/>
        <w:rPr>
          <w:sz w:val="24"/>
          <w:szCs w:val="24"/>
        </w:rPr>
      </w:pPr>
    </w:p>
    <w:p w14:paraId="396C3866" w14:textId="77777777" w:rsidR="008203A8" w:rsidRPr="00D85C42" w:rsidRDefault="008203A8" w:rsidP="008203A8">
      <w:pPr>
        <w:pStyle w:val="Sidehoved"/>
        <w:tabs>
          <w:tab w:val="clear" w:pos="4819"/>
        </w:tabs>
        <w:ind w:left="851" w:hanging="851"/>
        <w:rPr>
          <w:b/>
          <w:szCs w:val="24"/>
        </w:rPr>
      </w:pPr>
      <w:r w:rsidRPr="00D85C42">
        <w:rPr>
          <w:b/>
          <w:szCs w:val="24"/>
        </w:rPr>
        <w:t>3.2</w:t>
      </w:r>
      <w:r w:rsidRPr="00D85C42">
        <w:rPr>
          <w:b/>
          <w:szCs w:val="24"/>
        </w:rPr>
        <w:tab/>
        <w:t>Terapeutiske indikationer for hver dyreart, som lægemidlet er beregnet til</w:t>
      </w:r>
    </w:p>
    <w:p w14:paraId="3540AEA2" w14:textId="77777777" w:rsidR="00E57569" w:rsidRPr="00D85C42" w:rsidRDefault="00E57569" w:rsidP="00EA6DA7">
      <w:pPr>
        <w:ind w:left="851"/>
        <w:rPr>
          <w:sz w:val="24"/>
          <w:szCs w:val="24"/>
          <w:lang w:eastAsia="da-DK"/>
        </w:rPr>
      </w:pPr>
      <w:r w:rsidRPr="00D85C42">
        <w:rPr>
          <w:sz w:val="24"/>
          <w:szCs w:val="24"/>
          <w:lang w:eastAsia="da-DK"/>
        </w:rPr>
        <w:t>Kvæg:</w:t>
      </w:r>
    </w:p>
    <w:p w14:paraId="0D784576" w14:textId="77777777" w:rsidR="00E57569" w:rsidRPr="00A378A1" w:rsidRDefault="00E57569" w:rsidP="00EA6DA7">
      <w:pPr>
        <w:pStyle w:val="Listeafsnit"/>
        <w:numPr>
          <w:ilvl w:val="0"/>
          <w:numId w:val="8"/>
        </w:numPr>
        <w:tabs>
          <w:tab w:val="clear" w:pos="567"/>
        </w:tabs>
        <w:spacing w:line="240" w:lineRule="auto"/>
        <w:ind w:left="1276" w:hanging="425"/>
        <w:rPr>
          <w:sz w:val="24"/>
          <w:szCs w:val="24"/>
          <w:lang w:eastAsia="da-DK"/>
        </w:rPr>
      </w:pPr>
      <w:r w:rsidRPr="00A378A1">
        <w:rPr>
          <w:sz w:val="24"/>
          <w:szCs w:val="24"/>
          <w:lang w:eastAsia="da-DK"/>
        </w:rPr>
        <w:t xml:space="preserve">Reduktion af inflammation og smerter i forbindelse med </w:t>
      </w:r>
      <w:proofErr w:type="spellStart"/>
      <w:r w:rsidRPr="00A378A1">
        <w:rPr>
          <w:sz w:val="24"/>
          <w:szCs w:val="24"/>
          <w:lang w:eastAsia="da-DK"/>
        </w:rPr>
        <w:t>halthed</w:t>
      </w:r>
      <w:proofErr w:type="spellEnd"/>
      <w:r w:rsidRPr="00A378A1">
        <w:rPr>
          <w:sz w:val="24"/>
          <w:szCs w:val="24"/>
          <w:lang w:eastAsia="da-DK"/>
        </w:rPr>
        <w:t xml:space="preserve"> og post-</w:t>
      </w:r>
      <w:proofErr w:type="spellStart"/>
      <w:r w:rsidRPr="00A378A1">
        <w:rPr>
          <w:sz w:val="24"/>
          <w:szCs w:val="24"/>
          <w:lang w:eastAsia="da-DK"/>
        </w:rPr>
        <w:t>partum</w:t>
      </w:r>
      <w:proofErr w:type="spellEnd"/>
      <w:r w:rsidRPr="00A378A1">
        <w:rPr>
          <w:sz w:val="24"/>
          <w:szCs w:val="24"/>
          <w:lang w:eastAsia="da-DK"/>
        </w:rPr>
        <w:t xml:space="preserve"> lidelser i bevægeapparatet</w:t>
      </w:r>
    </w:p>
    <w:p w14:paraId="5A0D73B7" w14:textId="77777777" w:rsidR="00E57569" w:rsidRPr="00A378A1" w:rsidRDefault="00E57569" w:rsidP="00EA6DA7">
      <w:pPr>
        <w:pStyle w:val="Listeafsnit"/>
        <w:numPr>
          <w:ilvl w:val="0"/>
          <w:numId w:val="8"/>
        </w:numPr>
        <w:tabs>
          <w:tab w:val="clear" w:pos="567"/>
        </w:tabs>
        <w:spacing w:line="240" w:lineRule="auto"/>
        <w:ind w:left="1276" w:hanging="425"/>
        <w:rPr>
          <w:sz w:val="24"/>
          <w:szCs w:val="24"/>
          <w:lang w:eastAsia="da-DK"/>
        </w:rPr>
      </w:pPr>
      <w:r w:rsidRPr="00A378A1">
        <w:rPr>
          <w:sz w:val="24"/>
          <w:szCs w:val="24"/>
          <w:lang w:eastAsia="da-DK"/>
        </w:rPr>
        <w:t xml:space="preserve">Reduktion af feber i forbindelse med </w:t>
      </w:r>
      <w:proofErr w:type="spellStart"/>
      <w:r w:rsidRPr="00A378A1">
        <w:rPr>
          <w:sz w:val="24"/>
          <w:szCs w:val="24"/>
          <w:lang w:eastAsia="da-DK"/>
        </w:rPr>
        <w:t>bovin</w:t>
      </w:r>
      <w:proofErr w:type="spellEnd"/>
      <w:r w:rsidRPr="00A378A1">
        <w:rPr>
          <w:sz w:val="24"/>
          <w:szCs w:val="24"/>
          <w:lang w:eastAsia="da-DK"/>
        </w:rPr>
        <w:t xml:space="preserve"> respiratorisk sygdom</w:t>
      </w:r>
    </w:p>
    <w:p w14:paraId="511D27FE" w14:textId="77777777" w:rsidR="00E57569" w:rsidRPr="00A378A1" w:rsidRDefault="00E57569" w:rsidP="00EA6DA7">
      <w:pPr>
        <w:pStyle w:val="Listeafsnit"/>
        <w:numPr>
          <w:ilvl w:val="0"/>
          <w:numId w:val="8"/>
        </w:numPr>
        <w:tabs>
          <w:tab w:val="clear" w:pos="567"/>
        </w:tabs>
        <w:spacing w:line="240" w:lineRule="auto"/>
        <w:ind w:left="1276" w:hanging="425"/>
        <w:rPr>
          <w:sz w:val="24"/>
          <w:szCs w:val="24"/>
          <w:lang w:eastAsia="da-DK"/>
        </w:rPr>
      </w:pPr>
      <w:r w:rsidRPr="00A378A1">
        <w:rPr>
          <w:sz w:val="24"/>
          <w:szCs w:val="24"/>
          <w:lang w:eastAsia="da-DK"/>
        </w:rPr>
        <w:t xml:space="preserve">Reduktion af inflammation, feber og smerter ved akut klinisk </w:t>
      </w:r>
      <w:proofErr w:type="spellStart"/>
      <w:r w:rsidRPr="00A378A1">
        <w:rPr>
          <w:sz w:val="24"/>
          <w:szCs w:val="24"/>
          <w:lang w:eastAsia="da-DK"/>
        </w:rPr>
        <w:t>mastitis</w:t>
      </w:r>
      <w:proofErr w:type="spellEnd"/>
      <w:r w:rsidRPr="00A378A1">
        <w:rPr>
          <w:sz w:val="24"/>
          <w:szCs w:val="24"/>
          <w:lang w:eastAsia="da-DK"/>
        </w:rPr>
        <w:t xml:space="preserve"> i kombination med antimikrobiel behandling, hvor det er nødvendigt.</w:t>
      </w:r>
    </w:p>
    <w:p w14:paraId="6694266B" w14:textId="77777777" w:rsidR="00E57569" w:rsidRPr="00D85C42" w:rsidRDefault="00E57569" w:rsidP="00EA6DA7">
      <w:pPr>
        <w:ind w:left="851"/>
        <w:rPr>
          <w:sz w:val="24"/>
          <w:szCs w:val="24"/>
          <w:lang w:eastAsia="da-DK"/>
        </w:rPr>
      </w:pPr>
    </w:p>
    <w:p w14:paraId="5C92CD55" w14:textId="77777777" w:rsidR="00E57569" w:rsidRPr="00D85C42" w:rsidRDefault="00E57569" w:rsidP="00EA6DA7">
      <w:pPr>
        <w:ind w:left="851"/>
        <w:rPr>
          <w:sz w:val="24"/>
          <w:szCs w:val="24"/>
          <w:lang w:eastAsia="da-DK"/>
        </w:rPr>
      </w:pPr>
      <w:r w:rsidRPr="00D85C42">
        <w:rPr>
          <w:sz w:val="24"/>
          <w:szCs w:val="24"/>
          <w:lang w:eastAsia="da-DK"/>
        </w:rPr>
        <w:t>Svin:</w:t>
      </w:r>
    </w:p>
    <w:p w14:paraId="06DC1664" w14:textId="77777777" w:rsidR="00E57569" w:rsidRPr="00A378A1" w:rsidRDefault="00E57569" w:rsidP="00EA6DA7">
      <w:pPr>
        <w:pStyle w:val="Listeafsnit"/>
        <w:numPr>
          <w:ilvl w:val="0"/>
          <w:numId w:val="9"/>
        </w:numPr>
        <w:tabs>
          <w:tab w:val="clear" w:pos="567"/>
        </w:tabs>
        <w:spacing w:line="240" w:lineRule="auto"/>
        <w:ind w:left="1276" w:hanging="425"/>
        <w:rPr>
          <w:sz w:val="24"/>
          <w:szCs w:val="24"/>
          <w:lang w:eastAsia="da-DK"/>
        </w:rPr>
      </w:pPr>
      <w:r w:rsidRPr="00A378A1">
        <w:rPr>
          <w:sz w:val="24"/>
          <w:szCs w:val="24"/>
          <w:lang w:eastAsia="da-DK"/>
        </w:rPr>
        <w:t xml:space="preserve">Reduktion af feber i forbindelse med respiratorisk lidelse og </w:t>
      </w:r>
      <w:proofErr w:type="spellStart"/>
      <w:r w:rsidRPr="00A378A1">
        <w:rPr>
          <w:sz w:val="24"/>
          <w:szCs w:val="24"/>
          <w:lang w:eastAsia="da-DK"/>
        </w:rPr>
        <w:t>Postpartum</w:t>
      </w:r>
      <w:proofErr w:type="spellEnd"/>
      <w:r w:rsidRPr="00A378A1">
        <w:rPr>
          <w:sz w:val="24"/>
          <w:szCs w:val="24"/>
          <w:lang w:eastAsia="da-DK"/>
        </w:rPr>
        <w:t xml:space="preserve"> </w:t>
      </w:r>
      <w:proofErr w:type="spellStart"/>
      <w:r w:rsidRPr="00A378A1">
        <w:rPr>
          <w:sz w:val="24"/>
          <w:szCs w:val="24"/>
          <w:lang w:eastAsia="da-DK"/>
        </w:rPr>
        <w:t>Dysgalactia</w:t>
      </w:r>
      <w:proofErr w:type="spellEnd"/>
      <w:r w:rsidRPr="00A378A1">
        <w:rPr>
          <w:sz w:val="24"/>
          <w:szCs w:val="24"/>
          <w:lang w:eastAsia="da-DK"/>
        </w:rPr>
        <w:t xml:space="preserve"> Syndrom/MMA-syndrom (</w:t>
      </w:r>
      <w:proofErr w:type="spellStart"/>
      <w:r w:rsidRPr="00A378A1">
        <w:rPr>
          <w:sz w:val="24"/>
          <w:szCs w:val="24"/>
          <w:lang w:eastAsia="da-DK"/>
        </w:rPr>
        <w:t>Mastitis</w:t>
      </w:r>
      <w:proofErr w:type="spellEnd"/>
      <w:r w:rsidRPr="00A378A1">
        <w:rPr>
          <w:sz w:val="24"/>
          <w:szCs w:val="24"/>
          <w:lang w:eastAsia="da-DK"/>
        </w:rPr>
        <w:t xml:space="preserve"> </w:t>
      </w:r>
      <w:proofErr w:type="spellStart"/>
      <w:r w:rsidRPr="00A378A1">
        <w:rPr>
          <w:sz w:val="24"/>
          <w:szCs w:val="24"/>
          <w:lang w:eastAsia="da-DK"/>
        </w:rPr>
        <w:t>Metritis</w:t>
      </w:r>
      <w:proofErr w:type="spellEnd"/>
      <w:r w:rsidRPr="00A378A1">
        <w:rPr>
          <w:sz w:val="24"/>
          <w:szCs w:val="24"/>
          <w:lang w:eastAsia="da-DK"/>
        </w:rPr>
        <w:t xml:space="preserve"> </w:t>
      </w:r>
      <w:proofErr w:type="spellStart"/>
      <w:r w:rsidRPr="00A378A1">
        <w:rPr>
          <w:sz w:val="24"/>
          <w:szCs w:val="24"/>
          <w:lang w:eastAsia="da-DK"/>
        </w:rPr>
        <w:t>Agalactia</w:t>
      </w:r>
      <w:proofErr w:type="spellEnd"/>
      <w:r w:rsidRPr="00A378A1">
        <w:rPr>
          <w:sz w:val="24"/>
          <w:szCs w:val="24"/>
          <w:lang w:eastAsia="da-DK"/>
        </w:rPr>
        <w:t xml:space="preserve"> Syndrom) hos søer, i kombination med antimikrobiel behandling, hvor det er nødvendigt.</w:t>
      </w:r>
    </w:p>
    <w:p w14:paraId="4453AC01" w14:textId="77777777" w:rsidR="00E57569" w:rsidRPr="00D85C42" w:rsidRDefault="00E57569" w:rsidP="00EA6DA7">
      <w:pPr>
        <w:ind w:left="851"/>
        <w:rPr>
          <w:sz w:val="24"/>
          <w:szCs w:val="24"/>
          <w:lang w:eastAsia="da-DK"/>
        </w:rPr>
      </w:pPr>
    </w:p>
    <w:p w14:paraId="58FA8C9C" w14:textId="77777777" w:rsidR="00E57569" w:rsidRPr="00D85C42" w:rsidRDefault="00E57569" w:rsidP="00EA6DA7">
      <w:pPr>
        <w:ind w:left="851"/>
        <w:rPr>
          <w:sz w:val="24"/>
          <w:szCs w:val="24"/>
          <w:lang w:eastAsia="da-DK"/>
        </w:rPr>
      </w:pPr>
      <w:r w:rsidRPr="00D85C42">
        <w:rPr>
          <w:sz w:val="24"/>
          <w:szCs w:val="24"/>
          <w:lang w:eastAsia="da-DK"/>
        </w:rPr>
        <w:t>Hest:</w:t>
      </w:r>
    </w:p>
    <w:p w14:paraId="1EF12C3E" w14:textId="77777777" w:rsidR="00E57569" w:rsidRPr="00A378A1" w:rsidRDefault="00E57569" w:rsidP="00EA6DA7">
      <w:pPr>
        <w:pStyle w:val="Listeafsnit"/>
        <w:numPr>
          <w:ilvl w:val="0"/>
          <w:numId w:val="9"/>
        </w:numPr>
        <w:tabs>
          <w:tab w:val="clear" w:pos="567"/>
        </w:tabs>
        <w:spacing w:line="240" w:lineRule="auto"/>
        <w:ind w:left="1276" w:hanging="425"/>
        <w:rPr>
          <w:sz w:val="24"/>
          <w:szCs w:val="24"/>
          <w:lang w:eastAsia="da-DK"/>
        </w:rPr>
      </w:pPr>
      <w:r w:rsidRPr="00A378A1">
        <w:rPr>
          <w:sz w:val="24"/>
          <w:szCs w:val="24"/>
          <w:lang w:eastAsia="da-DK"/>
        </w:rPr>
        <w:t xml:space="preserve">Reduktion af inflammation og smerter i forbindelse med lidelser i det </w:t>
      </w:r>
      <w:proofErr w:type="spellStart"/>
      <w:r w:rsidRPr="00A378A1">
        <w:rPr>
          <w:sz w:val="24"/>
          <w:szCs w:val="24"/>
          <w:lang w:eastAsia="da-DK"/>
        </w:rPr>
        <w:t>osteoartikulære</w:t>
      </w:r>
      <w:proofErr w:type="spellEnd"/>
      <w:r w:rsidRPr="00A378A1">
        <w:rPr>
          <w:sz w:val="24"/>
          <w:szCs w:val="24"/>
          <w:lang w:eastAsia="da-DK"/>
        </w:rPr>
        <w:t xml:space="preserve"> system og skeletmuskulaturen (</w:t>
      </w:r>
      <w:proofErr w:type="spellStart"/>
      <w:r w:rsidRPr="00A378A1">
        <w:rPr>
          <w:sz w:val="24"/>
          <w:szCs w:val="24"/>
          <w:lang w:eastAsia="da-DK"/>
        </w:rPr>
        <w:t>halthed</w:t>
      </w:r>
      <w:proofErr w:type="spellEnd"/>
      <w:r w:rsidRPr="00A378A1">
        <w:rPr>
          <w:sz w:val="24"/>
          <w:szCs w:val="24"/>
          <w:lang w:eastAsia="da-DK"/>
        </w:rPr>
        <w:t xml:space="preserve">, </w:t>
      </w:r>
      <w:proofErr w:type="spellStart"/>
      <w:r w:rsidRPr="00A378A1">
        <w:rPr>
          <w:sz w:val="24"/>
          <w:szCs w:val="24"/>
          <w:lang w:eastAsia="da-DK"/>
        </w:rPr>
        <w:t>laminitis</w:t>
      </w:r>
      <w:proofErr w:type="spellEnd"/>
      <w:r w:rsidRPr="00A378A1">
        <w:rPr>
          <w:sz w:val="24"/>
          <w:szCs w:val="24"/>
          <w:lang w:eastAsia="da-DK"/>
        </w:rPr>
        <w:t xml:space="preserve">, </w:t>
      </w:r>
      <w:proofErr w:type="spellStart"/>
      <w:r w:rsidRPr="00A378A1">
        <w:rPr>
          <w:sz w:val="24"/>
          <w:szCs w:val="24"/>
          <w:lang w:eastAsia="da-DK"/>
        </w:rPr>
        <w:t>osteoartritis</w:t>
      </w:r>
      <w:proofErr w:type="spellEnd"/>
      <w:r w:rsidRPr="00A378A1">
        <w:rPr>
          <w:sz w:val="24"/>
          <w:szCs w:val="24"/>
          <w:lang w:eastAsia="da-DK"/>
        </w:rPr>
        <w:t xml:space="preserve">, </w:t>
      </w:r>
      <w:proofErr w:type="spellStart"/>
      <w:r w:rsidRPr="00A378A1">
        <w:rPr>
          <w:sz w:val="24"/>
          <w:szCs w:val="24"/>
          <w:lang w:eastAsia="da-DK"/>
        </w:rPr>
        <w:t>synovitis</w:t>
      </w:r>
      <w:proofErr w:type="spellEnd"/>
      <w:r w:rsidRPr="00A378A1">
        <w:rPr>
          <w:sz w:val="24"/>
          <w:szCs w:val="24"/>
          <w:lang w:eastAsia="da-DK"/>
        </w:rPr>
        <w:t xml:space="preserve">, </w:t>
      </w:r>
      <w:proofErr w:type="spellStart"/>
      <w:r w:rsidRPr="00A378A1">
        <w:rPr>
          <w:sz w:val="24"/>
          <w:szCs w:val="24"/>
          <w:lang w:eastAsia="da-DK"/>
        </w:rPr>
        <w:t>tendinitis</w:t>
      </w:r>
      <w:proofErr w:type="spellEnd"/>
      <w:r w:rsidRPr="00A378A1">
        <w:rPr>
          <w:sz w:val="24"/>
          <w:szCs w:val="24"/>
          <w:lang w:eastAsia="da-DK"/>
        </w:rPr>
        <w:t>, osv.).</w:t>
      </w:r>
    </w:p>
    <w:p w14:paraId="253B0BC2" w14:textId="77777777" w:rsidR="00E57569" w:rsidRPr="00A378A1" w:rsidRDefault="00E57569" w:rsidP="00EA6DA7">
      <w:pPr>
        <w:pStyle w:val="Listeafsnit"/>
        <w:numPr>
          <w:ilvl w:val="0"/>
          <w:numId w:val="9"/>
        </w:numPr>
        <w:tabs>
          <w:tab w:val="clear" w:pos="567"/>
        </w:tabs>
        <w:spacing w:line="240" w:lineRule="auto"/>
        <w:ind w:left="1276" w:hanging="425"/>
        <w:rPr>
          <w:sz w:val="24"/>
          <w:szCs w:val="24"/>
          <w:lang w:eastAsia="da-DK"/>
        </w:rPr>
      </w:pPr>
      <w:r w:rsidRPr="00A378A1">
        <w:rPr>
          <w:sz w:val="24"/>
          <w:szCs w:val="24"/>
          <w:lang w:eastAsia="da-DK"/>
        </w:rPr>
        <w:t>Reduktion af postoperativ smerte og inflammation.</w:t>
      </w:r>
    </w:p>
    <w:p w14:paraId="653EE505" w14:textId="77777777" w:rsidR="00E57569" w:rsidRPr="00A378A1" w:rsidRDefault="00E57569" w:rsidP="00EA6DA7">
      <w:pPr>
        <w:pStyle w:val="Listeafsnit"/>
        <w:numPr>
          <w:ilvl w:val="0"/>
          <w:numId w:val="9"/>
        </w:numPr>
        <w:tabs>
          <w:tab w:val="clear" w:pos="567"/>
        </w:tabs>
        <w:spacing w:line="240" w:lineRule="auto"/>
        <w:ind w:left="1276" w:hanging="425"/>
        <w:rPr>
          <w:sz w:val="24"/>
          <w:szCs w:val="24"/>
          <w:lang w:eastAsia="da-DK"/>
        </w:rPr>
      </w:pPr>
      <w:r w:rsidRPr="00A378A1">
        <w:rPr>
          <w:sz w:val="24"/>
          <w:szCs w:val="24"/>
          <w:lang w:eastAsia="da-DK"/>
        </w:rPr>
        <w:t xml:space="preserve">Reduktion af </w:t>
      </w:r>
      <w:proofErr w:type="spellStart"/>
      <w:r w:rsidRPr="00A378A1">
        <w:rPr>
          <w:sz w:val="24"/>
          <w:szCs w:val="24"/>
          <w:lang w:eastAsia="da-DK"/>
        </w:rPr>
        <w:t>visceral</w:t>
      </w:r>
      <w:proofErr w:type="spellEnd"/>
      <w:r w:rsidRPr="00A378A1">
        <w:rPr>
          <w:sz w:val="24"/>
          <w:szCs w:val="24"/>
          <w:lang w:eastAsia="da-DK"/>
        </w:rPr>
        <w:t xml:space="preserve"> smerte forbundet med kolik.</w:t>
      </w:r>
    </w:p>
    <w:p w14:paraId="665752A7" w14:textId="77777777" w:rsidR="008203A8" w:rsidRPr="00D85C42" w:rsidRDefault="008203A8" w:rsidP="00EA6DA7">
      <w:pPr>
        <w:pStyle w:val="Sidehoved"/>
        <w:ind w:left="851"/>
        <w:rPr>
          <w:szCs w:val="24"/>
        </w:rPr>
      </w:pPr>
    </w:p>
    <w:p w14:paraId="3F0AC961" w14:textId="77777777" w:rsidR="008203A8" w:rsidRPr="00D85C42" w:rsidRDefault="008203A8" w:rsidP="008203A8">
      <w:pPr>
        <w:pStyle w:val="Sidehoved"/>
        <w:tabs>
          <w:tab w:val="clear" w:pos="4819"/>
          <w:tab w:val="left" w:pos="851"/>
        </w:tabs>
        <w:ind w:left="851" w:hanging="851"/>
        <w:rPr>
          <w:b/>
          <w:szCs w:val="24"/>
        </w:rPr>
      </w:pPr>
      <w:r w:rsidRPr="00D85C42">
        <w:rPr>
          <w:b/>
          <w:szCs w:val="24"/>
        </w:rPr>
        <w:t>3.3</w:t>
      </w:r>
      <w:r w:rsidRPr="00D85C42">
        <w:rPr>
          <w:b/>
          <w:szCs w:val="24"/>
        </w:rPr>
        <w:tab/>
        <w:t>Kontraindikationer</w:t>
      </w:r>
    </w:p>
    <w:p w14:paraId="0E48EA9D" w14:textId="07F5A5B8" w:rsidR="00E57569" w:rsidRPr="00D85C42" w:rsidRDefault="00E57569" w:rsidP="00355FDF">
      <w:pPr>
        <w:ind w:left="851"/>
        <w:rPr>
          <w:sz w:val="24"/>
          <w:szCs w:val="24"/>
        </w:rPr>
      </w:pPr>
      <w:r w:rsidRPr="00D85C42">
        <w:rPr>
          <w:sz w:val="24"/>
          <w:szCs w:val="24"/>
        </w:rPr>
        <w:t xml:space="preserve">Må ikke anvendes til dyr, hvor der er risiko for </w:t>
      </w:r>
      <w:proofErr w:type="spellStart"/>
      <w:r w:rsidRPr="00D85C42">
        <w:rPr>
          <w:sz w:val="24"/>
          <w:szCs w:val="24"/>
        </w:rPr>
        <w:t>gastrointestinale</w:t>
      </w:r>
      <w:proofErr w:type="spellEnd"/>
      <w:r w:rsidRPr="00D85C42">
        <w:rPr>
          <w:sz w:val="24"/>
          <w:szCs w:val="24"/>
        </w:rPr>
        <w:t xml:space="preserve"> </w:t>
      </w:r>
      <w:proofErr w:type="spellStart"/>
      <w:r w:rsidRPr="00D85C42">
        <w:rPr>
          <w:sz w:val="24"/>
          <w:szCs w:val="24"/>
        </w:rPr>
        <w:t>ulcerationer</w:t>
      </w:r>
      <w:proofErr w:type="spellEnd"/>
      <w:r w:rsidRPr="00D85C42">
        <w:rPr>
          <w:sz w:val="24"/>
          <w:szCs w:val="24"/>
        </w:rPr>
        <w:t xml:space="preserve"> eller blødninger, for ikke at forværre deres tilstand.</w:t>
      </w:r>
    </w:p>
    <w:p w14:paraId="1E5D52EB" w14:textId="77777777" w:rsidR="00E57569" w:rsidRPr="00D85C42" w:rsidRDefault="00E57569" w:rsidP="00355FDF">
      <w:pPr>
        <w:ind w:left="851"/>
        <w:rPr>
          <w:sz w:val="24"/>
          <w:szCs w:val="24"/>
        </w:rPr>
      </w:pPr>
      <w:r w:rsidRPr="00D85C42">
        <w:rPr>
          <w:sz w:val="24"/>
          <w:szCs w:val="24"/>
        </w:rPr>
        <w:t>Må ikke anvendes til dyr, der lider af hjerte-, lever- eller nyresygdomme.</w:t>
      </w:r>
    </w:p>
    <w:p w14:paraId="7D42B897" w14:textId="77777777" w:rsidR="00E57569" w:rsidRPr="00D85C42" w:rsidRDefault="00E57569" w:rsidP="00355FDF">
      <w:pPr>
        <w:ind w:left="851"/>
        <w:rPr>
          <w:sz w:val="24"/>
          <w:szCs w:val="24"/>
        </w:rPr>
      </w:pPr>
      <w:r w:rsidRPr="00D85C42">
        <w:rPr>
          <w:sz w:val="24"/>
          <w:szCs w:val="24"/>
        </w:rPr>
        <w:t xml:space="preserve">Må ikke anvendes i tilfælde af overfølsomhed over for </w:t>
      </w:r>
      <w:proofErr w:type="spellStart"/>
      <w:r w:rsidRPr="00D85C42">
        <w:rPr>
          <w:sz w:val="24"/>
          <w:szCs w:val="24"/>
        </w:rPr>
        <w:t>ketoprofen</w:t>
      </w:r>
      <w:proofErr w:type="spellEnd"/>
      <w:r w:rsidRPr="00D85C42">
        <w:rPr>
          <w:sz w:val="24"/>
          <w:szCs w:val="24"/>
        </w:rPr>
        <w:t xml:space="preserve"> eller acetylsalicylsyre eller over for et eller flere af hjælpestofferne.</w:t>
      </w:r>
    </w:p>
    <w:p w14:paraId="03B0740B" w14:textId="77777777" w:rsidR="00E57569" w:rsidRPr="00D85C42" w:rsidRDefault="00E57569" w:rsidP="00355FDF">
      <w:pPr>
        <w:ind w:left="851"/>
        <w:rPr>
          <w:sz w:val="24"/>
          <w:szCs w:val="24"/>
        </w:rPr>
      </w:pPr>
      <w:r w:rsidRPr="00D85C42">
        <w:rPr>
          <w:sz w:val="24"/>
          <w:szCs w:val="24"/>
        </w:rPr>
        <w:t xml:space="preserve">Må ikke anvendes til dyr, hvis der er tegn på </w:t>
      </w:r>
      <w:proofErr w:type="spellStart"/>
      <w:r w:rsidRPr="00D85C42">
        <w:rPr>
          <w:sz w:val="24"/>
          <w:szCs w:val="24"/>
        </w:rPr>
        <w:t>bloddyskrasi</w:t>
      </w:r>
      <w:proofErr w:type="spellEnd"/>
      <w:r w:rsidRPr="00D85C42">
        <w:rPr>
          <w:sz w:val="24"/>
          <w:szCs w:val="24"/>
        </w:rPr>
        <w:t xml:space="preserve"> eller koagulationsforstyrrelser i blodet.</w:t>
      </w:r>
    </w:p>
    <w:p w14:paraId="23606ECA" w14:textId="77777777" w:rsidR="00E57569" w:rsidRPr="00D85C42" w:rsidRDefault="00E57569" w:rsidP="00355FDF">
      <w:pPr>
        <w:ind w:left="851"/>
        <w:rPr>
          <w:sz w:val="24"/>
          <w:szCs w:val="24"/>
        </w:rPr>
      </w:pPr>
      <w:r w:rsidRPr="00D85C42">
        <w:rPr>
          <w:sz w:val="24"/>
          <w:szCs w:val="24"/>
        </w:rPr>
        <w:t>Må ikke anvendes sammen med andre non-</w:t>
      </w:r>
      <w:proofErr w:type="spellStart"/>
      <w:r w:rsidRPr="00D85C42">
        <w:rPr>
          <w:sz w:val="24"/>
          <w:szCs w:val="24"/>
        </w:rPr>
        <w:t>steroide</w:t>
      </w:r>
      <w:proofErr w:type="spellEnd"/>
      <w:r w:rsidRPr="00D85C42">
        <w:rPr>
          <w:sz w:val="24"/>
          <w:szCs w:val="24"/>
        </w:rPr>
        <w:t xml:space="preserve"> anti-inflammatoriske lægemidler (</w:t>
      </w:r>
      <w:proofErr w:type="spellStart"/>
      <w:r w:rsidRPr="00D85C42">
        <w:rPr>
          <w:sz w:val="24"/>
          <w:szCs w:val="24"/>
        </w:rPr>
        <w:t>NSAID’er</w:t>
      </w:r>
      <w:proofErr w:type="spellEnd"/>
      <w:r w:rsidRPr="00D85C42">
        <w:rPr>
          <w:sz w:val="24"/>
          <w:szCs w:val="24"/>
        </w:rPr>
        <w:t xml:space="preserve">) eller inden for 24 timer efter hinanden. </w:t>
      </w:r>
    </w:p>
    <w:p w14:paraId="6F66D1E5" w14:textId="77777777" w:rsidR="008203A8" w:rsidRPr="00D85C42" w:rsidRDefault="008203A8" w:rsidP="008203A8">
      <w:pPr>
        <w:pStyle w:val="Sidehoved"/>
        <w:tabs>
          <w:tab w:val="clear" w:pos="4819"/>
        </w:tabs>
        <w:ind w:left="851"/>
        <w:rPr>
          <w:szCs w:val="24"/>
        </w:rPr>
      </w:pPr>
    </w:p>
    <w:p w14:paraId="568F33AE" w14:textId="77777777" w:rsidR="008203A8" w:rsidRPr="00D85C42" w:rsidRDefault="008203A8" w:rsidP="008203A8">
      <w:pPr>
        <w:tabs>
          <w:tab w:val="left" w:pos="851"/>
        </w:tabs>
        <w:ind w:left="851" w:hanging="851"/>
        <w:rPr>
          <w:b/>
          <w:sz w:val="24"/>
          <w:szCs w:val="24"/>
        </w:rPr>
      </w:pPr>
      <w:r w:rsidRPr="00D85C42">
        <w:rPr>
          <w:b/>
          <w:sz w:val="24"/>
          <w:szCs w:val="24"/>
        </w:rPr>
        <w:t>3.4</w:t>
      </w:r>
      <w:r w:rsidRPr="00D85C42">
        <w:rPr>
          <w:b/>
          <w:sz w:val="24"/>
          <w:szCs w:val="24"/>
        </w:rPr>
        <w:tab/>
        <w:t>Særlige advarsler</w:t>
      </w:r>
    </w:p>
    <w:p w14:paraId="39D5255A" w14:textId="77777777" w:rsidR="00E57569" w:rsidRPr="00D85C42" w:rsidRDefault="00E57569" w:rsidP="00355FDF">
      <w:pPr>
        <w:ind w:left="851"/>
        <w:rPr>
          <w:sz w:val="24"/>
          <w:szCs w:val="24"/>
        </w:rPr>
      </w:pPr>
      <w:r w:rsidRPr="00D85C42">
        <w:rPr>
          <w:sz w:val="24"/>
          <w:szCs w:val="24"/>
        </w:rPr>
        <w:t>Ingen.</w:t>
      </w:r>
    </w:p>
    <w:p w14:paraId="7A62F4CE" w14:textId="77777777" w:rsidR="008203A8" w:rsidRPr="00D85C42" w:rsidRDefault="008203A8" w:rsidP="008203A8">
      <w:pPr>
        <w:pStyle w:val="Sidehoved"/>
        <w:tabs>
          <w:tab w:val="clear" w:pos="4819"/>
        </w:tabs>
        <w:ind w:left="851"/>
        <w:rPr>
          <w:szCs w:val="24"/>
        </w:rPr>
      </w:pPr>
    </w:p>
    <w:p w14:paraId="41568E94" w14:textId="77777777" w:rsidR="008203A8" w:rsidRPr="00D85C42" w:rsidRDefault="008203A8" w:rsidP="008203A8">
      <w:pPr>
        <w:tabs>
          <w:tab w:val="left" w:pos="851"/>
        </w:tabs>
        <w:ind w:left="851" w:hanging="851"/>
        <w:rPr>
          <w:b/>
          <w:sz w:val="24"/>
          <w:szCs w:val="24"/>
        </w:rPr>
      </w:pPr>
      <w:r w:rsidRPr="00D85C42">
        <w:rPr>
          <w:b/>
          <w:sz w:val="24"/>
          <w:szCs w:val="24"/>
        </w:rPr>
        <w:t>3.5</w:t>
      </w:r>
      <w:r w:rsidRPr="00D85C42">
        <w:rPr>
          <w:b/>
          <w:sz w:val="24"/>
          <w:szCs w:val="24"/>
        </w:rPr>
        <w:tab/>
        <w:t>Særlige forholdsregler vedrørende brugen</w:t>
      </w:r>
    </w:p>
    <w:p w14:paraId="30A89477" w14:textId="77777777" w:rsidR="008203A8" w:rsidRPr="00D85C42" w:rsidRDefault="008203A8" w:rsidP="008203A8">
      <w:pPr>
        <w:tabs>
          <w:tab w:val="left" w:pos="851"/>
        </w:tabs>
        <w:ind w:left="851"/>
        <w:rPr>
          <w:sz w:val="24"/>
          <w:szCs w:val="24"/>
        </w:rPr>
      </w:pPr>
    </w:p>
    <w:p w14:paraId="4E5464C2" w14:textId="77777777" w:rsidR="008203A8" w:rsidRPr="00D85C42" w:rsidRDefault="008203A8" w:rsidP="008203A8">
      <w:pPr>
        <w:tabs>
          <w:tab w:val="left" w:pos="851"/>
        </w:tabs>
        <w:ind w:left="851"/>
        <w:rPr>
          <w:sz w:val="24"/>
          <w:szCs w:val="24"/>
          <w:u w:val="single"/>
        </w:rPr>
      </w:pPr>
      <w:r w:rsidRPr="00D85C42">
        <w:rPr>
          <w:sz w:val="24"/>
          <w:szCs w:val="24"/>
          <w:u w:val="single"/>
        </w:rPr>
        <w:t>Særlige forholdsregler vedrørende sikker brug hos de dyrearter, som lægemidlet er beregnet til</w:t>
      </w:r>
    </w:p>
    <w:p w14:paraId="3D402F45" w14:textId="77777777" w:rsidR="00E57569" w:rsidRPr="00D85C42" w:rsidRDefault="00E57569" w:rsidP="00355FDF">
      <w:pPr>
        <w:ind w:left="851"/>
        <w:rPr>
          <w:sz w:val="24"/>
          <w:szCs w:val="24"/>
        </w:rPr>
      </w:pPr>
      <w:r w:rsidRPr="00D85C42">
        <w:rPr>
          <w:sz w:val="24"/>
          <w:szCs w:val="24"/>
        </w:rPr>
        <w:t>Den anbefalede dosis må ikke overskrides.</w:t>
      </w:r>
    </w:p>
    <w:p w14:paraId="62624EFE" w14:textId="77777777" w:rsidR="00E57569" w:rsidRPr="00D85C42" w:rsidRDefault="00E57569" w:rsidP="00355FDF">
      <w:pPr>
        <w:ind w:left="851"/>
        <w:rPr>
          <w:sz w:val="24"/>
          <w:szCs w:val="24"/>
        </w:rPr>
      </w:pPr>
      <w:r w:rsidRPr="00D85C42">
        <w:rPr>
          <w:sz w:val="24"/>
          <w:szCs w:val="24"/>
        </w:rPr>
        <w:t>Den anbefalede behandlingsperiode må ikke overskrides.</w:t>
      </w:r>
    </w:p>
    <w:p w14:paraId="707D59CF" w14:textId="77777777" w:rsidR="00E57569" w:rsidRPr="00D85C42" w:rsidRDefault="00E57569" w:rsidP="00355FDF">
      <w:pPr>
        <w:ind w:left="851"/>
        <w:rPr>
          <w:sz w:val="24"/>
          <w:szCs w:val="24"/>
        </w:rPr>
      </w:pPr>
      <w:r w:rsidRPr="00D85C42">
        <w:rPr>
          <w:sz w:val="24"/>
          <w:szCs w:val="24"/>
        </w:rPr>
        <w:t xml:space="preserve">Det frarådes at anvende </w:t>
      </w:r>
      <w:proofErr w:type="spellStart"/>
      <w:r w:rsidRPr="00D85C42">
        <w:rPr>
          <w:sz w:val="24"/>
          <w:szCs w:val="24"/>
        </w:rPr>
        <w:t>ketoprofen</w:t>
      </w:r>
      <w:proofErr w:type="spellEnd"/>
      <w:r w:rsidRPr="00D85C42">
        <w:rPr>
          <w:sz w:val="24"/>
          <w:szCs w:val="24"/>
        </w:rPr>
        <w:t xml:space="preserve"> til føl, der er under 1 måned gammel.</w:t>
      </w:r>
    </w:p>
    <w:p w14:paraId="13EB5DDA" w14:textId="77777777" w:rsidR="00E57569" w:rsidRPr="00D85C42" w:rsidRDefault="00E57569" w:rsidP="00355FDF">
      <w:pPr>
        <w:ind w:left="851"/>
        <w:rPr>
          <w:sz w:val="24"/>
          <w:szCs w:val="24"/>
        </w:rPr>
      </w:pPr>
      <w:r w:rsidRPr="00D85C42">
        <w:rPr>
          <w:sz w:val="24"/>
          <w:szCs w:val="24"/>
        </w:rPr>
        <w:t>Ved anvendelse til dyr, der er yngre end 6 uger, til ponyer eller til gamle dyr er det nødvendigt at tilpasse dosis meget nøjagtigt og at foretage en tæt klinisk opfølgning.</w:t>
      </w:r>
    </w:p>
    <w:p w14:paraId="477C2D37" w14:textId="77777777" w:rsidR="00E57569" w:rsidRPr="00D85C42" w:rsidRDefault="00E57569" w:rsidP="00355FDF">
      <w:pPr>
        <w:ind w:left="851"/>
        <w:rPr>
          <w:sz w:val="24"/>
          <w:szCs w:val="24"/>
        </w:rPr>
      </w:pPr>
      <w:r w:rsidRPr="00D85C42">
        <w:rPr>
          <w:sz w:val="24"/>
          <w:szCs w:val="24"/>
        </w:rPr>
        <w:t>Undgå intraarteriel injektion.</w:t>
      </w:r>
    </w:p>
    <w:p w14:paraId="01DF7997" w14:textId="77777777" w:rsidR="00E57569" w:rsidRPr="00D85C42" w:rsidRDefault="00E57569" w:rsidP="00355FDF">
      <w:pPr>
        <w:ind w:left="851"/>
        <w:rPr>
          <w:sz w:val="24"/>
          <w:szCs w:val="24"/>
        </w:rPr>
      </w:pPr>
      <w:r w:rsidRPr="00D85C42">
        <w:rPr>
          <w:sz w:val="24"/>
          <w:szCs w:val="24"/>
        </w:rPr>
        <w:t xml:space="preserve">Må ikke anvendes til dyr, der er dehydrerede, </w:t>
      </w:r>
      <w:proofErr w:type="spellStart"/>
      <w:r w:rsidRPr="00D85C42">
        <w:rPr>
          <w:sz w:val="24"/>
          <w:szCs w:val="24"/>
        </w:rPr>
        <w:t>hypovolæmiske</w:t>
      </w:r>
      <w:proofErr w:type="spellEnd"/>
      <w:r w:rsidRPr="00D85C42">
        <w:rPr>
          <w:sz w:val="24"/>
          <w:szCs w:val="24"/>
        </w:rPr>
        <w:t xml:space="preserve"> eller </w:t>
      </w:r>
      <w:proofErr w:type="spellStart"/>
      <w:r w:rsidRPr="00D85C42">
        <w:rPr>
          <w:sz w:val="24"/>
          <w:szCs w:val="24"/>
        </w:rPr>
        <w:t>hypotensive</w:t>
      </w:r>
      <w:proofErr w:type="spellEnd"/>
      <w:r w:rsidRPr="00D85C42">
        <w:rPr>
          <w:sz w:val="24"/>
          <w:szCs w:val="24"/>
        </w:rPr>
        <w:t xml:space="preserve"> på grund af en potentiel risiko for øget nyretoksicitet.</w:t>
      </w:r>
    </w:p>
    <w:p w14:paraId="75484AD4" w14:textId="4D9CBF57" w:rsidR="00E57569" w:rsidRPr="00D85C42" w:rsidRDefault="00E57569" w:rsidP="00355FDF">
      <w:pPr>
        <w:ind w:left="851"/>
        <w:rPr>
          <w:sz w:val="24"/>
          <w:szCs w:val="24"/>
        </w:rPr>
      </w:pPr>
      <w:r w:rsidRPr="00D85C42">
        <w:rPr>
          <w:sz w:val="24"/>
          <w:szCs w:val="24"/>
        </w:rPr>
        <w:t xml:space="preserve">Da </w:t>
      </w:r>
      <w:proofErr w:type="spellStart"/>
      <w:r w:rsidRPr="00D85C42">
        <w:rPr>
          <w:sz w:val="24"/>
          <w:szCs w:val="24"/>
        </w:rPr>
        <w:t>gastrointestinale</w:t>
      </w:r>
      <w:proofErr w:type="spellEnd"/>
      <w:r w:rsidRPr="00D85C42">
        <w:rPr>
          <w:sz w:val="24"/>
          <w:szCs w:val="24"/>
        </w:rPr>
        <w:t xml:space="preserve"> </w:t>
      </w:r>
      <w:proofErr w:type="spellStart"/>
      <w:r w:rsidRPr="00D85C42">
        <w:rPr>
          <w:sz w:val="24"/>
          <w:szCs w:val="24"/>
        </w:rPr>
        <w:t>ulcerationer</w:t>
      </w:r>
      <w:proofErr w:type="spellEnd"/>
      <w:r w:rsidRPr="00D85C42">
        <w:rPr>
          <w:sz w:val="24"/>
          <w:szCs w:val="24"/>
        </w:rPr>
        <w:t xml:space="preserve"> ofte er forbundet med PMWS (Post </w:t>
      </w:r>
      <w:proofErr w:type="spellStart"/>
      <w:r w:rsidRPr="00D85C42">
        <w:rPr>
          <w:sz w:val="24"/>
          <w:szCs w:val="24"/>
        </w:rPr>
        <w:t>Weaning</w:t>
      </w:r>
      <w:proofErr w:type="spellEnd"/>
      <w:r w:rsidRPr="00D85C42">
        <w:rPr>
          <w:sz w:val="24"/>
          <w:szCs w:val="24"/>
        </w:rPr>
        <w:t xml:space="preserve"> </w:t>
      </w:r>
      <w:proofErr w:type="spellStart"/>
      <w:r w:rsidRPr="00D85C42">
        <w:rPr>
          <w:sz w:val="24"/>
          <w:szCs w:val="24"/>
        </w:rPr>
        <w:t>Multisystemic</w:t>
      </w:r>
      <w:proofErr w:type="spellEnd"/>
      <w:r w:rsidRPr="00D85C42">
        <w:rPr>
          <w:sz w:val="24"/>
          <w:szCs w:val="24"/>
        </w:rPr>
        <w:t xml:space="preserve"> </w:t>
      </w:r>
      <w:proofErr w:type="spellStart"/>
      <w:r w:rsidRPr="00D85C42">
        <w:rPr>
          <w:sz w:val="24"/>
          <w:szCs w:val="24"/>
        </w:rPr>
        <w:t>Wasting</w:t>
      </w:r>
      <w:proofErr w:type="spellEnd"/>
      <w:r w:rsidRPr="00D85C42">
        <w:rPr>
          <w:sz w:val="24"/>
          <w:szCs w:val="24"/>
        </w:rPr>
        <w:t xml:space="preserve"> </w:t>
      </w:r>
      <w:proofErr w:type="spellStart"/>
      <w:r w:rsidRPr="00D85C42">
        <w:rPr>
          <w:sz w:val="24"/>
          <w:szCs w:val="24"/>
        </w:rPr>
        <w:t>Syndrome</w:t>
      </w:r>
      <w:proofErr w:type="spellEnd"/>
      <w:r w:rsidRPr="00D85C42">
        <w:rPr>
          <w:sz w:val="24"/>
          <w:szCs w:val="24"/>
        </w:rPr>
        <w:t xml:space="preserve">) hos svin, anbefales det, for at undgå en forværring af deres tilstand, at </w:t>
      </w:r>
      <w:proofErr w:type="spellStart"/>
      <w:r w:rsidRPr="00D85C42">
        <w:rPr>
          <w:sz w:val="24"/>
          <w:szCs w:val="24"/>
        </w:rPr>
        <w:t>ketoprofen</w:t>
      </w:r>
      <w:proofErr w:type="spellEnd"/>
      <w:r w:rsidRPr="00D85C42">
        <w:rPr>
          <w:sz w:val="24"/>
          <w:szCs w:val="24"/>
        </w:rPr>
        <w:t xml:space="preserve"> ikke gives til svin med tegn på denne patologi.</w:t>
      </w:r>
    </w:p>
    <w:p w14:paraId="716B90F7" w14:textId="77777777" w:rsidR="00E57569" w:rsidRPr="00D85C42" w:rsidRDefault="00E57569" w:rsidP="00355FDF">
      <w:pPr>
        <w:ind w:left="851"/>
        <w:rPr>
          <w:sz w:val="24"/>
          <w:szCs w:val="24"/>
        </w:rPr>
      </w:pPr>
      <w:r w:rsidRPr="00D85C42">
        <w:rPr>
          <w:sz w:val="24"/>
          <w:szCs w:val="24"/>
        </w:rPr>
        <w:t xml:space="preserve">Undgå </w:t>
      </w:r>
      <w:proofErr w:type="spellStart"/>
      <w:r w:rsidRPr="00D85C42">
        <w:rPr>
          <w:sz w:val="24"/>
          <w:szCs w:val="24"/>
        </w:rPr>
        <w:t>ekstravaskulær</w:t>
      </w:r>
      <w:proofErr w:type="spellEnd"/>
      <w:r w:rsidRPr="00D85C42">
        <w:rPr>
          <w:sz w:val="24"/>
          <w:szCs w:val="24"/>
        </w:rPr>
        <w:t xml:space="preserve"> administration hos heste.</w:t>
      </w:r>
    </w:p>
    <w:p w14:paraId="1CFC2EE4" w14:textId="77777777" w:rsidR="008203A8" w:rsidRPr="00D85C42" w:rsidRDefault="008203A8" w:rsidP="008203A8">
      <w:pPr>
        <w:tabs>
          <w:tab w:val="left" w:pos="851"/>
        </w:tabs>
        <w:ind w:left="851"/>
        <w:rPr>
          <w:sz w:val="24"/>
          <w:szCs w:val="24"/>
        </w:rPr>
      </w:pPr>
    </w:p>
    <w:p w14:paraId="119FB43A" w14:textId="77777777" w:rsidR="008203A8" w:rsidRPr="00D85C42" w:rsidRDefault="008203A8" w:rsidP="008203A8">
      <w:pPr>
        <w:tabs>
          <w:tab w:val="left" w:pos="851"/>
        </w:tabs>
        <w:ind w:left="851"/>
        <w:rPr>
          <w:sz w:val="24"/>
          <w:szCs w:val="24"/>
          <w:u w:val="single"/>
        </w:rPr>
      </w:pPr>
      <w:r w:rsidRPr="00D85C42">
        <w:rPr>
          <w:sz w:val="24"/>
          <w:szCs w:val="24"/>
          <w:u w:val="single"/>
        </w:rPr>
        <w:t>Særlige forholdsregler for personer, der administrerer veterinærlægemidlet til dyr</w:t>
      </w:r>
    </w:p>
    <w:p w14:paraId="6C48D690" w14:textId="77B09989" w:rsidR="00E57569" w:rsidRPr="00D85C42" w:rsidRDefault="00E57569" w:rsidP="00355FDF">
      <w:pPr>
        <w:ind w:left="851"/>
        <w:rPr>
          <w:sz w:val="24"/>
          <w:szCs w:val="24"/>
        </w:rPr>
      </w:pPr>
      <w:r w:rsidRPr="00D85C42">
        <w:rPr>
          <w:sz w:val="24"/>
          <w:szCs w:val="24"/>
        </w:rPr>
        <w:t xml:space="preserve">Overfølsomhedsreaktioner (hududslæt, </w:t>
      </w:r>
      <w:proofErr w:type="spellStart"/>
      <w:r w:rsidRPr="00D85C42">
        <w:rPr>
          <w:sz w:val="24"/>
          <w:szCs w:val="24"/>
        </w:rPr>
        <w:t>urticaria</w:t>
      </w:r>
      <w:proofErr w:type="spellEnd"/>
      <w:r w:rsidRPr="00D85C42">
        <w:rPr>
          <w:sz w:val="24"/>
          <w:szCs w:val="24"/>
        </w:rPr>
        <w:t>) kan forekomme. Ved overfølsomhed over for det aktive stof eller over for et eller flere af hjælpestofferne bør kontakt med veterinærlægemidlet undgås. Undgå kontakt med hud, øjne og slimhinder.</w:t>
      </w:r>
    </w:p>
    <w:p w14:paraId="415C52F7" w14:textId="77777777" w:rsidR="00E57569" w:rsidRPr="00D85C42" w:rsidRDefault="00E57569" w:rsidP="00355FDF">
      <w:pPr>
        <w:ind w:left="851"/>
        <w:rPr>
          <w:sz w:val="24"/>
          <w:szCs w:val="24"/>
        </w:rPr>
      </w:pPr>
      <w:r w:rsidRPr="00D85C42">
        <w:rPr>
          <w:sz w:val="24"/>
          <w:szCs w:val="24"/>
        </w:rPr>
        <w:t>I tilfælde af kontakt med huden, øjne eller slimhinder ved hændeligt uheld skal det berørte område straks vaskes grundigt med rent rindende vand. Søg lægehjælp, hvis irritationen fortsætter.</w:t>
      </w:r>
    </w:p>
    <w:p w14:paraId="0DE7A2ED" w14:textId="77777777" w:rsidR="00E57569" w:rsidRPr="00D85C42" w:rsidRDefault="00E57569" w:rsidP="00355FDF">
      <w:pPr>
        <w:ind w:left="851"/>
        <w:rPr>
          <w:sz w:val="24"/>
          <w:szCs w:val="24"/>
        </w:rPr>
      </w:pPr>
      <w:r w:rsidRPr="00D85C42">
        <w:rPr>
          <w:sz w:val="24"/>
          <w:szCs w:val="24"/>
        </w:rPr>
        <w:t>Undgå selvinjektion ved hændeligt uheld. I tilfælde af selvinjektion ved hændeligt uheld skal der straks søges lægehjælp, og indlægssedlen eller etiketten bør vises til lægen.</w:t>
      </w:r>
    </w:p>
    <w:p w14:paraId="0A6225BC" w14:textId="77777777" w:rsidR="00E57569" w:rsidRPr="00D85C42" w:rsidRDefault="00E57569" w:rsidP="00355FDF">
      <w:pPr>
        <w:ind w:left="851"/>
        <w:rPr>
          <w:sz w:val="24"/>
          <w:szCs w:val="24"/>
        </w:rPr>
      </w:pPr>
      <w:r w:rsidRPr="00D85C42">
        <w:rPr>
          <w:sz w:val="24"/>
          <w:szCs w:val="24"/>
        </w:rPr>
        <w:t>Vask hænder efter anvendelsen.</w:t>
      </w:r>
    </w:p>
    <w:p w14:paraId="29FBC98A" w14:textId="77777777" w:rsidR="008203A8" w:rsidRPr="00D85C42" w:rsidRDefault="008203A8" w:rsidP="008203A8">
      <w:pPr>
        <w:tabs>
          <w:tab w:val="left" w:pos="851"/>
        </w:tabs>
        <w:ind w:left="851"/>
        <w:rPr>
          <w:sz w:val="24"/>
          <w:szCs w:val="24"/>
        </w:rPr>
      </w:pPr>
    </w:p>
    <w:p w14:paraId="3B6F8781" w14:textId="77777777" w:rsidR="008203A8" w:rsidRPr="00D85C42" w:rsidRDefault="008203A8" w:rsidP="008203A8">
      <w:pPr>
        <w:tabs>
          <w:tab w:val="left" w:pos="851"/>
        </w:tabs>
        <w:ind w:left="851"/>
        <w:rPr>
          <w:sz w:val="24"/>
          <w:szCs w:val="24"/>
          <w:u w:val="single"/>
        </w:rPr>
      </w:pPr>
      <w:r w:rsidRPr="00D85C42">
        <w:rPr>
          <w:sz w:val="24"/>
          <w:szCs w:val="24"/>
          <w:u w:val="single"/>
        </w:rPr>
        <w:t>Særlige forholdsregler vedrørende beskyttelse af miljøet</w:t>
      </w:r>
    </w:p>
    <w:p w14:paraId="4EA977C8" w14:textId="77777777" w:rsidR="00E57569" w:rsidRPr="00D85C42" w:rsidRDefault="00E57569" w:rsidP="00355FDF">
      <w:pPr>
        <w:ind w:left="851"/>
        <w:rPr>
          <w:sz w:val="24"/>
          <w:szCs w:val="24"/>
        </w:rPr>
      </w:pPr>
      <w:r w:rsidRPr="00D85C42">
        <w:rPr>
          <w:sz w:val="24"/>
          <w:szCs w:val="24"/>
        </w:rPr>
        <w:t>Ikke relevant.</w:t>
      </w:r>
    </w:p>
    <w:p w14:paraId="34401F3A" w14:textId="77777777" w:rsidR="008203A8" w:rsidRPr="00D85C42" w:rsidRDefault="008203A8" w:rsidP="008203A8">
      <w:pPr>
        <w:tabs>
          <w:tab w:val="left" w:pos="851"/>
        </w:tabs>
        <w:ind w:left="851"/>
        <w:rPr>
          <w:sz w:val="24"/>
          <w:szCs w:val="24"/>
        </w:rPr>
      </w:pPr>
    </w:p>
    <w:p w14:paraId="1AFABB2E" w14:textId="77777777" w:rsidR="008203A8" w:rsidRPr="00D85C42" w:rsidRDefault="008203A8" w:rsidP="008203A8">
      <w:pPr>
        <w:tabs>
          <w:tab w:val="left" w:pos="851"/>
        </w:tabs>
        <w:ind w:left="851" w:hanging="851"/>
        <w:rPr>
          <w:b/>
          <w:sz w:val="24"/>
          <w:szCs w:val="24"/>
        </w:rPr>
      </w:pPr>
      <w:r w:rsidRPr="00D85C42">
        <w:rPr>
          <w:b/>
          <w:sz w:val="24"/>
          <w:szCs w:val="24"/>
        </w:rPr>
        <w:t>3.6</w:t>
      </w:r>
      <w:r w:rsidRPr="00D85C42">
        <w:rPr>
          <w:b/>
          <w:sz w:val="24"/>
          <w:szCs w:val="24"/>
        </w:rPr>
        <w:tab/>
        <w:t>Bivirkninger</w:t>
      </w:r>
    </w:p>
    <w:p w14:paraId="61A466C0" w14:textId="77777777" w:rsidR="00E57569" w:rsidRPr="00D85C42" w:rsidRDefault="00E57569" w:rsidP="00355FDF">
      <w:pPr>
        <w:ind w:left="851"/>
        <w:rPr>
          <w:sz w:val="24"/>
          <w:szCs w:val="24"/>
        </w:rPr>
      </w:pPr>
      <w:r w:rsidRPr="00D85C42">
        <w:rPr>
          <w:sz w:val="24"/>
          <w:szCs w:val="24"/>
        </w:rPr>
        <w:t>Kvæg og svin:</w:t>
      </w:r>
    </w:p>
    <w:p w14:paraId="7B06C8DC" w14:textId="77777777" w:rsidR="00E57569" w:rsidRPr="00D85C42" w:rsidRDefault="00E57569" w:rsidP="00355FDF">
      <w:pPr>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E57569" w:rsidRPr="00D85C42" w14:paraId="2EBA92F4" w14:textId="77777777" w:rsidTr="00355FDF">
        <w:tc>
          <w:tcPr>
            <w:tcW w:w="2482" w:type="pct"/>
            <w:tcBorders>
              <w:top w:val="single" w:sz="4" w:space="0" w:color="auto"/>
              <w:left w:val="single" w:sz="4" w:space="0" w:color="auto"/>
              <w:bottom w:val="single" w:sz="4" w:space="0" w:color="auto"/>
              <w:right w:val="single" w:sz="4" w:space="0" w:color="auto"/>
            </w:tcBorders>
            <w:hideMark/>
          </w:tcPr>
          <w:p w14:paraId="4E549C74" w14:textId="77777777" w:rsidR="00E57569" w:rsidRPr="00D85C42" w:rsidRDefault="00E57569">
            <w:pPr>
              <w:tabs>
                <w:tab w:val="left" w:pos="1304"/>
              </w:tabs>
              <w:rPr>
                <w:sz w:val="24"/>
                <w:szCs w:val="24"/>
              </w:rPr>
            </w:pPr>
            <w:r w:rsidRPr="00D85C42">
              <w:rPr>
                <w:sz w:val="24"/>
                <w:szCs w:val="24"/>
              </w:rPr>
              <w:t>Meget sjælden</w:t>
            </w:r>
          </w:p>
          <w:p w14:paraId="1F02E3C9" w14:textId="77777777" w:rsidR="00E57569" w:rsidRPr="00D85C42" w:rsidRDefault="00E57569">
            <w:pPr>
              <w:tabs>
                <w:tab w:val="left" w:pos="1304"/>
              </w:tabs>
              <w:rPr>
                <w:sz w:val="24"/>
                <w:szCs w:val="24"/>
              </w:rPr>
            </w:pPr>
            <w:r w:rsidRPr="00D85C42">
              <w:rPr>
                <w:sz w:val="24"/>
                <w:szCs w:val="24"/>
              </w:rPr>
              <w:t>(&lt; 1 dyr ud af 10.000 behandlede dyr, herunder enkeltstående indberetninger):</w:t>
            </w:r>
          </w:p>
        </w:tc>
        <w:tc>
          <w:tcPr>
            <w:tcW w:w="2518" w:type="pct"/>
            <w:tcBorders>
              <w:top w:val="single" w:sz="4" w:space="0" w:color="auto"/>
              <w:left w:val="single" w:sz="4" w:space="0" w:color="auto"/>
              <w:bottom w:val="single" w:sz="4" w:space="0" w:color="auto"/>
              <w:right w:val="single" w:sz="4" w:space="0" w:color="auto"/>
            </w:tcBorders>
            <w:hideMark/>
          </w:tcPr>
          <w:p w14:paraId="4CE96119" w14:textId="77777777" w:rsidR="00E57569" w:rsidRPr="00D85C42" w:rsidRDefault="00E57569">
            <w:pPr>
              <w:tabs>
                <w:tab w:val="left" w:pos="1304"/>
              </w:tabs>
              <w:rPr>
                <w:sz w:val="24"/>
                <w:szCs w:val="24"/>
              </w:rPr>
            </w:pPr>
            <w:r w:rsidRPr="00D85C42">
              <w:rPr>
                <w:sz w:val="24"/>
                <w:szCs w:val="24"/>
              </w:rPr>
              <w:t>Nekrose ved injektionsstedet</w:t>
            </w:r>
            <w:r w:rsidRPr="00D85C42">
              <w:rPr>
                <w:sz w:val="24"/>
                <w:szCs w:val="24"/>
                <w:vertAlign w:val="superscript"/>
              </w:rPr>
              <w:t>1</w:t>
            </w:r>
          </w:p>
          <w:p w14:paraId="303ED612" w14:textId="72A5672A" w:rsidR="00E57569" w:rsidRPr="00D85C42" w:rsidRDefault="00E57569">
            <w:pPr>
              <w:tabs>
                <w:tab w:val="left" w:pos="1304"/>
              </w:tabs>
              <w:rPr>
                <w:iCs/>
                <w:sz w:val="24"/>
                <w:szCs w:val="24"/>
              </w:rPr>
            </w:pPr>
            <w:r w:rsidRPr="00D85C42">
              <w:rPr>
                <w:iCs/>
                <w:sz w:val="24"/>
                <w:szCs w:val="24"/>
              </w:rPr>
              <w:t>Lidelse i fordøjelseskanalenl</w:t>
            </w:r>
            <w:r w:rsidRPr="00D85C42">
              <w:rPr>
                <w:iCs/>
                <w:sz w:val="24"/>
                <w:szCs w:val="24"/>
                <w:vertAlign w:val="superscript"/>
              </w:rPr>
              <w:t>2</w:t>
            </w:r>
          </w:p>
          <w:p w14:paraId="75A75025" w14:textId="44F8638C" w:rsidR="00E57569" w:rsidRPr="00D85C42" w:rsidRDefault="00E57569">
            <w:pPr>
              <w:tabs>
                <w:tab w:val="left" w:pos="1304"/>
              </w:tabs>
              <w:rPr>
                <w:iCs/>
                <w:sz w:val="24"/>
                <w:szCs w:val="24"/>
              </w:rPr>
            </w:pPr>
            <w:r w:rsidRPr="00D85C42">
              <w:rPr>
                <w:iCs/>
                <w:sz w:val="24"/>
                <w:szCs w:val="24"/>
              </w:rPr>
              <w:t>Nyresygdom</w:t>
            </w:r>
          </w:p>
        </w:tc>
      </w:tr>
    </w:tbl>
    <w:p w14:paraId="46A469B1" w14:textId="0CBC01E0" w:rsidR="00E57569" w:rsidRPr="00D85C42" w:rsidRDefault="00E57569" w:rsidP="00A378A1">
      <w:pPr>
        <w:tabs>
          <w:tab w:val="left" w:pos="1134"/>
        </w:tabs>
        <w:ind w:left="1127" w:hanging="276"/>
        <w:rPr>
          <w:sz w:val="24"/>
          <w:szCs w:val="24"/>
        </w:rPr>
      </w:pPr>
      <w:r w:rsidRPr="00D85C42">
        <w:rPr>
          <w:sz w:val="24"/>
          <w:szCs w:val="24"/>
          <w:vertAlign w:val="superscript"/>
        </w:rPr>
        <w:t xml:space="preserve">1 </w:t>
      </w:r>
      <w:r w:rsidR="00A378A1">
        <w:rPr>
          <w:sz w:val="24"/>
          <w:szCs w:val="24"/>
          <w:vertAlign w:val="superscript"/>
        </w:rPr>
        <w:tab/>
      </w:r>
      <w:r w:rsidRPr="00D85C42">
        <w:rPr>
          <w:sz w:val="24"/>
          <w:szCs w:val="24"/>
        </w:rPr>
        <w:t xml:space="preserve">Ved intramuskulær injektion. Læsionerne er subkliniske, milde som gradvist </w:t>
      </w:r>
      <w:proofErr w:type="spellStart"/>
      <w:r w:rsidRPr="00D85C42">
        <w:rPr>
          <w:sz w:val="24"/>
          <w:szCs w:val="24"/>
        </w:rPr>
        <w:t>opheles</w:t>
      </w:r>
      <w:proofErr w:type="spellEnd"/>
      <w:r w:rsidRPr="00D85C42">
        <w:rPr>
          <w:sz w:val="24"/>
          <w:szCs w:val="24"/>
        </w:rPr>
        <w:t xml:space="preserve"> i dagene efter behandlingens afslutning. Indgivelse i halsregionen minimerer omfanget og alvorlighedsgraden af disse læsioner.</w:t>
      </w:r>
    </w:p>
    <w:p w14:paraId="2C7776FB" w14:textId="23A09617" w:rsidR="00E57569" w:rsidRPr="00D85C42" w:rsidRDefault="00E57569" w:rsidP="00A378A1">
      <w:pPr>
        <w:tabs>
          <w:tab w:val="left" w:pos="1134"/>
        </w:tabs>
        <w:ind w:left="851"/>
        <w:rPr>
          <w:iCs/>
          <w:sz w:val="24"/>
          <w:szCs w:val="24"/>
        </w:rPr>
      </w:pPr>
      <w:r w:rsidRPr="00D85C42">
        <w:rPr>
          <w:sz w:val="24"/>
          <w:szCs w:val="24"/>
          <w:vertAlign w:val="superscript"/>
        </w:rPr>
        <w:t xml:space="preserve">2 </w:t>
      </w:r>
      <w:r w:rsidR="00A378A1">
        <w:rPr>
          <w:sz w:val="24"/>
          <w:szCs w:val="24"/>
          <w:vertAlign w:val="superscript"/>
        </w:rPr>
        <w:tab/>
      </w:r>
      <w:r w:rsidRPr="00D85C42">
        <w:rPr>
          <w:iCs/>
          <w:sz w:val="24"/>
          <w:szCs w:val="24"/>
        </w:rPr>
        <w:t>Eroderende og ulcerøse læsioner efter gentagne indgivelser, gastrisk intolerance.</w:t>
      </w:r>
    </w:p>
    <w:p w14:paraId="7E1C4030" w14:textId="77777777" w:rsidR="00E57569" w:rsidRPr="00D85C42" w:rsidRDefault="00E57569" w:rsidP="00355FDF">
      <w:pPr>
        <w:ind w:left="851"/>
        <w:rPr>
          <w:sz w:val="24"/>
          <w:szCs w:val="24"/>
        </w:rPr>
      </w:pPr>
    </w:p>
    <w:p w14:paraId="1CD77CCE" w14:textId="77777777" w:rsidR="00E57569" w:rsidRPr="00D85C42" w:rsidRDefault="00E57569" w:rsidP="00355FDF">
      <w:pPr>
        <w:ind w:left="851"/>
        <w:rPr>
          <w:sz w:val="24"/>
          <w:szCs w:val="24"/>
        </w:rPr>
      </w:pPr>
      <w:r w:rsidRPr="00D85C42">
        <w:rPr>
          <w:sz w:val="24"/>
          <w:szCs w:val="24"/>
        </w:rPr>
        <w:t>Heste:</w:t>
      </w:r>
    </w:p>
    <w:p w14:paraId="11DBBEFC" w14:textId="77777777" w:rsidR="00E57569" w:rsidRPr="00D85C42" w:rsidRDefault="00E57569" w:rsidP="00355FDF">
      <w:pPr>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E57569" w:rsidRPr="00D85C42" w14:paraId="65815C70" w14:textId="77777777" w:rsidTr="00355FDF">
        <w:tc>
          <w:tcPr>
            <w:tcW w:w="2482" w:type="pct"/>
            <w:tcBorders>
              <w:top w:val="single" w:sz="4" w:space="0" w:color="auto"/>
              <w:left w:val="single" w:sz="4" w:space="0" w:color="auto"/>
              <w:bottom w:val="single" w:sz="4" w:space="0" w:color="auto"/>
              <w:right w:val="single" w:sz="4" w:space="0" w:color="auto"/>
            </w:tcBorders>
            <w:hideMark/>
          </w:tcPr>
          <w:p w14:paraId="363A7C59" w14:textId="77777777" w:rsidR="00E57569" w:rsidRPr="00D85C42" w:rsidRDefault="00E57569">
            <w:pPr>
              <w:tabs>
                <w:tab w:val="left" w:pos="1304"/>
              </w:tabs>
              <w:rPr>
                <w:sz w:val="24"/>
                <w:szCs w:val="24"/>
              </w:rPr>
            </w:pPr>
            <w:r w:rsidRPr="00D85C42">
              <w:rPr>
                <w:sz w:val="24"/>
                <w:szCs w:val="24"/>
              </w:rPr>
              <w:t>Meget sjælden</w:t>
            </w:r>
          </w:p>
          <w:p w14:paraId="7CC14203" w14:textId="77777777" w:rsidR="00E57569" w:rsidRPr="00D85C42" w:rsidRDefault="00E57569">
            <w:pPr>
              <w:tabs>
                <w:tab w:val="left" w:pos="1304"/>
              </w:tabs>
              <w:rPr>
                <w:sz w:val="24"/>
                <w:szCs w:val="24"/>
              </w:rPr>
            </w:pPr>
            <w:r w:rsidRPr="00D85C42">
              <w:rPr>
                <w:sz w:val="24"/>
                <w:szCs w:val="24"/>
              </w:rPr>
              <w:t>(&lt; 1 dyr ud af 10.000 behandlede dyr, herunder enkeltstående indberetninger):</w:t>
            </w:r>
          </w:p>
        </w:tc>
        <w:tc>
          <w:tcPr>
            <w:tcW w:w="2518" w:type="pct"/>
            <w:tcBorders>
              <w:top w:val="single" w:sz="4" w:space="0" w:color="auto"/>
              <w:left w:val="single" w:sz="4" w:space="0" w:color="auto"/>
              <w:bottom w:val="single" w:sz="4" w:space="0" w:color="auto"/>
              <w:right w:val="single" w:sz="4" w:space="0" w:color="auto"/>
            </w:tcBorders>
            <w:hideMark/>
          </w:tcPr>
          <w:p w14:paraId="1D0E6B92" w14:textId="77777777" w:rsidR="00E57569" w:rsidRPr="00D85C42" w:rsidRDefault="00E57569">
            <w:pPr>
              <w:tabs>
                <w:tab w:val="left" w:pos="1304"/>
              </w:tabs>
              <w:rPr>
                <w:sz w:val="24"/>
                <w:szCs w:val="24"/>
              </w:rPr>
            </w:pPr>
            <w:r w:rsidRPr="00D85C42">
              <w:rPr>
                <w:sz w:val="24"/>
                <w:szCs w:val="24"/>
              </w:rPr>
              <w:t>Nekrose ved injektionsstedet</w:t>
            </w:r>
            <w:r w:rsidRPr="00D85C42">
              <w:rPr>
                <w:sz w:val="24"/>
                <w:szCs w:val="24"/>
                <w:vertAlign w:val="superscript"/>
              </w:rPr>
              <w:t>1</w:t>
            </w:r>
          </w:p>
          <w:p w14:paraId="4D418AE4" w14:textId="77777777" w:rsidR="00E57569" w:rsidRPr="00D85C42" w:rsidRDefault="00E57569">
            <w:pPr>
              <w:tabs>
                <w:tab w:val="left" w:pos="1304"/>
              </w:tabs>
              <w:rPr>
                <w:sz w:val="24"/>
                <w:szCs w:val="24"/>
              </w:rPr>
            </w:pPr>
            <w:r w:rsidRPr="00D85C42">
              <w:rPr>
                <w:iCs/>
                <w:sz w:val="24"/>
                <w:szCs w:val="24"/>
              </w:rPr>
              <w:t>Reaktion ved injektionsstedet</w:t>
            </w:r>
            <w:r w:rsidRPr="00D85C42">
              <w:rPr>
                <w:iCs/>
                <w:sz w:val="24"/>
                <w:szCs w:val="24"/>
                <w:vertAlign w:val="superscript"/>
              </w:rPr>
              <w:t>2</w:t>
            </w:r>
          </w:p>
          <w:p w14:paraId="667A3846" w14:textId="7A7E9B46" w:rsidR="00E57569" w:rsidRPr="00D85C42" w:rsidRDefault="00E57569">
            <w:pPr>
              <w:tabs>
                <w:tab w:val="left" w:pos="1304"/>
              </w:tabs>
              <w:rPr>
                <w:iCs/>
                <w:sz w:val="24"/>
                <w:szCs w:val="24"/>
              </w:rPr>
            </w:pPr>
            <w:r w:rsidRPr="00D85C42">
              <w:rPr>
                <w:iCs/>
                <w:sz w:val="24"/>
                <w:szCs w:val="24"/>
              </w:rPr>
              <w:t>Lidelse i fordøjelseskanalen</w:t>
            </w:r>
            <w:r w:rsidRPr="00D85C42">
              <w:rPr>
                <w:iCs/>
                <w:sz w:val="24"/>
                <w:szCs w:val="24"/>
                <w:vertAlign w:val="superscript"/>
              </w:rPr>
              <w:t>3</w:t>
            </w:r>
          </w:p>
          <w:p w14:paraId="79CDC166" w14:textId="6617BAA6" w:rsidR="00E57569" w:rsidRPr="00D85C42" w:rsidRDefault="00E57569">
            <w:pPr>
              <w:tabs>
                <w:tab w:val="left" w:pos="1304"/>
              </w:tabs>
              <w:rPr>
                <w:iCs/>
                <w:sz w:val="24"/>
                <w:szCs w:val="24"/>
              </w:rPr>
            </w:pPr>
            <w:r w:rsidRPr="00D85C42">
              <w:rPr>
                <w:iCs/>
                <w:sz w:val="24"/>
                <w:szCs w:val="24"/>
              </w:rPr>
              <w:t>Nyresygdom</w:t>
            </w:r>
          </w:p>
        </w:tc>
      </w:tr>
    </w:tbl>
    <w:p w14:paraId="2EC43497" w14:textId="46606F2D" w:rsidR="00E57569" w:rsidRPr="00D85C42" w:rsidRDefault="00E57569" w:rsidP="00A378A1">
      <w:pPr>
        <w:tabs>
          <w:tab w:val="left" w:pos="1134"/>
        </w:tabs>
        <w:ind w:left="1127" w:hanging="276"/>
        <w:rPr>
          <w:sz w:val="24"/>
          <w:szCs w:val="24"/>
        </w:rPr>
      </w:pPr>
      <w:r w:rsidRPr="00D85C42">
        <w:rPr>
          <w:sz w:val="24"/>
          <w:szCs w:val="24"/>
          <w:vertAlign w:val="superscript"/>
        </w:rPr>
        <w:t xml:space="preserve">1 </w:t>
      </w:r>
      <w:r w:rsidR="00A378A1">
        <w:rPr>
          <w:sz w:val="24"/>
          <w:szCs w:val="24"/>
          <w:vertAlign w:val="superscript"/>
        </w:rPr>
        <w:tab/>
      </w:r>
      <w:r w:rsidRPr="00D85C42">
        <w:rPr>
          <w:sz w:val="24"/>
          <w:szCs w:val="24"/>
        </w:rPr>
        <w:t xml:space="preserve">Ved intramuskulær injektion. Læsionerne er subkliniske, milde som gradvist </w:t>
      </w:r>
      <w:proofErr w:type="spellStart"/>
      <w:r w:rsidRPr="00D85C42">
        <w:rPr>
          <w:sz w:val="24"/>
          <w:szCs w:val="24"/>
        </w:rPr>
        <w:t>opheles</w:t>
      </w:r>
      <w:proofErr w:type="spellEnd"/>
      <w:r w:rsidRPr="00D85C42">
        <w:rPr>
          <w:sz w:val="24"/>
          <w:szCs w:val="24"/>
        </w:rPr>
        <w:t xml:space="preserve"> i dagene efter behandlingens afslutning. Indgivelse i halsregionen minimerer omfanget og alvorlighedsgraden af disse læsioner.</w:t>
      </w:r>
    </w:p>
    <w:p w14:paraId="38226105" w14:textId="7C95F73F" w:rsidR="00E57569" w:rsidRPr="00D85C42" w:rsidRDefault="00E57569" w:rsidP="00A378A1">
      <w:pPr>
        <w:tabs>
          <w:tab w:val="left" w:pos="1134"/>
        </w:tabs>
        <w:ind w:left="1127" w:hanging="276"/>
        <w:rPr>
          <w:sz w:val="24"/>
          <w:szCs w:val="24"/>
        </w:rPr>
      </w:pPr>
      <w:r w:rsidRPr="00D85C42">
        <w:rPr>
          <w:sz w:val="24"/>
          <w:szCs w:val="24"/>
          <w:vertAlign w:val="superscript"/>
        </w:rPr>
        <w:t xml:space="preserve">2 </w:t>
      </w:r>
      <w:r w:rsidR="00A378A1">
        <w:rPr>
          <w:sz w:val="24"/>
          <w:szCs w:val="24"/>
          <w:vertAlign w:val="superscript"/>
        </w:rPr>
        <w:tab/>
      </w:r>
      <w:r w:rsidRPr="00D85C42">
        <w:rPr>
          <w:sz w:val="24"/>
          <w:szCs w:val="24"/>
        </w:rPr>
        <w:t xml:space="preserve">Lokal reaktion der forsvinder efter 5 dage efter én </w:t>
      </w:r>
      <w:proofErr w:type="spellStart"/>
      <w:r w:rsidRPr="00D85C42">
        <w:rPr>
          <w:sz w:val="24"/>
          <w:szCs w:val="24"/>
        </w:rPr>
        <w:t>ekstravaskulær</w:t>
      </w:r>
      <w:proofErr w:type="spellEnd"/>
      <w:r w:rsidRPr="00D85C42">
        <w:rPr>
          <w:sz w:val="24"/>
          <w:szCs w:val="24"/>
        </w:rPr>
        <w:t xml:space="preserve"> administration af veterinærlægemidlet i den anbefalede mængde observeret.</w:t>
      </w:r>
    </w:p>
    <w:p w14:paraId="19F0C054" w14:textId="203B2D4A" w:rsidR="00E57569" w:rsidRPr="00D85C42" w:rsidRDefault="00E57569" w:rsidP="00A378A1">
      <w:pPr>
        <w:tabs>
          <w:tab w:val="left" w:pos="1134"/>
        </w:tabs>
        <w:ind w:left="851"/>
        <w:rPr>
          <w:sz w:val="24"/>
          <w:szCs w:val="24"/>
        </w:rPr>
      </w:pPr>
      <w:r w:rsidRPr="00D85C42">
        <w:rPr>
          <w:sz w:val="24"/>
          <w:szCs w:val="24"/>
          <w:vertAlign w:val="superscript"/>
        </w:rPr>
        <w:t>3</w:t>
      </w:r>
      <w:r w:rsidRPr="00D85C42">
        <w:rPr>
          <w:sz w:val="24"/>
          <w:szCs w:val="24"/>
        </w:rPr>
        <w:t xml:space="preserve"> </w:t>
      </w:r>
      <w:r w:rsidR="00A378A1">
        <w:rPr>
          <w:sz w:val="24"/>
          <w:szCs w:val="24"/>
        </w:rPr>
        <w:tab/>
      </w:r>
      <w:r w:rsidRPr="00D85C42">
        <w:rPr>
          <w:sz w:val="24"/>
          <w:szCs w:val="24"/>
        </w:rPr>
        <w:t xml:space="preserve">Eroderende og ulcerøse læsioner efter gentagne indgivelser, gastrisk intolerance. </w:t>
      </w:r>
    </w:p>
    <w:p w14:paraId="440F233E" w14:textId="77777777" w:rsidR="00E57569" w:rsidRPr="00D85C42" w:rsidRDefault="00E57569" w:rsidP="00355FDF">
      <w:pPr>
        <w:ind w:left="851"/>
        <w:rPr>
          <w:sz w:val="24"/>
          <w:szCs w:val="24"/>
        </w:rPr>
      </w:pPr>
    </w:p>
    <w:p w14:paraId="13C7DB5E" w14:textId="77777777" w:rsidR="00E57569" w:rsidRPr="00D85C42" w:rsidRDefault="00E57569" w:rsidP="00355FDF">
      <w:pPr>
        <w:ind w:left="851"/>
        <w:rPr>
          <w:sz w:val="24"/>
          <w:szCs w:val="24"/>
        </w:rPr>
      </w:pPr>
      <w:r w:rsidRPr="00D85C42">
        <w:rPr>
          <w:sz w:val="24"/>
          <w:szCs w:val="24"/>
        </w:rPr>
        <w:t>Hvis der forekommer bivirkninger, skal behandlingen stilles i bero, og en dyrlæge bør spørges til råds.</w:t>
      </w:r>
    </w:p>
    <w:p w14:paraId="75375074" w14:textId="77777777" w:rsidR="00E57569" w:rsidRPr="00D85C42" w:rsidRDefault="00E57569" w:rsidP="00355FDF">
      <w:pPr>
        <w:ind w:left="851"/>
        <w:rPr>
          <w:sz w:val="24"/>
          <w:szCs w:val="24"/>
        </w:rPr>
      </w:pPr>
    </w:p>
    <w:p w14:paraId="4027CD68" w14:textId="76AD93EF" w:rsidR="00E57569" w:rsidRPr="00D85C42" w:rsidRDefault="00E57569" w:rsidP="00355FDF">
      <w:pPr>
        <w:ind w:left="851"/>
        <w:rPr>
          <w:rFonts w:eastAsia="Calibri"/>
          <w:noProof/>
          <w:sz w:val="24"/>
          <w:szCs w:val="24"/>
          <w:lang w:eastAsia="zh-CN"/>
        </w:rPr>
      </w:pPr>
      <w:bookmarkStart w:id="1" w:name="_Hlk66891708"/>
      <w:r w:rsidRPr="00D85C42">
        <w:rPr>
          <w:sz w:val="24"/>
          <w:szCs w:val="24"/>
        </w:rPr>
        <w:t xml:space="preserve">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w:t>
      </w:r>
      <w:hyperlink r:id="rId8" w:history="1"/>
      <w:r w:rsidRPr="00D85C42">
        <w:rPr>
          <w:sz w:val="24"/>
          <w:szCs w:val="24"/>
        </w:rPr>
        <w:t>Se indlægssedlen for de relevante kontaktoplysninger</w:t>
      </w:r>
    </w:p>
    <w:bookmarkEnd w:id="1"/>
    <w:p w14:paraId="2BD8D527" w14:textId="281227C0" w:rsidR="00EA6DA7" w:rsidRDefault="00EA6DA7">
      <w:pPr>
        <w:rPr>
          <w:sz w:val="24"/>
          <w:szCs w:val="24"/>
        </w:rPr>
      </w:pPr>
      <w:r>
        <w:rPr>
          <w:sz w:val="24"/>
          <w:szCs w:val="24"/>
        </w:rPr>
        <w:br w:type="page"/>
      </w:r>
    </w:p>
    <w:p w14:paraId="5B8BAA98" w14:textId="77777777" w:rsidR="008203A8" w:rsidRPr="00D85C42" w:rsidRDefault="008203A8" w:rsidP="008203A8">
      <w:pPr>
        <w:tabs>
          <w:tab w:val="left" w:pos="851"/>
        </w:tabs>
        <w:ind w:left="851"/>
        <w:rPr>
          <w:sz w:val="24"/>
          <w:szCs w:val="24"/>
        </w:rPr>
      </w:pPr>
    </w:p>
    <w:p w14:paraId="3875F676" w14:textId="77777777" w:rsidR="008203A8" w:rsidRPr="00D85C42" w:rsidRDefault="008203A8" w:rsidP="008203A8">
      <w:pPr>
        <w:tabs>
          <w:tab w:val="left" w:pos="851"/>
        </w:tabs>
        <w:ind w:left="851" w:hanging="851"/>
        <w:rPr>
          <w:b/>
          <w:sz w:val="24"/>
          <w:szCs w:val="24"/>
        </w:rPr>
      </w:pPr>
      <w:r w:rsidRPr="00D85C42">
        <w:rPr>
          <w:b/>
          <w:sz w:val="24"/>
          <w:szCs w:val="24"/>
        </w:rPr>
        <w:t>3.7</w:t>
      </w:r>
      <w:r w:rsidRPr="00D85C42">
        <w:rPr>
          <w:b/>
          <w:sz w:val="24"/>
          <w:szCs w:val="24"/>
        </w:rPr>
        <w:tab/>
        <w:t>Anvendelse under drægtighed, laktation eller æglægning</w:t>
      </w:r>
    </w:p>
    <w:p w14:paraId="1069A40F" w14:textId="77777777" w:rsidR="00A378A1" w:rsidRDefault="00A378A1" w:rsidP="00355FDF">
      <w:pPr>
        <w:ind w:left="851"/>
        <w:rPr>
          <w:sz w:val="24"/>
          <w:szCs w:val="24"/>
        </w:rPr>
      </w:pPr>
    </w:p>
    <w:p w14:paraId="3C99E4AA" w14:textId="19453E09" w:rsidR="00E57569" w:rsidRPr="00A378A1" w:rsidRDefault="00E57569" w:rsidP="00355FDF">
      <w:pPr>
        <w:ind w:left="851"/>
        <w:rPr>
          <w:sz w:val="24"/>
          <w:szCs w:val="24"/>
          <w:u w:val="single"/>
        </w:rPr>
      </w:pPr>
      <w:r w:rsidRPr="00A378A1">
        <w:rPr>
          <w:sz w:val="24"/>
          <w:szCs w:val="24"/>
          <w:u w:val="single"/>
        </w:rPr>
        <w:t>Drægtighed:</w:t>
      </w:r>
    </w:p>
    <w:p w14:paraId="76E6165C" w14:textId="27BE5342" w:rsidR="00E57569" w:rsidRPr="00D85C42" w:rsidRDefault="00E57569" w:rsidP="00355FDF">
      <w:pPr>
        <w:ind w:left="851"/>
        <w:rPr>
          <w:sz w:val="24"/>
          <w:szCs w:val="24"/>
        </w:rPr>
      </w:pPr>
      <w:r w:rsidRPr="00D85C42">
        <w:rPr>
          <w:sz w:val="24"/>
          <w:szCs w:val="24"/>
        </w:rPr>
        <w:t>Laboratorieundersøgelser af laboratoriedyr (rotter, mus, kaniner) og kvæg har ikke vist tegn på bivirkninger. Kan anvendes til drægtige køer.</w:t>
      </w:r>
    </w:p>
    <w:p w14:paraId="73F4C7FF" w14:textId="77777777" w:rsidR="00E57569" w:rsidRPr="00D85C42" w:rsidRDefault="00E57569" w:rsidP="00355FDF">
      <w:pPr>
        <w:ind w:left="851"/>
        <w:rPr>
          <w:sz w:val="24"/>
          <w:szCs w:val="24"/>
        </w:rPr>
      </w:pPr>
      <w:r w:rsidRPr="00D85C42">
        <w:rPr>
          <w:sz w:val="24"/>
          <w:szCs w:val="24"/>
        </w:rPr>
        <w:t>Veterinærlægemidlets sikkerhed under drægtighed hos søer og hopper er ikke fastlagt. Må kun anvendes i overensstemmelse med den ansvarlige dyrlæges vurdering af benefit/</w:t>
      </w:r>
      <w:proofErr w:type="spellStart"/>
      <w:r w:rsidRPr="00D85C42">
        <w:rPr>
          <w:sz w:val="24"/>
          <w:szCs w:val="24"/>
        </w:rPr>
        <w:t>risk</w:t>
      </w:r>
      <w:proofErr w:type="spellEnd"/>
      <w:r w:rsidRPr="00D85C42">
        <w:rPr>
          <w:sz w:val="24"/>
          <w:szCs w:val="24"/>
        </w:rPr>
        <w:t>-forholdet.</w:t>
      </w:r>
    </w:p>
    <w:p w14:paraId="10A97627" w14:textId="77777777" w:rsidR="00E57569" w:rsidRPr="00D85C42" w:rsidRDefault="00E57569" w:rsidP="00355FDF">
      <w:pPr>
        <w:ind w:left="851"/>
        <w:rPr>
          <w:sz w:val="24"/>
          <w:szCs w:val="24"/>
        </w:rPr>
      </w:pPr>
    </w:p>
    <w:p w14:paraId="50267B07" w14:textId="77777777" w:rsidR="00E57569" w:rsidRPr="00A378A1" w:rsidRDefault="00E57569" w:rsidP="00355FDF">
      <w:pPr>
        <w:ind w:left="851"/>
        <w:rPr>
          <w:sz w:val="24"/>
          <w:szCs w:val="24"/>
          <w:u w:val="single"/>
        </w:rPr>
      </w:pPr>
      <w:r w:rsidRPr="00A378A1">
        <w:rPr>
          <w:sz w:val="24"/>
          <w:szCs w:val="24"/>
          <w:u w:val="single"/>
        </w:rPr>
        <w:t>Diegivning:</w:t>
      </w:r>
    </w:p>
    <w:p w14:paraId="6F4A929B" w14:textId="77777777" w:rsidR="00E57569" w:rsidRPr="00D85C42" w:rsidRDefault="00E57569" w:rsidP="00355FDF">
      <w:pPr>
        <w:ind w:left="851"/>
        <w:rPr>
          <w:sz w:val="24"/>
          <w:szCs w:val="24"/>
        </w:rPr>
      </w:pPr>
      <w:r w:rsidRPr="00D85C42">
        <w:rPr>
          <w:sz w:val="24"/>
          <w:szCs w:val="24"/>
        </w:rPr>
        <w:t>Kan anvendes til diegivende køer og søer.</w:t>
      </w:r>
    </w:p>
    <w:p w14:paraId="1AE74710" w14:textId="77777777" w:rsidR="00E57569" w:rsidRPr="00D85C42" w:rsidRDefault="00E57569" w:rsidP="00355FDF">
      <w:pPr>
        <w:ind w:left="851"/>
        <w:rPr>
          <w:sz w:val="24"/>
          <w:szCs w:val="24"/>
        </w:rPr>
      </w:pPr>
      <w:r w:rsidRPr="00D85C42">
        <w:rPr>
          <w:sz w:val="24"/>
          <w:szCs w:val="24"/>
        </w:rPr>
        <w:t>Bør ikke anvendes til diegivende hopper.</w:t>
      </w:r>
    </w:p>
    <w:p w14:paraId="70445B19" w14:textId="77777777" w:rsidR="008203A8" w:rsidRPr="00D85C42" w:rsidRDefault="008203A8" w:rsidP="008203A8">
      <w:pPr>
        <w:tabs>
          <w:tab w:val="left" w:pos="851"/>
        </w:tabs>
        <w:ind w:left="851"/>
        <w:rPr>
          <w:sz w:val="24"/>
          <w:szCs w:val="24"/>
        </w:rPr>
      </w:pPr>
    </w:p>
    <w:p w14:paraId="0967CD64" w14:textId="77777777" w:rsidR="008203A8" w:rsidRPr="00D85C42" w:rsidRDefault="008203A8" w:rsidP="008203A8">
      <w:pPr>
        <w:tabs>
          <w:tab w:val="left" w:pos="851"/>
        </w:tabs>
        <w:ind w:left="851" w:hanging="851"/>
        <w:rPr>
          <w:b/>
          <w:sz w:val="24"/>
          <w:szCs w:val="24"/>
        </w:rPr>
      </w:pPr>
      <w:r w:rsidRPr="00D85C42">
        <w:rPr>
          <w:b/>
          <w:sz w:val="24"/>
          <w:szCs w:val="24"/>
        </w:rPr>
        <w:t>3.8</w:t>
      </w:r>
      <w:r w:rsidRPr="00D85C42">
        <w:rPr>
          <w:b/>
          <w:sz w:val="24"/>
          <w:szCs w:val="24"/>
        </w:rPr>
        <w:tab/>
        <w:t>Interaktion med andre lægemidler og andre former for interaktion</w:t>
      </w:r>
    </w:p>
    <w:p w14:paraId="0CA9A57F" w14:textId="0045A615" w:rsidR="00E57569" w:rsidRPr="00D85C42" w:rsidRDefault="00E57569" w:rsidP="00355FDF">
      <w:pPr>
        <w:ind w:left="851"/>
        <w:rPr>
          <w:sz w:val="24"/>
          <w:szCs w:val="24"/>
        </w:rPr>
      </w:pPr>
      <w:r w:rsidRPr="00D85C42">
        <w:rPr>
          <w:sz w:val="24"/>
          <w:szCs w:val="24"/>
        </w:rPr>
        <w:t xml:space="preserve">Samtidig indgivelse af </w:t>
      </w:r>
      <w:proofErr w:type="spellStart"/>
      <w:r w:rsidRPr="00D85C42">
        <w:rPr>
          <w:sz w:val="24"/>
          <w:szCs w:val="24"/>
        </w:rPr>
        <w:t>diuretika</w:t>
      </w:r>
      <w:proofErr w:type="spellEnd"/>
      <w:r w:rsidRPr="00D85C42">
        <w:rPr>
          <w:sz w:val="24"/>
          <w:szCs w:val="24"/>
        </w:rPr>
        <w:t xml:space="preserve"> eller potentielt </w:t>
      </w:r>
      <w:proofErr w:type="spellStart"/>
      <w:r w:rsidRPr="00D85C42">
        <w:rPr>
          <w:sz w:val="24"/>
          <w:szCs w:val="24"/>
        </w:rPr>
        <w:t>nefrotoksiske</w:t>
      </w:r>
      <w:proofErr w:type="spellEnd"/>
      <w:r w:rsidRPr="00D85C42">
        <w:rPr>
          <w:sz w:val="24"/>
          <w:szCs w:val="24"/>
        </w:rPr>
        <w:t xml:space="preserve"> lægemidler bør undgås, da der er en stigning i nyreforstyrrelser herunder nyresvigt. Dette er sekundært til den nedsatte </w:t>
      </w:r>
      <w:proofErr w:type="spellStart"/>
      <w:r w:rsidRPr="00D85C42">
        <w:rPr>
          <w:sz w:val="24"/>
          <w:szCs w:val="24"/>
        </w:rPr>
        <w:t>renale</w:t>
      </w:r>
      <w:proofErr w:type="spellEnd"/>
      <w:r w:rsidRPr="00D85C42">
        <w:rPr>
          <w:sz w:val="24"/>
          <w:szCs w:val="24"/>
        </w:rPr>
        <w:t xml:space="preserve"> blodgennemstrømning, der forårsages af hæmning af den </w:t>
      </w:r>
      <w:proofErr w:type="spellStart"/>
      <w:r w:rsidRPr="00D85C42">
        <w:rPr>
          <w:sz w:val="24"/>
          <w:szCs w:val="24"/>
        </w:rPr>
        <w:t>renale</w:t>
      </w:r>
      <w:proofErr w:type="spellEnd"/>
      <w:r w:rsidRPr="00D85C42">
        <w:rPr>
          <w:sz w:val="24"/>
          <w:szCs w:val="24"/>
        </w:rPr>
        <w:t xml:space="preserve"> </w:t>
      </w:r>
      <w:proofErr w:type="spellStart"/>
      <w:r w:rsidRPr="00D85C42">
        <w:rPr>
          <w:sz w:val="24"/>
          <w:szCs w:val="24"/>
        </w:rPr>
        <w:t>prostaglandin</w:t>
      </w:r>
      <w:r w:rsidR="00475769">
        <w:rPr>
          <w:sz w:val="24"/>
          <w:szCs w:val="24"/>
        </w:rPr>
        <w:softHyphen/>
      </w:r>
      <w:r w:rsidRPr="00D85C42">
        <w:rPr>
          <w:sz w:val="24"/>
          <w:szCs w:val="24"/>
        </w:rPr>
        <w:t>syntesen</w:t>
      </w:r>
      <w:proofErr w:type="spellEnd"/>
      <w:r w:rsidRPr="00D85C42">
        <w:rPr>
          <w:sz w:val="24"/>
          <w:szCs w:val="24"/>
        </w:rPr>
        <w:t xml:space="preserve">. </w:t>
      </w:r>
    </w:p>
    <w:p w14:paraId="633EAA83" w14:textId="77777777" w:rsidR="00E57569" w:rsidRPr="00D85C42" w:rsidRDefault="00E57569" w:rsidP="00355FDF">
      <w:pPr>
        <w:ind w:left="851"/>
        <w:rPr>
          <w:sz w:val="24"/>
          <w:szCs w:val="24"/>
        </w:rPr>
      </w:pPr>
    </w:p>
    <w:p w14:paraId="76205853" w14:textId="77777777" w:rsidR="00E57569" w:rsidRPr="00D85C42" w:rsidRDefault="00E57569" w:rsidP="00355FDF">
      <w:pPr>
        <w:ind w:left="851"/>
        <w:rPr>
          <w:sz w:val="24"/>
          <w:szCs w:val="24"/>
        </w:rPr>
      </w:pPr>
      <w:r w:rsidRPr="00D85C42">
        <w:rPr>
          <w:sz w:val="24"/>
          <w:szCs w:val="24"/>
        </w:rPr>
        <w:t xml:space="preserve">Veterinærlægemidlet må ikke anvendes samtidigt med eller inden for 24 timer efter indgivelse af andre </w:t>
      </w:r>
      <w:proofErr w:type="spellStart"/>
      <w:r w:rsidRPr="00D85C42">
        <w:rPr>
          <w:sz w:val="24"/>
          <w:szCs w:val="24"/>
        </w:rPr>
        <w:t>nonsteroide</w:t>
      </w:r>
      <w:proofErr w:type="spellEnd"/>
      <w:r w:rsidRPr="00D85C42">
        <w:rPr>
          <w:sz w:val="24"/>
          <w:szCs w:val="24"/>
        </w:rPr>
        <w:t xml:space="preserve"> antiinflammatoriske lægemidler (NSAID-præparater), </w:t>
      </w:r>
      <w:proofErr w:type="spellStart"/>
      <w:r w:rsidRPr="00D85C42">
        <w:rPr>
          <w:sz w:val="24"/>
          <w:szCs w:val="24"/>
        </w:rPr>
        <w:t>glukokortikoider</w:t>
      </w:r>
      <w:proofErr w:type="spellEnd"/>
      <w:r w:rsidRPr="00D85C42">
        <w:rPr>
          <w:sz w:val="24"/>
          <w:szCs w:val="24"/>
        </w:rPr>
        <w:t xml:space="preserve">, </w:t>
      </w:r>
      <w:proofErr w:type="spellStart"/>
      <w:r w:rsidRPr="00D85C42">
        <w:rPr>
          <w:sz w:val="24"/>
          <w:szCs w:val="24"/>
        </w:rPr>
        <w:t>antikoagulantia</w:t>
      </w:r>
      <w:proofErr w:type="spellEnd"/>
      <w:r w:rsidRPr="00D85C42">
        <w:rPr>
          <w:sz w:val="24"/>
          <w:szCs w:val="24"/>
        </w:rPr>
        <w:t xml:space="preserve"> eller </w:t>
      </w:r>
      <w:proofErr w:type="spellStart"/>
      <w:r w:rsidRPr="00D85C42">
        <w:rPr>
          <w:sz w:val="24"/>
          <w:szCs w:val="24"/>
        </w:rPr>
        <w:t>diuretika</w:t>
      </w:r>
      <w:proofErr w:type="spellEnd"/>
      <w:r w:rsidRPr="00D85C42">
        <w:rPr>
          <w:sz w:val="24"/>
          <w:szCs w:val="24"/>
        </w:rPr>
        <w:t xml:space="preserve">, da risikoen for </w:t>
      </w:r>
      <w:proofErr w:type="spellStart"/>
      <w:r w:rsidRPr="00D85C42">
        <w:rPr>
          <w:sz w:val="24"/>
          <w:szCs w:val="24"/>
        </w:rPr>
        <w:t>gastrointestinal</w:t>
      </w:r>
      <w:proofErr w:type="spellEnd"/>
      <w:r w:rsidRPr="00D85C42">
        <w:rPr>
          <w:sz w:val="24"/>
          <w:szCs w:val="24"/>
        </w:rPr>
        <w:t xml:space="preserve"> </w:t>
      </w:r>
      <w:proofErr w:type="spellStart"/>
      <w:r w:rsidRPr="00D85C42">
        <w:rPr>
          <w:sz w:val="24"/>
          <w:szCs w:val="24"/>
        </w:rPr>
        <w:t>ulceration</w:t>
      </w:r>
      <w:proofErr w:type="spellEnd"/>
      <w:r w:rsidRPr="00D85C42">
        <w:rPr>
          <w:sz w:val="24"/>
          <w:szCs w:val="24"/>
        </w:rPr>
        <w:t xml:space="preserve"> og andre bivirkninger kan potenseres.</w:t>
      </w:r>
    </w:p>
    <w:p w14:paraId="51E96834" w14:textId="77777777" w:rsidR="00E57569" w:rsidRPr="00D85C42" w:rsidRDefault="00E57569" w:rsidP="00355FDF">
      <w:pPr>
        <w:ind w:left="851"/>
        <w:rPr>
          <w:sz w:val="24"/>
          <w:szCs w:val="24"/>
        </w:rPr>
      </w:pPr>
    </w:p>
    <w:p w14:paraId="024F7D11" w14:textId="77777777" w:rsidR="00E57569" w:rsidRPr="00D85C42" w:rsidRDefault="00E57569" w:rsidP="00355FDF">
      <w:pPr>
        <w:ind w:left="851"/>
        <w:rPr>
          <w:sz w:val="24"/>
          <w:szCs w:val="24"/>
        </w:rPr>
      </w:pPr>
      <w:r w:rsidRPr="00D85C42">
        <w:rPr>
          <w:sz w:val="24"/>
          <w:szCs w:val="24"/>
        </w:rPr>
        <w:t xml:space="preserve">Den behandlingsfri periode bør imidlertid tage højde for de tidligere anvendte veterinærlægemidlers farmakologiske egenskaber. </w:t>
      </w:r>
    </w:p>
    <w:p w14:paraId="3E7DB76A" w14:textId="77777777" w:rsidR="00E57569" w:rsidRPr="00D85C42" w:rsidRDefault="00E57569" w:rsidP="00355FDF">
      <w:pPr>
        <w:ind w:left="851"/>
        <w:rPr>
          <w:sz w:val="24"/>
          <w:szCs w:val="24"/>
        </w:rPr>
      </w:pPr>
      <w:proofErr w:type="spellStart"/>
      <w:r w:rsidRPr="00D85C42">
        <w:rPr>
          <w:sz w:val="24"/>
          <w:szCs w:val="24"/>
        </w:rPr>
        <w:t>Ketoprofen</w:t>
      </w:r>
      <w:proofErr w:type="spellEnd"/>
      <w:r w:rsidRPr="00D85C42">
        <w:rPr>
          <w:sz w:val="24"/>
          <w:szCs w:val="24"/>
        </w:rPr>
        <w:t xml:space="preserve"> bindes kraftigt til plasmaproteiner og kan konkurrere med andre lægemidler med høj binding, hvilket kan medføre toksiske virkninger.</w:t>
      </w:r>
    </w:p>
    <w:p w14:paraId="05CE5260" w14:textId="77777777" w:rsidR="008203A8" w:rsidRPr="00D85C42" w:rsidRDefault="008203A8" w:rsidP="008203A8">
      <w:pPr>
        <w:tabs>
          <w:tab w:val="left" w:pos="851"/>
        </w:tabs>
        <w:ind w:left="851"/>
        <w:rPr>
          <w:sz w:val="24"/>
          <w:szCs w:val="24"/>
        </w:rPr>
      </w:pPr>
    </w:p>
    <w:p w14:paraId="573AF2A2" w14:textId="77777777" w:rsidR="008203A8" w:rsidRPr="00D85C42" w:rsidRDefault="008203A8" w:rsidP="008203A8">
      <w:pPr>
        <w:tabs>
          <w:tab w:val="left" w:pos="851"/>
        </w:tabs>
        <w:ind w:left="851" w:hanging="851"/>
        <w:rPr>
          <w:b/>
          <w:sz w:val="24"/>
          <w:szCs w:val="24"/>
        </w:rPr>
      </w:pPr>
      <w:r w:rsidRPr="00D85C42">
        <w:rPr>
          <w:b/>
          <w:sz w:val="24"/>
          <w:szCs w:val="24"/>
        </w:rPr>
        <w:t>3.9</w:t>
      </w:r>
      <w:r w:rsidRPr="00D85C42">
        <w:rPr>
          <w:b/>
          <w:sz w:val="24"/>
          <w:szCs w:val="24"/>
        </w:rPr>
        <w:tab/>
        <w:t>Administrationsveje og dosering</w:t>
      </w:r>
    </w:p>
    <w:p w14:paraId="44FC399A" w14:textId="77777777" w:rsidR="00E57569" w:rsidRPr="00D85C42" w:rsidRDefault="00E57569" w:rsidP="00355FDF">
      <w:pPr>
        <w:ind w:left="851"/>
        <w:rPr>
          <w:sz w:val="24"/>
          <w:szCs w:val="24"/>
        </w:rPr>
      </w:pPr>
      <w:bookmarkStart w:id="2" w:name="_Hlk192147710"/>
      <w:r w:rsidRPr="00D85C42">
        <w:rPr>
          <w:sz w:val="24"/>
          <w:szCs w:val="24"/>
        </w:rPr>
        <w:t>Intravenøs eller intramuskulær anvendelse</w:t>
      </w:r>
      <w:bookmarkEnd w:id="2"/>
      <w:r w:rsidRPr="00D85C42">
        <w:rPr>
          <w:sz w:val="24"/>
          <w:szCs w:val="24"/>
        </w:rPr>
        <w:t>.</w:t>
      </w:r>
    </w:p>
    <w:p w14:paraId="1B3AB24C" w14:textId="77777777" w:rsidR="00E57569" w:rsidRPr="00A378A1" w:rsidRDefault="00E57569" w:rsidP="00355FDF">
      <w:pPr>
        <w:ind w:left="851"/>
        <w:rPr>
          <w:sz w:val="24"/>
          <w:szCs w:val="24"/>
        </w:rPr>
      </w:pPr>
    </w:p>
    <w:p w14:paraId="35D6CFEC" w14:textId="77777777" w:rsidR="00E57569" w:rsidRPr="00D85C42" w:rsidRDefault="00E57569" w:rsidP="00355FDF">
      <w:pPr>
        <w:ind w:left="851"/>
        <w:rPr>
          <w:sz w:val="24"/>
          <w:szCs w:val="24"/>
        </w:rPr>
      </w:pPr>
      <w:r w:rsidRPr="00D85C42">
        <w:rPr>
          <w:sz w:val="24"/>
          <w:szCs w:val="24"/>
          <w:u w:val="single"/>
        </w:rPr>
        <w:t>Kvæg</w:t>
      </w:r>
    </w:p>
    <w:p w14:paraId="0CF36110" w14:textId="77777777" w:rsidR="00E57569" w:rsidRPr="00D85C42" w:rsidRDefault="00E57569" w:rsidP="00355FDF">
      <w:pPr>
        <w:ind w:left="851"/>
        <w:rPr>
          <w:sz w:val="24"/>
          <w:szCs w:val="24"/>
        </w:rPr>
      </w:pPr>
      <w:r w:rsidRPr="00D85C42">
        <w:rPr>
          <w:sz w:val="24"/>
          <w:szCs w:val="24"/>
        </w:rPr>
        <w:t xml:space="preserve">3 mg </w:t>
      </w:r>
      <w:proofErr w:type="spellStart"/>
      <w:r w:rsidRPr="00D85C42">
        <w:rPr>
          <w:sz w:val="24"/>
          <w:szCs w:val="24"/>
        </w:rPr>
        <w:t>ketoprofen</w:t>
      </w:r>
      <w:proofErr w:type="spellEnd"/>
      <w:r w:rsidRPr="00D85C42">
        <w:rPr>
          <w:sz w:val="24"/>
          <w:szCs w:val="24"/>
        </w:rPr>
        <w:t>/kg legemsvægt, svarende til 1 ml af veterinærlægemidlet/50 kg legemsvægt/dag, indgivet intravenøst eller intramuskulært, helst i halsregionen. Behandlingsvarigheden er 1-3 dage og bør etableres i overensstemmelse med alvorlighedsgraden og symptomernes varighed.</w:t>
      </w:r>
    </w:p>
    <w:p w14:paraId="6FDF4B7F" w14:textId="77777777" w:rsidR="00E57569" w:rsidRPr="00D85C42" w:rsidRDefault="00E57569" w:rsidP="00355FDF">
      <w:pPr>
        <w:ind w:left="851"/>
        <w:rPr>
          <w:sz w:val="24"/>
          <w:szCs w:val="24"/>
        </w:rPr>
      </w:pPr>
    </w:p>
    <w:p w14:paraId="6460392D" w14:textId="77777777" w:rsidR="00E57569" w:rsidRPr="00D85C42" w:rsidRDefault="00E57569" w:rsidP="00355FDF">
      <w:pPr>
        <w:ind w:left="851"/>
        <w:rPr>
          <w:sz w:val="24"/>
          <w:szCs w:val="24"/>
        </w:rPr>
      </w:pPr>
      <w:r w:rsidRPr="00D85C42">
        <w:rPr>
          <w:sz w:val="24"/>
          <w:szCs w:val="24"/>
          <w:u w:val="single"/>
        </w:rPr>
        <w:t>Svin</w:t>
      </w:r>
    </w:p>
    <w:p w14:paraId="5A7E5EDE" w14:textId="0DC91947" w:rsidR="00E57569" w:rsidRPr="00D85C42" w:rsidRDefault="00E57569" w:rsidP="00355FDF">
      <w:pPr>
        <w:ind w:left="851"/>
        <w:rPr>
          <w:sz w:val="24"/>
          <w:szCs w:val="24"/>
        </w:rPr>
      </w:pPr>
      <w:r w:rsidRPr="00D85C42">
        <w:rPr>
          <w:sz w:val="24"/>
          <w:szCs w:val="24"/>
        </w:rPr>
        <w:t xml:space="preserve">3 mg </w:t>
      </w:r>
      <w:proofErr w:type="spellStart"/>
      <w:r w:rsidRPr="00D85C42">
        <w:rPr>
          <w:sz w:val="24"/>
          <w:szCs w:val="24"/>
        </w:rPr>
        <w:t>ketoprofen</w:t>
      </w:r>
      <w:proofErr w:type="spellEnd"/>
      <w:r w:rsidRPr="00D85C42">
        <w:rPr>
          <w:sz w:val="24"/>
          <w:szCs w:val="24"/>
        </w:rPr>
        <w:t xml:space="preserve">/kg legemsvægt, svarende til 1 ml af veterinærlægemidlet/50 kg legemsvægt/dag indgivet intramuskulært som </w:t>
      </w:r>
      <w:r w:rsidR="004B6409" w:rsidRPr="00D85C42">
        <w:rPr>
          <w:sz w:val="24"/>
          <w:szCs w:val="24"/>
        </w:rPr>
        <w:t>én</w:t>
      </w:r>
      <w:r w:rsidRPr="00D85C42">
        <w:rPr>
          <w:sz w:val="24"/>
          <w:szCs w:val="24"/>
        </w:rPr>
        <w:t xml:space="preserve"> enkelt injektion. Afhængig af det observerede respons og på basis af den ansvarlige dyrlæges benefit/</w:t>
      </w:r>
      <w:proofErr w:type="spellStart"/>
      <w:r w:rsidRPr="00D85C42">
        <w:rPr>
          <w:sz w:val="24"/>
          <w:szCs w:val="24"/>
        </w:rPr>
        <w:t>risk</w:t>
      </w:r>
      <w:proofErr w:type="spellEnd"/>
      <w:r w:rsidRPr="00D85C42">
        <w:rPr>
          <w:sz w:val="24"/>
          <w:szCs w:val="24"/>
        </w:rPr>
        <w:t>-vurdering kan behandlingen gentages i intervaller på 24 timer op til maksimalt tre behandlinger. Hver injektion bør foretages et nyt sted.</w:t>
      </w:r>
    </w:p>
    <w:p w14:paraId="3D0A5D97" w14:textId="77777777" w:rsidR="00E57569" w:rsidRPr="00D85C42" w:rsidRDefault="00E57569" w:rsidP="00355FDF">
      <w:pPr>
        <w:ind w:left="851"/>
        <w:rPr>
          <w:sz w:val="24"/>
          <w:szCs w:val="24"/>
        </w:rPr>
      </w:pPr>
    </w:p>
    <w:p w14:paraId="51B535C2" w14:textId="77777777" w:rsidR="00E57569" w:rsidRPr="00D85C42" w:rsidRDefault="00E57569" w:rsidP="00355FDF">
      <w:pPr>
        <w:ind w:left="851"/>
        <w:rPr>
          <w:sz w:val="24"/>
          <w:szCs w:val="24"/>
        </w:rPr>
      </w:pPr>
      <w:r w:rsidRPr="00D85C42">
        <w:rPr>
          <w:sz w:val="24"/>
          <w:szCs w:val="24"/>
          <w:u w:val="single"/>
        </w:rPr>
        <w:t>Hest</w:t>
      </w:r>
    </w:p>
    <w:p w14:paraId="2FDC2D64" w14:textId="77777777" w:rsidR="00E57569" w:rsidRPr="00D85C42" w:rsidRDefault="00E57569" w:rsidP="00355FDF">
      <w:pPr>
        <w:ind w:left="851"/>
        <w:rPr>
          <w:sz w:val="24"/>
          <w:szCs w:val="24"/>
        </w:rPr>
      </w:pPr>
      <w:r w:rsidRPr="00D85C42">
        <w:rPr>
          <w:sz w:val="24"/>
          <w:szCs w:val="24"/>
        </w:rPr>
        <w:t xml:space="preserve">2,2 mg </w:t>
      </w:r>
      <w:proofErr w:type="spellStart"/>
      <w:r w:rsidRPr="00D85C42">
        <w:rPr>
          <w:sz w:val="24"/>
          <w:szCs w:val="24"/>
        </w:rPr>
        <w:t>ketoprofen</w:t>
      </w:r>
      <w:proofErr w:type="spellEnd"/>
      <w:r w:rsidRPr="00D85C42">
        <w:rPr>
          <w:sz w:val="24"/>
          <w:szCs w:val="24"/>
        </w:rPr>
        <w:t>/kg legemsvægt, svarende til 0,75 ml af veterinærlægemidlet/50 kg legemsvægt/dag indgivet intravenøst.</w:t>
      </w:r>
    </w:p>
    <w:p w14:paraId="2CC62DF8" w14:textId="77777777" w:rsidR="00E57569" w:rsidRPr="00D85C42" w:rsidRDefault="00E57569" w:rsidP="00355FDF">
      <w:pPr>
        <w:ind w:left="851"/>
        <w:rPr>
          <w:sz w:val="24"/>
          <w:szCs w:val="24"/>
        </w:rPr>
      </w:pPr>
    </w:p>
    <w:p w14:paraId="49DE585D" w14:textId="77777777" w:rsidR="00E57569" w:rsidRPr="00D85C42" w:rsidRDefault="00E57569" w:rsidP="00355FDF">
      <w:pPr>
        <w:ind w:left="851"/>
        <w:rPr>
          <w:sz w:val="24"/>
          <w:szCs w:val="24"/>
        </w:rPr>
      </w:pPr>
      <w:r w:rsidRPr="00D85C42">
        <w:rPr>
          <w:sz w:val="24"/>
          <w:szCs w:val="24"/>
        </w:rPr>
        <w:lastRenderedPageBreak/>
        <w:t xml:space="preserve">Behandlingsvarigheden er 1-5 dage og bør etableres i overensstemmelse med alvorlighedsgraden og symptomernes varighed. Normalt er én injektion tilstrækkelig til at behandle kolik. En yderligere dosis af </w:t>
      </w:r>
      <w:proofErr w:type="spellStart"/>
      <w:r w:rsidRPr="00D85C42">
        <w:rPr>
          <w:sz w:val="24"/>
          <w:szCs w:val="24"/>
        </w:rPr>
        <w:t>ketoprofen</w:t>
      </w:r>
      <w:proofErr w:type="spellEnd"/>
      <w:r w:rsidRPr="00D85C42">
        <w:rPr>
          <w:sz w:val="24"/>
          <w:szCs w:val="24"/>
        </w:rPr>
        <w:t xml:space="preserve"> kræver revurdering af dyrets kliniske status.</w:t>
      </w:r>
    </w:p>
    <w:p w14:paraId="71F0B662" w14:textId="77777777" w:rsidR="00E57569" w:rsidRPr="00D85C42" w:rsidRDefault="00E57569" w:rsidP="00355FDF">
      <w:pPr>
        <w:ind w:left="851"/>
        <w:rPr>
          <w:sz w:val="24"/>
          <w:szCs w:val="24"/>
        </w:rPr>
      </w:pPr>
    </w:p>
    <w:p w14:paraId="3A91BC32" w14:textId="77777777" w:rsidR="00E57569" w:rsidRPr="00D85C42" w:rsidRDefault="00E57569" w:rsidP="00355FDF">
      <w:pPr>
        <w:ind w:left="851"/>
        <w:rPr>
          <w:sz w:val="24"/>
          <w:szCs w:val="24"/>
        </w:rPr>
      </w:pPr>
      <w:r w:rsidRPr="00D85C42">
        <w:rPr>
          <w:sz w:val="24"/>
          <w:szCs w:val="24"/>
        </w:rPr>
        <w:t>For at sikre korrekt dosering bør legemsvægten bestemmes så nøjagtigt som muligt.</w:t>
      </w:r>
    </w:p>
    <w:p w14:paraId="03EDA7E7" w14:textId="77777777" w:rsidR="00E57569" w:rsidRPr="00D85C42" w:rsidRDefault="00E57569" w:rsidP="00355FDF">
      <w:pPr>
        <w:ind w:left="851"/>
        <w:rPr>
          <w:sz w:val="24"/>
          <w:szCs w:val="24"/>
        </w:rPr>
      </w:pPr>
    </w:p>
    <w:p w14:paraId="4F4F054F" w14:textId="77777777" w:rsidR="00E57569" w:rsidRPr="00D85C42" w:rsidRDefault="00E57569" w:rsidP="00355FDF">
      <w:pPr>
        <w:ind w:left="851"/>
        <w:rPr>
          <w:sz w:val="24"/>
          <w:szCs w:val="24"/>
        </w:rPr>
      </w:pPr>
      <w:r w:rsidRPr="00D85C42">
        <w:rPr>
          <w:sz w:val="24"/>
          <w:szCs w:val="24"/>
        </w:rPr>
        <w:t>Ved indføring af flere hætteglas anbefales det at anvende en aspirationsnål eller en flerdosis-sprøjte for at undgå overdreven boring i proppen.</w:t>
      </w:r>
    </w:p>
    <w:p w14:paraId="258B90FA" w14:textId="77777777" w:rsidR="00E57569" w:rsidRPr="00D85C42" w:rsidRDefault="00E57569" w:rsidP="00355FDF">
      <w:pPr>
        <w:ind w:left="851"/>
        <w:rPr>
          <w:sz w:val="24"/>
          <w:szCs w:val="24"/>
        </w:rPr>
      </w:pPr>
    </w:p>
    <w:p w14:paraId="76458229" w14:textId="77777777" w:rsidR="00E57569" w:rsidRPr="00D85C42" w:rsidRDefault="00E57569" w:rsidP="00355FDF">
      <w:pPr>
        <w:ind w:left="851"/>
        <w:rPr>
          <w:sz w:val="24"/>
          <w:szCs w:val="24"/>
        </w:rPr>
      </w:pPr>
      <w:r w:rsidRPr="00D85C42">
        <w:rPr>
          <w:sz w:val="24"/>
          <w:szCs w:val="24"/>
        </w:rPr>
        <w:t>Hætten kan punkteres sikkert op til 30 gange.</w:t>
      </w:r>
    </w:p>
    <w:p w14:paraId="0AF412DD" w14:textId="77777777" w:rsidR="008203A8" w:rsidRPr="00D85C42" w:rsidRDefault="008203A8" w:rsidP="008203A8">
      <w:pPr>
        <w:tabs>
          <w:tab w:val="left" w:pos="851"/>
        </w:tabs>
        <w:ind w:left="851"/>
        <w:rPr>
          <w:sz w:val="24"/>
          <w:szCs w:val="24"/>
        </w:rPr>
      </w:pPr>
    </w:p>
    <w:p w14:paraId="50845ED5" w14:textId="77777777" w:rsidR="008203A8" w:rsidRPr="00D85C42" w:rsidRDefault="008203A8" w:rsidP="008203A8">
      <w:pPr>
        <w:tabs>
          <w:tab w:val="left" w:pos="851"/>
        </w:tabs>
        <w:ind w:left="851" w:hanging="851"/>
        <w:rPr>
          <w:b/>
          <w:sz w:val="24"/>
          <w:szCs w:val="24"/>
        </w:rPr>
      </w:pPr>
      <w:r w:rsidRPr="00D85C42">
        <w:rPr>
          <w:b/>
          <w:sz w:val="24"/>
          <w:szCs w:val="24"/>
        </w:rPr>
        <w:t>3.10</w:t>
      </w:r>
      <w:r w:rsidRPr="00D85C42">
        <w:rPr>
          <w:b/>
          <w:sz w:val="24"/>
          <w:szCs w:val="24"/>
        </w:rPr>
        <w:tab/>
        <w:t>Symptomer på overdosering (og, hvis relevant, nødforanstaltninger og modgift)</w:t>
      </w:r>
    </w:p>
    <w:p w14:paraId="2CB15B4B" w14:textId="77777777" w:rsidR="00E57569" w:rsidRPr="00D85C42" w:rsidRDefault="00E57569" w:rsidP="00355FDF">
      <w:pPr>
        <w:ind w:left="851"/>
        <w:rPr>
          <w:sz w:val="24"/>
          <w:szCs w:val="24"/>
        </w:rPr>
      </w:pPr>
      <w:r w:rsidRPr="00D85C42">
        <w:rPr>
          <w:sz w:val="24"/>
          <w:szCs w:val="24"/>
        </w:rPr>
        <w:t xml:space="preserve">Overdosering med </w:t>
      </w:r>
      <w:proofErr w:type="spellStart"/>
      <w:r w:rsidRPr="00D85C42">
        <w:rPr>
          <w:sz w:val="24"/>
          <w:szCs w:val="24"/>
        </w:rPr>
        <w:t>nonsteroide</w:t>
      </w:r>
      <w:proofErr w:type="spellEnd"/>
      <w:r w:rsidRPr="00D85C42">
        <w:rPr>
          <w:sz w:val="24"/>
          <w:szCs w:val="24"/>
        </w:rPr>
        <w:t xml:space="preserve"> antiinflammatoriske lægemidler kan medføre </w:t>
      </w:r>
      <w:proofErr w:type="spellStart"/>
      <w:r w:rsidRPr="00D85C42">
        <w:rPr>
          <w:sz w:val="24"/>
          <w:szCs w:val="24"/>
        </w:rPr>
        <w:t>gastro-intestinale</w:t>
      </w:r>
      <w:proofErr w:type="spellEnd"/>
      <w:r w:rsidRPr="00D85C42">
        <w:rPr>
          <w:sz w:val="24"/>
          <w:szCs w:val="24"/>
        </w:rPr>
        <w:t xml:space="preserve"> </w:t>
      </w:r>
      <w:proofErr w:type="spellStart"/>
      <w:r w:rsidRPr="00D85C42">
        <w:rPr>
          <w:sz w:val="24"/>
          <w:szCs w:val="24"/>
        </w:rPr>
        <w:t>ulcerationer</w:t>
      </w:r>
      <w:proofErr w:type="spellEnd"/>
      <w:r w:rsidRPr="00D85C42">
        <w:rPr>
          <w:sz w:val="24"/>
          <w:szCs w:val="24"/>
        </w:rPr>
        <w:t>, proteintab, nedsat lever- og nyrefunktion.</w:t>
      </w:r>
    </w:p>
    <w:p w14:paraId="2B08287C" w14:textId="77777777" w:rsidR="00E57569" w:rsidRPr="00D85C42" w:rsidRDefault="00E57569" w:rsidP="00355FDF">
      <w:pPr>
        <w:ind w:left="851"/>
        <w:rPr>
          <w:sz w:val="24"/>
          <w:szCs w:val="24"/>
        </w:rPr>
      </w:pPr>
    </w:p>
    <w:p w14:paraId="7305E786" w14:textId="77777777" w:rsidR="00E57569" w:rsidRPr="00D85C42" w:rsidRDefault="00E57569" w:rsidP="00355FDF">
      <w:pPr>
        <w:ind w:left="851"/>
        <w:rPr>
          <w:sz w:val="24"/>
          <w:szCs w:val="24"/>
        </w:rPr>
      </w:pPr>
      <w:r w:rsidRPr="00D85C42">
        <w:rPr>
          <w:sz w:val="24"/>
          <w:szCs w:val="24"/>
        </w:rPr>
        <w:t xml:space="preserve">I tolerans-undersøgelser i svin havde op mod 25 % af de dyr, der blev behandlet med tre gange den anbefalede maksimale dosis (9 mg/kg legemsvægt) i tre dage eller med den anbefalede dosis (3 mg/kg legemsvægt) i tre gange den anbefalede maksimale behandlingstid (9 dage), </w:t>
      </w:r>
      <w:proofErr w:type="spellStart"/>
      <w:r w:rsidRPr="00D85C42">
        <w:rPr>
          <w:sz w:val="24"/>
          <w:szCs w:val="24"/>
        </w:rPr>
        <w:t>erosive</w:t>
      </w:r>
      <w:proofErr w:type="spellEnd"/>
      <w:r w:rsidRPr="00D85C42">
        <w:rPr>
          <w:sz w:val="24"/>
          <w:szCs w:val="24"/>
        </w:rPr>
        <w:t xml:space="preserve"> og/eller ulcererende læsioner i både den </w:t>
      </w:r>
      <w:proofErr w:type="spellStart"/>
      <w:r w:rsidRPr="00D85C42">
        <w:rPr>
          <w:sz w:val="24"/>
          <w:szCs w:val="24"/>
        </w:rPr>
        <w:t>aglandulære</w:t>
      </w:r>
      <w:proofErr w:type="spellEnd"/>
      <w:r w:rsidRPr="00D85C42">
        <w:rPr>
          <w:sz w:val="24"/>
          <w:szCs w:val="24"/>
        </w:rPr>
        <w:t xml:space="preserve"> (pars </w:t>
      </w:r>
      <w:proofErr w:type="spellStart"/>
      <w:r w:rsidRPr="00D85C42">
        <w:rPr>
          <w:sz w:val="24"/>
          <w:szCs w:val="24"/>
        </w:rPr>
        <w:t>oesophagica</w:t>
      </w:r>
      <w:proofErr w:type="spellEnd"/>
      <w:r w:rsidRPr="00D85C42">
        <w:rPr>
          <w:sz w:val="24"/>
          <w:szCs w:val="24"/>
        </w:rPr>
        <w:t xml:space="preserve">) og </w:t>
      </w:r>
      <w:proofErr w:type="spellStart"/>
      <w:r w:rsidRPr="00D85C42">
        <w:rPr>
          <w:sz w:val="24"/>
          <w:szCs w:val="24"/>
        </w:rPr>
        <w:t>glandulære</w:t>
      </w:r>
      <w:proofErr w:type="spellEnd"/>
      <w:r w:rsidRPr="00D85C42">
        <w:rPr>
          <w:sz w:val="24"/>
          <w:szCs w:val="24"/>
        </w:rPr>
        <w:t xml:space="preserve"> del af mavesækken. Tidlige tegn på toksicitet omfatter tab af appetit og blød afføring eller diarré.</w:t>
      </w:r>
    </w:p>
    <w:p w14:paraId="448FEEA6" w14:textId="77777777" w:rsidR="00E57569" w:rsidRPr="00D85C42" w:rsidRDefault="00E57569" w:rsidP="00355FDF">
      <w:pPr>
        <w:ind w:left="851"/>
        <w:rPr>
          <w:sz w:val="24"/>
          <w:szCs w:val="24"/>
        </w:rPr>
      </w:pPr>
    </w:p>
    <w:p w14:paraId="60C33097" w14:textId="77777777" w:rsidR="00E57569" w:rsidRPr="00D85C42" w:rsidRDefault="00E57569" w:rsidP="00355FDF">
      <w:pPr>
        <w:ind w:left="851"/>
        <w:rPr>
          <w:sz w:val="24"/>
          <w:szCs w:val="24"/>
        </w:rPr>
      </w:pPr>
      <w:r w:rsidRPr="00D85C42">
        <w:rPr>
          <w:sz w:val="24"/>
          <w:szCs w:val="24"/>
        </w:rPr>
        <w:t xml:space="preserve">Den intramuskulære indgivelse af veterinærlægemidlet til kvæg med op til tre gange den anbefalede dosis eller i tre gange den anbefalede behandlingstid (9 dage) resulterede ikke i kliniske tegn på </w:t>
      </w:r>
      <w:proofErr w:type="spellStart"/>
      <w:r w:rsidRPr="00D85C42">
        <w:rPr>
          <w:sz w:val="24"/>
          <w:szCs w:val="24"/>
        </w:rPr>
        <w:t>intolerans</w:t>
      </w:r>
      <w:proofErr w:type="spellEnd"/>
      <w:r w:rsidRPr="00D85C42">
        <w:rPr>
          <w:sz w:val="24"/>
          <w:szCs w:val="24"/>
        </w:rPr>
        <w:t xml:space="preserve">. Inflammation såvel som nekrotiske subkliniske læsioner blev imidlertid set på injektionsstedet hos de behandlede dyr samt en forhøjelse af CPK-niveauer. Den </w:t>
      </w:r>
      <w:proofErr w:type="spellStart"/>
      <w:r w:rsidRPr="00D85C42">
        <w:rPr>
          <w:sz w:val="24"/>
          <w:szCs w:val="24"/>
        </w:rPr>
        <w:t>histopatologiske</w:t>
      </w:r>
      <w:proofErr w:type="spellEnd"/>
      <w:r w:rsidRPr="00D85C42">
        <w:rPr>
          <w:sz w:val="24"/>
          <w:szCs w:val="24"/>
        </w:rPr>
        <w:t xml:space="preserve"> undersøgelse viste eroderende eller ulcerøse </w:t>
      </w:r>
      <w:proofErr w:type="spellStart"/>
      <w:r w:rsidRPr="00D85C42">
        <w:rPr>
          <w:sz w:val="24"/>
          <w:szCs w:val="24"/>
        </w:rPr>
        <w:t>abomasale</w:t>
      </w:r>
      <w:proofErr w:type="spellEnd"/>
      <w:r w:rsidRPr="00D85C42">
        <w:rPr>
          <w:sz w:val="24"/>
          <w:szCs w:val="24"/>
        </w:rPr>
        <w:t xml:space="preserve"> læsioner med relation til begge doseringsprogrammer.</w:t>
      </w:r>
    </w:p>
    <w:p w14:paraId="3B2C0C57" w14:textId="77777777" w:rsidR="00E57569" w:rsidRPr="00D85C42" w:rsidRDefault="00E57569" w:rsidP="00355FDF">
      <w:pPr>
        <w:ind w:left="851"/>
        <w:rPr>
          <w:sz w:val="24"/>
          <w:szCs w:val="24"/>
        </w:rPr>
      </w:pPr>
    </w:p>
    <w:p w14:paraId="23E22645" w14:textId="77777777" w:rsidR="00E57569" w:rsidRPr="00D85C42" w:rsidRDefault="00E57569" w:rsidP="00355FDF">
      <w:pPr>
        <w:ind w:left="851"/>
        <w:rPr>
          <w:sz w:val="24"/>
          <w:szCs w:val="24"/>
        </w:rPr>
      </w:pPr>
      <w:r w:rsidRPr="00D85C42">
        <w:rPr>
          <w:sz w:val="24"/>
          <w:szCs w:val="24"/>
        </w:rPr>
        <w:t>Heste har vist sig at tolerere intravenøse doser af veterinærlægemidlet op til 5 gange den anbefalede dosis i tre gange den anbefalede behandlingsvarighed (15 dage) uden tegn på toksiske effekter.</w:t>
      </w:r>
    </w:p>
    <w:p w14:paraId="35E2F58A" w14:textId="77777777" w:rsidR="00E57569" w:rsidRPr="00D85C42" w:rsidRDefault="00E57569" w:rsidP="00355FDF">
      <w:pPr>
        <w:ind w:left="851"/>
        <w:rPr>
          <w:sz w:val="24"/>
          <w:szCs w:val="24"/>
        </w:rPr>
      </w:pPr>
    </w:p>
    <w:p w14:paraId="5EF28C1E" w14:textId="77777777" w:rsidR="00E57569" w:rsidRPr="00D85C42" w:rsidRDefault="00E57569" w:rsidP="00355FDF">
      <w:pPr>
        <w:ind w:left="851"/>
        <w:rPr>
          <w:sz w:val="24"/>
          <w:szCs w:val="24"/>
        </w:rPr>
      </w:pPr>
      <w:r w:rsidRPr="00D85C42">
        <w:rPr>
          <w:sz w:val="24"/>
          <w:szCs w:val="24"/>
        </w:rPr>
        <w:t xml:space="preserve">Hvis der observeres kliniske tegn på overdosering, er der ingen specifik </w:t>
      </w:r>
      <w:proofErr w:type="spellStart"/>
      <w:r w:rsidRPr="00D85C42">
        <w:rPr>
          <w:sz w:val="24"/>
          <w:szCs w:val="24"/>
        </w:rPr>
        <w:t>antidot</w:t>
      </w:r>
      <w:proofErr w:type="spellEnd"/>
      <w:r w:rsidRPr="00D85C42">
        <w:rPr>
          <w:sz w:val="24"/>
          <w:szCs w:val="24"/>
        </w:rPr>
        <w:t>. Symptomatisk behandling bør derfor iværksættes.</w:t>
      </w:r>
    </w:p>
    <w:p w14:paraId="3443857F" w14:textId="77777777" w:rsidR="008203A8" w:rsidRPr="00D85C42" w:rsidRDefault="008203A8" w:rsidP="008203A8">
      <w:pPr>
        <w:tabs>
          <w:tab w:val="left" w:pos="851"/>
        </w:tabs>
        <w:ind w:left="851"/>
        <w:rPr>
          <w:sz w:val="24"/>
          <w:szCs w:val="24"/>
        </w:rPr>
      </w:pPr>
    </w:p>
    <w:p w14:paraId="1D6536BA" w14:textId="77777777" w:rsidR="008203A8" w:rsidRPr="00D85C42" w:rsidRDefault="008203A8" w:rsidP="008203A8">
      <w:pPr>
        <w:tabs>
          <w:tab w:val="left" w:pos="851"/>
        </w:tabs>
        <w:ind w:left="851" w:hanging="851"/>
        <w:rPr>
          <w:sz w:val="24"/>
          <w:szCs w:val="24"/>
        </w:rPr>
      </w:pPr>
      <w:r w:rsidRPr="00D85C42">
        <w:rPr>
          <w:b/>
          <w:sz w:val="24"/>
          <w:szCs w:val="24"/>
        </w:rPr>
        <w:t>3.11</w:t>
      </w:r>
      <w:r w:rsidRPr="00D85C42">
        <w:rPr>
          <w:sz w:val="24"/>
          <w:szCs w:val="24"/>
        </w:rPr>
        <w:tab/>
      </w:r>
      <w:r w:rsidRPr="00D85C42">
        <w:rPr>
          <w:b/>
          <w:sz w:val="24"/>
          <w:szCs w:val="24"/>
        </w:rPr>
        <w:t>Særlige begrænsninger og betingelser for anvendelse, herunder begrænsninger for anvendelsen af antimikrobielle og antiparasitære veterinærlægemidler for at begrænse risikoen for udvikling af resistens</w:t>
      </w:r>
    </w:p>
    <w:p w14:paraId="0CF3B489" w14:textId="77777777" w:rsidR="00E57569" w:rsidRPr="00D85C42" w:rsidRDefault="00E57569" w:rsidP="00355FDF">
      <w:pPr>
        <w:ind w:left="851"/>
        <w:rPr>
          <w:sz w:val="24"/>
          <w:szCs w:val="24"/>
        </w:rPr>
      </w:pPr>
      <w:r w:rsidRPr="00D85C42">
        <w:rPr>
          <w:sz w:val="24"/>
          <w:szCs w:val="24"/>
        </w:rPr>
        <w:t>Ikke relevant.</w:t>
      </w:r>
    </w:p>
    <w:p w14:paraId="16EC0FD9" w14:textId="77777777" w:rsidR="008203A8" w:rsidRPr="00D85C42" w:rsidRDefault="008203A8" w:rsidP="008203A8">
      <w:pPr>
        <w:tabs>
          <w:tab w:val="left" w:pos="851"/>
        </w:tabs>
        <w:ind w:left="851"/>
        <w:rPr>
          <w:sz w:val="24"/>
          <w:szCs w:val="24"/>
        </w:rPr>
      </w:pPr>
    </w:p>
    <w:p w14:paraId="7928B2DF" w14:textId="77777777" w:rsidR="008203A8" w:rsidRPr="00D85C42" w:rsidRDefault="008203A8" w:rsidP="008203A8">
      <w:pPr>
        <w:tabs>
          <w:tab w:val="left" w:pos="851"/>
        </w:tabs>
        <w:ind w:left="851" w:hanging="851"/>
        <w:rPr>
          <w:b/>
          <w:sz w:val="24"/>
          <w:szCs w:val="24"/>
        </w:rPr>
      </w:pPr>
      <w:r w:rsidRPr="00D85C42">
        <w:rPr>
          <w:b/>
          <w:sz w:val="24"/>
          <w:szCs w:val="24"/>
        </w:rPr>
        <w:t>3.12</w:t>
      </w:r>
      <w:r w:rsidRPr="00D85C42">
        <w:rPr>
          <w:b/>
          <w:sz w:val="24"/>
          <w:szCs w:val="24"/>
        </w:rPr>
        <w:tab/>
        <w:t>Tilbageholdelsestid(er)</w:t>
      </w:r>
    </w:p>
    <w:p w14:paraId="631A5494" w14:textId="77777777" w:rsidR="00A378A1" w:rsidRDefault="00A378A1" w:rsidP="00355FDF">
      <w:pPr>
        <w:ind w:left="851"/>
        <w:rPr>
          <w:sz w:val="24"/>
          <w:szCs w:val="24"/>
        </w:rPr>
      </w:pPr>
    </w:p>
    <w:p w14:paraId="4D1E4E3C" w14:textId="3FC77D2F" w:rsidR="00E57569" w:rsidRPr="00A378A1" w:rsidRDefault="00E57569" w:rsidP="00355FDF">
      <w:pPr>
        <w:ind w:left="851"/>
        <w:rPr>
          <w:sz w:val="24"/>
          <w:szCs w:val="24"/>
          <w:u w:val="single"/>
        </w:rPr>
      </w:pPr>
      <w:r w:rsidRPr="00A378A1">
        <w:rPr>
          <w:sz w:val="24"/>
          <w:szCs w:val="24"/>
          <w:u w:val="single"/>
        </w:rPr>
        <w:t>Kvæg</w:t>
      </w:r>
    </w:p>
    <w:p w14:paraId="1EAC373B" w14:textId="77777777" w:rsidR="00E57569" w:rsidRPr="00D85C42" w:rsidRDefault="00E57569" w:rsidP="00355FDF">
      <w:pPr>
        <w:ind w:left="851"/>
        <w:rPr>
          <w:sz w:val="24"/>
          <w:szCs w:val="24"/>
        </w:rPr>
      </w:pPr>
      <w:r w:rsidRPr="00D85C42">
        <w:rPr>
          <w:sz w:val="24"/>
          <w:szCs w:val="24"/>
        </w:rPr>
        <w:t>Slagtning: 2 dage.</w:t>
      </w:r>
    </w:p>
    <w:p w14:paraId="4FCF8755" w14:textId="77777777" w:rsidR="00E57569" w:rsidRPr="00D85C42" w:rsidRDefault="00E57569" w:rsidP="00355FDF">
      <w:pPr>
        <w:ind w:left="851"/>
        <w:rPr>
          <w:sz w:val="24"/>
          <w:szCs w:val="24"/>
        </w:rPr>
      </w:pPr>
      <w:r w:rsidRPr="00D85C42">
        <w:rPr>
          <w:sz w:val="24"/>
          <w:szCs w:val="24"/>
        </w:rPr>
        <w:t>Mælk: 0 timer.</w:t>
      </w:r>
    </w:p>
    <w:p w14:paraId="6787AADB" w14:textId="77777777" w:rsidR="00E57569" w:rsidRPr="00D85C42" w:rsidRDefault="00E57569" w:rsidP="00355FDF">
      <w:pPr>
        <w:ind w:left="851"/>
        <w:rPr>
          <w:sz w:val="24"/>
          <w:szCs w:val="24"/>
        </w:rPr>
      </w:pPr>
    </w:p>
    <w:p w14:paraId="5AB291BD" w14:textId="77777777" w:rsidR="00E57569" w:rsidRPr="00A378A1" w:rsidRDefault="00E57569" w:rsidP="00355FDF">
      <w:pPr>
        <w:ind w:left="851"/>
        <w:rPr>
          <w:sz w:val="24"/>
          <w:szCs w:val="24"/>
          <w:u w:val="single"/>
        </w:rPr>
      </w:pPr>
      <w:r w:rsidRPr="00A378A1">
        <w:rPr>
          <w:sz w:val="24"/>
          <w:szCs w:val="24"/>
          <w:u w:val="single"/>
        </w:rPr>
        <w:t>Hest</w:t>
      </w:r>
    </w:p>
    <w:p w14:paraId="0F8DD502" w14:textId="77777777" w:rsidR="00E57569" w:rsidRPr="00D85C42" w:rsidRDefault="00E57569" w:rsidP="00355FDF">
      <w:pPr>
        <w:ind w:left="851"/>
        <w:rPr>
          <w:sz w:val="24"/>
          <w:szCs w:val="24"/>
        </w:rPr>
      </w:pPr>
      <w:r w:rsidRPr="00D85C42">
        <w:rPr>
          <w:sz w:val="24"/>
          <w:szCs w:val="24"/>
        </w:rPr>
        <w:t>Slagtning: 1 dag.</w:t>
      </w:r>
    </w:p>
    <w:p w14:paraId="4F315CEE" w14:textId="77777777" w:rsidR="00E57569" w:rsidRPr="00D85C42" w:rsidRDefault="00E57569" w:rsidP="00355FDF">
      <w:pPr>
        <w:ind w:left="851"/>
        <w:rPr>
          <w:sz w:val="24"/>
          <w:szCs w:val="24"/>
        </w:rPr>
      </w:pPr>
      <w:r w:rsidRPr="00D85C42">
        <w:rPr>
          <w:sz w:val="24"/>
          <w:szCs w:val="24"/>
        </w:rPr>
        <w:t>Må ikke anvendes til dyr, hvis mælk er bestemt til menneskeføde.</w:t>
      </w:r>
    </w:p>
    <w:p w14:paraId="33C700EF" w14:textId="77777777" w:rsidR="00E57569" w:rsidRPr="00D85C42" w:rsidRDefault="00E57569" w:rsidP="00355FDF">
      <w:pPr>
        <w:ind w:left="851"/>
        <w:rPr>
          <w:sz w:val="24"/>
          <w:szCs w:val="24"/>
        </w:rPr>
      </w:pPr>
    </w:p>
    <w:p w14:paraId="747BAEEE" w14:textId="77777777" w:rsidR="00E57569" w:rsidRPr="00A378A1" w:rsidRDefault="00E57569" w:rsidP="00355FDF">
      <w:pPr>
        <w:ind w:left="851"/>
        <w:rPr>
          <w:sz w:val="24"/>
          <w:szCs w:val="24"/>
          <w:u w:val="single"/>
        </w:rPr>
      </w:pPr>
      <w:r w:rsidRPr="00A378A1">
        <w:rPr>
          <w:sz w:val="24"/>
          <w:szCs w:val="24"/>
          <w:u w:val="single"/>
        </w:rPr>
        <w:t>Svin</w:t>
      </w:r>
    </w:p>
    <w:p w14:paraId="47F2E60F" w14:textId="77777777" w:rsidR="00E57569" w:rsidRPr="00D85C42" w:rsidRDefault="00E57569" w:rsidP="00355FDF">
      <w:pPr>
        <w:ind w:left="851"/>
        <w:rPr>
          <w:sz w:val="24"/>
          <w:szCs w:val="24"/>
        </w:rPr>
      </w:pPr>
      <w:r w:rsidRPr="00D85C42">
        <w:rPr>
          <w:sz w:val="24"/>
          <w:szCs w:val="24"/>
        </w:rPr>
        <w:t>Slagtning: 3 dage.</w:t>
      </w:r>
    </w:p>
    <w:p w14:paraId="2D09D07F" w14:textId="042BB02C" w:rsidR="008203A8" w:rsidRDefault="008203A8" w:rsidP="008203A8">
      <w:pPr>
        <w:tabs>
          <w:tab w:val="left" w:pos="851"/>
        </w:tabs>
        <w:ind w:left="851"/>
        <w:rPr>
          <w:sz w:val="24"/>
          <w:szCs w:val="24"/>
        </w:rPr>
      </w:pPr>
    </w:p>
    <w:p w14:paraId="1B124BDF" w14:textId="77777777" w:rsidR="00A378A1" w:rsidRPr="00D85C42" w:rsidRDefault="00A378A1" w:rsidP="008203A8">
      <w:pPr>
        <w:tabs>
          <w:tab w:val="left" w:pos="851"/>
        </w:tabs>
        <w:ind w:left="851"/>
        <w:rPr>
          <w:sz w:val="24"/>
          <w:szCs w:val="24"/>
        </w:rPr>
      </w:pPr>
    </w:p>
    <w:p w14:paraId="6C90555A" w14:textId="4C70A231" w:rsidR="008203A8" w:rsidRPr="00D85C42" w:rsidRDefault="008203A8" w:rsidP="008203A8">
      <w:pPr>
        <w:ind w:left="851" w:hanging="851"/>
        <w:rPr>
          <w:b/>
          <w:sz w:val="24"/>
          <w:szCs w:val="24"/>
        </w:rPr>
      </w:pPr>
      <w:r w:rsidRPr="00D85C42">
        <w:rPr>
          <w:b/>
          <w:sz w:val="24"/>
          <w:szCs w:val="24"/>
        </w:rPr>
        <w:t>4.</w:t>
      </w:r>
      <w:r w:rsidRPr="00D85C42">
        <w:rPr>
          <w:b/>
          <w:sz w:val="24"/>
          <w:szCs w:val="24"/>
        </w:rPr>
        <w:tab/>
        <w:t>FARMAKOLOGISKE OPLYSNINGER</w:t>
      </w:r>
    </w:p>
    <w:p w14:paraId="782746E4" w14:textId="77777777" w:rsidR="008203A8" w:rsidRPr="00D85C42" w:rsidRDefault="008203A8" w:rsidP="008203A8">
      <w:pPr>
        <w:ind w:left="851"/>
        <w:rPr>
          <w:sz w:val="24"/>
          <w:szCs w:val="24"/>
        </w:rPr>
      </w:pPr>
    </w:p>
    <w:p w14:paraId="15D799EF" w14:textId="77777777" w:rsidR="008203A8" w:rsidRPr="00D85C42" w:rsidRDefault="008203A8" w:rsidP="008203A8">
      <w:pPr>
        <w:ind w:left="851" w:hanging="851"/>
        <w:rPr>
          <w:b/>
          <w:sz w:val="24"/>
          <w:szCs w:val="24"/>
        </w:rPr>
      </w:pPr>
      <w:r w:rsidRPr="00D85C42">
        <w:rPr>
          <w:b/>
          <w:sz w:val="24"/>
          <w:szCs w:val="24"/>
        </w:rPr>
        <w:t>4.1</w:t>
      </w:r>
      <w:r w:rsidRPr="00D85C42">
        <w:rPr>
          <w:b/>
          <w:sz w:val="24"/>
          <w:szCs w:val="24"/>
        </w:rPr>
        <w:tab/>
      </w:r>
      <w:proofErr w:type="spellStart"/>
      <w:r w:rsidRPr="00D85C42">
        <w:rPr>
          <w:b/>
          <w:sz w:val="24"/>
          <w:szCs w:val="24"/>
        </w:rPr>
        <w:t>ATCvet</w:t>
      </w:r>
      <w:proofErr w:type="spellEnd"/>
      <w:r w:rsidRPr="00D85C42">
        <w:rPr>
          <w:b/>
          <w:sz w:val="24"/>
          <w:szCs w:val="24"/>
        </w:rPr>
        <w:t>-kode</w:t>
      </w:r>
    </w:p>
    <w:p w14:paraId="71A3CDB4" w14:textId="77777777" w:rsidR="00E57569" w:rsidRPr="00D85C42" w:rsidRDefault="00E57569" w:rsidP="00355FDF">
      <w:pPr>
        <w:ind w:left="851"/>
        <w:rPr>
          <w:sz w:val="24"/>
          <w:szCs w:val="24"/>
        </w:rPr>
      </w:pPr>
      <w:r w:rsidRPr="00D85C42">
        <w:rPr>
          <w:sz w:val="24"/>
          <w:szCs w:val="24"/>
        </w:rPr>
        <w:t>QM01AE03</w:t>
      </w:r>
    </w:p>
    <w:p w14:paraId="285E72B7" w14:textId="77777777" w:rsidR="008203A8" w:rsidRPr="00D85C42" w:rsidRDefault="008203A8" w:rsidP="008203A8">
      <w:pPr>
        <w:ind w:left="851"/>
        <w:rPr>
          <w:sz w:val="24"/>
          <w:szCs w:val="24"/>
        </w:rPr>
      </w:pPr>
    </w:p>
    <w:p w14:paraId="4A63A514" w14:textId="77777777" w:rsidR="008203A8" w:rsidRPr="00D85C42" w:rsidRDefault="008203A8" w:rsidP="008203A8">
      <w:pPr>
        <w:tabs>
          <w:tab w:val="left" w:pos="851"/>
        </w:tabs>
        <w:ind w:left="851" w:hanging="851"/>
        <w:rPr>
          <w:b/>
          <w:sz w:val="24"/>
          <w:szCs w:val="24"/>
        </w:rPr>
      </w:pPr>
      <w:r w:rsidRPr="00D85C42">
        <w:rPr>
          <w:b/>
          <w:sz w:val="24"/>
          <w:szCs w:val="24"/>
        </w:rPr>
        <w:t>4.2</w:t>
      </w:r>
      <w:r w:rsidRPr="00D85C42">
        <w:rPr>
          <w:b/>
          <w:sz w:val="24"/>
          <w:szCs w:val="24"/>
        </w:rPr>
        <w:tab/>
      </w:r>
      <w:proofErr w:type="spellStart"/>
      <w:r w:rsidRPr="00D85C42">
        <w:rPr>
          <w:b/>
          <w:sz w:val="24"/>
          <w:szCs w:val="24"/>
        </w:rPr>
        <w:t>Farmakodynamiske</w:t>
      </w:r>
      <w:proofErr w:type="spellEnd"/>
      <w:r w:rsidRPr="00D85C42">
        <w:rPr>
          <w:b/>
          <w:sz w:val="24"/>
          <w:szCs w:val="24"/>
        </w:rPr>
        <w:t xml:space="preserve"> oplysninger</w:t>
      </w:r>
    </w:p>
    <w:p w14:paraId="10EFA52B" w14:textId="77777777" w:rsidR="00E57569" w:rsidRPr="00D85C42" w:rsidRDefault="00E57569" w:rsidP="00355FDF">
      <w:pPr>
        <w:ind w:left="851"/>
        <w:rPr>
          <w:sz w:val="24"/>
          <w:szCs w:val="24"/>
        </w:rPr>
      </w:pPr>
      <w:proofErr w:type="spellStart"/>
      <w:r w:rsidRPr="00D85C42">
        <w:rPr>
          <w:sz w:val="24"/>
          <w:szCs w:val="24"/>
        </w:rPr>
        <w:t>Ketoprofen</w:t>
      </w:r>
      <w:proofErr w:type="spellEnd"/>
      <w:r w:rsidRPr="00D85C42">
        <w:rPr>
          <w:sz w:val="24"/>
          <w:szCs w:val="24"/>
        </w:rPr>
        <w:t xml:space="preserve">, 2-(3-benzoylphenyl) </w:t>
      </w:r>
      <w:proofErr w:type="spellStart"/>
      <w:r w:rsidRPr="00D85C42">
        <w:rPr>
          <w:sz w:val="24"/>
          <w:szCs w:val="24"/>
        </w:rPr>
        <w:t>propionsyre</w:t>
      </w:r>
      <w:proofErr w:type="spellEnd"/>
      <w:r w:rsidRPr="00D85C42">
        <w:rPr>
          <w:sz w:val="24"/>
          <w:szCs w:val="24"/>
        </w:rPr>
        <w:t>, er et non-</w:t>
      </w:r>
      <w:proofErr w:type="spellStart"/>
      <w:r w:rsidRPr="00D85C42">
        <w:rPr>
          <w:sz w:val="24"/>
          <w:szCs w:val="24"/>
        </w:rPr>
        <w:t>steroidt</w:t>
      </w:r>
      <w:proofErr w:type="spellEnd"/>
      <w:r w:rsidRPr="00D85C42">
        <w:rPr>
          <w:sz w:val="24"/>
          <w:szCs w:val="24"/>
        </w:rPr>
        <w:t xml:space="preserve"> antiinflammatorisk lægemiddel, der tilhører </w:t>
      </w:r>
      <w:proofErr w:type="spellStart"/>
      <w:r w:rsidRPr="00D85C42">
        <w:rPr>
          <w:sz w:val="24"/>
          <w:szCs w:val="24"/>
        </w:rPr>
        <w:t>arylpropionsyregruppen</w:t>
      </w:r>
      <w:proofErr w:type="spellEnd"/>
      <w:r w:rsidRPr="00D85C42">
        <w:rPr>
          <w:sz w:val="24"/>
          <w:szCs w:val="24"/>
        </w:rPr>
        <w:t xml:space="preserve">. Den primære virkningsmekanisme for </w:t>
      </w:r>
      <w:proofErr w:type="spellStart"/>
      <w:r w:rsidRPr="00D85C42">
        <w:rPr>
          <w:sz w:val="24"/>
          <w:szCs w:val="24"/>
        </w:rPr>
        <w:t>ketoprofen</w:t>
      </w:r>
      <w:proofErr w:type="spellEnd"/>
      <w:r w:rsidRPr="00D85C42">
        <w:rPr>
          <w:sz w:val="24"/>
          <w:szCs w:val="24"/>
        </w:rPr>
        <w:t xml:space="preserve"> anses for at være en hæmning af </w:t>
      </w:r>
      <w:proofErr w:type="spellStart"/>
      <w:r w:rsidRPr="00D85C42">
        <w:rPr>
          <w:sz w:val="24"/>
          <w:szCs w:val="24"/>
        </w:rPr>
        <w:t>cyclooxygenase</w:t>
      </w:r>
      <w:proofErr w:type="spellEnd"/>
      <w:r w:rsidRPr="00D85C42">
        <w:rPr>
          <w:sz w:val="24"/>
          <w:szCs w:val="24"/>
        </w:rPr>
        <w:t xml:space="preserve">-vejen i </w:t>
      </w:r>
      <w:proofErr w:type="spellStart"/>
      <w:r w:rsidRPr="00D85C42">
        <w:rPr>
          <w:sz w:val="24"/>
          <w:szCs w:val="24"/>
        </w:rPr>
        <w:t>arakidonsyre</w:t>
      </w:r>
      <w:proofErr w:type="spellEnd"/>
      <w:r w:rsidRPr="00D85C42">
        <w:rPr>
          <w:sz w:val="24"/>
          <w:szCs w:val="24"/>
        </w:rPr>
        <w:t xml:space="preserve">-metabolismen, hvilket fører til en reduceret produktion af antiinflammatoriske </w:t>
      </w:r>
      <w:proofErr w:type="spellStart"/>
      <w:r w:rsidRPr="00D85C42">
        <w:rPr>
          <w:sz w:val="24"/>
          <w:szCs w:val="24"/>
        </w:rPr>
        <w:t>mediatorer</w:t>
      </w:r>
      <w:proofErr w:type="spellEnd"/>
      <w:r w:rsidRPr="00D85C42">
        <w:rPr>
          <w:sz w:val="24"/>
          <w:szCs w:val="24"/>
        </w:rPr>
        <w:t xml:space="preserve">, såsom </w:t>
      </w:r>
      <w:proofErr w:type="spellStart"/>
      <w:r w:rsidRPr="00D85C42">
        <w:rPr>
          <w:sz w:val="24"/>
          <w:szCs w:val="24"/>
        </w:rPr>
        <w:t>prostaglandiner</w:t>
      </w:r>
      <w:proofErr w:type="spellEnd"/>
      <w:r w:rsidRPr="00D85C42">
        <w:rPr>
          <w:sz w:val="24"/>
          <w:szCs w:val="24"/>
        </w:rPr>
        <w:t xml:space="preserve"> og </w:t>
      </w:r>
      <w:proofErr w:type="spellStart"/>
      <w:r w:rsidRPr="00D85C42">
        <w:rPr>
          <w:sz w:val="24"/>
          <w:szCs w:val="24"/>
        </w:rPr>
        <w:t>tromboxaner</w:t>
      </w:r>
      <w:proofErr w:type="spellEnd"/>
      <w:r w:rsidRPr="00D85C42">
        <w:rPr>
          <w:sz w:val="24"/>
          <w:szCs w:val="24"/>
        </w:rPr>
        <w:t xml:space="preserve">. Det er denne virkningsmekanisme, der resulterer i </w:t>
      </w:r>
      <w:proofErr w:type="spellStart"/>
      <w:r w:rsidRPr="00D85C42">
        <w:rPr>
          <w:sz w:val="24"/>
          <w:szCs w:val="24"/>
        </w:rPr>
        <w:t>ketoprofens</w:t>
      </w:r>
      <w:proofErr w:type="spellEnd"/>
      <w:r w:rsidRPr="00D85C42">
        <w:rPr>
          <w:sz w:val="24"/>
          <w:szCs w:val="24"/>
        </w:rPr>
        <w:t xml:space="preserve"> antiinflammatoriske, </w:t>
      </w:r>
      <w:proofErr w:type="spellStart"/>
      <w:r w:rsidRPr="00D85C42">
        <w:rPr>
          <w:sz w:val="24"/>
          <w:szCs w:val="24"/>
        </w:rPr>
        <w:t>antipyretiske</w:t>
      </w:r>
      <w:proofErr w:type="spellEnd"/>
      <w:r w:rsidRPr="00D85C42">
        <w:rPr>
          <w:sz w:val="24"/>
          <w:szCs w:val="24"/>
        </w:rPr>
        <w:t xml:space="preserve"> og analgetiske aktivitet. Disse egenskaber tilskrives også stoffets hæmmende virkning på bradykinin og superoxidanioner sammen med dets stabiliserende virkning på de lysosomale membraner.</w:t>
      </w:r>
    </w:p>
    <w:p w14:paraId="54A011AD" w14:textId="77777777" w:rsidR="00E57569" w:rsidRPr="00D85C42" w:rsidRDefault="00E57569" w:rsidP="00355FDF">
      <w:pPr>
        <w:ind w:left="851"/>
        <w:rPr>
          <w:sz w:val="24"/>
          <w:szCs w:val="24"/>
        </w:rPr>
      </w:pPr>
    </w:p>
    <w:p w14:paraId="1BD2F663" w14:textId="77777777" w:rsidR="00E57569" w:rsidRPr="00D85C42" w:rsidRDefault="00E57569" w:rsidP="00355FDF">
      <w:pPr>
        <w:ind w:left="851"/>
        <w:rPr>
          <w:sz w:val="24"/>
          <w:szCs w:val="24"/>
        </w:rPr>
      </w:pPr>
      <w:r w:rsidRPr="00D85C42">
        <w:rPr>
          <w:sz w:val="24"/>
          <w:szCs w:val="24"/>
        </w:rPr>
        <w:t>Den antiinflammatoriske virkning forstærkes ved omdannelsen af (R)-</w:t>
      </w:r>
      <w:proofErr w:type="spellStart"/>
      <w:r w:rsidRPr="00D85C42">
        <w:rPr>
          <w:sz w:val="24"/>
          <w:szCs w:val="24"/>
        </w:rPr>
        <w:t>enantiomeren</w:t>
      </w:r>
      <w:proofErr w:type="spellEnd"/>
      <w:r w:rsidRPr="00D85C42">
        <w:rPr>
          <w:sz w:val="24"/>
          <w:szCs w:val="24"/>
        </w:rPr>
        <w:t xml:space="preserve"> til (S)-</w:t>
      </w:r>
      <w:proofErr w:type="spellStart"/>
      <w:r w:rsidRPr="00D85C42">
        <w:rPr>
          <w:sz w:val="24"/>
          <w:szCs w:val="24"/>
        </w:rPr>
        <w:t>enantiomeren</w:t>
      </w:r>
      <w:proofErr w:type="spellEnd"/>
      <w:r w:rsidRPr="00D85C42">
        <w:rPr>
          <w:sz w:val="24"/>
          <w:szCs w:val="24"/>
        </w:rPr>
        <w:t>. Det er kendt, at (S)-</w:t>
      </w:r>
      <w:proofErr w:type="spellStart"/>
      <w:r w:rsidRPr="00D85C42">
        <w:rPr>
          <w:sz w:val="24"/>
          <w:szCs w:val="24"/>
        </w:rPr>
        <w:t>enantiomeren</w:t>
      </w:r>
      <w:proofErr w:type="spellEnd"/>
      <w:r w:rsidRPr="00D85C42">
        <w:rPr>
          <w:sz w:val="24"/>
          <w:szCs w:val="24"/>
        </w:rPr>
        <w:t xml:space="preserve"> understøtter </w:t>
      </w:r>
      <w:proofErr w:type="spellStart"/>
      <w:r w:rsidRPr="00D85C42">
        <w:rPr>
          <w:sz w:val="24"/>
          <w:szCs w:val="24"/>
        </w:rPr>
        <w:t>ketoprofens</w:t>
      </w:r>
      <w:proofErr w:type="spellEnd"/>
      <w:r w:rsidRPr="00D85C42">
        <w:rPr>
          <w:sz w:val="24"/>
          <w:szCs w:val="24"/>
        </w:rPr>
        <w:t xml:space="preserve"> antiinflammatoriske virkning.</w:t>
      </w:r>
    </w:p>
    <w:p w14:paraId="61327BA8" w14:textId="77777777" w:rsidR="008203A8" w:rsidRPr="00D85C42" w:rsidRDefault="008203A8" w:rsidP="008203A8">
      <w:pPr>
        <w:tabs>
          <w:tab w:val="left" w:pos="851"/>
        </w:tabs>
        <w:ind w:left="851"/>
        <w:rPr>
          <w:sz w:val="24"/>
          <w:szCs w:val="24"/>
        </w:rPr>
      </w:pPr>
    </w:p>
    <w:p w14:paraId="68BEBEDC" w14:textId="77777777" w:rsidR="008203A8" w:rsidRPr="00D85C42" w:rsidRDefault="008203A8" w:rsidP="008203A8">
      <w:pPr>
        <w:tabs>
          <w:tab w:val="left" w:pos="851"/>
        </w:tabs>
        <w:ind w:left="851" w:hanging="851"/>
        <w:rPr>
          <w:b/>
          <w:sz w:val="24"/>
          <w:szCs w:val="24"/>
        </w:rPr>
      </w:pPr>
      <w:r w:rsidRPr="00D85C42">
        <w:rPr>
          <w:b/>
          <w:sz w:val="24"/>
          <w:szCs w:val="24"/>
        </w:rPr>
        <w:t>4.3</w:t>
      </w:r>
      <w:r w:rsidRPr="00D85C42">
        <w:rPr>
          <w:b/>
          <w:sz w:val="24"/>
          <w:szCs w:val="24"/>
        </w:rPr>
        <w:tab/>
      </w:r>
      <w:proofErr w:type="spellStart"/>
      <w:r w:rsidRPr="00D85C42">
        <w:rPr>
          <w:b/>
          <w:sz w:val="24"/>
          <w:szCs w:val="24"/>
        </w:rPr>
        <w:t>Farmakokinetiske</w:t>
      </w:r>
      <w:proofErr w:type="spellEnd"/>
      <w:r w:rsidRPr="00D85C42">
        <w:rPr>
          <w:b/>
          <w:sz w:val="24"/>
          <w:szCs w:val="24"/>
        </w:rPr>
        <w:t xml:space="preserve"> oplysninger</w:t>
      </w:r>
    </w:p>
    <w:p w14:paraId="62D0B76B" w14:textId="77777777" w:rsidR="00E57569" w:rsidRPr="00D85C42" w:rsidRDefault="00E57569" w:rsidP="00355FDF">
      <w:pPr>
        <w:ind w:left="851"/>
        <w:rPr>
          <w:sz w:val="24"/>
          <w:szCs w:val="24"/>
        </w:rPr>
      </w:pPr>
      <w:r w:rsidRPr="00D85C42">
        <w:rPr>
          <w:sz w:val="24"/>
          <w:szCs w:val="24"/>
        </w:rPr>
        <w:t xml:space="preserve">Efter intramuskulær indgivelse af veterinærlægemidlet (enkeltdosis på 3 mg </w:t>
      </w:r>
      <w:proofErr w:type="spellStart"/>
      <w:r w:rsidRPr="00D85C42">
        <w:rPr>
          <w:sz w:val="24"/>
          <w:szCs w:val="24"/>
        </w:rPr>
        <w:t>ketoprofen</w:t>
      </w:r>
      <w:proofErr w:type="spellEnd"/>
      <w:r w:rsidRPr="00D85C42">
        <w:rPr>
          <w:sz w:val="24"/>
          <w:szCs w:val="24"/>
        </w:rPr>
        <w:t xml:space="preserve">/kg </w:t>
      </w:r>
    </w:p>
    <w:p w14:paraId="7C19795B" w14:textId="77777777" w:rsidR="00E57569" w:rsidRPr="00D85C42" w:rsidRDefault="00E57569" w:rsidP="00355FDF">
      <w:pPr>
        <w:ind w:left="851"/>
        <w:rPr>
          <w:sz w:val="24"/>
          <w:szCs w:val="24"/>
        </w:rPr>
      </w:pPr>
      <w:r w:rsidRPr="00D85C42">
        <w:rPr>
          <w:sz w:val="24"/>
          <w:szCs w:val="24"/>
        </w:rPr>
        <w:t xml:space="preserve">legemsvægt), absorberes </w:t>
      </w:r>
      <w:proofErr w:type="spellStart"/>
      <w:r w:rsidRPr="00D85C42">
        <w:rPr>
          <w:sz w:val="24"/>
          <w:szCs w:val="24"/>
        </w:rPr>
        <w:t>ketoprofen</w:t>
      </w:r>
      <w:proofErr w:type="spellEnd"/>
      <w:r w:rsidRPr="00D85C42">
        <w:rPr>
          <w:sz w:val="24"/>
          <w:szCs w:val="24"/>
        </w:rPr>
        <w:t xml:space="preserve"> hurtigt, og det har en høj biotilgængelighed.</w:t>
      </w:r>
    </w:p>
    <w:p w14:paraId="78519111" w14:textId="77777777" w:rsidR="00E57569" w:rsidRPr="00D85C42" w:rsidRDefault="00E57569" w:rsidP="00355FDF">
      <w:pPr>
        <w:ind w:left="851"/>
        <w:rPr>
          <w:sz w:val="24"/>
          <w:szCs w:val="24"/>
        </w:rPr>
      </w:pPr>
      <w:proofErr w:type="spellStart"/>
      <w:r w:rsidRPr="00D85C42">
        <w:rPr>
          <w:sz w:val="24"/>
          <w:szCs w:val="24"/>
        </w:rPr>
        <w:t>Ketoprofen</w:t>
      </w:r>
      <w:proofErr w:type="spellEnd"/>
      <w:r w:rsidRPr="00D85C42">
        <w:rPr>
          <w:sz w:val="24"/>
          <w:szCs w:val="24"/>
        </w:rPr>
        <w:t xml:space="preserve"> bindes i udstrakt grad til plasmaproteiner (&gt; 90 %).</w:t>
      </w:r>
    </w:p>
    <w:p w14:paraId="6C372080" w14:textId="77777777" w:rsidR="00E57569" w:rsidRPr="00D85C42" w:rsidRDefault="00E57569" w:rsidP="00355FDF">
      <w:pPr>
        <w:ind w:left="851"/>
        <w:rPr>
          <w:sz w:val="24"/>
          <w:szCs w:val="24"/>
        </w:rPr>
      </w:pPr>
      <w:r w:rsidRPr="00D85C42">
        <w:rPr>
          <w:sz w:val="24"/>
          <w:szCs w:val="24"/>
        </w:rPr>
        <w:t xml:space="preserve">Koncentrationerne af </w:t>
      </w:r>
      <w:proofErr w:type="spellStart"/>
      <w:r w:rsidRPr="00D85C42">
        <w:rPr>
          <w:sz w:val="24"/>
          <w:szCs w:val="24"/>
        </w:rPr>
        <w:t>ketoprofen</w:t>
      </w:r>
      <w:proofErr w:type="spellEnd"/>
      <w:r w:rsidRPr="00D85C42">
        <w:rPr>
          <w:sz w:val="24"/>
          <w:szCs w:val="24"/>
        </w:rPr>
        <w:t xml:space="preserve"> opretholdes i højere grad i inflammatoriske </w:t>
      </w:r>
      <w:proofErr w:type="spellStart"/>
      <w:r w:rsidRPr="00D85C42">
        <w:rPr>
          <w:sz w:val="24"/>
          <w:szCs w:val="24"/>
        </w:rPr>
        <w:t>ekssudater</w:t>
      </w:r>
      <w:proofErr w:type="spellEnd"/>
      <w:r w:rsidRPr="00D85C42">
        <w:rPr>
          <w:sz w:val="24"/>
          <w:szCs w:val="24"/>
        </w:rPr>
        <w:t xml:space="preserve"> end i plasma.</w:t>
      </w:r>
    </w:p>
    <w:p w14:paraId="19E6BAED" w14:textId="77777777" w:rsidR="00E57569" w:rsidRPr="00D85C42" w:rsidRDefault="00E57569" w:rsidP="00355FDF">
      <w:pPr>
        <w:ind w:left="851"/>
        <w:rPr>
          <w:sz w:val="24"/>
          <w:szCs w:val="24"/>
        </w:rPr>
      </w:pPr>
      <w:r w:rsidRPr="00D85C42">
        <w:rPr>
          <w:sz w:val="24"/>
          <w:szCs w:val="24"/>
        </w:rPr>
        <w:t xml:space="preserve">Det når høje koncentrationer og forbliver i inflammeret væv, da </w:t>
      </w:r>
      <w:proofErr w:type="spellStart"/>
      <w:r w:rsidRPr="00D85C42">
        <w:rPr>
          <w:sz w:val="24"/>
          <w:szCs w:val="24"/>
        </w:rPr>
        <w:t>ketoprofen</w:t>
      </w:r>
      <w:proofErr w:type="spellEnd"/>
      <w:r w:rsidRPr="00D85C42">
        <w:rPr>
          <w:sz w:val="24"/>
          <w:szCs w:val="24"/>
        </w:rPr>
        <w:t xml:space="preserve"> er en svag syre.</w:t>
      </w:r>
    </w:p>
    <w:p w14:paraId="439DC348" w14:textId="77777777" w:rsidR="00E57569" w:rsidRPr="00D85C42" w:rsidRDefault="00E57569" w:rsidP="00355FDF">
      <w:pPr>
        <w:ind w:left="851"/>
        <w:rPr>
          <w:sz w:val="24"/>
          <w:szCs w:val="24"/>
        </w:rPr>
      </w:pPr>
      <w:proofErr w:type="spellStart"/>
      <w:r w:rsidRPr="00D85C42">
        <w:rPr>
          <w:sz w:val="24"/>
          <w:szCs w:val="24"/>
        </w:rPr>
        <w:t>Ketoprofen</w:t>
      </w:r>
      <w:proofErr w:type="spellEnd"/>
      <w:r w:rsidRPr="00D85C42">
        <w:rPr>
          <w:sz w:val="24"/>
          <w:szCs w:val="24"/>
        </w:rPr>
        <w:t xml:space="preserve"> </w:t>
      </w:r>
      <w:proofErr w:type="spellStart"/>
      <w:r w:rsidRPr="00D85C42">
        <w:rPr>
          <w:sz w:val="24"/>
          <w:szCs w:val="24"/>
        </w:rPr>
        <w:t>metaboliseres</w:t>
      </w:r>
      <w:proofErr w:type="spellEnd"/>
      <w:r w:rsidRPr="00D85C42">
        <w:rPr>
          <w:sz w:val="24"/>
          <w:szCs w:val="24"/>
        </w:rPr>
        <w:t xml:space="preserve"> i leveren til inaktive metabolitter og udskilles hovedsageligt i urinen (primært som </w:t>
      </w:r>
      <w:proofErr w:type="spellStart"/>
      <w:r w:rsidRPr="00D85C42">
        <w:rPr>
          <w:sz w:val="24"/>
          <w:szCs w:val="24"/>
        </w:rPr>
        <w:t>glukurokonjugerede</w:t>
      </w:r>
      <w:proofErr w:type="spellEnd"/>
      <w:r w:rsidRPr="00D85C42">
        <w:rPr>
          <w:sz w:val="24"/>
          <w:szCs w:val="24"/>
        </w:rPr>
        <w:t xml:space="preserve"> metabolitter) og i mindre grad i afføringen. Små mængder </w:t>
      </w:r>
      <w:proofErr w:type="spellStart"/>
      <w:r w:rsidRPr="00D85C42">
        <w:rPr>
          <w:sz w:val="24"/>
          <w:szCs w:val="24"/>
        </w:rPr>
        <w:t>ketoprofen</w:t>
      </w:r>
      <w:proofErr w:type="spellEnd"/>
      <w:r w:rsidRPr="00D85C42">
        <w:rPr>
          <w:sz w:val="24"/>
          <w:szCs w:val="24"/>
        </w:rPr>
        <w:t xml:space="preserve"> kan detekteres i mælken hos behandlede dyr.</w:t>
      </w:r>
    </w:p>
    <w:p w14:paraId="165968F1" w14:textId="77777777" w:rsidR="00E57569" w:rsidRPr="00D85C42" w:rsidRDefault="00E57569" w:rsidP="00355FDF">
      <w:pPr>
        <w:ind w:left="851"/>
        <w:rPr>
          <w:sz w:val="24"/>
          <w:szCs w:val="24"/>
        </w:rPr>
      </w:pPr>
    </w:p>
    <w:p w14:paraId="7F1B9979" w14:textId="181C6BC1" w:rsidR="00E57569" w:rsidRPr="00D85C42" w:rsidRDefault="00E57569" w:rsidP="00355FDF">
      <w:pPr>
        <w:ind w:left="851"/>
        <w:rPr>
          <w:sz w:val="24"/>
          <w:szCs w:val="24"/>
        </w:rPr>
      </w:pPr>
      <w:r w:rsidRPr="00D85C42">
        <w:rPr>
          <w:sz w:val="24"/>
          <w:szCs w:val="24"/>
        </w:rPr>
        <w:t>Hos kvæg absorberes det aktive stof hurtigt efter intramuskulær injektion af veterinærlæge</w:t>
      </w:r>
      <w:r w:rsidR="00EA6DA7">
        <w:rPr>
          <w:sz w:val="24"/>
          <w:szCs w:val="24"/>
        </w:rPr>
        <w:softHyphen/>
      </w:r>
      <w:r w:rsidRPr="00D85C42">
        <w:rPr>
          <w:sz w:val="24"/>
          <w:szCs w:val="24"/>
        </w:rPr>
        <w:t>midlet (en enkelt dosis på 3</w:t>
      </w:r>
      <w:r w:rsidRPr="00D85C42">
        <w:rPr>
          <w:b/>
          <w:bCs/>
          <w:sz w:val="24"/>
          <w:szCs w:val="24"/>
        </w:rPr>
        <w:t xml:space="preserve"> </w:t>
      </w:r>
      <w:r w:rsidRPr="00D85C42">
        <w:rPr>
          <w:sz w:val="24"/>
          <w:szCs w:val="24"/>
        </w:rPr>
        <w:t>mg/</w:t>
      </w:r>
      <w:proofErr w:type="spellStart"/>
      <w:r w:rsidRPr="00D85C42">
        <w:rPr>
          <w:sz w:val="24"/>
          <w:szCs w:val="24"/>
        </w:rPr>
        <w:t>ketoprofen</w:t>
      </w:r>
      <w:proofErr w:type="spellEnd"/>
      <w:r w:rsidRPr="00D85C42">
        <w:rPr>
          <w:sz w:val="24"/>
          <w:szCs w:val="24"/>
        </w:rPr>
        <w:t xml:space="preserve">/kg legemsvægt) og når sit gennemsnitlige </w:t>
      </w:r>
      <w:proofErr w:type="spellStart"/>
      <w:r w:rsidRPr="00D85C42">
        <w:rPr>
          <w:sz w:val="24"/>
          <w:szCs w:val="24"/>
        </w:rPr>
        <w:t>C</w:t>
      </w:r>
      <w:r w:rsidRPr="00A378A1">
        <w:rPr>
          <w:sz w:val="24"/>
          <w:szCs w:val="24"/>
          <w:vertAlign w:val="subscript"/>
        </w:rPr>
        <w:t>max</w:t>
      </w:r>
      <w:proofErr w:type="spellEnd"/>
      <w:r w:rsidRPr="00D85C42">
        <w:rPr>
          <w:sz w:val="24"/>
          <w:szCs w:val="24"/>
        </w:rPr>
        <w:t xml:space="preserve"> i plasma (gennemsnitsværdi: 7,2</w:t>
      </w:r>
      <w:r w:rsidRPr="00D85C42">
        <w:rPr>
          <w:b/>
          <w:bCs/>
          <w:sz w:val="24"/>
          <w:szCs w:val="24"/>
        </w:rPr>
        <w:t xml:space="preserve"> </w:t>
      </w:r>
      <w:r w:rsidRPr="00D85C42">
        <w:rPr>
          <w:sz w:val="24"/>
          <w:szCs w:val="24"/>
        </w:rPr>
        <w:sym w:font="Symbol" w:char="F06D"/>
      </w:r>
      <w:r w:rsidRPr="00D85C42">
        <w:rPr>
          <w:sz w:val="24"/>
          <w:szCs w:val="24"/>
        </w:rPr>
        <w:t>g/ml) mellem 0,5 og 1 time (</w:t>
      </w:r>
      <w:proofErr w:type="spellStart"/>
      <w:r w:rsidRPr="00D85C42">
        <w:rPr>
          <w:sz w:val="24"/>
          <w:szCs w:val="24"/>
        </w:rPr>
        <w:t>t</w:t>
      </w:r>
      <w:r w:rsidRPr="00D85C42">
        <w:rPr>
          <w:sz w:val="24"/>
          <w:szCs w:val="24"/>
          <w:vertAlign w:val="subscript"/>
        </w:rPr>
        <w:t>max</w:t>
      </w:r>
      <w:proofErr w:type="spellEnd"/>
      <w:r w:rsidRPr="00D85C42">
        <w:rPr>
          <w:sz w:val="24"/>
          <w:szCs w:val="24"/>
        </w:rPr>
        <w:t>) efter påbegyndelse af behandlingen.</w:t>
      </w:r>
    </w:p>
    <w:p w14:paraId="60DBB270" w14:textId="77777777" w:rsidR="00E57569" w:rsidRPr="00D85C42" w:rsidRDefault="00E57569" w:rsidP="00355FDF">
      <w:pPr>
        <w:ind w:left="851"/>
        <w:rPr>
          <w:sz w:val="24"/>
          <w:szCs w:val="24"/>
        </w:rPr>
      </w:pPr>
      <w:r w:rsidRPr="00D85C42">
        <w:rPr>
          <w:sz w:val="24"/>
          <w:szCs w:val="24"/>
        </w:rPr>
        <w:t>Fraktionen af absorberet dosis er meget høj (92,51±10,9 %)</w:t>
      </w:r>
    </w:p>
    <w:p w14:paraId="675959B6" w14:textId="77777777" w:rsidR="00E57569" w:rsidRPr="00D85C42" w:rsidRDefault="00E57569" w:rsidP="00355FDF">
      <w:pPr>
        <w:ind w:left="851"/>
        <w:rPr>
          <w:sz w:val="24"/>
          <w:szCs w:val="24"/>
        </w:rPr>
      </w:pPr>
    </w:p>
    <w:p w14:paraId="69D391F4" w14:textId="77777777" w:rsidR="00E57569" w:rsidRPr="00D85C42" w:rsidRDefault="00E57569" w:rsidP="00355FDF">
      <w:pPr>
        <w:ind w:left="851"/>
        <w:rPr>
          <w:sz w:val="24"/>
          <w:szCs w:val="24"/>
        </w:rPr>
      </w:pPr>
      <w:r w:rsidRPr="00D85C42">
        <w:rPr>
          <w:sz w:val="24"/>
          <w:szCs w:val="24"/>
        </w:rPr>
        <w:t xml:space="preserve">Efter intravenøs indgivelse er halveringstiden for elimination </w:t>
      </w:r>
      <w:r w:rsidRPr="00D85C42">
        <w:rPr>
          <w:bCs/>
          <w:iCs/>
          <w:sz w:val="24"/>
          <w:szCs w:val="24"/>
        </w:rPr>
        <w:t>(t</w:t>
      </w:r>
      <w:r w:rsidRPr="00D85C42">
        <w:rPr>
          <w:bCs/>
          <w:iCs/>
          <w:sz w:val="24"/>
          <w:szCs w:val="24"/>
          <w:vertAlign w:val="subscript"/>
        </w:rPr>
        <w:t>½</w:t>
      </w:r>
      <w:r w:rsidRPr="00D85C42">
        <w:rPr>
          <w:bCs/>
          <w:iCs/>
          <w:sz w:val="24"/>
          <w:szCs w:val="24"/>
        </w:rPr>
        <w:t>) 2,1 t. Fordelingsvolumen (</w:t>
      </w:r>
      <w:proofErr w:type="spellStart"/>
      <w:r w:rsidRPr="00D85C42">
        <w:rPr>
          <w:bCs/>
          <w:iCs/>
          <w:sz w:val="24"/>
          <w:szCs w:val="24"/>
        </w:rPr>
        <w:t>Vd</w:t>
      </w:r>
      <w:proofErr w:type="spellEnd"/>
      <w:r w:rsidRPr="00D85C42">
        <w:rPr>
          <w:bCs/>
          <w:iCs/>
          <w:sz w:val="24"/>
          <w:szCs w:val="24"/>
        </w:rPr>
        <w:t>) på 0,41 l/kg og plasma-</w:t>
      </w:r>
      <w:proofErr w:type="spellStart"/>
      <w:r w:rsidRPr="00D85C42">
        <w:rPr>
          <w:bCs/>
          <w:iCs/>
          <w:sz w:val="24"/>
          <w:szCs w:val="24"/>
        </w:rPr>
        <w:t>clearance</w:t>
      </w:r>
      <w:proofErr w:type="spellEnd"/>
      <w:r w:rsidRPr="00D85C42">
        <w:rPr>
          <w:bCs/>
          <w:iCs/>
          <w:sz w:val="24"/>
          <w:szCs w:val="24"/>
        </w:rPr>
        <w:t xml:space="preserve"> (Cl) på 0,14 l/t/kg.</w:t>
      </w:r>
    </w:p>
    <w:p w14:paraId="74931AA0" w14:textId="77777777" w:rsidR="00E57569" w:rsidRPr="00D85C42" w:rsidRDefault="00E57569" w:rsidP="00355FDF">
      <w:pPr>
        <w:ind w:left="851"/>
        <w:rPr>
          <w:sz w:val="24"/>
          <w:szCs w:val="24"/>
        </w:rPr>
      </w:pPr>
    </w:p>
    <w:p w14:paraId="4A7155EC" w14:textId="77777777" w:rsidR="00E57569" w:rsidRPr="00D85C42" w:rsidRDefault="00E57569" w:rsidP="00355FDF">
      <w:pPr>
        <w:ind w:left="851"/>
        <w:rPr>
          <w:bCs/>
          <w:iCs/>
          <w:sz w:val="24"/>
          <w:szCs w:val="24"/>
        </w:rPr>
      </w:pPr>
      <w:r w:rsidRPr="00D85C42">
        <w:rPr>
          <w:bCs/>
          <w:iCs/>
          <w:sz w:val="24"/>
          <w:szCs w:val="24"/>
        </w:rPr>
        <w:t>Hos svin absorberes det aktive stof hurtigt efter intramuskulær injektion af en enkelt dosis på 3 mg/</w:t>
      </w:r>
      <w:proofErr w:type="spellStart"/>
      <w:r w:rsidRPr="00D85C42">
        <w:rPr>
          <w:bCs/>
          <w:iCs/>
          <w:sz w:val="24"/>
          <w:szCs w:val="24"/>
        </w:rPr>
        <w:t>ketoprofen</w:t>
      </w:r>
      <w:proofErr w:type="spellEnd"/>
      <w:r w:rsidRPr="00D85C42">
        <w:rPr>
          <w:bCs/>
          <w:iCs/>
          <w:sz w:val="24"/>
          <w:szCs w:val="24"/>
        </w:rPr>
        <w:t xml:space="preserve">/kg legemsvægt og når sit gennemsnitlige </w:t>
      </w:r>
      <w:proofErr w:type="spellStart"/>
      <w:r w:rsidRPr="00D85C42">
        <w:rPr>
          <w:bCs/>
          <w:iCs/>
          <w:sz w:val="24"/>
          <w:szCs w:val="24"/>
        </w:rPr>
        <w:t>C</w:t>
      </w:r>
      <w:r w:rsidRPr="00D85C42">
        <w:rPr>
          <w:bCs/>
          <w:iCs/>
          <w:sz w:val="24"/>
          <w:szCs w:val="24"/>
          <w:vertAlign w:val="subscript"/>
        </w:rPr>
        <w:t>max</w:t>
      </w:r>
      <w:proofErr w:type="spellEnd"/>
      <w:r w:rsidRPr="00D85C42">
        <w:rPr>
          <w:bCs/>
          <w:iCs/>
          <w:sz w:val="24"/>
          <w:szCs w:val="24"/>
        </w:rPr>
        <w:t xml:space="preserve"> i plasma (gennemsnitsværdi: 16 </w:t>
      </w:r>
      <w:r w:rsidRPr="00D85C42">
        <w:rPr>
          <w:sz w:val="24"/>
          <w:szCs w:val="24"/>
        </w:rPr>
        <w:sym w:font="Symbol" w:char="F06D"/>
      </w:r>
      <w:r w:rsidRPr="00D85C42">
        <w:rPr>
          <w:sz w:val="24"/>
          <w:szCs w:val="24"/>
        </w:rPr>
        <w:t>g</w:t>
      </w:r>
      <w:r w:rsidRPr="00D85C42">
        <w:rPr>
          <w:bCs/>
          <w:iCs/>
          <w:sz w:val="24"/>
          <w:szCs w:val="24"/>
        </w:rPr>
        <w:t>/ml) mellem 0,25 og 1,5 time (</w:t>
      </w:r>
      <w:proofErr w:type="spellStart"/>
      <w:r w:rsidRPr="00D85C42">
        <w:rPr>
          <w:sz w:val="24"/>
          <w:szCs w:val="24"/>
        </w:rPr>
        <w:t>t</w:t>
      </w:r>
      <w:r w:rsidRPr="00D85C42">
        <w:rPr>
          <w:sz w:val="24"/>
          <w:szCs w:val="24"/>
          <w:vertAlign w:val="subscript"/>
        </w:rPr>
        <w:t>max</w:t>
      </w:r>
      <w:proofErr w:type="spellEnd"/>
      <w:r w:rsidRPr="00D85C42">
        <w:rPr>
          <w:bCs/>
          <w:iCs/>
          <w:sz w:val="24"/>
          <w:szCs w:val="24"/>
        </w:rPr>
        <w:t>) efter påbegyndelse af behandlingen. Fraktionen af absorberet dosis er 84,7±33%.</w:t>
      </w:r>
    </w:p>
    <w:p w14:paraId="78FA2ADA" w14:textId="77777777" w:rsidR="00E57569" w:rsidRPr="00D85C42" w:rsidRDefault="00E57569" w:rsidP="00355FDF">
      <w:pPr>
        <w:ind w:left="851"/>
        <w:rPr>
          <w:bCs/>
          <w:iCs/>
          <w:sz w:val="24"/>
          <w:szCs w:val="24"/>
        </w:rPr>
      </w:pPr>
      <w:r w:rsidRPr="00D85C42">
        <w:rPr>
          <w:bCs/>
          <w:iCs/>
          <w:sz w:val="24"/>
          <w:szCs w:val="24"/>
        </w:rPr>
        <w:t>Hos grise efter intravenøs indgivelse er halveringstiden for elimination (t</w:t>
      </w:r>
      <w:r w:rsidRPr="00D85C42">
        <w:rPr>
          <w:bCs/>
          <w:iCs/>
          <w:sz w:val="24"/>
          <w:szCs w:val="24"/>
          <w:vertAlign w:val="subscript"/>
        </w:rPr>
        <w:t>½</w:t>
      </w:r>
      <w:r w:rsidRPr="00D85C42">
        <w:rPr>
          <w:bCs/>
          <w:iCs/>
          <w:sz w:val="24"/>
          <w:szCs w:val="24"/>
        </w:rPr>
        <w:t>) 3,6 t. Distributionsvolumen (</w:t>
      </w:r>
      <w:proofErr w:type="spellStart"/>
      <w:r w:rsidRPr="00D85C42">
        <w:rPr>
          <w:bCs/>
          <w:iCs/>
          <w:sz w:val="24"/>
          <w:szCs w:val="24"/>
        </w:rPr>
        <w:t>Vd</w:t>
      </w:r>
      <w:proofErr w:type="spellEnd"/>
      <w:r w:rsidRPr="00D85C42">
        <w:rPr>
          <w:bCs/>
          <w:iCs/>
          <w:sz w:val="24"/>
          <w:szCs w:val="24"/>
        </w:rPr>
        <w:t>) på 0,15 l/kg og plasma-</w:t>
      </w:r>
      <w:proofErr w:type="spellStart"/>
      <w:r w:rsidRPr="00D85C42">
        <w:rPr>
          <w:bCs/>
          <w:iCs/>
          <w:sz w:val="24"/>
          <w:szCs w:val="24"/>
        </w:rPr>
        <w:t>clearance</w:t>
      </w:r>
      <w:proofErr w:type="spellEnd"/>
      <w:r w:rsidRPr="00D85C42">
        <w:rPr>
          <w:bCs/>
          <w:iCs/>
          <w:sz w:val="24"/>
          <w:szCs w:val="24"/>
        </w:rPr>
        <w:t xml:space="preserve"> (Cl) på 0,03 l/t/kg.</w:t>
      </w:r>
    </w:p>
    <w:p w14:paraId="304AF185" w14:textId="77777777" w:rsidR="00E57569" w:rsidRPr="00D85C42" w:rsidRDefault="00E57569" w:rsidP="00355FDF">
      <w:pPr>
        <w:ind w:left="851"/>
        <w:rPr>
          <w:bCs/>
          <w:iCs/>
          <w:sz w:val="24"/>
          <w:szCs w:val="24"/>
        </w:rPr>
      </w:pPr>
    </w:p>
    <w:p w14:paraId="46204CC3" w14:textId="77777777" w:rsidR="00E57569" w:rsidRPr="00D85C42" w:rsidRDefault="00E57569" w:rsidP="00355FDF">
      <w:pPr>
        <w:ind w:left="851"/>
        <w:rPr>
          <w:sz w:val="24"/>
          <w:szCs w:val="24"/>
        </w:rPr>
      </w:pPr>
      <w:r w:rsidRPr="00D85C42">
        <w:rPr>
          <w:bCs/>
          <w:iCs/>
          <w:sz w:val="24"/>
          <w:szCs w:val="24"/>
        </w:rPr>
        <w:lastRenderedPageBreak/>
        <w:t xml:space="preserve">Også efter intravenøs indgivelse til heste har </w:t>
      </w:r>
      <w:proofErr w:type="spellStart"/>
      <w:r w:rsidRPr="00D85C42">
        <w:rPr>
          <w:bCs/>
          <w:iCs/>
          <w:sz w:val="24"/>
          <w:szCs w:val="24"/>
        </w:rPr>
        <w:t>ketoprofen</w:t>
      </w:r>
      <w:proofErr w:type="spellEnd"/>
      <w:r w:rsidRPr="00D85C42">
        <w:rPr>
          <w:bCs/>
          <w:iCs/>
          <w:sz w:val="24"/>
          <w:szCs w:val="24"/>
        </w:rPr>
        <w:t xml:space="preserve"> et lavt fordelingsvolumen.</w:t>
      </w:r>
    </w:p>
    <w:p w14:paraId="7E41DF1D" w14:textId="77777777" w:rsidR="008203A8" w:rsidRPr="00D85C42" w:rsidRDefault="008203A8" w:rsidP="008203A8">
      <w:pPr>
        <w:ind w:left="851"/>
        <w:rPr>
          <w:sz w:val="24"/>
          <w:szCs w:val="24"/>
        </w:rPr>
      </w:pPr>
    </w:p>
    <w:p w14:paraId="40195DC3" w14:textId="77777777" w:rsidR="008203A8" w:rsidRPr="00D85C42" w:rsidRDefault="008203A8" w:rsidP="008203A8">
      <w:pPr>
        <w:tabs>
          <w:tab w:val="left" w:pos="851"/>
        </w:tabs>
        <w:ind w:left="851"/>
        <w:rPr>
          <w:sz w:val="24"/>
          <w:szCs w:val="24"/>
        </w:rPr>
      </w:pPr>
    </w:p>
    <w:p w14:paraId="282ECFFE" w14:textId="77777777" w:rsidR="008203A8" w:rsidRPr="00D85C42" w:rsidRDefault="008203A8" w:rsidP="008203A8">
      <w:pPr>
        <w:ind w:left="851" w:hanging="851"/>
        <w:rPr>
          <w:b/>
          <w:sz w:val="24"/>
          <w:szCs w:val="24"/>
        </w:rPr>
      </w:pPr>
      <w:r w:rsidRPr="00D85C42">
        <w:rPr>
          <w:b/>
          <w:sz w:val="24"/>
          <w:szCs w:val="24"/>
        </w:rPr>
        <w:t>5.</w:t>
      </w:r>
      <w:r w:rsidRPr="00D85C42">
        <w:rPr>
          <w:b/>
          <w:sz w:val="24"/>
          <w:szCs w:val="24"/>
        </w:rPr>
        <w:tab/>
        <w:t>FARMACEUTISKE OPLYSNINGER</w:t>
      </w:r>
    </w:p>
    <w:p w14:paraId="26EE080F" w14:textId="77777777" w:rsidR="008203A8" w:rsidRPr="00D85C42" w:rsidRDefault="008203A8" w:rsidP="008203A8">
      <w:pPr>
        <w:tabs>
          <w:tab w:val="left" w:pos="851"/>
        </w:tabs>
        <w:ind w:left="851"/>
        <w:rPr>
          <w:sz w:val="24"/>
          <w:szCs w:val="24"/>
        </w:rPr>
      </w:pPr>
    </w:p>
    <w:p w14:paraId="14B7F78D" w14:textId="77777777" w:rsidR="008203A8" w:rsidRPr="00D85C42" w:rsidRDefault="008203A8" w:rsidP="008203A8">
      <w:pPr>
        <w:ind w:left="851" w:hanging="851"/>
        <w:rPr>
          <w:b/>
          <w:sz w:val="24"/>
          <w:szCs w:val="24"/>
        </w:rPr>
      </w:pPr>
      <w:r w:rsidRPr="00D85C42">
        <w:rPr>
          <w:b/>
          <w:sz w:val="24"/>
          <w:szCs w:val="24"/>
        </w:rPr>
        <w:t>5.1</w:t>
      </w:r>
      <w:r w:rsidRPr="00D85C42">
        <w:rPr>
          <w:b/>
          <w:sz w:val="24"/>
          <w:szCs w:val="24"/>
        </w:rPr>
        <w:tab/>
        <w:t>Væsentlige uforligeligheder</w:t>
      </w:r>
    </w:p>
    <w:p w14:paraId="770A5D01" w14:textId="77777777" w:rsidR="00E57569" w:rsidRPr="00D85C42" w:rsidRDefault="00E57569" w:rsidP="00355FDF">
      <w:pPr>
        <w:ind w:left="851"/>
        <w:rPr>
          <w:sz w:val="24"/>
          <w:szCs w:val="24"/>
        </w:rPr>
      </w:pPr>
      <w:r w:rsidRPr="00D85C42">
        <w:rPr>
          <w:sz w:val="24"/>
          <w:szCs w:val="24"/>
        </w:rPr>
        <w:t>Da der ikke er undersøgelser vedrørende eventuelle uforligeligheder, må dette veterinærlægemiddel ikke blandes med andre veterinærlægemidler.</w:t>
      </w:r>
    </w:p>
    <w:p w14:paraId="5BB56C30" w14:textId="77777777" w:rsidR="008203A8" w:rsidRPr="00D85C42" w:rsidRDefault="008203A8" w:rsidP="008203A8">
      <w:pPr>
        <w:tabs>
          <w:tab w:val="left" w:pos="851"/>
        </w:tabs>
        <w:ind w:left="851"/>
        <w:rPr>
          <w:sz w:val="24"/>
          <w:szCs w:val="24"/>
        </w:rPr>
      </w:pPr>
    </w:p>
    <w:p w14:paraId="5A0457C2" w14:textId="77777777" w:rsidR="008203A8" w:rsidRPr="00D85C42" w:rsidRDefault="008203A8" w:rsidP="008203A8">
      <w:pPr>
        <w:ind w:left="851" w:hanging="851"/>
        <w:rPr>
          <w:b/>
          <w:sz w:val="24"/>
          <w:szCs w:val="24"/>
        </w:rPr>
      </w:pPr>
      <w:r w:rsidRPr="00D85C42">
        <w:rPr>
          <w:b/>
          <w:sz w:val="24"/>
          <w:szCs w:val="24"/>
        </w:rPr>
        <w:t>5.2</w:t>
      </w:r>
      <w:r w:rsidRPr="00D85C42">
        <w:rPr>
          <w:b/>
          <w:sz w:val="24"/>
          <w:szCs w:val="24"/>
        </w:rPr>
        <w:tab/>
        <w:t>Opbevaringstid</w:t>
      </w:r>
    </w:p>
    <w:p w14:paraId="242D6037" w14:textId="77777777" w:rsidR="00E57569" w:rsidRPr="00D85C42" w:rsidRDefault="00E57569" w:rsidP="00355FDF">
      <w:pPr>
        <w:ind w:left="851"/>
        <w:rPr>
          <w:sz w:val="24"/>
          <w:szCs w:val="24"/>
        </w:rPr>
      </w:pPr>
      <w:r w:rsidRPr="00D85C42">
        <w:rPr>
          <w:sz w:val="24"/>
          <w:szCs w:val="24"/>
        </w:rPr>
        <w:t>Opbevaringstid for veterinærlægemidlet i salgspakning: 3 år.</w:t>
      </w:r>
    </w:p>
    <w:p w14:paraId="7BD0EE00" w14:textId="77777777" w:rsidR="00E57569" w:rsidRPr="00D85C42" w:rsidRDefault="00E57569" w:rsidP="00355FDF">
      <w:pPr>
        <w:ind w:left="851"/>
        <w:rPr>
          <w:sz w:val="24"/>
          <w:szCs w:val="24"/>
        </w:rPr>
      </w:pPr>
      <w:r w:rsidRPr="00D85C42">
        <w:rPr>
          <w:sz w:val="24"/>
          <w:szCs w:val="24"/>
        </w:rPr>
        <w:t>Opbevaringstid efter første åbning af den indre emballage: 28 dage.</w:t>
      </w:r>
    </w:p>
    <w:p w14:paraId="014BEE92" w14:textId="77777777" w:rsidR="008203A8" w:rsidRPr="00D85C42" w:rsidRDefault="008203A8" w:rsidP="008203A8">
      <w:pPr>
        <w:tabs>
          <w:tab w:val="left" w:pos="851"/>
        </w:tabs>
        <w:ind w:left="851"/>
        <w:rPr>
          <w:sz w:val="24"/>
          <w:szCs w:val="24"/>
        </w:rPr>
      </w:pPr>
    </w:p>
    <w:p w14:paraId="590C04AB" w14:textId="77777777" w:rsidR="008203A8" w:rsidRPr="00D85C42" w:rsidRDefault="008203A8" w:rsidP="008203A8">
      <w:pPr>
        <w:ind w:left="851" w:hanging="851"/>
        <w:rPr>
          <w:b/>
          <w:sz w:val="24"/>
          <w:szCs w:val="24"/>
        </w:rPr>
      </w:pPr>
      <w:r w:rsidRPr="00D85C42">
        <w:rPr>
          <w:b/>
          <w:sz w:val="24"/>
          <w:szCs w:val="24"/>
        </w:rPr>
        <w:t>5.3</w:t>
      </w:r>
      <w:r w:rsidRPr="00D85C42">
        <w:rPr>
          <w:b/>
          <w:sz w:val="24"/>
          <w:szCs w:val="24"/>
        </w:rPr>
        <w:tab/>
        <w:t>Særlige forholdsregler vedrørende opbevaring</w:t>
      </w:r>
    </w:p>
    <w:p w14:paraId="57357F80" w14:textId="77777777" w:rsidR="00E57569" w:rsidRPr="00D85C42" w:rsidRDefault="00E57569" w:rsidP="00355FDF">
      <w:pPr>
        <w:ind w:left="851"/>
        <w:rPr>
          <w:sz w:val="24"/>
          <w:szCs w:val="24"/>
        </w:rPr>
      </w:pPr>
      <w:r w:rsidRPr="00D85C42">
        <w:rPr>
          <w:sz w:val="24"/>
          <w:szCs w:val="24"/>
        </w:rPr>
        <w:t>Opbevar hætteglasset i den ydre æske for at beskytte mod lys.</w:t>
      </w:r>
    </w:p>
    <w:p w14:paraId="77140A81" w14:textId="77777777" w:rsidR="008203A8" w:rsidRPr="00D85C42" w:rsidRDefault="008203A8" w:rsidP="008203A8">
      <w:pPr>
        <w:tabs>
          <w:tab w:val="left" w:pos="851"/>
        </w:tabs>
        <w:ind w:left="851"/>
        <w:rPr>
          <w:sz w:val="24"/>
          <w:szCs w:val="24"/>
        </w:rPr>
      </w:pPr>
    </w:p>
    <w:p w14:paraId="56E3EC93" w14:textId="77777777" w:rsidR="008203A8" w:rsidRPr="00D85C42" w:rsidRDefault="008203A8" w:rsidP="008203A8">
      <w:pPr>
        <w:ind w:left="851" w:hanging="851"/>
        <w:rPr>
          <w:b/>
          <w:sz w:val="24"/>
          <w:szCs w:val="24"/>
        </w:rPr>
      </w:pPr>
      <w:r w:rsidRPr="00D85C42">
        <w:rPr>
          <w:b/>
          <w:sz w:val="24"/>
          <w:szCs w:val="24"/>
        </w:rPr>
        <w:t>5.4</w:t>
      </w:r>
      <w:r w:rsidRPr="00D85C42">
        <w:rPr>
          <w:b/>
          <w:sz w:val="24"/>
          <w:szCs w:val="24"/>
        </w:rPr>
        <w:tab/>
        <w:t>Den indre emballages art og indhold</w:t>
      </w:r>
    </w:p>
    <w:p w14:paraId="001CA52E" w14:textId="77777777" w:rsidR="00E57569" w:rsidRPr="00D85C42" w:rsidRDefault="00E57569" w:rsidP="00EA6DA7">
      <w:pPr>
        <w:ind w:left="851"/>
        <w:rPr>
          <w:sz w:val="24"/>
          <w:szCs w:val="24"/>
        </w:rPr>
      </w:pPr>
      <w:r w:rsidRPr="00D85C42">
        <w:rPr>
          <w:sz w:val="24"/>
          <w:szCs w:val="24"/>
        </w:rPr>
        <w:t xml:space="preserve">Type II ravfarvede glasflasker, lukket med type I </w:t>
      </w:r>
      <w:proofErr w:type="spellStart"/>
      <w:r w:rsidRPr="00D85C42">
        <w:rPr>
          <w:sz w:val="24"/>
          <w:szCs w:val="24"/>
        </w:rPr>
        <w:t>brombutylpropper</w:t>
      </w:r>
      <w:proofErr w:type="spellEnd"/>
      <w:r w:rsidRPr="00D85C42">
        <w:rPr>
          <w:sz w:val="24"/>
          <w:szCs w:val="24"/>
        </w:rPr>
        <w:t xml:space="preserve"> og flip-</w:t>
      </w:r>
      <w:proofErr w:type="spellStart"/>
      <w:r w:rsidRPr="00D85C42">
        <w:rPr>
          <w:sz w:val="24"/>
          <w:szCs w:val="24"/>
        </w:rPr>
        <w:t>off</w:t>
      </w:r>
      <w:proofErr w:type="spellEnd"/>
      <w:r w:rsidRPr="00D85C42">
        <w:rPr>
          <w:sz w:val="24"/>
          <w:szCs w:val="24"/>
        </w:rPr>
        <w:t xml:space="preserve"> kapsler af aluminium.</w:t>
      </w:r>
    </w:p>
    <w:p w14:paraId="65F99207" w14:textId="77777777" w:rsidR="00E57569" w:rsidRPr="00D85C42" w:rsidRDefault="00E57569" w:rsidP="00EA6DA7">
      <w:pPr>
        <w:ind w:left="851"/>
        <w:rPr>
          <w:sz w:val="24"/>
          <w:szCs w:val="24"/>
        </w:rPr>
      </w:pPr>
      <w:r w:rsidRPr="00D85C42">
        <w:rPr>
          <w:sz w:val="24"/>
          <w:szCs w:val="24"/>
        </w:rPr>
        <w:t xml:space="preserve">Ravfarvede polypropylen (PP) flasker, lukket med type I </w:t>
      </w:r>
      <w:proofErr w:type="spellStart"/>
      <w:r w:rsidRPr="00D85C42">
        <w:rPr>
          <w:sz w:val="24"/>
          <w:szCs w:val="24"/>
        </w:rPr>
        <w:t>brombutylpropper</w:t>
      </w:r>
      <w:proofErr w:type="spellEnd"/>
      <w:r w:rsidRPr="00D85C42">
        <w:rPr>
          <w:sz w:val="24"/>
          <w:szCs w:val="24"/>
        </w:rPr>
        <w:t xml:space="preserve"> og flip-</w:t>
      </w:r>
      <w:proofErr w:type="spellStart"/>
      <w:r w:rsidRPr="00D85C42">
        <w:rPr>
          <w:sz w:val="24"/>
          <w:szCs w:val="24"/>
        </w:rPr>
        <w:t>off</w:t>
      </w:r>
      <w:proofErr w:type="spellEnd"/>
      <w:r w:rsidRPr="00D85C42">
        <w:rPr>
          <w:sz w:val="24"/>
          <w:szCs w:val="24"/>
        </w:rPr>
        <w:t xml:space="preserve"> kapsler af aluminium.</w:t>
      </w:r>
    </w:p>
    <w:p w14:paraId="7887314F" w14:textId="77777777" w:rsidR="00A378A1" w:rsidRDefault="00A378A1" w:rsidP="00EA6DA7">
      <w:pPr>
        <w:ind w:left="851"/>
        <w:rPr>
          <w:sz w:val="24"/>
          <w:szCs w:val="24"/>
          <w:u w:val="single"/>
        </w:rPr>
      </w:pPr>
    </w:p>
    <w:p w14:paraId="404E910C" w14:textId="21232DCA" w:rsidR="00E57569" w:rsidRPr="00D85C42" w:rsidRDefault="00E57569" w:rsidP="00EA6DA7">
      <w:pPr>
        <w:ind w:left="851"/>
        <w:rPr>
          <w:sz w:val="24"/>
          <w:szCs w:val="24"/>
          <w:u w:val="single"/>
        </w:rPr>
      </w:pPr>
      <w:r w:rsidRPr="00D85C42">
        <w:rPr>
          <w:sz w:val="24"/>
          <w:szCs w:val="24"/>
          <w:u w:val="single"/>
        </w:rPr>
        <w:t>Pakningsstørrelse</w:t>
      </w:r>
      <w:r w:rsidR="00CE507A">
        <w:rPr>
          <w:sz w:val="24"/>
          <w:szCs w:val="24"/>
          <w:u w:val="single"/>
        </w:rPr>
        <w:t>r</w:t>
      </w:r>
      <w:r w:rsidRPr="00D85C42">
        <w:rPr>
          <w:sz w:val="24"/>
          <w:szCs w:val="24"/>
          <w:u w:val="single"/>
        </w:rPr>
        <w:t>:</w:t>
      </w:r>
    </w:p>
    <w:p w14:paraId="211F48A3" w14:textId="77777777" w:rsidR="00E57569" w:rsidRPr="00A378A1" w:rsidRDefault="00E57569" w:rsidP="00EA6DA7">
      <w:pPr>
        <w:pStyle w:val="Listeafsnit"/>
        <w:numPr>
          <w:ilvl w:val="0"/>
          <w:numId w:val="10"/>
        </w:numPr>
        <w:tabs>
          <w:tab w:val="clear" w:pos="567"/>
        </w:tabs>
        <w:spacing w:line="240" w:lineRule="auto"/>
        <w:ind w:left="1276" w:hanging="425"/>
        <w:rPr>
          <w:sz w:val="24"/>
          <w:szCs w:val="24"/>
        </w:rPr>
      </w:pPr>
      <w:r w:rsidRPr="00A378A1">
        <w:rPr>
          <w:sz w:val="24"/>
          <w:szCs w:val="24"/>
        </w:rPr>
        <w:t>Papkasse med 1 glasflaske på 100 ml</w:t>
      </w:r>
    </w:p>
    <w:p w14:paraId="48324F6F" w14:textId="77777777" w:rsidR="00E57569" w:rsidRPr="00A378A1" w:rsidRDefault="00E57569" w:rsidP="00EA6DA7">
      <w:pPr>
        <w:pStyle w:val="Listeafsnit"/>
        <w:numPr>
          <w:ilvl w:val="0"/>
          <w:numId w:val="10"/>
        </w:numPr>
        <w:tabs>
          <w:tab w:val="clear" w:pos="567"/>
        </w:tabs>
        <w:spacing w:line="240" w:lineRule="auto"/>
        <w:ind w:left="1276" w:hanging="425"/>
        <w:rPr>
          <w:sz w:val="24"/>
          <w:szCs w:val="24"/>
        </w:rPr>
      </w:pPr>
      <w:r w:rsidRPr="00A378A1">
        <w:rPr>
          <w:sz w:val="24"/>
          <w:szCs w:val="24"/>
        </w:rPr>
        <w:t>Papkasse med 1 glasflaske på 250 ml</w:t>
      </w:r>
    </w:p>
    <w:p w14:paraId="4D1E3455" w14:textId="77777777" w:rsidR="00E57569" w:rsidRPr="00A378A1" w:rsidRDefault="00E57569" w:rsidP="00EA6DA7">
      <w:pPr>
        <w:pStyle w:val="Listeafsnit"/>
        <w:numPr>
          <w:ilvl w:val="0"/>
          <w:numId w:val="10"/>
        </w:numPr>
        <w:tabs>
          <w:tab w:val="clear" w:pos="567"/>
        </w:tabs>
        <w:spacing w:line="240" w:lineRule="auto"/>
        <w:ind w:left="1276" w:hanging="425"/>
        <w:rPr>
          <w:sz w:val="24"/>
          <w:szCs w:val="24"/>
        </w:rPr>
      </w:pPr>
      <w:r w:rsidRPr="00A378A1">
        <w:rPr>
          <w:sz w:val="24"/>
          <w:szCs w:val="24"/>
        </w:rPr>
        <w:t>Papkasse med 1 PP-flaske på 100 ml</w:t>
      </w:r>
    </w:p>
    <w:p w14:paraId="1ACA8702" w14:textId="77777777" w:rsidR="00E57569" w:rsidRPr="00A378A1" w:rsidRDefault="00E57569" w:rsidP="00EA6DA7">
      <w:pPr>
        <w:pStyle w:val="Listeafsnit"/>
        <w:numPr>
          <w:ilvl w:val="0"/>
          <w:numId w:val="10"/>
        </w:numPr>
        <w:tabs>
          <w:tab w:val="clear" w:pos="567"/>
        </w:tabs>
        <w:spacing w:line="240" w:lineRule="auto"/>
        <w:ind w:left="1276" w:hanging="425"/>
        <w:rPr>
          <w:sz w:val="24"/>
          <w:szCs w:val="24"/>
        </w:rPr>
      </w:pPr>
      <w:r w:rsidRPr="00A378A1">
        <w:rPr>
          <w:sz w:val="24"/>
          <w:szCs w:val="24"/>
        </w:rPr>
        <w:t>Papkasse med 1 PP-flaske på 250 ml</w:t>
      </w:r>
    </w:p>
    <w:p w14:paraId="2096E5E9" w14:textId="77777777" w:rsidR="00A378A1" w:rsidRDefault="00A378A1" w:rsidP="00EA6DA7">
      <w:pPr>
        <w:ind w:left="851"/>
        <w:rPr>
          <w:sz w:val="24"/>
          <w:szCs w:val="24"/>
        </w:rPr>
      </w:pPr>
    </w:p>
    <w:p w14:paraId="27CC956A" w14:textId="757B91D7" w:rsidR="00E57569" w:rsidRPr="00D85C42" w:rsidRDefault="00E57569" w:rsidP="00EA6DA7">
      <w:pPr>
        <w:ind w:left="851"/>
        <w:rPr>
          <w:sz w:val="24"/>
          <w:szCs w:val="24"/>
        </w:rPr>
      </w:pPr>
      <w:r w:rsidRPr="00D85C42">
        <w:rPr>
          <w:sz w:val="24"/>
          <w:szCs w:val="24"/>
        </w:rPr>
        <w:t>Ikke alle pakningsstørrelser er nødvendigvis markedsført.</w:t>
      </w:r>
    </w:p>
    <w:p w14:paraId="38690D66" w14:textId="77777777" w:rsidR="008203A8" w:rsidRPr="00D85C42" w:rsidRDefault="008203A8" w:rsidP="008203A8">
      <w:pPr>
        <w:tabs>
          <w:tab w:val="left" w:pos="851"/>
        </w:tabs>
        <w:ind w:left="851"/>
        <w:rPr>
          <w:sz w:val="24"/>
          <w:szCs w:val="24"/>
        </w:rPr>
      </w:pPr>
    </w:p>
    <w:p w14:paraId="3133E470" w14:textId="77777777" w:rsidR="008203A8" w:rsidRPr="00D85C42" w:rsidRDefault="008203A8" w:rsidP="008203A8">
      <w:pPr>
        <w:tabs>
          <w:tab w:val="left" w:pos="851"/>
        </w:tabs>
        <w:ind w:left="851" w:hanging="851"/>
        <w:rPr>
          <w:sz w:val="24"/>
          <w:szCs w:val="24"/>
        </w:rPr>
      </w:pPr>
      <w:r w:rsidRPr="00D85C42">
        <w:rPr>
          <w:b/>
          <w:sz w:val="24"/>
          <w:szCs w:val="24"/>
        </w:rPr>
        <w:t>5.5</w:t>
      </w:r>
      <w:r w:rsidRPr="00D85C42">
        <w:rPr>
          <w:b/>
          <w:sz w:val="24"/>
          <w:szCs w:val="24"/>
        </w:rPr>
        <w:tab/>
        <w:t>Særlige forholdsregler vedrørende bortskaffelse af ubrugte veterinærlægemidler eller affaldsmaterialer fra brugen heraf</w:t>
      </w:r>
    </w:p>
    <w:p w14:paraId="24BA2F63" w14:textId="77777777" w:rsidR="00E57569" w:rsidRPr="00D85C42" w:rsidRDefault="00E57569" w:rsidP="00355FDF">
      <w:pPr>
        <w:ind w:left="851"/>
        <w:rPr>
          <w:sz w:val="24"/>
          <w:szCs w:val="24"/>
        </w:rPr>
      </w:pPr>
      <w:r w:rsidRPr="00D85C42">
        <w:rPr>
          <w:sz w:val="24"/>
          <w:szCs w:val="24"/>
        </w:rPr>
        <w:t>Lægemidler må ikke bortskaffes sammen med spildevand eller husholdningsaffald.</w:t>
      </w:r>
    </w:p>
    <w:p w14:paraId="15B8A3F0" w14:textId="77777777" w:rsidR="00E57569" w:rsidRPr="00D85C42" w:rsidRDefault="00E57569" w:rsidP="00355FDF">
      <w:pPr>
        <w:ind w:left="851"/>
        <w:rPr>
          <w:sz w:val="24"/>
          <w:szCs w:val="24"/>
        </w:rPr>
      </w:pPr>
    </w:p>
    <w:p w14:paraId="6775DFCA" w14:textId="77777777" w:rsidR="00E57569" w:rsidRPr="00D85C42" w:rsidRDefault="00E57569" w:rsidP="00355FDF">
      <w:pPr>
        <w:ind w:left="851"/>
        <w:rPr>
          <w:sz w:val="24"/>
          <w:szCs w:val="24"/>
        </w:rPr>
      </w:pPr>
      <w:r w:rsidRPr="00D85C42">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29CB6F76" w14:textId="77777777" w:rsidR="008203A8" w:rsidRPr="00D85C42" w:rsidRDefault="008203A8" w:rsidP="008203A8">
      <w:pPr>
        <w:tabs>
          <w:tab w:val="left" w:pos="851"/>
        </w:tabs>
        <w:ind w:left="851"/>
        <w:rPr>
          <w:sz w:val="24"/>
          <w:szCs w:val="24"/>
        </w:rPr>
      </w:pPr>
    </w:p>
    <w:p w14:paraId="7C7FCEBE" w14:textId="77777777" w:rsidR="008203A8" w:rsidRPr="00D85C42" w:rsidRDefault="008203A8" w:rsidP="008203A8">
      <w:pPr>
        <w:tabs>
          <w:tab w:val="left" w:pos="851"/>
        </w:tabs>
        <w:ind w:left="851" w:hanging="851"/>
        <w:rPr>
          <w:b/>
          <w:sz w:val="24"/>
          <w:szCs w:val="24"/>
        </w:rPr>
      </w:pPr>
      <w:r w:rsidRPr="00D85C42">
        <w:rPr>
          <w:b/>
          <w:sz w:val="24"/>
          <w:szCs w:val="24"/>
        </w:rPr>
        <w:t>6.</w:t>
      </w:r>
      <w:r w:rsidRPr="00D85C42">
        <w:rPr>
          <w:b/>
          <w:sz w:val="24"/>
          <w:szCs w:val="24"/>
        </w:rPr>
        <w:tab/>
        <w:t>NAVN PÅ INDEHAVEREN AF MARKEDSFØRINGSTILLADELSEN</w:t>
      </w:r>
    </w:p>
    <w:p w14:paraId="758756B5" w14:textId="77777777" w:rsidR="00E57569" w:rsidRPr="00D85C42" w:rsidRDefault="00E57569" w:rsidP="00355FDF">
      <w:pPr>
        <w:ind w:left="851"/>
        <w:rPr>
          <w:sz w:val="24"/>
          <w:szCs w:val="24"/>
        </w:rPr>
      </w:pPr>
      <w:r w:rsidRPr="00D85C42">
        <w:rPr>
          <w:sz w:val="24"/>
          <w:szCs w:val="24"/>
        </w:rPr>
        <w:t>CENAVISA, S.L.</w:t>
      </w:r>
    </w:p>
    <w:p w14:paraId="10DCF6D3" w14:textId="77777777" w:rsidR="00355FDF" w:rsidRPr="00475769" w:rsidRDefault="00355FDF" w:rsidP="00355FDF">
      <w:pPr>
        <w:ind w:left="851"/>
        <w:rPr>
          <w:iCs/>
          <w:sz w:val="24"/>
          <w:szCs w:val="24"/>
        </w:rPr>
      </w:pPr>
      <w:r w:rsidRPr="00475769">
        <w:rPr>
          <w:iCs/>
          <w:sz w:val="24"/>
          <w:szCs w:val="24"/>
        </w:rPr>
        <w:t xml:space="preserve">Calle Dels </w:t>
      </w:r>
      <w:proofErr w:type="spellStart"/>
      <w:r w:rsidRPr="00475769">
        <w:rPr>
          <w:iCs/>
          <w:sz w:val="24"/>
          <w:szCs w:val="24"/>
        </w:rPr>
        <w:t>Boters</w:t>
      </w:r>
      <w:proofErr w:type="spellEnd"/>
      <w:r w:rsidRPr="00475769">
        <w:rPr>
          <w:iCs/>
          <w:sz w:val="24"/>
          <w:szCs w:val="24"/>
        </w:rPr>
        <w:t xml:space="preserve"> 4</w:t>
      </w:r>
    </w:p>
    <w:p w14:paraId="4A2D8598" w14:textId="23E12F36" w:rsidR="00E57569" w:rsidRPr="00D85C42" w:rsidRDefault="00E57569" w:rsidP="00355FDF">
      <w:pPr>
        <w:ind w:left="851"/>
        <w:rPr>
          <w:iCs/>
          <w:sz w:val="24"/>
          <w:szCs w:val="24"/>
        </w:rPr>
      </w:pPr>
      <w:r w:rsidRPr="00D85C42">
        <w:rPr>
          <w:iCs/>
          <w:sz w:val="24"/>
          <w:szCs w:val="24"/>
        </w:rPr>
        <w:t xml:space="preserve">43205 Reus </w:t>
      </w:r>
    </w:p>
    <w:p w14:paraId="4F6AF4D4" w14:textId="77777777" w:rsidR="00E57569" w:rsidRPr="00D85C42" w:rsidRDefault="00E57569" w:rsidP="00355FDF">
      <w:pPr>
        <w:ind w:left="851"/>
        <w:rPr>
          <w:iCs/>
          <w:sz w:val="24"/>
          <w:szCs w:val="24"/>
        </w:rPr>
      </w:pPr>
      <w:r w:rsidRPr="00D85C42">
        <w:rPr>
          <w:iCs/>
          <w:sz w:val="24"/>
          <w:szCs w:val="24"/>
        </w:rPr>
        <w:t>Spanien</w:t>
      </w:r>
    </w:p>
    <w:p w14:paraId="654A6108" w14:textId="77777777" w:rsidR="008203A8" w:rsidRPr="00D85C42" w:rsidRDefault="008203A8" w:rsidP="008203A8">
      <w:pPr>
        <w:tabs>
          <w:tab w:val="left" w:pos="851"/>
        </w:tabs>
        <w:ind w:left="851"/>
        <w:rPr>
          <w:sz w:val="24"/>
          <w:szCs w:val="24"/>
        </w:rPr>
      </w:pPr>
    </w:p>
    <w:p w14:paraId="71796983" w14:textId="77777777" w:rsidR="008203A8" w:rsidRPr="00D85C42" w:rsidRDefault="008203A8" w:rsidP="008203A8">
      <w:pPr>
        <w:ind w:left="851" w:hanging="851"/>
        <w:rPr>
          <w:b/>
          <w:sz w:val="24"/>
          <w:szCs w:val="24"/>
        </w:rPr>
      </w:pPr>
      <w:r w:rsidRPr="00D85C42">
        <w:rPr>
          <w:b/>
          <w:sz w:val="24"/>
          <w:szCs w:val="24"/>
        </w:rPr>
        <w:t>7.</w:t>
      </w:r>
      <w:r w:rsidRPr="00D85C42">
        <w:rPr>
          <w:b/>
          <w:sz w:val="24"/>
          <w:szCs w:val="24"/>
        </w:rPr>
        <w:tab/>
        <w:t>MARKEDSFØRINGSTILLADELSESNUMMER (-NUMRE)</w:t>
      </w:r>
    </w:p>
    <w:p w14:paraId="59D1BF39" w14:textId="40020B51" w:rsidR="008203A8" w:rsidRPr="00D85C42" w:rsidRDefault="00E57569" w:rsidP="008203A8">
      <w:pPr>
        <w:tabs>
          <w:tab w:val="left" w:pos="851"/>
        </w:tabs>
        <w:ind w:left="851"/>
        <w:rPr>
          <w:sz w:val="24"/>
          <w:szCs w:val="24"/>
        </w:rPr>
      </w:pPr>
      <w:r w:rsidRPr="00D85C42">
        <w:rPr>
          <w:sz w:val="24"/>
          <w:szCs w:val="24"/>
        </w:rPr>
        <w:t>72544</w:t>
      </w:r>
    </w:p>
    <w:p w14:paraId="5EA1D8A1" w14:textId="77777777" w:rsidR="008203A8" w:rsidRPr="00D85C42" w:rsidRDefault="008203A8" w:rsidP="008203A8">
      <w:pPr>
        <w:tabs>
          <w:tab w:val="left" w:pos="851"/>
        </w:tabs>
        <w:ind w:left="851"/>
        <w:rPr>
          <w:sz w:val="24"/>
          <w:szCs w:val="24"/>
        </w:rPr>
      </w:pPr>
    </w:p>
    <w:p w14:paraId="02007A0D" w14:textId="77777777" w:rsidR="008203A8" w:rsidRPr="00D85C42" w:rsidRDefault="008203A8" w:rsidP="008203A8">
      <w:pPr>
        <w:tabs>
          <w:tab w:val="left" w:pos="851"/>
        </w:tabs>
        <w:ind w:left="851" w:hanging="851"/>
        <w:rPr>
          <w:b/>
          <w:sz w:val="24"/>
          <w:szCs w:val="24"/>
        </w:rPr>
      </w:pPr>
      <w:r w:rsidRPr="00D85C42">
        <w:rPr>
          <w:b/>
          <w:sz w:val="24"/>
          <w:szCs w:val="24"/>
        </w:rPr>
        <w:t>8.</w:t>
      </w:r>
      <w:r w:rsidRPr="00D85C42">
        <w:rPr>
          <w:b/>
          <w:sz w:val="24"/>
          <w:szCs w:val="24"/>
        </w:rPr>
        <w:tab/>
        <w:t>DATO FOR FØRSTE TILLADELSE</w:t>
      </w:r>
    </w:p>
    <w:p w14:paraId="6756E4DD" w14:textId="0FB146C4" w:rsidR="008203A8" w:rsidRPr="00D85C42" w:rsidRDefault="00475769" w:rsidP="008203A8">
      <w:pPr>
        <w:tabs>
          <w:tab w:val="left" w:pos="851"/>
        </w:tabs>
        <w:ind w:left="851"/>
        <w:rPr>
          <w:sz w:val="24"/>
          <w:szCs w:val="24"/>
        </w:rPr>
      </w:pPr>
      <w:r>
        <w:rPr>
          <w:sz w:val="24"/>
          <w:szCs w:val="24"/>
        </w:rPr>
        <w:t>2. februar 2026</w:t>
      </w:r>
    </w:p>
    <w:p w14:paraId="0B96EF92" w14:textId="608FAC09" w:rsidR="007056CB" w:rsidRDefault="007056CB">
      <w:pPr>
        <w:rPr>
          <w:sz w:val="24"/>
          <w:szCs w:val="24"/>
        </w:rPr>
      </w:pPr>
      <w:r>
        <w:rPr>
          <w:sz w:val="24"/>
          <w:szCs w:val="24"/>
        </w:rPr>
        <w:br w:type="page"/>
      </w:r>
    </w:p>
    <w:p w14:paraId="02C7CDE8" w14:textId="77777777" w:rsidR="008203A8" w:rsidRPr="00D85C42" w:rsidRDefault="008203A8" w:rsidP="008203A8">
      <w:pPr>
        <w:tabs>
          <w:tab w:val="left" w:pos="851"/>
        </w:tabs>
        <w:ind w:left="851"/>
        <w:rPr>
          <w:sz w:val="24"/>
          <w:szCs w:val="24"/>
        </w:rPr>
      </w:pPr>
    </w:p>
    <w:p w14:paraId="38717321" w14:textId="77777777" w:rsidR="008203A8" w:rsidRPr="00D85C42" w:rsidRDefault="008203A8" w:rsidP="008203A8">
      <w:pPr>
        <w:tabs>
          <w:tab w:val="left" w:pos="851"/>
        </w:tabs>
        <w:ind w:left="851" w:hanging="851"/>
        <w:rPr>
          <w:b/>
          <w:sz w:val="24"/>
          <w:szCs w:val="24"/>
        </w:rPr>
      </w:pPr>
      <w:r w:rsidRPr="00D85C42">
        <w:rPr>
          <w:b/>
          <w:sz w:val="24"/>
          <w:szCs w:val="24"/>
        </w:rPr>
        <w:t>9.</w:t>
      </w:r>
      <w:r w:rsidRPr="00D85C42">
        <w:rPr>
          <w:b/>
          <w:sz w:val="24"/>
          <w:szCs w:val="24"/>
        </w:rPr>
        <w:tab/>
        <w:t>DATO FOR SENESTE ÆNDRING AF PRODUKTRESUMÉET</w:t>
      </w:r>
    </w:p>
    <w:p w14:paraId="735A9094" w14:textId="3A49AA2E" w:rsidR="008203A8" w:rsidRPr="00D85C42" w:rsidRDefault="00E57569" w:rsidP="008203A8">
      <w:pPr>
        <w:tabs>
          <w:tab w:val="left" w:pos="851"/>
        </w:tabs>
        <w:ind w:left="851"/>
        <w:rPr>
          <w:sz w:val="24"/>
          <w:szCs w:val="24"/>
        </w:rPr>
      </w:pPr>
      <w:r w:rsidRPr="00D85C42">
        <w:rPr>
          <w:sz w:val="24"/>
          <w:szCs w:val="24"/>
        </w:rPr>
        <w:t>-</w:t>
      </w:r>
    </w:p>
    <w:p w14:paraId="74696490" w14:textId="77777777" w:rsidR="008203A8" w:rsidRPr="00D85C42" w:rsidRDefault="008203A8" w:rsidP="008203A8">
      <w:pPr>
        <w:tabs>
          <w:tab w:val="left" w:pos="851"/>
        </w:tabs>
        <w:ind w:left="851"/>
        <w:rPr>
          <w:sz w:val="24"/>
          <w:szCs w:val="24"/>
        </w:rPr>
      </w:pPr>
    </w:p>
    <w:p w14:paraId="0A43F09C" w14:textId="77777777" w:rsidR="008203A8" w:rsidRPr="00D85C42" w:rsidRDefault="008203A8" w:rsidP="008203A8">
      <w:pPr>
        <w:tabs>
          <w:tab w:val="left" w:pos="851"/>
        </w:tabs>
        <w:ind w:left="851" w:hanging="851"/>
        <w:rPr>
          <w:b/>
          <w:sz w:val="24"/>
          <w:szCs w:val="24"/>
        </w:rPr>
      </w:pPr>
      <w:r w:rsidRPr="00D85C42">
        <w:rPr>
          <w:b/>
          <w:sz w:val="24"/>
          <w:szCs w:val="24"/>
        </w:rPr>
        <w:t>10.</w:t>
      </w:r>
      <w:r w:rsidRPr="00D85C42">
        <w:rPr>
          <w:b/>
          <w:sz w:val="24"/>
          <w:szCs w:val="24"/>
        </w:rPr>
        <w:tab/>
        <w:t>KLASSIFICERING AF VETERINÆRLÆGEMIDLER</w:t>
      </w:r>
    </w:p>
    <w:p w14:paraId="505646D1" w14:textId="5029A98F" w:rsidR="00E57569" w:rsidRPr="00D85C42" w:rsidRDefault="00E57569" w:rsidP="00355FDF">
      <w:pPr>
        <w:ind w:left="851"/>
        <w:rPr>
          <w:sz w:val="24"/>
          <w:szCs w:val="24"/>
        </w:rPr>
      </w:pPr>
      <w:r w:rsidRPr="00D85C42">
        <w:rPr>
          <w:sz w:val="24"/>
          <w:szCs w:val="24"/>
        </w:rPr>
        <w:t>BP</w:t>
      </w:r>
    </w:p>
    <w:p w14:paraId="18E7A754" w14:textId="77777777" w:rsidR="00E57569" w:rsidRPr="00D85C42" w:rsidRDefault="00E57569" w:rsidP="00355FDF">
      <w:pPr>
        <w:ind w:left="851"/>
        <w:rPr>
          <w:sz w:val="24"/>
          <w:szCs w:val="24"/>
        </w:rPr>
      </w:pPr>
    </w:p>
    <w:p w14:paraId="0A0B0E78" w14:textId="37E691D9" w:rsidR="00E57569" w:rsidRPr="00D85C42" w:rsidRDefault="00E57569" w:rsidP="00355FDF">
      <w:pPr>
        <w:ind w:left="851"/>
        <w:rPr>
          <w:sz w:val="24"/>
          <w:szCs w:val="24"/>
        </w:rPr>
      </w:pPr>
      <w:bookmarkStart w:id="3" w:name="_Hlk73467306"/>
      <w:r w:rsidRPr="00D85C42">
        <w:rPr>
          <w:sz w:val="24"/>
          <w:szCs w:val="24"/>
        </w:rPr>
        <w:t>Der findes detaljerede oplysninger om dette veterinærlægemiddel i EU-lægemiddel</w:t>
      </w:r>
      <w:r w:rsidR="00A378A1">
        <w:rPr>
          <w:sz w:val="24"/>
          <w:szCs w:val="24"/>
        </w:rPr>
        <w:softHyphen/>
      </w:r>
      <w:r w:rsidRPr="00D85C42">
        <w:rPr>
          <w:sz w:val="24"/>
          <w:szCs w:val="24"/>
        </w:rPr>
        <w:t>databasen (</w:t>
      </w:r>
      <w:hyperlink r:id="rId9" w:history="1">
        <w:r w:rsidRPr="00D85C42">
          <w:rPr>
            <w:rStyle w:val="Hyperlink"/>
            <w:color w:val="0070C0"/>
            <w:sz w:val="24"/>
            <w:szCs w:val="24"/>
          </w:rPr>
          <w:t>https://medicines.health.europa.eu/veterinary</w:t>
        </w:r>
      </w:hyperlink>
      <w:r w:rsidRPr="00D85C42">
        <w:rPr>
          <w:sz w:val="24"/>
          <w:szCs w:val="24"/>
        </w:rPr>
        <w:t>).</w:t>
      </w:r>
    </w:p>
    <w:bookmarkEnd w:id="3"/>
    <w:sectPr w:rsidR="00E57569" w:rsidRPr="00D85C42" w:rsidSect="00C479BF">
      <w:headerReference w:type="default"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6567C" w14:textId="77777777" w:rsidR="00F012F4" w:rsidRDefault="00F012F4">
      <w:r>
        <w:separator/>
      </w:r>
    </w:p>
  </w:endnote>
  <w:endnote w:type="continuationSeparator" w:id="0">
    <w:p w14:paraId="1C1247DC" w14:textId="77777777" w:rsidR="00F012F4" w:rsidRDefault="00F0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F34A8" w14:textId="77777777" w:rsidR="004A62CC" w:rsidRDefault="004A62CC">
    <w:pPr>
      <w:pStyle w:val="Sidefod"/>
      <w:pBdr>
        <w:bottom w:val="single" w:sz="6" w:space="1" w:color="auto"/>
      </w:pBdr>
      <w:tabs>
        <w:tab w:val="clear" w:pos="4819"/>
        <w:tab w:val="left" w:pos="8647"/>
      </w:tabs>
      <w:rPr>
        <w:i/>
        <w:snapToGrid w:val="0"/>
        <w:sz w:val="18"/>
      </w:rPr>
    </w:pPr>
  </w:p>
  <w:p w14:paraId="2433BC6B" w14:textId="77777777" w:rsidR="004A62CC" w:rsidRDefault="004A62CC">
    <w:pPr>
      <w:pStyle w:val="Sidefod"/>
      <w:tabs>
        <w:tab w:val="clear" w:pos="4819"/>
        <w:tab w:val="left" w:pos="8647"/>
      </w:tabs>
      <w:rPr>
        <w:i/>
        <w:snapToGrid w:val="0"/>
        <w:sz w:val="18"/>
      </w:rPr>
    </w:pPr>
  </w:p>
  <w:p w14:paraId="6FD00EDD" w14:textId="7418E559"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4B6409">
      <w:rPr>
        <w:i/>
        <w:noProof/>
        <w:snapToGrid w:val="0"/>
        <w:sz w:val="18"/>
      </w:rPr>
      <w:t>Doliven, injektionsvæske, opløsning 150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895A" w14:textId="77777777" w:rsidR="004A62CC" w:rsidRDefault="004A62CC">
    <w:pPr>
      <w:pStyle w:val="Sidefod"/>
      <w:pBdr>
        <w:bottom w:val="single" w:sz="6" w:space="1" w:color="auto"/>
      </w:pBdr>
      <w:tabs>
        <w:tab w:val="clear" w:pos="4819"/>
        <w:tab w:val="left" w:pos="8647"/>
      </w:tabs>
      <w:rPr>
        <w:i/>
        <w:snapToGrid w:val="0"/>
        <w:sz w:val="18"/>
      </w:rPr>
    </w:pPr>
  </w:p>
  <w:p w14:paraId="0AA01877" w14:textId="77777777" w:rsidR="004A62CC" w:rsidRDefault="004A62CC">
    <w:pPr>
      <w:pStyle w:val="Sidefod"/>
      <w:tabs>
        <w:tab w:val="clear" w:pos="4819"/>
        <w:tab w:val="left" w:pos="8647"/>
      </w:tabs>
      <w:rPr>
        <w:i/>
        <w:snapToGrid w:val="0"/>
        <w:sz w:val="18"/>
      </w:rPr>
    </w:pPr>
  </w:p>
  <w:p w14:paraId="3AD74DBF" w14:textId="3C89ED2E"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4B6409">
      <w:rPr>
        <w:i/>
        <w:noProof/>
        <w:snapToGrid w:val="0"/>
        <w:sz w:val="18"/>
      </w:rPr>
      <w:t>Doliven, injektionsvæske, opløsning 150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AC647" w14:textId="77777777" w:rsidR="00F012F4" w:rsidRDefault="00F012F4">
      <w:r>
        <w:separator/>
      </w:r>
    </w:p>
  </w:footnote>
  <w:footnote w:type="continuationSeparator" w:id="0">
    <w:p w14:paraId="1E5A19D6" w14:textId="77777777" w:rsidR="00F012F4" w:rsidRDefault="00F01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B23B"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9CC51"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82A"/>
    <w:multiLevelType w:val="hybridMultilevel"/>
    <w:tmpl w:val="73F86224"/>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BAC0DC4"/>
    <w:multiLevelType w:val="hybridMultilevel"/>
    <w:tmpl w:val="9F74CF20"/>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1E7306"/>
    <w:multiLevelType w:val="hybridMultilevel"/>
    <w:tmpl w:val="124AE0FE"/>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7FE66C0"/>
    <w:multiLevelType w:val="hybridMultilevel"/>
    <w:tmpl w:val="3216C6F4"/>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767F2B53"/>
    <w:multiLevelType w:val="hybridMultilevel"/>
    <w:tmpl w:val="5F22FE76"/>
    <w:lvl w:ilvl="0" w:tplc="FFFFFFFF">
      <w:start w:val="1"/>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790C1193"/>
    <w:multiLevelType w:val="hybridMultilevel"/>
    <w:tmpl w:val="56A681BA"/>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8"/>
  </w:num>
  <w:num w:numId="6">
    <w:abstractNumId w:val="0"/>
  </w:num>
  <w:num w:numId="7">
    <w:abstractNumId w:val="0"/>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F4"/>
    <w:rsid w:val="000241E8"/>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40679"/>
    <w:rsid w:val="00355FDF"/>
    <w:rsid w:val="00371CA6"/>
    <w:rsid w:val="003E4B6F"/>
    <w:rsid w:val="00406EE7"/>
    <w:rsid w:val="00407013"/>
    <w:rsid w:val="00412537"/>
    <w:rsid w:val="00415D7C"/>
    <w:rsid w:val="00417225"/>
    <w:rsid w:val="00451FEF"/>
    <w:rsid w:val="00475769"/>
    <w:rsid w:val="004A62CC"/>
    <w:rsid w:val="004B6409"/>
    <w:rsid w:val="004C733C"/>
    <w:rsid w:val="00514C36"/>
    <w:rsid w:val="00565A74"/>
    <w:rsid w:val="00574F7A"/>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056CB"/>
    <w:rsid w:val="0071651B"/>
    <w:rsid w:val="00734E54"/>
    <w:rsid w:val="00750478"/>
    <w:rsid w:val="00751513"/>
    <w:rsid w:val="007564C7"/>
    <w:rsid w:val="00776C2C"/>
    <w:rsid w:val="00781329"/>
    <w:rsid w:val="007975F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D66C6"/>
    <w:rsid w:val="009E300C"/>
    <w:rsid w:val="009E5184"/>
    <w:rsid w:val="009F1F5E"/>
    <w:rsid w:val="00A31E52"/>
    <w:rsid w:val="00A378A1"/>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E507A"/>
    <w:rsid w:val="00CF75B4"/>
    <w:rsid w:val="00D10EE1"/>
    <w:rsid w:val="00D14DBC"/>
    <w:rsid w:val="00D85C42"/>
    <w:rsid w:val="00D87E2B"/>
    <w:rsid w:val="00D910BA"/>
    <w:rsid w:val="00D96D04"/>
    <w:rsid w:val="00DD6D71"/>
    <w:rsid w:val="00DF32BE"/>
    <w:rsid w:val="00E11F88"/>
    <w:rsid w:val="00E14F0A"/>
    <w:rsid w:val="00E321D6"/>
    <w:rsid w:val="00E323FB"/>
    <w:rsid w:val="00E57569"/>
    <w:rsid w:val="00E61E78"/>
    <w:rsid w:val="00E84DC6"/>
    <w:rsid w:val="00EA6DA7"/>
    <w:rsid w:val="00EB5778"/>
    <w:rsid w:val="00EE14EA"/>
    <w:rsid w:val="00EE5253"/>
    <w:rsid w:val="00EF3C59"/>
    <w:rsid w:val="00F012F4"/>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E378B"/>
  <w15:chartTrackingRefBased/>
  <w15:docId w15:val="{25566074-4449-43A2-A593-CF491EDC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paragraph" w:customStyle="1" w:styleId="Style1">
    <w:name w:val="Style1"/>
    <w:basedOn w:val="Normal"/>
    <w:qFormat/>
    <w:rsid w:val="00E57569"/>
    <w:pPr>
      <w:tabs>
        <w:tab w:val="left" w:pos="0"/>
      </w:tabs>
      <w:ind w:left="567" w:hanging="567"/>
    </w:pPr>
    <w:rPr>
      <w:b/>
      <w:sz w:val="22"/>
      <w:szCs w:val="22"/>
    </w:rPr>
  </w:style>
  <w:style w:type="paragraph" w:styleId="Listeafsnit">
    <w:name w:val="List Paragraph"/>
    <w:basedOn w:val="Normal"/>
    <w:uiPriority w:val="34"/>
    <w:qFormat/>
    <w:rsid w:val="00E57569"/>
    <w:pPr>
      <w:tabs>
        <w:tab w:val="left" w:pos="567"/>
      </w:tabs>
      <w:spacing w:line="260" w:lineRule="exact"/>
      <w:ind w:left="720"/>
      <w:contextualSpacing/>
    </w:pPr>
    <w:rPr>
      <w:sz w:val="22"/>
    </w:rPr>
  </w:style>
  <w:style w:type="character" w:styleId="Hyperlink">
    <w:name w:val="Hyperlink"/>
    <w:semiHidden/>
    <w:unhideWhenUsed/>
    <w:rsid w:val="00E57569"/>
    <w:rPr>
      <w:color w:val="0000FF"/>
      <w:u w:val="single"/>
    </w:rPr>
  </w:style>
  <w:style w:type="paragraph" w:customStyle="1" w:styleId="Style5">
    <w:name w:val="Style5"/>
    <w:basedOn w:val="Normal"/>
    <w:qFormat/>
    <w:rsid w:val="00E57569"/>
    <w:pPr>
      <w:numPr>
        <w:ilvl w:val="12"/>
      </w:numP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85003464">
      <w:bodyDiv w:val="1"/>
      <w:marLeft w:val="0"/>
      <w:marRight w:val="0"/>
      <w:marTop w:val="0"/>
      <w:marBottom w:val="0"/>
      <w:divBdr>
        <w:top w:val="none" w:sz="0" w:space="0" w:color="auto"/>
        <w:left w:val="none" w:sz="0" w:space="0" w:color="auto"/>
        <w:bottom w:val="none" w:sz="0" w:space="0" w:color="auto"/>
        <w:right w:val="none" w:sz="0" w:space="0" w:color="auto"/>
      </w:divBdr>
    </w:div>
    <w:div w:id="137650364">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326639369">
      <w:bodyDiv w:val="1"/>
      <w:marLeft w:val="0"/>
      <w:marRight w:val="0"/>
      <w:marTop w:val="0"/>
      <w:marBottom w:val="0"/>
      <w:divBdr>
        <w:top w:val="none" w:sz="0" w:space="0" w:color="auto"/>
        <w:left w:val="none" w:sz="0" w:space="0" w:color="auto"/>
        <w:bottom w:val="none" w:sz="0" w:space="0" w:color="auto"/>
        <w:right w:val="none" w:sz="0" w:space="0" w:color="auto"/>
      </w:divBdr>
    </w:div>
    <w:div w:id="410081768">
      <w:bodyDiv w:val="1"/>
      <w:marLeft w:val="0"/>
      <w:marRight w:val="0"/>
      <w:marTop w:val="0"/>
      <w:marBottom w:val="0"/>
      <w:divBdr>
        <w:top w:val="none" w:sz="0" w:space="0" w:color="auto"/>
        <w:left w:val="none" w:sz="0" w:space="0" w:color="auto"/>
        <w:bottom w:val="none" w:sz="0" w:space="0" w:color="auto"/>
        <w:right w:val="none" w:sz="0" w:space="0" w:color="auto"/>
      </w:divBdr>
    </w:div>
    <w:div w:id="416483007">
      <w:bodyDiv w:val="1"/>
      <w:marLeft w:val="0"/>
      <w:marRight w:val="0"/>
      <w:marTop w:val="0"/>
      <w:marBottom w:val="0"/>
      <w:divBdr>
        <w:top w:val="none" w:sz="0" w:space="0" w:color="auto"/>
        <w:left w:val="none" w:sz="0" w:space="0" w:color="auto"/>
        <w:bottom w:val="none" w:sz="0" w:space="0" w:color="auto"/>
        <w:right w:val="none" w:sz="0" w:space="0" w:color="auto"/>
      </w:divBdr>
    </w:div>
    <w:div w:id="475996554">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74362631">
      <w:bodyDiv w:val="1"/>
      <w:marLeft w:val="0"/>
      <w:marRight w:val="0"/>
      <w:marTop w:val="0"/>
      <w:marBottom w:val="0"/>
      <w:divBdr>
        <w:top w:val="none" w:sz="0" w:space="0" w:color="auto"/>
        <w:left w:val="none" w:sz="0" w:space="0" w:color="auto"/>
        <w:bottom w:val="none" w:sz="0" w:space="0" w:color="auto"/>
        <w:right w:val="none" w:sz="0" w:space="0" w:color="auto"/>
      </w:divBdr>
    </w:div>
    <w:div w:id="586618682">
      <w:bodyDiv w:val="1"/>
      <w:marLeft w:val="0"/>
      <w:marRight w:val="0"/>
      <w:marTop w:val="0"/>
      <w:marBottom w:val="0"/>
      <w:divBdr>
        <w:top w:val="none" w:sz="0" w:space="0" w:color="auto"/>
        <w:left w:val="none" w:sz="0" w:space="0" w:color="auto"/>
        <w:bottom w:val="none" w:sz="0" w:space="0" w:color="auto"/>
        <w:right w:val="none" w:sz="0" w:space="0" w:color="auto"/>
      </w:divBdr>
    </w:div>
    <w:div w:id="604461312">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1005084875">
      <w:bodyDiv w:val="1"/>
      <w:marLeft w:val="0"/>
      <w:marRight w:val="0"/>
      <w:marTop w:val="0"/>
      <w:marBottom w:val="0"/>
      <w:divBdr>
        <w:top w:val="none" w:sz="0" w:space="0" w:color="auto"/>
        <w:left w:val="none" w:sz="0" w:space="0" w:color="auto"/>
        <w:bottom w:val="none" w:sz="0" w:space="0" w:color="auto"/>
        <w:right w:val="none" w:sz="0" w:space="0" w:color="auto"/>
      </w:divBdr>
    </w:div>
    <w:div w:id="1067343989">
      <w:bodyDiv w:val="1"/>
      <w:marLeft w:val="0"/>
      <w:marRight w:val="0"/>
      <w:marTop w:val="0"/>
      <w:marBottom w:val="0"/>
      <w:divBdr>
        <w:top w:val="none" w:sz="0" w:space="0" w:color="auto"/>
        <w:left w:val="none" w:sz="0" w:space="0" w:color="auto"/>
        <w:bottom w:val="none" w:sz="0" w:space="0" w:color="auto"/>
        <w:right w:val="none" w:sz="0" w:space="0" w:color="auto"/>
      </w:divBdr>
    </w:div>
    <w:div w:id="1081635895">
      <w:bodyDiv w:val="1"/>
      <w:marLeft w:val="0"/>
      <w:marRight w:val="0"/>
      <w:marTop w:val="0"/>
      <w:marBottom w:val="0"/>
      <w:divBdr>
        <w:top w:val="none" w:sz="0" w:space="0" w:color="auto"/>
        <w:left w:val="none" w:sz="0" w:space="0" w:color="auto"/>
        <w:bottom w:val="none" w:sz="0" w:space="0" w:color="auto"/>
        <w:right w:val="none" w:sz="0" w:space="0" w:color="auto"/>
      </w:divBdr>
    </w:div>
    <w:div w:id="1114443107">
      <w:bodyDiv w:val="1"/>
      <w:marLeft w:val="0"/>
      <w:marRight w:val="0"/>
      <w:marTop w:val="0"/>
      <w:marBottom w:val="0"/>
      <w:divBdr>
        <w:top w:val="none" w:sz="0" w:space="0" w:color="auto"/>
        <w:left w:val="none" w:sz="0" w:space="0" w:color="auto"/>
        <w:bottom w:val="none" w:sz="0" w:space="0" w:color="auto"/>
        <w:right w:val="none" w:sz="0" w:space="0" w:color="auto"/>
      </w:divBdr>
    </w:div>
    <w:div w:id="1131746177">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47687673">
      <w:bodyDiv w:val="1"/>
      <w:marLeft w:val="0"/>
      <w:marRight w:val="0"/>
      <w:marTop w:val="0"/>
      <w:marBottom w:val="0"/>
      <w:divBdr>
        <w:top w:val="none" w:sz="0" w:space="0" w:color="auto"/>
        <w:left w:val="none" w:sz="0" w:space="0" w:color="auto"/>
        <w:bottom w:val="none" w:sz="0" w:space="0" w:color="auto"/>
        <w:right w:val="none" w:sz="0" w:space="0" w:color="auto"/>
      </w:divBdr>
    </w:div>
    <w:div w:id="1355421475">
      <w:bodyDiv w:val="1"/>
      <w:marLeft w:val="0"/>
      <w:marRight w:val="0"/>
      <w:marTop w:val="0"/>
      <w:marBottom w:val="0"/>
      <w:divBdr>
        <w:top w:val="none" w:sz="0" w:space="0" w:color="auto"/>
        <w:left w:val="none" w:sz="0" w:space="0" w:color="auto"/>
        <w:bottom w:val="none" w:sz="0" w:space="0" w:color="auto"/>
        <w:right w:val="none" w:sz="0" w:space="0" w:color="auto"/>
      </w:divBdr>
    </w:div>
    <w:div w:id="1389912555">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714887408">
      <w:bodyDiv w:val="1"/>
      <w:marLeft w:val="0"/>
      <w:marRight w:val="0"/>
      <w:marTop w:val="0"/>
      <w:marBottom w:val="0"/>
      <w:divBdr>
        <w:top w:val="none" w:sz="0" w:space="0" w:color="auto"/>
        <w:left w:val="none" w:sz="0" w:space="0" w:color="auto"/>
        <w:bottom w:val="none" w:sz="0" w:space="0" w:color="auto"/>
        <w:right w:val="none" w:sz="0" w:space="0" w:color="auto"/>
      </w:divBdr>
    </w:div>
    <w:div w:id="1762948934">
      <w:bodyDiv w:val="1"/>
      <w:marLeft w:val="0"/>
      <w:marRight w:val="0"/>
      <w:marTop w:val="0"/>
      <w:marBottom w:val="0"/>
      <w:divBdr>
        <w:top w:val="none" w:sz="0" w:space="0" w:color="auto"/>
        <w:left w:val="none" w:sz="0" w:space="0" w:color="auto"/>
        <w:bottom w:val="none" w:sz="0" w:space="0" w:color="auto"/>
        <w:right w:val="none" w:sz="0" w:space="0" w:color="auto"/>
      </w:divBdr>
    </w:div>
    <w:div w:id="1790197918">
      <w:bodyDiv w:val="1"/>
      <w:marLeft w:val="0"/>
      <w:marRight w:val="0"/>
      <w:marTop w:val="0"/>
      <w:marBottom w:val="0"/>
      <w:divBdr>
        <w:top w:val="none" w:sz="0" w:space="0" w:color="auto"/>
        <w:left w:val="none" w:sz="0" w:space="0" w:color="auto"/>
        <w:bottom w:val="none" w:sz="0" w:space="0" w:color="auto"/>
        <w:right w:val="none" w:sz="0" w:space="0" w:color="auto"/>
      </w:divBdr>
    </w:div>
    <w:div w:id="1827235548">
      <w:bodyDiv w:val="1"/>
      <w:marLeft w:val="0"/>
      <w:marRight w:val="0"/>
      <w:marTop w:val="0"/>
      <w:marBottom w:val="0"/>
      <w:divBdr>
        <w:top w:val="none" w:sz="0" w:space="0" w:color="auto"/>
        <w:left w:val="none" w:sz="0" w:space="0" w:color="auto"/>
        <w:bottom w:val="none" w:sz="0" w:space="0" w:color="auto"/>
        <w:right w:val="none" w:sz="0" w:space="0" w:color="auto"/>
      </w:divBdr>
    </w:div>
    <w:div w:id="1950548477">
      <w:bodyDiv w:val="1"/>
      <w:marLeft w:val="0"/>
      <w:marRight w:val="0"/>
      <w:marTop w:val="0"/>
      <w:marBottom w:val="0"/>
      <w:divBdr>
        <w:top w:val="none" w:sz="0" w:space="0" w:color="auto"/>
        <w:left w:val="none" w:sz="0" w:space="0" w:color="auto"/>
        <w:bottom w:val="none" w:sz="0" w:space="0" w:color="auto"/>
        <w:right w:val="none" w:sz="0" w:space="0" w:color="auto"/>
      </w:divBdr>
    </w:div>
    <w:div w:id="1952778636">
      <w:bodyDiv w:val="1"/>
      <w:marLeft w:val="0"/>
      <w:marRight w:val="0"/>
      <w:marTop w:val="0"/>
      <w:marBottom w:val="0"/>
      <w:divBdr>
        <w:top w:val="none" w:sz="0" w:space="0" w:color="auto"/>
        <w:left w:val="none" w:sz="0" w:space="0" w:color="auto"/>
        <w:bottom w:val="none" w:sz="0" w:space="0" w:color="auto"/>
        <w:right w:val="none" w:sz="0" w:space="0" w:color="auto"/>
      </w:divBdr>
    </w:div>
    <w:div w:id="1973249095">
      <w:bodyDiv w:val="1"/>
      <w:marLeft w:val="0"/>
      <w:marRight w:val="0"/>
      <w:marTop w:val="0"/>
      <w:marBottom w:val="0"/>
      <w:divBdr>
        <w:top w:val="none" w:sz="0" w:space="0" w:color="auto"/>
        <w:left w:val="none" w:sz="0" w:space="0" w:color="auto"/>
        <w:bottom w:val="none" w:sz="0" w:space="0" w:color="auto"/>
        <w:right w:val="none" w:sz="0" w:space="0" w:color="auto"/>
      </w:divBdr>
    </w:div>
    <w:div w:id="19787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cines.health.europa.eu/veterinar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117</TotalTime>
  <Pages>8</Pages>
  <Words>1935</Words>
  <Characters>13089</Characters>
  <Application>Microsoft Office Word</Application>
  <DocSecurity>0</DocSecurity>
  <Lines>109</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2024094107, MT</dc:description>
  <cp:lastModifiedBy>Gitte Jørgensen</cp:lastModifiedBy>
  <cp:revision>12</cp:revision>
  <cp:lastPrinted>2022-05-18T14:03:00Z</cp:lastPrinted>
  <dcterms:created xsi:type="dcterms:W3CDTF">2026-01-30T10:20:00Z</dcterms:created>
  <dcterms:modified xsi:type="dcterms:W3CDTF">2026-02-02T13:45:00Z</dcterms:modified>
</cp:coreProperties>
</file>