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52" w:rsidRPr="008F49E1" w:rsidRDefault="00297E52" w:rsidP="00297E52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5324C246" wp14:editId="443DD949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52" w:rsidRDefault="00297E52" w:rsidP="00297E52">
      <w:pPr>
        <w:rPr>
          <w:sz w:val="24"/>
          <w:szCs w:val="24"/>
        </w:rPr>
      </w:pPr>
    </w:p>
    <w:p w:rsidR="00297E52" w:rsidRPr="00406EE7" w:rsidRDefault="00297E52" w:rsidP="00297E52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A5A33">
        <w:rPr>
          <w:b/>
          <w:sz w:val="24"/>
          <w:szCs w:val="24"/>
        </w:rPr>
        <w:t>9. august 2022</w:t>
      </w:r>
    </w:p>
    <w:p w:rsidR="00297E52" w:rsidRPr="00406EE7" w:rsidRDefault="00297E52" w:rsidP="00297E52">
      <w:pPr>
        <w:rPr>
          <w:sz w:val="24"/>
          <w:szCs w:val="24"/>
        </w:rPr>
      </w:pPr>
    </w:p>
    <w:p w:rsidR="00297E52" w:rsidRDefault="00297E52" w:rsidP="00297E52">
      <w:pPr>
        <w:rPr>
          <w:sz w:val="24"/>
          <w:szCs w:val="24"/>
        </w:rPr>
      </w:pPr>
    </w:p>
    <w:p w:rsidR="00297E52" w:rsidRPr="00406EE7" w:rsidRDefault="00297E52" w:rsidP="00297E52">
      <w:pPr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297E52" w:rsidRPr="00406EE7" w:rsidRDefault="00297E52" w:rsidP="00297E5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297E52" w:rsidRPr="00406EE7" w:rsidRDefault="00297E52" w:rsidP="00297E5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97E52" w:rsidRPr="00565A74" w:rsidRDefault="00297E52" w:rsidP="00297E5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Doxycare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tabletter</w:t>
      </w:r>
    </w:p>
    <w:p w:rsidR="00297E52" w:rsidRPr="00406EE7" w:rsidRDefault="00297E52" w:rsidP="00297E52">
      <w:pPr>
        <w:tabs>
          <w:tab w:val="left" w:pos="8222"/>
        </w:tabs>
        <w:jc w:val="both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jc w:val="both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31189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Doxycare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297E52" w:rsidRPr="00AF54ED" w:rsidRDefault="00297E52" w:rsidP="00297E52">
      <w:pPr>
        <w:ind w:left="851"/>
        <w:rPr>
          <w:sz w:val="24"/>
          <w:szCs w:val="24"/>
        </w:rPr>
      </w:pPr>
      <w:r w:rsidRPr="00AF54ED">
        <w:rPr>
          <w:sz w:val="24"/>
          <w:szCs w:val="24"/>
        </w:rPr>
        <w:t>Hver tablet indeholder:</w:t>
      </w:r>
    </w:p>
    <w:p w:rsidR="00297E52" w:rsidRPr="002C2A86" w:rsidRDefault="00297E52" w:rsidP="00621F7A">
      <w:pPr>
        <w:ind w:left="851"/>
        <w:rPr>
          <w:sz w:val="24"/>
          <w:szCs w:val="24"/>
        </w:rPr>
      </w:pPr>
    </w:p>
    <w:p w:rsidR="00621F7A" w:rsidRPr="002C2A86" w:rsidRDefault="00621F7A" w:rsidP="00621F7A">
      <w:pPr>
        <w:tabs>
          <w:tab w:val="left" w:pos="567"/>
        </w:tabs>
        <w:ind w:left="851"/>
        <w:rPr>
          <w:bCs/>
          <w:iCs/>
          <w:sz w:val="24"/>
          <w:szCs w:val="24"/>
        </w:rPr>
      </w:pPr>
      <w:r w:rsidRPr="002C2A86">
        <w:rPr>
          <w:b/>
          <w:iCs/>
          <w:sz w:val="24"/>
          <w:szCs w:val="24"/>
        </w:rPr>
        <w:t>Aktivt stof</w:t>
      </w:r>
      <w:r w:rsidRPr="002C2A86">
        <w:rPr>
          <w:bCs/>
          <w:iCs/>
          <w:sz w:val="24"/>
          <w:szCs w:val="24"/>
        </w:rPr>
        <w:t>:</w:t>
      </w:r>
    </w:p>
    <w:p w:rsidR="00621F7A" w:rsidRPr="002C2A86" w:rsidRDefault="00621F7A" w:rsidP="00621F7A">
      <w:pPr>
        <w:tabs>
          <w:tab w:val="left" w:pos="567"/>
        </w:tabs>
        <w:ind w:left="851"/>
        <w:rPr>
          <w:bCs/>
          <w:iCs/>
          <w:sz w:val="24"/>
          <w:szCs w:val="24"/>
        </w:rPr>
      </w:pPr>
      <w:proofErr w:type="spellStart"/>
      <w:r w:rsidRPr="002C2A86">
        <w:rPr>
          <w:bCs/>
          <w:iCs/>
          <w:sz w:val="24"/>
          <w:szCs w:val="24"/>
        </w:rPr>
        <w:t>Doxycyklin</w:t>
      </w:r>
      <w:proofErr w:type="spellEnd"/>
      <w:r w:rsidRPr="002C2A86">
        <w:rPr>
          <w:bCs/>
          <w:iCs/>
          <w:sz w:val="24"/>
          <w:szCs w:val="24"/>
        </w:rPr>
        <w:t xml:space="preserve"> 40 mg (svarende til 47,88 mg </w:t>
      </w:r>
      <w:proofErr w:type="spellStart"/>
      <w:r w:rsidRPr="002C2A86">
        <w:rPr>
          <w:bCs/>
          <w:iCs/>
          <w:sz w:val="24"/>
          <w:szCs w:val="24"/>
        </w:rPr>
        <w:t>doxycyklinhyclat</w:t>
      </w:r>
      <w:proofErr w:type="spellEnd"/>
      <w:r w:rsidRPr="002C2A86">
        <w:rPr>
          <w:bCs/>
          <w:iCs/>
          <w:sz w:val="24"/>
          <w:szCs w:val="24"/>
        </w:rPr>
        <w:t>)</w:t>
      </w:r>
    </w:p>
    <w:p w:rsidR="00621F7A" w:rsidRPr="002C2A86" w:rsidRDefault="00621F7A" w:rsidP="00621F7A">
      <w:pPr>
        <w:tabs>
          <w:tab w:val="left" w:pos="567"/>
        </w:tabs>
        <w:ind w:left="851"/>
        <w:rPr>
          <w:bCs/>
          <w:iCs/>
          <w:sz w:val="24"/>
          <w:szCs w:val="24"/>
        </w:rPr>
      </w:pPr>
    </w:p>
    <w:p w:rsidR="00621F7A" w:rsidRPr="002C2A86" w:rsidRDefault="00621F7A" w:rsidP="00621F7A">
      <w:pPr>
        <w:tabs>
          <w:tab w:val="left" w:pos="567"/>
        </w:tabs>
        <w:ind w:left="851"/>
        <w:rPr>
          <w:bCs/>
          <w:iCs/>
          <w:sz w:val="24"/>
          <w:szCs w:val="24"/>
        </w:rPr>
      </w:pPr>
      <w:proofErr w:type="spellStart"/>
      <w:r w:rsidRPr="002C2A86">
        <w:rPr>
          <w:bCs/>
          <w:iCs/>
          <w:sz w:val="24"/>
          <w:szCs w:val="24"/>
        </w:rPr>
        <w:t>Doxycyklin</w:t>
      </w:r>
      <w:proofErr w:type="spellEnd"/>
      <w:r w:rsidRPr="002C2A86">
        <w:rPr>
          <w:bCs/>
          <w:iCs/>
          <w:sz w:val="24"/>
          <w:szCs w:val="24"/>
        </w:rPr>
        <w:t xml:space="preserve"> 200 mg (svarende til 239,40 mg </w:t>
      </w:r>
      <w:proofErr w:type="spellStart"/>
      <w:r w:rsidRPr="002C2A86">
        <w:rPr>
          <w:bCs/>
          <w:iCs/>
          <w:sz w:val="24"/>
          <w:szCs w:val="24"/>
        </w:rPr>
        <w:t>doxycyklinhyclat</w:t>
      </w:r>
      <w:proofErr w:type="spellEnd"/>
      <w:r w:rsidRPr="002C2A86">
        <w:rPr>
          <w:bCs/>
          <w:iCs/>
          <w:sz w:val="24"/>
          <w:szCs w:val="24"/>
        </w:rPr>
        <w:t>)</w:t>
      </w:r>
    </w:p>
    <w:p w:rsidR="00297E52" w:rsidRPr="002C2A86" w:rsidRDefault="00297E52" w:rsidP="00297E52">
      <w:pPr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567"/>
        </w:tabs>
        <w:ind w:left="851"/>
        <w:rPr>
          <w:sz w:val="24"/>
          <w:szCs w:val="24"/>
        </w:rPr>
      </w:pPr>
      <w:r w:rsidRPr="00AF54ED">
        <w:rPr>
          <w:sz w:val="24"/>
          <w:szCs w:val="24"/>
        </w:rPr>
        <w:t>Alle hjælpestoffer er anført under pkt. 6.1.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297E52" w:rsidRDefault="00297E52" w:rsidP="00297E52">
      <w:pPr>
        <w:ind w:left="851"/>
        <w:rPr>
          <w:rFonts w:cs="Arial"/>
          <w:sz w:val="24"/>
          <w:szCs w:val="24"/>
        </w:rPr>
      </w:pPr>
      <w:r w:rsidRPr="00AF54ED">
        <w:rPr>
          <w:rFonts w:cs="Arial"/>
          <w:sz w:val="24"/>
          <w:szCs w:val="24"/>
        </w:rPr>
        <w:t>Tablet</w:t>
      </w:r>
      <w:r>
        <w:rPr>
          <w:rFonts w:cs="Arial"/>
          <w:sz w:val="24"/>
          <w:szCs w:val="24"/>
        </w:rPr>
        <w:t>ter</w:t>
      </w:r>
    </w:p>
    <w:p w:rsidR="00297E52" w:rsidRPr="00AF54ED" w:rsidRDefault="00297E52" w:rsidP="00297E52">
      <w:pPr>
        <w:tabs>
          <w:tab w:val="left" w:pos="6804"/>
        </w:tabs>
        <w:ind w:left="851"/>
        <w:rPr>
          <w:rFonts w:cs="Arial"/>
          <w:sz w:val="24"/>
          <w:szCs w:val="24"/>
        </w:rPr>
      </w:pPr>
    </w:p>
    <w:p w:rsidR="00297E52" w:rsidRPr="002A1A1E" w:rsidRDefault="00297E52" w:rsidP="00297E52">
      <w:pPr>
        <w:ind w:left="851"/>
        <w:rPr>
          <w:rFonts w:cs="Arial"/>
          <w:bCs/>
          <w:sz w:val="24"/>
          <w:szCs w:val="24"/>
        </w:rPr>
      </w:pPr>
      <w:r w:rsidRPr="002A1A1E">
        <w:rPr>
          <w:rFonts w:cs="Arial"/>
          <w:bCs/>
          <w:sz w:val="24"/>
          <w:szCs w:val="24"/>
        </w:rPr>
        <w:t xml:space="preserve">Gullig, rund og konveks tablet med en korsformet </w:t>
      </w:r>
      <w:r>
        <w:rPr>
          <w:rFonts w:cs="Arial"/>
          <w:bCs/>
          <w:sz w:val="24"/>
          <w:szCs w:val="24"/>
        </w:rPr>
        <w:t>delekærv</w:t>
      </w:r>
      <w:r w:rsidRPr="002A1A1E">
        <w:rPr>
          <w:rFonts w:cs="Arial"/>
          <w:bCs/>
          <w:sz w:val="24"/>
          <w:szCs w:val="24"/>
        </w:rPr>
        <w:t xml:space="preserve"> på den ene side.</w:t>
      </w:r>
    </w:p>
    <w:p w:rsidR="00297E52" w:rsidRPr="00406EE7" w:rsidRDefault="00297E52" w:rsidP="00297E52">
      <w:pPr>
        <w:ind w:left="851"/>
        <w:rPr>
          <w:sz w:val="24"/>
          <w:szCs w:val="24"/>
        </w:rPr>
      </w:pPr>
      <w:r w:rsidRPr="00AF54ED">
        <w:rPr>
          <w:rFonts w:cs="Arial"/>
          <w:sz w:val="24"/>
          <w:szCs w:val="24"/>
        </w:rPr>
        <w:t>Tabletterne kan deles i 2 eller 4 lige store dele.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297E52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Kat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Hund</w:t>
      </w:r>
    </w:p>
    <w:p w:rsidR="00297E52" w:rsidRPr="00406EE7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2C2A86" w:rsidRPr="002C2A86" w:rsidRDefault="002C2A86" w:rsidP="002C2A86">
      <w:pPr>
        <w:ind w:left="851"/>
        <w:rPr>
          <w:bCs/>
          <w:sz w:val="24"/>
          <w:szCs w:val="24"/>
          <w:u w:val="single"/>
        </w:rPr>
      </w:pPr>
      <w:r w:rsidRPr="002C2A86">
        <w:rPr>
          <w:bCs/>
          <w:sz w:val="24"/>
          <w:szCs w:val="24"/>
          <w:u w:val="single"/>
        </w:rPr>
        <w:t>Hunde</w:t>
      </w:r>
    </w:p>
    <w:p w:rsidR="002C2A86" w:rsidRPr="002C2A86" w:rsidRDefault="002C2A86" w:rsidP="002C2A86">
      <w:pPr>
        <w:ind w:left="851"/>
        <w:rPr>
          <w:bCs/>
          <w:i/>
          <w:sz w:val="24"/>
          <w:szCs w:val="24"/>
        </w:rPr>
      </w:pPr>
      <w:r w:rsidRPr="002C2A86">
        <w:rPr>
          <w:bCs/>
          <w:sz w:val="24"/>
          <w:szCs w:val="24"/>
        </w:rPr>
        <w:t xml:space="preserve">Til behandling af infektioner i luftvejene, </w:t>
      </w:r>
      <w:r w:rsidRPr="002C2A86">
        <w:rPr>
          <w:sz w:val="24"/>
          <w:szCs w:val="24"/>
        </w:rPr>
        <w:t xml:space="preserve">herunder </w:t>
      </w:r>
      <w:proofErr w:type="spellStart"/>
      <w:r w:rsidRPr="002C2A86">
        <w:rPr>
          <w:sz w:val="24"/>
          <w:szCs w:val="24"/>
        </w:rPr>
        <w:t>rhinitis</w:t>
      </w:r>
      <w:proofErr w:type="spellEnd"/>
      <w:r w:rsidRPr="002C2A86">
        <w:rPr>
          <w:sz w:val="24"/>
          <w:szCs w:val="24"/>
        </w:rPr>
        <w:t xml:space="preserve">, </w:t>
      </w:r>
      <w:proofErr w:type="spellStart"/>
      <w:r w:rsidRPr="002C2A86">
        <w:rPr>
          <w:sz w:val="24"/>
          <w:szCs w:val="24"/>
        </w:rPr>
        <w:t>tonsillitis</w:t>
      </w:r>
      <w:proofErr w:type="spellEnd"/>
      <w:r w:rsidRPr="002C2A86">
        <w:rPr>
          <w:sz w:val="24"/>
          <w:szCs w:val="24"/>
        </w:rPr>
        <w:t xml:space="preserve"> og </w:t>
      </w:r>
      <w:proofErr w:type="spellStart"/>
      <w:r w:rsidRPr="002C2A86">
        <w:rPr>
          <w:sz w:val="24"/>
          <w:szCs w:val="24"/>
        </w:rPr>
        <w:t>bronkopneumoni</w:t>
      </w:r>
      <w:proofErr w:type="spellEnd"/>
      <w:r w:rsidRPr="002C2A86">
        <w:rPr>
          <w:sz w:val="24"/>
          <w:szCs w:val="24"/>
        </w:rPr>
        <w:t xml:space="preserve"> forårsaget af </w:t>
      </w:r>
      <w:proofErr w:type="spellStart"/>
      <w:r w:rsidRPr="002C2A86">
        <w:rPr>
          <w:i/>
          <w:sz w:val="24"/>
          <w:szCs w:val="24"/>
        </w:rPr>
        <w:t>Bordetella</w:t>
      </w:r>
      <w:proofErr w:type="spellEnd"/>
      <w:r w:rsidRPr="002C2A86">
        <w:rPr>
          <w:i/>
          <w:sz w:val="24"/>
          <w:szCs w:val="24"/>
        </w:rPr>
        <w:t xml:space="preserve"> </w:t>
      </w:r>
      <w:proofErr w:type="spellStart"/>
      <w:r w:rsidRPr="002C2A86">
        <w:rPr>
          <w:i/>
          <w:sz w:val="24"/>
          <w:szCs w:val="24"/>
        </w:rPr>
        <w:t>bronchiseptica</w:t>
      </w:r>
      <w:proofErr w:type="spellEnd"/>
      <w:r w:rsidRPr="002C2A86">
        <w:rPr>
          <w:sz w:val="24"/>
          <w:szCs w:val="24"/>
        </w:rPr>
        <w:t xml:space="preserve"> og </w:t>
      </w:r>
      <w:proofErr w:type="spellStart"/>
      <w:r w:rsidRPr="002C2A86">
        <w:rPr>
          <w:i/>
          <w:sz w:val="24"/>
          <w:szCs w:val="24"/>
        </w:rPr>
        <w:t>Pasteurella</w:t>
      </w:r>
      <w:proofErr w:type="spellEnd"/>
      <w:r w:rsidRPr="002C2A86">
        <w:rPr>
          <w:sz w:val="24"/>
          <w:szCs w:val="24"/>
        </w:rPr>
        <w:t xml:space="preserve"> </w:t>
      </w:r>
      <w:proofErr w:type="spellStart"/>
      <w:r w:rsidRPr="002C2A86">
        <w:rPr>
          <w:sz w:val="24"/>
          <w:szCs w:val="24"/>
        </w:rPr>
        <w:t>spp</w:t>
      </w:r>
      <w:proofErr w:type="spellEnd"/>
      <w:r w:rsidRPr="002C2A86">
        <w:rPr>
          <w:sz w:val="24"/>
          <w:szCs w:val="24"/>
        </w:rPr>
        <w:t xml:space="preserve">. følsomme for </w:t>
      </w:r>
      <w:proofErr w:type="spellStart"/>
      <w:r w:rsidRPr="002C2A86">
        <w:rPr>
          <w:sz w:val="24"/>
          <w:szCs w:val="24"/>
        </w:rPr>
        <w:t>doxycyklin</w:t>
      </w:r>
      <w:bookmarkStart w:id="1" w:name="_Hlk8650696"/>
      <w:proofErr w:type="spellEnd"/>
      <w:r w:rsidRPr="002C2A86">
        <w:rPr>
          <w:bCs/>
          <w:sz w:val="24"/>
          <w:szCs w:val="24"/>
        </w:rPr>
        <w:t>.</w:t>
      </w:r>
      <w:bookmarkEnd w:id="1"/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Behandling af</w:t>
      </w:r>
      <w:bookmarkStart w:id="2" w:name="_Hlk12018906"/>
      <w:r w:rsidRPr="002C2A86">
        <w:rPr>
          <w:bCs/>
          <w:sz w:val="24"/>
          <w:szCs w:val="24"/>
        </w:rPr>
        <w:t xml:space="preserve"> </w:t>
      </w:r>
      <w:bookmarkEnd w:id="2"/>
      <w:proofErr w:type="spellStart"/>
      <w:r w:rsidRPr="002C2A86">
        <w:rPr>
          <w:bCs/>
          <w:iCs/>
          <w:sz w:val="24"/>
          <w:szCs w:val="24"/>
        </w:rPr>
        <w:t>ehrlichiose</w:t>
      </w:r>
      <w:proofErr w:type="spellEnd"/>
      <w:r w:rsidRPr="002C2A86">
        <w:rPr>
          <w:bCs/>
          <w:i/>
          <w:sz w:val="24"/>
          <w:szCs w:val="24"/>
        </w:rPr>
        <w:t xml:space="preserve"> </w:t>
      </w:r>
      <w:r w:rsidRPr="002C2A86">
        <w:rPr>
          <w:bCs/>
          <w:sz w:val="24"/>
          <w:szCs w:val="24"/>
        </w:rPr>
        <w:t xml:space="preserve">forårsaget af </w:t>
      </w:r>
      <w:proofErr w:type="spellStart"/>
      <w:r w:rsidRPr="002C2A86">
        <w:rPr>
          <w:bCs/>
          <w:i/>
          <w:sz w:val="24"/>
          <w:szCs w:val="24"/>
        </w:rPr>
        <w:t>Ehrlichia</w:t>
      </w:r>
      <w:proofErr w:type="spellEnd"/>
      <w:r w:rsidRPr="002C2A86">
        <w:rPr>
          <w:bCs/>
          <w:i/>
          <w:sz w:val="24"/>
          <w:szCs w:val="24"/>
        </w:rPr>
        <w:t xml:space="preserve"> </w:t>
      </w:r>
      <w:proofErr w:type="spellStart"/>
      <w:r w:rsidRPr="002C2A86">
        <w:rPr>
          <w:bCs/>
          <w:i/>
          <w:sz w:val="24"/>
          <w:szCs w:val="24"/>
        </w:rPr>
        <w:t>canis</w:t>
      </w:r>
      <w:proofErr w:type="spellEnd"/>
      <w:r w:rsidRPr="002C2A86">
        <w:rPr>
          <w:bCs/>
          <w:sz w:val="24"/>
          <w:szCs w:val="24"/>
        </w:rPr>
        <w:t>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</w:p>
    <w:p w:rsidR="002C2A86" w:rsidRPr="002C2A86" w:rsidRDefault="002C2A86" w:rsidP="002C2A86">
      <w:pPr>
        <w:ind w:left="851"/>
        <w:rPr>
          <w:rFonts w:eastAsiaTheme="minorHAnsi"/>
          <w:sz w:val="24"/>
          <w:szCs w:val="24"/>
          <w:u w:val="single"/>
        </w:rPr>
      </w:pPr>
      <w:r w:rsidRPr="002C2A86">
        <w:rPr>
          <w:sz w:val="24"/>
          <w:szCs w:val="24"/>
          <w:u w:val="single"/>
        </w:rPr>
        <w:t>Katte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sz w:val="24"/>
          <w:szCs w:val="24"/>
        </w:rPr>
        <w:t xml:space="preserve">Til behandling af luftvejsinfektioner inklusive </w:t>
      </w:r>
      <w:proofErr w:type="spellStart"/>
      <w:r w:rsidRPr="002C2A86">
        <w:rPr>
          <w:sz w:val="24"/>
          <w:szCs w:val="24"/>
        </w:rPr>
        <w:t>rhinitis</w:t>
      </w:r>
      <w:proofErr w:type="spellEnd"/>
      <w:r w:rsidRPr="002C2A86">
        <w:rPr>
          <w:sz w:val="24"/>
          <w:szCs w:val="24"/>
        </w:rPr>
        <w:t xml:space="preserve">, </w:t>
      </w:r>
      <w:proofErr w:type="spellStart"/>
      <w:r w:rsidRPr="002C2A86">
        <w:rPr>
          <w:sz w:val="24"/>
          <w:szCs w:val="24"/>
        </w:rPr>
        <w:t>tonsillitis</w:t>
      </w:r>
      <w:proofErr w:type="spellEnd"/>
      <w:r w:rsidRPr="002C2A86">
        <w:rPr>
          <w:sz w:val="24"/>
          <w:szCs w:val="24"/>
        </w:rPr>
        <w:t xml:space="preserve"> og </w:t>
      </w:r>
      <w:proofErr w:type="spellStart"/>
      <w:r w:rsidRPr="002C2A86">
        <w:rPr>
          <w:sz w:val="24"/>
          <w:szCs w:val="24"/>
        </w:rPr>
        <w:t>bronkopneumoni</w:t>
      </w:r>
      <w:proofErr w:type="spellEnd"/>
      <w:r w:rsidRPr="002C2A86">
        <w:rPr>
          <w:sz w:val="24"/>
          <w:szCs w:val="24"/>
        </w:rPr>
        <w:t xml:space="preserve"> forårsaget af </w:t>
      </w:r>
      <w:proofErr w:type="spellStart"/>
      <w:r w:rsidRPr="002C2A86">
        <w:rPr>
          <w:i/>
          <w:iCs/>
          <w:sz w:val="24"/>
          <w:szCs w:val="24"/>
        </w:rPr>
        <w:t>Bordetella</w:t>
      </w:r>
      <w:proofErr w:type="spellEnd"/>
      <w:r w:rsidRPr="002C2A86">
        <w:rPr>
          <w:sz w:val="24"/>
          <w:szCs w:val="24"/>
        </w:rPr>
        <w:t xml:space="preserve"> </w:t>
      </w:r>
      <w:proofErr w:type="spellStart"/>
      <w:r w:rsidRPr="002C2A86">
        <w:rPr>
          <w:i/>
          <w:iCs/>
          <w:sz w:val="24"/>
          <w:szCs w:val="24"/>
        </w:rPr>
        <w:t>bronchiseptica</w:t>
      </w:r>
      <w:proofErr w:type="spellEnd"/>
      <w:r w:rsidRPr="002C2A86">
        <w:rPr>
          <w:sz w:val="24"/>
          <w:szCs w:val="24"/>
        </w:rPr>
        <w:t xml:space="preserve"> og </w:t>
      </w:r>
      <w:proofErr w:type="spellStart"/>
      <w:r w:rsidRPr="002C2A86">
        <w:rPr>
          <w:i/>
          <w:iCs/>
          <w:sz w:val="24"/>
          <w:szCs w:val="24"/>
        </w:rPr>
        <w:t>Pasteurella</w:t>
      </w:r>
      <w:proofErr w:type="spellEnd"/>
      <w:r w:rsidRPr="002C2A86">
        <w:rPr>
          <w:sz w:val="24"/>
          <w:szCs w:val="24"/>
        </w:rPr>
        <w:t xml:space="preserve"> </w:t>
      </w:r>
      <w:proofErr w:type="spellStart"/>
      <w:r w:rsidRPr="002C2A86">
        <w:rPr>
          <w:sz w:val="24"/>
          <w:szCs w:val="24"/>
        </w:rPr>
        <w:t>spp</w:t>
      </w:r>
      <w:proofErr w:type="spellEnd"/>
      <w:r w:rsidRPr="002C2A86">
        <w:rPr>
          <w:sz w:val="24"/>
          <w:szCs w:val="24"/>
        </w:rPr>
        <w:t xml:space="preserve">, følsomme for </w:t>
      </w:r>
      <w:proofErr w:type="spellStart"/>
      <w:r w:rsidRPr="002C2A86">
        <w:rPr>
          <w:sz w:val="24"/>
          <w:szCs w:val="24"/>
        </w:rPr>
        <w:t>doxycyklin</w:t>
      </w:r>
      <w:proofErr w:type="spellEnd"/>
      <w:r w:rsidRPr="002C2A86">
        <w:rPr>
          <w:sz w:val="24"/>
          <w:szCs w:val="24"/>
        </w:rPr>
        <w:t>.</w:t>
      </w:r>
    </w:p>
    <w:p w:rsidR="00297E52" w:rsidRPr="00406EE7" w:rsidRDefault="00297E52" w:rsidP="00297E5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297E52" w:rsidRPr="00406EE7" w:rsidRDefault="00297E52" w:rsidP="00297E52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sz w:val="24"/>
          <w:szCs w:val="24"/>
        </w:rPr>
        <w:t>Bør</w:t>
      </w:r>
      <w:r w:rsidRPr="002C2A86">
        <w:rPr>
          <w:bCs/>
          <w:sz w:val="24"/>
          <w:szCs w:val="24"/>
        </w:rPr>
        <w:t xml:space="preserve"> ikke anvendes i tilfælde af overfølsomhed over for det aktive indholdsstof eller over for et eller flere af hjælpestofferne.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sz w:val="24"/>
          <w:szCs w:val="24"/>
        </w:rPr>
        <w:t>Bør ikke anvendes til dyr med nyre- eller leverinsufficiens.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sz w:val="24"/>
          <w:szCs w:val="24"/>
        </w:rPr>
        <w:t xml:space="preserve">Må ikke anvendes til dyr med sygdomme forbundet med opkastning eller </w:t>
      </w:r>
      <w:proofErr w:type="spellStart"/>
      <w:r w:rsidRPr="002C2A86">
        <w:rPr>
          <w:sz w:val="24"/>
          <w:szCs w:val="24"/>
        </w:rPr>
        <w:t>dysfagi</w:t>
      </w:r>
      <w:proofErr w:type="spellEnd"/>
      <w:r w:rsidRPr="002C2A86">
        <w:rPr>
          <w:sz w:val="24"/>
          <w:szCs w:val="24"/>
        </w:rPr>
        <w:t xml:space="preserve"> (se også pkt. 4.6)</w:t>
      </w:r>
      <w:r w:rsidRPr="002C2A86">
        <w:rPr>
          <w:bCs/>
          <w:sz w:val="24"/>
          <w:szCs w:val="24"/>
        </w:rPr>
        <w:t>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sz w:val="24"/>
          <w:szCs w:val="24"/>
        </w:rPr>
        <w:t>Må ikke anvendes til dyr med kendt lysfølsomhed (se også pkt. 4.6)</w:t>
      </w:r>
      <w:r w:rsidRPr="002C2A86">
        <w:rPr>
          <w:bCs/>
          <w:sz w:val="24"/>
          <w:szCs w:val="24"/>
        </w:rPr>
        <w:t>.</w:t>
      </w:r>
    </w:p>
    <w:p w:rsidR="002C2A86" w:rsidRPr="002C2A86" w:rsidRDefault="002C2A86" w:rsidP="002C2A86">
      <w:pPr>
        <w:ind w:left="851"/>
        <w:rPr>
          <w:rFonts w:eastAsiaTheme="minorHAnsi"/>
          <w:sz w:val="24"/>
          <w:szCs w:val="24"/>
        </w:rPr>
      </w:pPr>
      <w:r w:rsidRPr="002C2A86">
        <w:rPr>
          <w:sz w:val="24"/>
          <w:szCs w:val="24"/>
        </w:rPr>
        <w:t>Må ikke bruges til hvalpe og killinger, før tændernes emaljedannelse er afsluttet.</w:t>
      </w:r>
    </w:p>
    <w:p w:rsidR="00297E52" w:rsidRPr="002C2A86" w:rsidRDefault="00297E52" w:rsidP="002C2A8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297E52" w:rsidRPr="00972CC0" w:rsidRDefault="002C2A86" w:rsidP="00297E52">
      <w:pPr>
        <w:pStyle w:val="Sidehoved"/>
        <w:tabs>
          <w:tab w:val="left" w:pos="8222"/>
        </w:tabs>
        <w:ind w:left="851"/>
        <w:rPr>
          <w:bCs/>
          <w:szCs w:val="24"/>
        </w:rPr>
      </w:pPr>
      <w:proofErr w:type="spellStart"/>
      <w:r>
        <w:rPr>
          <w:bCs/>
          <w:i/>
        </w:rPr>
        <w:t>Ehrlichia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canis</w:t>
      </w:r>
      <w:proofErr w:type="spellEnd"/>
      <w:r>
        <w:rPr>
          <w:bCs/>
        </w:rPr>
        <w:t xml:space="preserve">-infektion: Behandlingen bør påbegyndes ved indtræden af kliniske tegn. Fuldstændig udryddelse af </w:t>
      </w:r>
      <w:proofErr w:type="spellStart"/>
      <w:r>
        <w:rPr>
          <w:bCs/>
        </w:rPr>
        <w:t>patogenet</w:t>
      </w:r>
      <w:proofErr w:type="spellEnd"/>
      <w:r>
        <w:rPr>
          <w:bCs/>
        </w:rPr>
        <w:t xml:space="preserve"> opnås ikke altid, men behandling i 28 dage fører generelt til ophør af de kliniske tegn og en reduktion af bakteriemængden. En længere behandlingslængde, baseret på en vurdering af fordele/risici fra den ansvarlige dyrlæge, kan være påkrævet, især ved svær eller kronisk </w:t>
      </w:r>
      <w:proofErr w:type="spellStart"/>
      <w:r>
        <w:rPr>
          <w:bCs/>
        </w:rPr>
        <w:t>ehrlichiose</w:t>
      </w:r>
      <w:proofErr w:type="spellEnd"/>
      <w:r>
        <w:rPr>
          <w:bCs/>
        </w:rPr>
        <w:t>. Alle behandlede dyr bør overvåges regelmæssigt, selv efter klinisk helbredelse</w:t>
      </w:r>
    </w:p>
    <w:p w:rsidR="00297E52" w:rsidRPr="00406EE7" w:rsidRDefault="00297E52" w:rsidP="00297E5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297E52" w:rsidRPr="002374DA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  <w:u w:val="single"/>
        </w:rPr>
      </w:pPr>
      <w:r w:rsidRPr="002C2A86">
        <w:rPr>
          <w:bCs/>
          <w:sz w:val="24"/>
          <w:szCs w:val="24"/>
          <w:u w:val="single"/>
        </w:rPr>
        <w:t>Særlige forsigtighedsregler for dyret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 xml:space="preserve">Anvendelse af veterinærlægemidlet bør baseres på identifikation og følsomhedsbestemmelse for </w:t>
      </w:r>
      <w:proofErr w:type="spellStart"/>
      <w:r w:rsidRPr="002C2A86">
        <w:rPr>
          <w:bCs/>
          <w:iCs/>
          <w:sz w:val="24"/>
          <w:szCs w:val="24"/>
        </w:rPr>
        <w:t>målpatogenerne</w:t>
      </w:r>
      <w:proofErr w:type="spellEnd"/>
      <w:r w:rsidRPr="002C2A86">
        <w:rPr>
          <w:bCs/>
          <w:iCs/>
          <w:sz w:val="24"/>
          <w:szCs w:val="24"/>
        </w:rPr>
        <w:t xml:space="preserve">. Hvis dette ikke er muligt, bør behandlingen baseres på epidemiologisk information og viden om følsomheden af </w:t>
      </w:r>
      <w:proofErr w:type="spellStart"/>
      <w:r w:rsidRPr="002C2A86">
        <w:rPr>
          <w:bCs/>
          <w:iCs/>
          <w:sz w:val="24"/>
          <w:szCs w:val="24"/>
        </w:rPr>
        <w:t>målpatogenerne</w:t>
      </w:r>
      <w:proofErr w:type="spellEnd"/>
      <w:r w:rsidRPr="002C2A86">
        <w:rPr>
          <w:bCs/>
          <w:iCs/>
          <w:sz w:val="24"/>
          <w:szCs w:val="24"/>
        </w:rPr>
        <w:t xml:space="preserve"> på lokalt/regionalt niveau.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 xml:space="preserve">Anvendelse af veterinærlægemidlet afvigende fra instruktionerne givet i produktresuméet kan øge prævalensen af </w:t>
      </w:r>
      <w:proofErr w:type="spellStart"/>
      <w:r w:rsidRPr="002C2A86">
        <w:rPr>
          <w:bCs/>
          <w:iCs/>
          <w:sz w:val="24"/>
          <w:szCs w:val="24"/>
        </w:rPr>
        <w:t>doxycyklin</w:t>
      </w:r>
      <w:proofErr w:type="spellEnd"/>
      <w:r w:rsidRPr="002C2A86">
        <w:rPr>
          <w:bCs/>
          <w:iCs/>
          <w:sz w:val="24"/>
          <w:szCs w:val="24"/>
        </w:rPr>
        <w:t xml:space="preserve">-resistente bakterier og kan nedsætte effektiviteten af behandling med andre </w:t>
      </w:r>
      <w:proofErr w:type="spellStart"/>
      <w:r w:rsidRPr="002C2A86">
        <w:rPr>
          <w:bCs/>
          <w:iCs/>
          <w:sz w:val="24"/>
          <w:szCs w:val="24"/>
        </w:rPr>
        <w:t>tetracykliner</w:t>
      </w:r>
      <w:proofErr w:type="spellEnd"/>
      <w:r w:rsidRPr="002C2A86">
        <w:rPr>
          <w:bCs/>
          <w:iCs/>
          <w:sz w:val="24"/>
          <w:szCs w:val="24"/>
        </w:rPr>
        <w:t>, grundet risikoen for krydsresistens. Anvendelse af veterinærlægemidlet bør være i overensstemmelse med officielle, nationale og regionale antimikrobielle politikker.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 xml:space="preserve">Tabletter bør indgives sammen med mad for at undgå opkastning og for at reducere sandsynligheden for </w:t>
      </w:r>
      <w:proofErr w:type="spellStart"/>
      <w:r w:rsidRPr="002C2A86">
        <w:rPr>
          <w:bCs/>
          <w:iCs/>
          <w:sz w:val="24"/>
          <w:szCs w:val="24"/>
        </w:rPr>
        <w:t>øsofageal</w:t>
      </w:r>
      <w:proofErr w:type="spellEnd"/>
      <w:r w:rsidRPr="002C2A86">
        <w:rPr>
          <w:bCs/>
          <w:iCs/>
          <w:sz w:val="24"/>
          <w:szCs w:val="24"/>
        </w:rPr>
        <w:t xml:space="preserve"> irritation.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 xml:space="preserve">Produktet bør administreres med forsigtighed til unge dyr, da </w:t>
      </w:r>
      <w:proofErr w:type="spellStart"/>
      <w:r w:rsidRPr="002C2A86">
        <w:rPr>
          <w:bCs/>
          <w:iCs/>
          <w:sz w:val="24"/>
          <w:szCs w:val="24"/>
        </w:rPr>
        <w:t>tetracykliner</w:t>
      </w:r>
      <w:proofErr w:type="spellEnd"/>
      <w:r w:rsidRPr="002C2A86">
        <w:rPr>
          <w:bCs/>
          <w:iCs/>
          <w:sz w:val="24"/>
          <w:szCs w:val="24"/>
        </w:rPr>
        <w:t xml:space="preserve"> som en klasse kan medføre permanent misfarvning af tænderne, når de administreres under tandudviklingen. Human litteratur indikerer imidlertid, at </w:t>
      </w:r>
      <w:proofErr w:type="spellStart"/>
      <w:r w:rsidRPr="002C2A86">
        <w:rPr>
          <w:bCs/>
          <w:iCs/>
          <w:sz w:val="24"/>
          <w:szCs w:val="24"/>
        </w:rPr>
        <w:t>doxycyklin</w:t>
      </w:r>
      <w:proofErr w:type="spellEnd"/>
      <w:r w:rsidRPr="002C2A86">
        <w:rPr>
          <w:bCs/>
          <w:iCs/>
          <w:sz w:val="24"/>
          <w:szCs w:val="24"/>
        </w:rPr>
        <w:t xml:space="preserve"> har mindre sandsynlighed frem for andre </w:t>
      </w:r>
      <w:proofErr w:type="spellStart"/>
      <w:r w:rsidRPr="002C2A86">
        <w:rPr>
          <w:bCs/>
          <w:iCs/>
          <w:sz w:val="24"/>
          <w:szCs w:val="24"/>
        </w:rPr>
        <w:t>tetracykliner</w:t>
      </w:r>
      <w:proofErr w:type="spellEnd"/>
      <w:r w:rsidRPr="002C2A86">
        <w:rPr>
          <w:bCs/>
          <w:iCs/>
          <w:sz w:val="24"/>
          <w:szCs w:val="24"/>
        </w:rPr>
        <w:t xml:space="preserve"> for at medføre disse </w:t>
      </w:r>
      <w:proofErr w:type="spellStart"/>
      <w:r w:rsidRPr="002C2A86">
        <w:rPr>
          <w:bCs/>
          <w:iCs/>
          <w:sz w:val="24"/>
          <w:szCs w:val="24"/>
        </w:rPr>
        <w:t>abnormaliteter</w:t>
      </w:r>
      <w:proofErr w:type="spellEnd"/>
      <w:r w:rsidRPr="002C2A86">
        <w:rPr>
          <w:bCs/>
          <w:iCs/>
          <w:sz w:val="24"/>
          <w:szCs w:val="24"/>
        </w:rPr>
        <w:t xml:space="preserve">, grundet dets nedsatte evne til at </w:t>
      </w:r>
      <w:proofErr w:type="spellStart"/>
      <w:r w:rsidRPr="002C2A86">
        <w:rPr>
          <w:bCs/>
          <w:iCs/>
          <w:sz w:val="24"/>
          <w:szCs w:val="24"/>
        </w:rPr>
        <w:t>chelere</w:t>
      </w:r>
      <w:proofErr w:type="spellEnd"/>
      <w:r w:rsidRPr="002C2A86">
        <w:rPr>
          <w:bCs/>
          <w:iCs/>
          <w:sz w:val="24"/>
          <w:szCs w:val="24"/>
        </w:rPr>
        <w:t xml:space="preserve"> calcium.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  <w:u w:val="single"/>
        </w:rPr>
      </w:pPr>
      <w:r w:rsidRPr="002C2A86">
        <w:rPr>
          <w:bCs/>
          <w:sz w:val="24"/>
          <w:szCs w:val="24"/>
          <w:u w:val="single"/>
        </w:rPr>
        <w:t>Særlige forsigtighedsregler for personer, der administrer lægemidlet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 xml:space="preserve">Personer med kendt overfølsomhed over for </w:t>
      </w:r>
      <w:proofErr w:type="spellStart"/>
      <w:r w:rsidRPr="002C2A86">
        <w:rPr>
          <w:bCs/>
          <w:sz w:val="24"/>
          <w:szCs w:val="24"/>
        </w:rPr>
        <w:t>doxycyklin</w:t>
      </w:r>
      <w:proofErr w:type="spellEnd"/>
      <w:r w:rsidRPr="002C2A86">
        <w:rPr>
          <w:bCs/>
          <w:sz w:val="24"/>
          <w:szCs w:val="24"/>
        </w:rPr>
        <w:t xml:space="preserve"> eller andre </w:t>
      </w:r>
      <w:proofErr w:type="spellStart"/>
      <w:r w:rsidRPr="002C2A86">
        <w:rPr>
          <w:bCs/>
          <w:sz w:val="24"/>
          <w:szCs w:val="24"/>
        </w:rPr>
        <w:t>tetracykliner</w:t>
      </w:r>
      <w:proofErr w:type="spellEnd"/>
      <w:r w:rsidRPr="002C2A86">
        <w:rPr>
          <w:bCs/>
          <w:sz w:val="24"/>
          <w:szCs w:val="24"/>
        </w:rPr>
        <w:t xml:space="preserve"> bør undgå kontakt med veterinærlægemidlet, og personlige værnemidler bestående af handsker bør bæres ved håndtering af veterinærlægemidlet.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I tilfælde af hudirritation, søg straks læge og vis indlægssedlen eller etiketten til lægen.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Utilsigtet indtagelse kan forårsage bivirkninger såsom opkastning, især hos børn.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For at undgå indtagelse ved et uheld bør blisterpakninger lægges tilbage i den ydre emballage og opbevares på et sikkert sted. I tilfælde af indtagelse ved hændeligt uheld skal der straks søges lægehjælp, og indlægssedlen eller etiketten bør vises til lægen.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proofErr w:type="spellStart"/>
      <w:r w:rsidRPr="002C2A86">
        <w:rPr>
          <w:bCs/>
          <w:iCs/>
          <w:sz w:val="24"/>
          <w:szCs w:val="24"/>
        </w:rPr>
        <w:t>Gastrointestinale</w:t>
      </w:r>
      <w:proofErr w:type="spellEnd"/>
      <w:r w:rsidRPr="002C2A86">
        <w:rPr>
          <w:bCs/>
          <w:iCs/>
          <w:sz w:val="24"/>
          <w:szCs w:val="24"/>
        </w:rPr>
        <w:t xml:space="preserve"> bivirkninger såsom opkastning, kvalme, </w:t>
      </w:r>
      <w:proofErr w:type="spellStart"/>
      <w:r w:rsidRPr="002C2A86">
        <w:rPr>
          <w:bCs/>
          <w:iCs/>
          <w:sz w:val="24"/>
          <w:szCs w:val="24"/>
        </w:rPr>
        <w:t>salivation</w:t>
      </w:r>
      <w:proofErr w:type="spellEnd"/>
      <w:r w:rsidRPr="002C2A86">
        <w:rPr>
          <w:bCs/>
          <w:iCs/>
          <w:sz w:val="24"/>
          <w:szCs w:val="24"/>
        </w:rPr>
        <w:t xml:space="preserve">, </w:t>
      </w:r>
      <w:proofErr w:type="spellStart"/>
      <w:r w:rsidRPr="002C2A86">
        <w:rPr>
          <w:bCs/>
          <w:iCs/>
          <w:sz w:val="24"/>
          <w:szCs w:val="24"/>
        </w:rPr>
        <w:t>øsofagitis</w:t>
      </w:r>
      <w:proofErr w:type="spellEnd"/>
      <w:r w:rsidRPr="002C2A86">
        <w:rPr>
          <w:bCs/>
          <w:iCs/>
          <w:sz w:val="24"/>
          <w:szCs w:val="24"/>
        </w:rPr>
        <w:t xml:space="preserve"> og diarré, er blevet rapporteret meget sjældent i spontane rapporter.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 xml:space="preserve">Fotosensitivitet og </w:t>
      </w:r>
      <w:proofErr w:type="spellStart"/>
      <w:r w:rsidRPr="002C2A86">
        <w:rPr>
          <w:bCs/>
          <w:iCs/>
          <w:sz w:val="24"/>
          <w:szCs w:val="24"/>
        </w:rPr>
        <w:t>fotodermatitis</w:t>
      </w:r>
      <w:proofErr w:type="spellEnd"/>
      <w:r w:rsidRPr="002C2A86">
        <w:rPr>
          <w:bCs/>
          <w:iCs/>
          <w:sz w:val="24"/>
          <w:szCs w:val="24"/>
        </w:rPr>
        <w:t xml:space="preserve"> kan forekomme efter tetracyklinbehandling, efter eksponering for intenst sollys eller ultraviolet lys (se også pkt. 4.3).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iCs/>
          <w:sz w:val="24"/>
          <w:szCs w:val="24"/>
        </w:rPr>
        <w:t>Brug af tetracyklin i tandudviklingsperioden kan føre til misfarvning af tænderne.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Hyppigheden af bivirkninger er defineret ved hjælp af følgende konvention: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- Meget almindelig (flere end 1 ud af 10 behandlede dyr udviser bivirkninger i løbet af en behandling)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- Almindelig (mere end 1 men færre end 10 dyr ud af 100 behandlede dyr)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- Ikke almindelig (flere end 1 men færre end 10 dyr ud af 1.000 behandlede dyr)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- Sjælden (flere end 1 men færre end 10 dyr ud af 10.000 behandlede dyr)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>- Meget sjælden (færre end 1 dyr ud af 10.000 behandlede dyr, inklusive isolerede rapporter).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297E52" w:rsidRPr="002C2A86" w:rsidRDefault="002C2A86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 xml:space="preserve">Laboratorieundersøgelser </w:t>
      </w:r>
      <w:r w:rsidRPr="002C2A86">
        <w:rPr>
          <w:sz w:val="24"/>
          <w:szCs w:val="24"/>
        </w:rPr>
        <w:t xml:space="preserve">på rotter og kaniner </w:t>
      </w:r>
      <w:r w:rsidRPr="002C2A86">
        <w:rPr>
          <w:bCs/>
          <w:sz w:val="24"/>
          <w:szCs w:val="24"/>
        </w:rPr>
        <w:t xml:space="preserve">har ikke afsløret </w:t>
      </w:r>
      <w:r w:rsidRPr="002C2A86">
        <w:rPr>
          <w:sz w:val="24"/>
          <w:szCs w:val="24"/>
        </w:rPr>
        <w:t xml:space="preserve">tegn på </w:t>
      </w:r>
      <w:proofErr w:type="spellStart"/>
      <w:r w:rsidRPr="002C2A86">
        <w:rPr>
          <w:sz w:val="24"/>
          <w:szCs w:val="24"/>
        </w:rPr>
        <w:t>teratogene</w:t>
      </w:r>
      <w:proofErr w:type="spellEnd"/>
      <w:r w:rsidRPr="002C2A86">
        <w:rPr>
          <w:sz w:val="24"/>
          <w:szCs w:val="24"/>
        </w:rPr>
        <w:t xml:space="preserve"> eller embryotoksiske virkninger af </w:t>
      </w:r>
      <w:proofErr w:type="spellStart"/>
      <w:r w:rsidRPr="002C2A86">
        <w:rPr>
          <w:sz w:val="24"/>
          <w:szCs w:val="24"/>
        </w:rPr>
        <w:t>doxycyklin</w:t>
      </w:r>
      <w:proofErr w:type="spellEnd"/>
      <w:r w:rsidRPr="002C2A86">
        <w:rPr>
          <w:bCs/>
          <w:sz w:val="24"/>
          <w:szCs w:val="24"/>
        </w:rPr>
        <w:t xml:space="preserve">. </w:t>
      </w:r>
      <w:r w:rsidRPr="002C2A86">
        <w:rPr>
          <w:sz w:val="24"/>
          <w:szCs w:val="24"/>
        </w:rPr>
        <w:t>Men da der ikke er tilgængelig information om målarten, anbefales brug under drægtighed ikke</w:t>
      </w:r>
      <w:r w:rsidRPr="002C2A86">
        <w:rPr>
          <w:bCs/>
          <w:iCs/>
          <w:sz w:val="24"/>
          <w:szCs w:val="24"/>
        </w:rPr>
        <w:t xml:space="preserve">. </w:t>
      </w:r>
      <w:r w:rsidRPr="002C2A86">
        <w:rPr>
          <w:iCs/>
          <w:sz w:val="24"/>
          <w:szCs w:val="24"/>
        </w:rPr>
        <w:t>Brug kun i henhold til den ansvarlige dyrlæges vurdering af fordele/risici</w:t>
      </w:r>
      <w:r w:rsidRPr="002C2A86">
        <w:rPr>
          <w:bCs/>
          <w:iCs/>
          <w:sz w:val="24"/>
          <w:szCs w:val="24"/>
        </w:rPr>
        <w:t>.</w:t>
      </w:r>
    </w:p>
    <w:p w:rsidR="00297E52" w:rsidRPr="00AB2295" w:rsidRDefault="00297E52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proofErr w:type="spellStart"/>
      <w:r w:rsidRPr="002C2A86">
        <w:rPr>
          <w:bCs/>
          <w:sz w:val="24"/>
          <w:szCs w:val="24"/>
        </w:rPr>
        <w:t>Doxycyklin</w:t>
      </w:r>
      <w:proofErr w:type="spellEnd"/>
      <w:r w:rsidRPr="002C2A86">
        <w:rPr>
          <w:bCs/>
          <w:sz w:val="24"/>
          <w:szCs w:val="24"/>
        </w:rPr>
        <w:t xml:space="preserve"> bør ikke anvendes samtidig med andre antibiotika, især baktericide lægemidler som ß-</w:t>
      </w:r>
      <w:proofErr w:type="spellStart"/>
      <w:r w:rsidRPr="002C2A86">
        <w:rPr>
          <w:bCs/>
          <w:sz w:val="24"/>
          <w:szCs w:val="24"/>
        </w:rPr>
        <w:t>laktamer</w:t>
      </w:r>
      <w:proofErr w:type="spellEnd"/>
      <w:r w:rsidRPr="002C2A86">
        <w:rPr>
          <w:bCs/>
          <w:sz w:val="24"/>
          <w:szCs w:val="24"/>
        </w:rPr>
        <w:t xml:space="preserve">. Krydsresistens over for </w:t>
      </w:r>
      <w:proofErr w:type="spellStart"/>
      <w:r w:rsidRPr="002C2A86">
        <w:rPr>
          <w:bCs/>
          <w:sz w:val="24"/>
          <w:szCs w:val="24"/>
        </w:rPr>
        <w:t>tetracykliner</w:t>
      </w:r>
      <w:proofErr w:type="spellEnd"/>
      <w:r w:rsidRPr="002C2A86">
        <w:rPr>
          <w:bCs/>
          <w:sz w:val="24"/>
          <w:szCs w:val="24"/>
        </w:rPr>
        <w:t xml:space="preserve"> kan forekomme.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proofErr w:type="spellStart"/>
      <w:r w:rsidRPr="002C2A86">
        <w:rPr>
          <w:bCs/>
          <w:sz w:val="24"/>
          <w:szCs w:val="24"/>
        </w:rPr>
        <w:t>Doxycyklins</w:t>
      </w:r>
      <w:proofErr w:type="spellEnd"/>
      <w:r w:rsidRPr="002C2A86">
        <w:rPr>
          <w:bCs/>
          <w:sz w:val="24"/>
          <w:szCs w:val="24"/>
        </w:rPr>
        <w:t xml:space="preserve"> halveringstid reduceres ved samtidig administration af barbiturater eller </w:t>
      </w:r>
      <w:proofErr w:type="spellStart"/>
      <w:r w:rsidRPr="002C2A86">
        <w:rPr>
          <w:bCs/>
          <w:sz w:val="24"/>
          <w:szCs w:val="24"/>
        </w:rPr>
        <w:t>fenytoin</w:t>
      </w:r>
      <w:proofErr w:type="spellEnd"/>
      <w:r w:rsidRPr="002C2A86">
        <w:rPr>
          <w:bCs/>
          <w:sz w:val="24"/>
          <w:szCs w:val="24"/>
        </w:rPr>
        <w:t xml:space="preserve"> og </w:t>
      </w:r>
      <w:proofErr w:type="spellStart"/>
      <w:r w:rsidRPr="002C2A86">
        <w:rPr>
          <w:bCs/>
          <w:sz w:val="24"/>
          <w:szCs w:val="24"/>
        </w:rPr>
        <w:t>carbamazepin</w:t>
      </w:r>
      <w:proofErr w:type="spellEnd"/>
      <w:r w:rsidRPr="002C2A86">
        <w:rPr>
          <w:bCs/>
          <w:sz w:val="24"/>
          <w:szCs w:val="24"/>
        </w:rPr>
        <w:t>.</w:t>
      </w: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</w:p>
    <w:p w:rsidR="002C2A86" w:rsidRPr="002C2A86" w:rsidRDefault="002C2A86" w:rsidP="002C2A86">
      <w:pPr>
        <w:ind w:left="851"/>
        <w:rPr>
          <w:bCs/>
          <w:sz w:val="24"/>
          <w:szCs w:val="24"/>
        </w:rPr>
      </w:pPr>
      <w:r w:rsidRPr="002C2A86">
        <w:rPr>
          <w:bCs/>
          <w:sz w:val="24"/>
          <w:szCs w:val="24"/>
        </w:rPr>
        <w:t xml:space="preserve">Dosisjusteringer kan være nødvendige hos individer under </w:t>
      </w:r>
      <w:proofErr w:type="spellStart"/>
      <w:r w:rsidRPr="002C2A86">
        <w:rPr>
          <w:bCs/>
          <w:sz w:val="24"/>
          <w:szCs w:val="24"/>
        </w:rPr>
        <w:t>antikoagulantbehandling</w:t>
      </w:r>
      <w:proofErr w:type="spellEnd"/>
      <w:r w:rsidRPr="002C2A86">
        <w:rPr>
          <w:bCs/>
          <w:sz w:val="24"/>
          <w:szCs w:val="24"/>
        </w:rPr>
        <w:t xml:space="preserve">, da </w:t>
      </w:r>
      <w:proofErr w:type="spellStart"/>
      <w:r w:rsidRPr="002C2A86">
        <w:rPr>
          <w:bCs/>
          <w:sz w:val="24"/>
          <w:szCs w:val="24"/>
        </w:rPr>
        <w:t>tetracykliner</w:t>
      </w:r>
      <w:proofErr w:type="spellEnd"/>
      <w:r w:rsidRPr="002C2A86">
        <w:rPr>
          <w:bCs/>
          <w:sz w:val="24"/>
          <w:szCs w:val="24"/>
        </w:rPr>
        <w:t xml:space="preserve"> sænker plasmaaktiviteten af </w:t>
      </w:r>
      <w:proofErr w:type="spellStart"/>
      <w:r w:rsidRPr="002C2A86">
        <w:rPr>
          <w:bCs/>
          <w:sz w:val="24"/>
          <w:szCs w:val="24"/>
        </w:rPr>
        <w:t>prothrombin</w:t>
      </w:r>
      <w:proofErr w:type="spellEnd"/>
      <w:r w:rsidRPr="002C2A86">
        <w:rPr>
          <w:bCs/>
          <w:sz w:val="24"/>
          <w:szCs w:val="24"/>
        </w:rPr>
        <w:t>.</w:t>
      </w:r>
    </w:p>
    <w:p w:rsidR="002C2A86" w:rsidRPr="002C2A86" w:rsidRDefault="002C2A86" w:rsidP="002C2A86">
      <w:pPr>
        <w:ind w:left="851"/>
        <w:rPr>
          <w:bCs/>
          <w:iCs/>
          <w:sz w:val="24"/>
          <w:szCs w:val="24"/>
        </w:rPr>
      </w:pPr>
      <w:r w:rsidRPr="002C2A86">
        <w:rPr>
          <w:bCs/>
          <w:sz w:val="24"/>
          <w:szCs w:val="24"/>
        </w:rPr>
        <w:t xml:space="preserve">Samtidig administration af orale </w:t>
      </w:r>
      <w:proofErr w:type="spellStart"/>
      <w:r w:rsidRPr="002C2A86">
        <w:rPr>
          <w:bCs/>
          <w:sz w:val="24"/>
          <w:szCs w:val="24"/>
        </w:rPr>
        <w:t>absorbanter</w:t>
      </w:r>
      <w:proofErr w:type="spellEnd"/>
      <w:r w:rsidRPr="002C2A86">
        <w:rPr>
          <w:bCs/>
          <w:sz w:val="24"/>
          <w:szCs w:val="24"/>
        </w:rPr>
        <w:t xml:space="preserve">, </w:t>
      </w:r>
      <w:proofErr w:type="spellStart"/>
      <w:r w:rsidRPr="002C2A86">
        <w:rPr>
          <w:bCs/>
          <w:sz w:val="24"/>
          <w:szCs w:val="24"/>
        </w:rPr>
        <w:t>antacider</w:t>
      </w:r>
      <w:proofErr w:type="spellEnd"/>
      <w:r w:rsidRPr="002C2A86">
        <w:rPr>
          <w:bCs/>
          <w:sz w:val="24"/>
          <w:szCs w:val="24"/>
        </w:rPr>
        <w:t xml:space="preserve"> og præparater indeholdende multivalente kationer bør undgås, da de reducerer tilgængeligheden af </w:t>
      </w:r>
      <w:proofErr w:type="spellStart"/>
      <w:r w:rsidRPr="002C2A86">
        <w:rPr>
          <w:bCs/>
          <w:sz w:val="24"/>
          <w:szCs w:val="24"/>
        </w:rPr>
        <w:t>doxycyklin</w:t>
      </w:r>
      <w:proofErr w:type="spellEnd"/>
      <w:r w:rsidRPr="002C2A86">
        <w:rPr>
          <w:bCs/>
          <w:iCs/>
          <w:sz w:val="24"/>
          <w:szCs w:val="24"/>
        </w:rPr>
        <w:t>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132F7B" w:rsidRPr="00132F7B" w:rsidRDefault="00132F7B" w:rsidP="00132F7B">
      <w:pPr>
        <w:ind w:left="851"/>
        <w:rPr>
          <w:bCs/>
          <w:sz w:val="24"/>
          <w:szCs w:val="24"/>
        </w:rPr>
      </w:pPr>
      <w:r w:rsidRPr="00132F7B">
        <w:rPr>
          <w:bCs/>
          <w:sz w:val="24"/>
          <w:szCs w:val="24"/>
        </w:rPr>
        <w:t>Til oral anvendelse.</w:t>
      </w:r>
    </w:p>
    <w:p w:rsidR="00132F7B" w:rsidRPr="00132F7B" w:rsidRDefault="00132F7B" w:rsidP="00132F7B">
      <w:pPr>
        <w:ind w:left="851"/>
        <w:rPr>
          <w:bCs/>
          <w:sz w:val="24"/>
          <w:szCs w:val="24"/>
        </w:rPr>
      </w:pPr>
      <w:r w:rsidRPr="00132F7B">
        <w:rPr>
          <w:bCs/>
          <w:sz w:val="24"/>
          <w:szCs w:val="24"/>
        </w:rPr>
        <w:t xml:space="preserve">Doseringen er 10 mg </w:t>
      </w:r>
      <w:proofErr w:type="spellStart"/>
      <w:r w:rsidRPr="00132F7B">
        <w:rPr>
          <w:bCs/>
          <w:sz w:val="24"/>
          <w:szCs w:val="24"/>
        </w:rPr>
        <w:t>doxycyklin</w:t>
      </w:r>
      <w:proofErr w:type="spellEnd"/>
      <w:r w:rsidRPr="00132F7B">
        <w:rPr>
          <w:bCs/>
          <w:sz w:val="24"/>
          <w:szCs w:val="24"/>
        </w:rPr>
        <w:t xml:space="preserve"> per kilogram legemsvægt per dag.</w:t>
      </w:r>
    </w:p>
    <w:p w:rsidR="00132F7B" w:rsidRPr="00132F7B" w:rsidRDefault="00132F7B" w:rsidP="00132F7B">
      <w:pPr>
        <w:ind w:left="851"/>
        <w:rPr>
          <w:bCs/>
          <w:sz w:val="24"/>
          <w:szCs w:val="24"/>
        </w:rPr>
      </w:pPr>
      <w:r w:rsidRPr="00132F7B">
        <w:rPr>
          <w:bCs/>
          <w:sz w:val="24"/>
          <w:szCs w:val="24"/>
        </w:rPr>
        <w:t>For at sikre en korrekt dosering, bør dyrets legemsvægt bestemmes så nøjagtigt som muligt for at undgå overdosering eller underdosering. For at justere doseringen kan tabletterne deles i 2 eller 4 lige store dele. Anbring tabletten på en flad overflade, med den rillede side vendende opad og den konvekse (afrundede) side vendende mod overfladen. Doseringen kan deles i to daglige administrationer. Varigheden af behandling kan tilpasses afhængigt af det kliniske respons, efter fordel/</w:t>
      </w:r>
      <w:proofErr w:type="spellStart"/>
      <w:r w:rsidRPr="00132F7B">
        <w:rPr>
          <w:bCs/>
          <w:sz w:val="24"/>
          <w:szCs w:val="24"/>
        </w:rPr>
        <w:t>risiko-vurdering</w:t>
      </w:r>
      <w:proofErr w:type="spellEnd"/>
      <w:r w:rsidRPr="00132F7B">
        <w:rPr>
          <w:bCs/>
          <w:sz w:val="24"/>
          <w:szCs w:val="24"/>
        </w:rPr>
        <w:t xml:space="preserve"> af dyrlægen.</w:t>
      </w:r>
    </w:p>
    <w:p w:rsidR="00132F7B" w:rsidRPr="00132F7B" w:rsidRDefault="00132F7B" w:rsidP="00132F7B">
      <w:pPr>
        <w:ind w:left="851"/>
        <w:rPr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1"/>
        <w:gridCol w:w="2392"/>
        <w:gridCol w:w="2661"/>
      </w:tblGrid>
      <w:tr w:rsidR="00132F7B" w:rsidRPr="00132F7B" w:rsidTr="00132F7B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rPr>
                <w:rFonts w:eastAsiaTheme="minorHAnsi"/>
                <w:b/>
                <w:bCs/>
                <w:noProof/>
                <w:sz w:val="22"/>
                <w:szCs w:val="22"/>
                <w:lang w:val="en-US"/>
              </w:rPr>
            </w:pPr>
            <w:r w:rsidRPr="00132F7B">
              <w:rPr>
                <w:b/>
                <w:bCs/>
                <w:noProof/>
                <w:sz w:val="22"/>
                <w:szCs w:val="22"/>
                <w:lang w:val="en-US"/>
              </w:rPr>
              <w:t>Sygdom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132F7B">
              <w:rPr>
                <w:b/>
                <w:bCs/>
                <w:noProof/>
                <w:sz w:val="22"/>
                <w:szCs w:val="22"/>
                <w:lang w:val="en-US"/>
              </w:rPr>
              <w:t>Doseringsregime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132F7B">
              <w:rPr>
                <w:b/>
                <w:bCs/>
                <w:noProof/>
                <w:sz w:val="22"/>
                <w:szCs w:val="22"/>
                <w:lang w:val="en-US"/>
              </w:rPr>
              <w:t>Behandlingens varighed</w:t>
            </w:r>
          </w:p>
        </w:tc>
      </w:tr>
      <w:tr w:rsidR="00132F7B" w:rsidRPr="00132F7B" w:rsidTr="00132F7B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Luftvejsinfektion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10 mg/kg pr. dag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 w:rsidP="00E74478">
            <w:pPr>
              <w:keepNext/>
              <w:tabs>
                <w:tab w:val="left" w:pos="1304"/>
              </w:tabs>
              <w:jc w:val="right"/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5-10 dage</w:t>
            </w:r>
          </w:p>
        </w:tc>
      </w:tr>
      <w:tr w:rsidR="00132F7B" w:rsidRPr="00132F7B" w:rsidTr="00132F7B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>
            <w:pPr>
              <w:tabs>
                <w:tab w:val="left" w:pos="1304"/>
              </w:tabs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Canine ehrlichiosis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>
            <w:pPr>
              <w:tabs>
                <w:tab w:val="left" w:pos="1304"/>
              </w:tabs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10 mg/kg pr. dag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F7B" w:rsidRPr="00132F7B" w:rsidRDefault="00132F7B">
            <w:pPr>
              <w:tabs>
                <w:tab w:val="left" w:pos="1304"/>
              </w:tabs>
              <w:jc w:val="right"/>
              <w:rPr>
                <w:noProof/>
                <w:sz w:val="22"/>
                <w:szCs w:val="22"/>
                <w:lang w:val="en-US"/>
              </w:rPr>
            </w:pPr>
            <w:r w:rsidRPr="00132F7B">
              <w:rPr>
                <w:noProof/>
                <w:sz w:val="22"/>
                <w:szCs w:val="22"/>
                <w:lang w:val="en-US"/>
              </w:rPr>
              <w:t>28 dage</w:t>
            </w:r>
          </w:p>
        </w:tc>
      </w:tr>
    </w:tbl>
    <w:p w:rsidR="00132F7B" w:rsidRPr="00132F7B" w:rsidRDefault="00132F7B" w:rsidP="00132F7B">
      <w:pPr>
        <w:ind w:left="851"/>
        <w:rPr>
          <w:bCs/>
          <w:sz w:val="22"/>
          <w:szCs w:val="22"/>
        </w:rPr>
      </w:pPr>
    </w:p>
    <w:p w:rsidR="00132F7B" w:rsidRPr="00132F7B" w:rsidRDefault="00132F7B" w:rsidP="00132F7B">
      <w:pPr>
        <w:ind w:left="851"/>
        <w:rPr>
          <w:bCs/>
          <w:sz w:val="24"/>
          <w:szCs w:val="24"/>
        </w:rPr>
      </w:pPr>
      <w:r w:rsidRPr="00132F7B">
        <w:rPr>
          <w:bCs/>
          <w:sz w:val="24"/>
          <w:szCs w:val="24"/>
        </w:rPr>
        <w:t>Halve: Tryk nedad med dine tommelfingre eller fingre på begge sider af tabletten.</w:t>
      </w:r>
    </w:p>
    <w:p w:rsidR="00132F7B" w:rsidRPr="00132F7B" w:rsidRDefault="00132F7B" w:rsidP="00132F7B">
      <w:pPr>
        <w:ind w:left="851"/>
        <w:rPr>
          <w:bCs/>
          <w:sz w:val="24"/>
          <w:szCs w:val="24"/>
        </w:rPr>
      </w:pPr>
      <w:r w:rsidRPr="00132F7B">
        <w:rPr>
          <w:bCs/>
          <w:sz w:val="24"/>
          <w:szCs w:val="24"/>
        </w:rPr>
        <w:t>Kvarte: Tryk nedad med din tommelfinger eller finger midt på tabletten.</w:t>
      </w:r>
    </w:p>
    <w:p w:rsidR="00297E52" w:rsidRPr="00132F7B" w:rsidRDefault="00297E52" w:rsidP="00132F7B">
      <w:pPr>
        <w:tabs>
          <w:tab w:val="left" w:pos="851"/>
          <w:tab w:val="left" w:pos="8222"/>
        </w:tabs>
        <w:ind w:left="851"/>
        <w:rPr>
          <w:bCs/>
          <w:noProof/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297E52" w:rsidRPr="00482D26" w:rsidRDefault="00482D26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bookmarkStart w:id="3" w:name="_Hlk9000508"/>
      <w:r w:rsidRPr="00482D26">
        <w:rPr>
          <w:bCs/>
          <w:iCs/>
          <w:sz w:val="24"/>
          <w:szCs w:val="24"/>
        </w:rPr>
        <w:t>Opkastning kan forekomme hos hunde doseret med 5 gange den anbefalede dosis. Øget niveauer af ALT, GGT, ALP og total bilirubin</w:t>
      </w:r>
      <w:bookmarkEnd w:id="3"/>
      <w:r w:rsidRPr="00482D26">
        <w:rPr>
          <w:bCs/>
          <w:iCs/>
          <w:sz w:val="24"/>
          <w:szCs w:val="24"/>
        </w:rPr>
        <w:t xml:space="preserve"> blev rapporteret hos hunde ved 5 gange overdosis.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97E52" w:rsidRPr="00406EE7" w:rsidRDefault="00297E52" w:rsidP="00297E5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8A431E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</w:t>
      </w:r>
      <w:r w:rsidRPr="008A431E">
        <w:rPr>
          <w:b/>
          <w:sz w:val="24"/>
          <w:szCs w:val="24"/>
        </w:rPr>
        <w:tab/>
        <w:t>FARMAKOLOGISKE EGENSKABER</w:t>
      </w:r>
    </w:p>
    <w:p w:rsidR="00297E52" w:rsidRPr="008A431E" w:rsidRDefault="00297E52" w:rsidP="00297E52">
      <w:pPr>
        <w:tabs>
          <w:tab w:val="left" w:pos="8222"/>
        </w:tabs>
        <w:ind w:left="851"/>
        <w:rPr>
          <w:sz w:val="24"/>
          <w:szCs w:val="24"/>
        </w:rPr>
      </w:pPr>
    </w:p>
    <w:p w:rsidR="00297E52" w:rsidRPr="008A431E" w:rsidRDefault="00297E52" w:rsidP="00297E52">
      <w:pPr>
        <w:ind w:left="851"/>
        <w:rPr>
          <w:sz w:val="24"/>
          <w:szCs w:val="24"/>
        </w:rPr>
      </w:pPr>
      <w:proofErr w:type="spellStart"/>
      <w:r w:rsidRPr="008A431E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8A431E">
        <w:rPr>
          <w:rFonts w:ascii="TimesNewRoman,Italic" w:hAnsi="TimesNewRoman,Italic"/>
          <w:sz w:val="24"/>
          <w:szCs w:val="24"/>
        </w:rPr>
        <w:t xml:space="preserve"> gruppe:</w:t>
      </w:r>
      <w:r>
        <w:rPr>
          <w:rFonts w:ascii="TimesNewRoman,Italic" w:hAnsi="TimesNewRoman,Italic"/>
          <w:sz w:val="24"/>
          <w:szCs w:val="24"/>
        </w:rPr>
        <w:t xml:space="preserve"> </w:t>
      </w:r>
      <w:r w:rsidRPr="00A1569E">
        <w:rPr>
          <w:bCs/>
          <w:sz w:val="24"/>
          <w:szCs w:val="24"/>
        </w:rPr>
        <w:t xml:space="preserve">Antibakterielle midler til systemisk brug, </w:t>
      </w:r>
      <w:proofErr w:type="spellStart"/>
      <w:r>
        <w:rPr>
          <w:bCs/>
          <w:sz w:val="24"/>
          <w:szCs w:val="24"/>
        </w:rPr>
        <w:t>tetracyc</w:t>
      </w:r>
      <w:r w:rsidRPr="00A1569E">
        <w:rPr>
          <w:bCs/>
          <w:sz w:val="24"/>
          <w:szCs w:val="24"/>
        </w:rPr>
        <w:t>liner</w:t>
      </w:r>
      <w:proofErr w:type="spellEnd"/>
      <w:r>
        <w:rPr>
          <w:bCs/>
          <w:sz w:val="24"/>
          <w:szCs w:val="24"/>
        </w:rPr>
        <w:t>.</w:t>
      </w:r>
    </w:p>
    <w:p w:rsidR="00297E52" w:rsidRDefault="00297E52" w:rsidP="00297E52">
      <w:pPr>
        <w:ind w:left="851"/>
        <w:rPr>
          <w:sz w:val="24"/>
          <w:szCs w:val="24"/>
        </w:rPr>
      </w:pPr>
      <w:proofErr w:type="spellStart"/>
      <w:r w:rsidRPr="008A431E">
        <w:rPr>
          <w:rFonts w:ascii="TimesNewRoman,Italic" w:hAnsi="TimesNewRoman,Italic"/>
          <w:sz w:val="24"/>
          <w:szCs w:val="24"/>
        </w:rPr>
        <w:t>ATCvet</w:t>
      </w:r>
      <w:proofErr w:type="spellEnd"/>
      <w:r w:rsidRPr="008A431E">
        <w:rPr>
          <w:rFonts w:ascii="TimesNewRoman,Italic" w:hAnsi="TimesNewRoman,Italic"/>
          <w:sz w:val="24"/>
          <w:szCs w:val="24"/>
        </w:rPr>
        <w:t>-kode:</w:t>
      </w:r>
      <w:r w:rsidRPr="008A431E">
        <w:rPr>
          <w:sz w:val="24"/>
          <w:szCs w:val="24"/>
        </w:rPr>
        <w:t xml:space="preserve"> </w:t>
      </w:r>
      <w:r w:rsidRPr="00A1569E">
        <w:rPr>
          <w:bCs/>
          <w:sz w:val="24"/>
          <w:szCs w:val="24"/>
        </w:rPr>
        <w:t>QJ</w:t>
      </w:r>
      <w:r>
        <w:rPr>
          <w:bCs/>
          <w:sz w:val="24"/>
          <w:szCs w:val="24"/>
        </w:rPr>
        <w:t xml:space="preserve"> </w:t>
      </w:r>
      <w:r w:rsidRPr="00A1569E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 xml:space="preserve"> </w:t>
      </w:r>
      <w:r w:rsidRPr="00A1569E">
        <w:rPr>
          <w:bCs/>
          <w:sz w:val="24"/>
          <w:szCs w:val="24"/>
        </w:rPr>
        <w:t>AA</w:t>
      </w:r>
      <w:r>
        <w:rPr>
          <w:bCs/>
          <w:sz w:val="24"/>
          <w:szCs w:val="24"/>
        </w:rPr>
        <w:t xml:space="preserve"> </w:t>
      </w:r>
      <w:r w:rsidRPr="00A1569E">
        <w:rPr>
          <w:bCs/>
          <w:sz w:val="24"/>
          <w:szCs w:val="24"/>
        </w:rPr>
        <w:t>02</w:t>
      </w:r>
      <w:r>
        <w:rPr>
          <w:sz w:val="24"/>
          <w:szCs w:val="24"/>
        </w:rPr>
        <w:t>.</w:t>
      </w:r>
    </w:p>
    <w:p w:rsidR="00297E52" w:rsidRPr="008A431E" w:rsidRDefault="00297E52" w:rsidP="00297E52">
      <w:pPr>
        <w:ind w:left="851"/>
        <w:rPr>
          <w:sz w:val="24"/>
          <w:szCs w:val="24"/>
        </w:rPr>
      </w:pPr>
    </w:p>
    <w:p w:rsidR="00297E52" w:rsidRPr="008A431E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5.1</w:t>
      </w:r>
      <w:r w:rsidRPr="008A431E">
        <w:rPr>
          <w:b/>
          <w:sz w:val="24"/>
          <w:szCs w:val="24"/>
        </w:rPr>
        <w:tab/>
      </w:r>
      <w:proofErr w:type="spellStart"/>
      <w:r w:rsidRPr="008A431E">
        <w:rPr>
          <w:b/>
          <w:sz w:val="24"/>
          <w:szCs w:val="24"/>
        </w:rPr>
        <w:t>Farmakodynamiske</w:t>
      </w:r>
      <w:proofErr w:type="spellEnd"/>
      <w:r w:rsidRPr="008A431E">
        <w:rPr>
          <w:b/>
          <w:sz w:val="24"/>
          <w:szCs w:val="24"/>
        </w:rPr>
        <w:t xml:space="preserve"> egenskaber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 xml:space="preserve"> er et bredspektret antibiotikum i </w:t>
      </w:r>
      <w:proofErr w:type="spellStart"/>
      <w:r w:rsidRPr="006B6DC2">
        <w:rPr>
          <w:bCs/>
          <w:iCs/>
          <w:sz w:val="24"/>
          <w:szCs w:val="24"/>
        </w:rPr>
        <w:t>tetracyclingruppen</w:t>
      </w:r>
      <w:proofErr w:type="spellEnd"/>
      <w:r w:rsidRPr="006B6DC2">
        <w:rPr>
          <w:bCs/>
          <w:iCs/>
          <w:sz w:val="24"/>
          <w:szCs w:val="24"/>
        </w:rPr>
        <w:t>, som er aktivt overfor en lang række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>grampositive og gramnegative bakterier, inklusiv både aerobe og anaerobe arter.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 xml:space="preserve"> inhiberer bakteriel protein syntese gennem binding til 30-S </w:t>
      </w:r>
      <w:proofErr w:type="spellStart"/>
      <w:r w:rsidRPr="006B6DC2">
        <w:rPr>
          <w:bCs/>
          <w:iCs/>
          <w:sz w:val="24"/>
          <w:szCs w:val="24"/>
        </w:rPr>
        <w:t>ribsomale</w:t>
      </w:r>
      <w:proofErr w:type="spellEnd"/>
      <w:r w:rsidRPr="006B6DC2">
        <w:rPr>
          <w:bCs/>
          <w:iCs/>
          <w:sz w:val="24"/>
          <w:szCs w:val="24"/>
        </w:rPr>
        <w:t xml:space="preserve"> subunits. Dette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interferer med bindingen af aminoacetyl-tRNA til </w:t>
      </w:r>
      <w:proofErr w:type="spellStart"/>
      <w:r w:rsidRPr="006B6DC2">
        <w:rPr>
          <w:bCs/>
          <w:iCs/>
          <w:sz w:val="24"/>
          <w:szCs w:val="24"/>
        </w:rPr>
        <w:t>acceptor</w:t>
      </w:r>
      <w:proofErr w:type="spellEnd"/>
      <w:r w:rsidRPr="006B6DC2">
        <w:rPr>
          <w:bCs/>
          <w:iCs/>
          <w:sz w:val="24"/>
          <w:szCs w:val="24"/>
        </w:rPr>
        <w:t xml:space="preserve"> site på mRNA ribosom komplekset og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>29/73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forhindrer kobling af aminosyre til den voksende peptidkæde; </w:t>
      </w: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 xml:space="preserve"> har hovedsageligt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proofErr w:type="spellStart"/>
      <w:r w:rsidRPr="006B6DC2">
        <w:rPr>
          <w:bCs/>
          <w:iCs/>
          <w:sz w:val="24"/>
          <w:szCs w:val="24"/>
        </w:rPr>
        <w:t>bakteriostatisk</w:t>
      </w:r>
      <w:proofErr w:type="spellEnd"/>
      <w:r w:rsidRPr="006B6DC2">
        <w:rPr>
          <w:bCs/>
          <w:iCs/>
          <w:sz w:val="24"/>
          <w:szCs w:val="24"/>
        </w:rPr>
        <w:t xml:space="preserve"> aktivitet.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Indtrængning af </w:t>
      </w: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 xml:space="preserve"> i den bakterielle celle sker ved både aktiv transport og passiv diffusion.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Hovedmekanismer bag erhvervet resistens overfor </w:t>
      </w:r>
      <w:proofErr w:type="spellStart"/>
      <w:r w:rsidRPr="006B6DC2">
        <w:rPr>
          <w:bCs/>
          <w:iCs/>
          <w:sz w:val="24"/>
          <w:szCs w:val="24"/>
        </w:rPr>
        <w:t>tetracyclingruppen</w:t>
      </w:r>
      <w:proofErr w:type="spellEnd"/>
      <w:r w:rsidRPr="006B6DC2">
        <w:rPr>
          <w:bCs/>
          <w:iCs/>
          <w:sz w:val="24"/>
          <w:szCs w:val="24"/>
        </w:rPr>
        <w:t xml:space="preserve"> af antibiotika inkluderer aktiv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proofErr w:type="spellStart"/>
      <w:r w:rsidRPr="006B6DC2">
        <w:rPr>
          <w:bCs/>
          <w:iCs/>
          <w:sz w:val="24"/>
          <w:szCs w:val="24"/>
        </w:rPr>
        <w:t>effluks</w:t>
      </w:r>
      <w:proofErr w:type="spellEnd"/>
      <w:r w:rsidRPr="006B6DC2">
        <w:rPr>
          <w:bCs/>
          <w:iCs/>
          <w:sz w:val="24"/>
          <w:szCs w:val="24"/>
        </w:rPr>
        <w:t xml:space="preserve"> og </w:t>
      </w:r>
      <w:proofErr w:type="spellStart"/>
      <w:r w:rsidRPr="006B6DC2">
        <w:rPr>
          <w:bCs/>
          <w:iCs/>
          <w:sz w:val="24"/>
          <w:szCs w:val="24"/>
        </w:rPr>
        <w:t>ribosomal</w:t>
      </w:r>
      <w:proofErr w:type="spellEnd"/>
      <w:r w:rsidRPr="006B6DC2">
        <w:rPr>
          <w:bCs/>
          <w:iCs/>
          <w:sz w:val="24"/>
          <w:szCs w:val="24"/>
        </w:rPr>
        <w:t xml:space="preserve"> beskyttelse. En tredje mekanisme er enzymatisk nedbrydning. Generne der bærer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resistens kan blive overført via plasmider eller </w:t>
      </w:r>
      <w:proofErr w:type="spellStart"/>
      <w:r w:rsidRPr="006B6DC2">
        <w:rPr>
          <w:bCs/>
          <w:iCs/>
          <w:sz w:val="24"/>
          <w:szCs w:val="24"/>
        </w:rPr>
        <w:t>transposoner</w:t>
      </w:r>
      <w:proofErr w:type="spellEnd"/>
      <w:r w:rsidRPr="006B6DC2">
        <w:rPr>
          <w:bCs/>
          <w:iCs/>
          <w:sz w:val="24"/>
          <w:szCs w:val="24"/>
        </w:rPr>
        <w:t xml:space="preserve">, som eksempelvis </w:t>
      </w:r>
      <w:proofErr w:type="spellStart"/>
      <w:r w:rsidRPr="006B6DC2">
        <w:rPr>
          <w:bCs/>
          <w:iCs/>
          <w:sz w:val="24"/>
          <w:szCs w:val="24"/>
        </w:rPr>
        <w:t>tet</w:t>
      </w:r>
      <w:proofErr w:type="spellEnd"/>
      <w:r w:rsidRPr="006B6DC2">
        <w:rPr>
          <w:bCs/>
          <w:iCs/>
          <w:sz w:val="24"/>
          <w:szCs w:val="24"/>
        </w:rPr>
        <w:t xml:space="preserve">(M), </w:t>
      </w:r>
      <w:proofErr w:type="spellStart"/>
      <w:r w:rsidRPr="006B6DC2">
        <w:rPr>
          <w:bCs/>
          <w:iCs/>
          <w:sz w:val="24"/>
          <w:szCs w:val="24"/>
        </w:rPr>
        <w:t>tet</w:t>
      </w:r>
      <w:proofErr w:type="spellEnd"/>
      <w:r w:rsidRPr="006B6DC2">
        <w:rPr>
          <w:bCs/>
          <w:iCs/>
          <w:sz w:val="24"/>
          <w:szCs w:val="24"/>
        </w:rPr>
        <w:t xml:space="preserve">(O) og </w:t>
      </w:r>
      <w:proofErr w:type="spellStart"/>
      <w:r w:rsidRPr="006B6DC2">
        <w:rPr>
          <w:bCs/>
          <w:iCs/>
          <w:sz w:val="24"/>
          <w:szCs w:val="24"/>
        </w:rPr>
        <w:t>tet</w:t>
      </w:r>
      <w:proofErr w:type="spellEnd"/>
      <w:r w:rsidRPr="006B6DC2">
        <w:rPr>
          <w:bCs/>
          <w:iCs/>
          <w:sz w:val="24"/>
          <w:szCs w:val="24"/>
        </w:rPr>
        <w:t>(B) som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findes både i grampositive og gramnegative organismer, inklusiv kliniske </w:t>
      </w:r>
      <w:proofErr w:type="spellStart"/>
      <w:r w:rsidRPr="006B6DC2">
        <w:rPr>
          <w:bCs/>
          <w:iCs/>
          <w:sz w:val="24"/>
          <w:szCs w:val="24"/>
        </w:rPr>
        <w:t>isolater</w:t>
      </w:r>
      <w:proofErr w:type="spellEnd"/>
      <w:r w:rsidRPr="006B6DC2">
        <w:rPr>
          <w:bCs/>
          <w:iCs/>
          <w:sz w:val="24"/>
          <w:szCs w:val="24"/>
        </w:rPr>
        <w:t>.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Krydsresistens til andre </w:t>
      </w:r>
      <w:proofErr w:type="spellStart"/>
      <w:r w:rsidRPr="006B6DC2">
        <w:rPr>
          <w:bCs/>
          <w:iCs/>
          <w:sz w:val="24"/>
          <w:szCs w:val="24"/>
        </w:rPr>
        <w:t>tetracycliner</w:t>
      </w:r>
      <w:proofErr w:type="spellEnd"/>
      <w:r w:rsidRPr="006B6DC2">
        <w:rPr>
          <w:bCs/>
          <w:iCs/>
          <w:sz w:val="24"/>
          <w:szCs w:val="24"/>
        </w:rPr>
        <w:t xml:space="preserve"> er almindelig, men afhænger af den mekanisme, der overfører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>resistens. Grundet den højere fedtopløselighed og bedre evne til at passere gennem cellemembraner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(sammenlignet med </w:t>
      </w:r>
      <w:proofErr w:type="spellStart"/>
      <w:r w:rsidRPr="006B6DC2">
        <w:rPr>
          <w:bCs/>
          <w:iCs/>
          <w:sz w:val="24"/>
          <w:szCs w:val="24"/>
        </w:rPr>
        <w:t>tetracyclin</w:t>
      </w:r>
      <w:proofErr w:type="spellEnd"/>
      <w:r w:rsidRPr="006B6DC2">
        <w:rPr>
          <w:bCs/>
          <w:iCs/>
          <w:sz w:val="24"/>
          <w:szCs w:val="24"/>
        </w:rPr>
        <w:t xml:space="preserve">), opretholder </w:t>
      </w: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 xml:space="preserve"> en højere grad af effektivitet mod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mikroorganismer med erhvervet resistens overfor </w:t>
      </w:r>
      <w:proofErr w:type="spellStart"/>
      <w:r w:rsidRPr="006B6DC2">
        <w:rPr>
          <w:bCs/>
          <w:iCs/>
          <w:sz w:val="24"/>
          <w:szCs w:val="24"/>
        </w:rPr>
        <w:t>tetracycliner</w:t>
      </w:r>
      <w:proofErr w:type="spellEnd"/>
      <w:r w:rsidRPr="006B6DC2">
        <w:rPr>
          <w:bCs/>
          <w:iCs/>
          <w:sz w:val="24"/>
          <w:szCs w:val="24"/>
        </w:rPr>
        <w:t xml:space="preserve"> via </w:t>
      </w:r>
      <w:proofErr w:type="spellStart"/>
      <w:r w:rsidRPr="006B6DC2">
        <w:rPr>
          <w:bCs/>
          <w:iCs/>
          <w:sz w:val="24"/>
          <w:szCs w:val="24"/>
        </w:rPr>
        <w:t>efflukspumper</w:t>
      </w:r>
      <w:proofErr w:type="spellEnd"/>
      <w:r w:rsidRPr="006B6DC2">
        <w:rPr>
          <w:bCs/>
          <w:iCs/>
          <w:sz w:val="24"/>
          <w:szCs w:val="24"/>
        </w:rPr>
        <w:t>. Resistens medieret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  <w:r w:rsidRPr="006B6DC2">
        <w:rPr>
          <w:bCs/>
          <w:iCs/>
          <w:sz w:val="24"/>
          <w:szCs w:val="24"/>
        </w:rPr>
        <w:t xml:space="preserve">gennem ribosomale beskyttelsesproteiner giver dog også krydsresistens til </w:t>
      </w:r>
      <w:proofErr w:type="spellStart"/>
      <w:r w:rsidRPr="006B6DC2">
        <w:rPr>
          <w:bCs/>
          <w:iCs/>
          <w:sz w:val="24"/>
          <w:szCs w:val="24"/>
        </w:rPr>
        <w:t>doxycyclin</w:t>
      </w:r>
      <w:proofErr w:type="spellEnd"/>
      <w:r w:rsidRPr="006B6DC2">
        <w:rPr>
          <w:bCs/>
          <w:iCs/>
          <w:sz w:val="24"/>
          <w:szCs w:val="24"/>
        </w:rPr>
        <w:t>.</w:t>
      </w:r>
    </w:p>
    <w:p w:rsidR="00BF5CA6" w:rsidRPr="006B6DC2" w:rsidRDefault="00BF5CA6" w:rsidP="006B6DC2">
      <w:pPr>
        <w:ind w:left="851"/>
        <w:rPr>
          <w:bCs/>
          <w:iCs/>
          <w:sz w:val="24"/>
          <w:szCs w:val="24"/>
        </w:rPr>
      </w:pPr>
    </w:p>
    <w:p w:rsidR="00BF5CA6" w:rsidRPr="006B6DC2" w:rsidRDefault="00BF5CA6" w:rsidP="006B6DC2">
      <w:pPr>
        <w:ind w:left="851"/>
        <w:rPr>
          <w:rFonts w:eastAsiaTheme="minorHAnsi"/>
          <w:sz w:val="24"/>
          <w:szCs w:val="24"/>
        </w:rPr>
      </w:pPr>
      <w:r w:rsidRPr="006B6DC2">
        <w:rPr>
          <w:sz w:val="24"/>
          <w:szCs w:val="24"/>
        </w:rPr>
        <w:t>Følgende MIC-værdier for de målrettede bakterier blev indsamlet mellem 2017 og 2018 som en del af igangværende europæiske overvågningsundersøgelser:</w:t>
      </w:r>
    </w:p>
    <w:p w:rsidR="00BF5CA6" w:rsidRPr="006B6DC2" w:rsidRDefault="00BF5CA6" w:rsidP="006B6DC2">
      <w:pPr>
        <w:ind w:left="851"/>
        <w:rPr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3606"/>
        <w:gridCol w:w="1264"/>
        <w:gridCol w:w="1293"/>
      </w:tblGrid>
      <w:tr w:rsidR="00BF5CA6" w:rsidTr="006B6DC2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Bakteriel patogen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Oprindelse (antal testede stammer)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</w:t>
            </w:r>
            <w:r>
              <w:rPr>
                <w:b/>
                <w:bCs/>
                <w:vertAlign w:val="subscript"/>
              </w:rPr>
              <w:t>50</w:t>
            </w:r>
          </w:p>
          <w:p w:rsidR="00BF5CA6" w:rsidRDefault="00BF5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μg</w:t>
            </w:r>
            <w:proofErr w:type="spellEnd"/>
            <w:r>
              <w:rPr>
                <w:b/>
                <w:bCs/>
              </w:rPr>
              <w:t>/ml)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</w:t>
            </w:r>
            <w:r>
              <w:rPr>
                <w:b/>
                <w:bCs/>
                <w:vertAlign w:val="subscript"/>
              </w:rPr>
              <w:t>90</w:t>
            </w:r>
          </w:p>
          <w:p w:rsidR="00BF5CA6" w:rsidRDefault="00BF5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μg</w:t>
            </w:r>
            <w:proofErr w:type="spellEnd"/>
            <w:r>
              <w:rPr>
                <w:b/>
                <w:bCs/>
              </w:rPr>
              <w:t>/ml)</w:t>
            </w:r>
          </w:p>
        </w:tc>
      </w:tr>
      <w:tr w:rsidR="00BF5CA6" w:rsidTr="006B6DC2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Bordetella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bronchiseptica</w:t>
            </w:r>
            <w:proofErr w:type="spellEnd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Hund – luftveje (38)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0,5</w:t>
            </w:r>
          </w:p>
        </w:tc>
      </w:tr>
      <w:tr w:rsidR="00BF5CA6" w:rsidTr="006B6DC2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roofErr w:type="spellStart"/>
            <w:r>
              <w:rPr>
                <w:i/>
                <w:iCs/>
              </w:rPr>
              <w:t>Bordetella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bronchiseptica</w:t>
            </w:r>
            <w:proofErr w:type="spellEnd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Kat – luftveje (11)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0,12</w:t>
            </w:r>
          </w:p>
        </w:tc>
      </w:tr>
      <w:tr w:rsidR="00BF5CA6" w:rsidTr="006B6DC2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roofErr w:type="spellStart"/>
            <w:r>
              <w:rPr>
                <w:i/>
                <w:iCs/>
              </w:rPr>
              <w:t>Pasteurella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Hund – luftveje (27)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0,25</w:t>
            </w:r>
          </w:p>
        </w:tc>
      </w:tr>
      <w:tr w:rsidR="00BF5CA6" w:rsidTr="006B6DC2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proofErr w:type="spellStart"/>
            <w:r>
              <w:rPr>
                <w:i/>
                <w:iCs/>
              </w:rPr>
              <w:t>Pasteurella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Kat – luftveje (77)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A6" w:rsidRDefault="00BF5CA6">
            <w:r>
              <w:t>0,25</w:t>
            </w:r>
          </w:p>
        </w:tc>
      </w:tr>
    </w:tbl>
    <w:p w:rsidR="00BF5CA6" w:rsidRDefault="00BF5CA6" w:rsidP="00BF5CA6">
      <w:pPr>
        <w:tabs>
          <w:tab w:val="left" w:pos="567"/>
        </w:tabs>
        <w:rPr>
          <w:bCs/>
          <w:sz w:val="22"/>
          <w:szCs w:val="22"/>
        </w:rPr>
      </w:pPr>
    </w:p>
    <w:p w:rsidR="00BF5CA6" w:rsidRPr="006B6DC2" w:rsidRDefault="00BF5CA6" w:rsidP="006B6DC2">
      <w:pPr>
        <w:ind w:left="851"/>
        <w:rPr>
          <w:bCs/>
          <w:sz w:val="24"/>
          <w:szCs w:val="24"/>
        </w:rPr>
      </w:pPr>
      <w:r w:rsidRPr="006B6DC2">
        <w:rPr>
          <w:bCs/>
          <w:sz w:val="24"/>
          <w:szCs w:val="24"/>
        </w:rPr>
        <w:t xml:space="preserve">Data om antibiotikafølsomhed for </w:t>
      </w:r>
      <w:proofErr w:type="spellStart"/>
      <w:r w:rsidRPr="006B6DC2">
        <w:rPr>
          <w:bCs/>
          <w:sz w:val="24"/>
          <w:szCs w:val="24"/>
        </w:rPr>
        <w:t>Ehrlichia</w:t>
      </w:r>
      <w:proofErr w:type="spellEnd"/>
      <w:r w:rsidRPr="006B6DC2">
        <w:rPr>
          <w:bCs/>
          <w:sz w:val="24"/>
          <w:szCs w:val="24"/>
        </w:rPr>
        <w:t xml:space="preserve"> </w:t>
      </w:r>
      <w:proofErr w:type="spellStart"/>
      <w:r w:rsidRPr="006B6DC2">
        <w:rPr>
          <w:bCs/>
          <w:sz w:val="24"/>
          <w:szCs w:val="24"/>
        </w:rPr>
        <w:t>canis</w:t>
      </w:r>
      <w:proofErr w:type="spellEnd"/>
      <w:r w:rsidRPr="006B6DC2">
        <w:rPr>
          <w:bCs/>
          <w:sz w:val="24"/>
          <w:szCs w:val="24"/>
        </w:rPr>
        <w:t xml:space="preserve"> er begrænsede.</w:t>
      </w:r>
    </w:p>
    <w:p w:rsidR="00297E52" w:rsidRPr="006B6DC2" w:rsidRDefault="00297E52" w:rsidP="006B6DC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8A431E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A431E">
        <w:rPr>
          <w:b/>
          <w:sz w:val="24"/>
          <w:szCs w:val="24"/>
        </w:rPr>
        <w:t>5.2</w:t>
      </w:r>
      <w:r w:rsidRPr="008A431E">
        <w:rPr>
          <w:b/>
          <w:sz w:val="24"/>
          <w:szCs w:val="24"/>
        </w:rPr>
        <w:tab/>
      </w:r>
      <w:proofErr w:type="spellStart"/>
      <w:r w:rsidRPr="008A431E">
        <w:rPr>
          <w:b/>
          <w:sz w:val="24"/>
          <w:szCs w:val="24"/>
        </w:rPr>
        <w:t>Farmakokinetiske</w:t>
      </w:r>
      <w:proofErr w:type="spellEnd"/>
      <w:r w:rsidRPr="008A431E">
        <w:rPr>
          <w:b/>
          <w:sz w:val="24"/>
          <w:szCs w:val="24"/>
        </w:rPr>
        <w:t xml:space="preserve"> egenskaber</w:t>
      </w:r>
    </w:p>
    <w:p w:rsidR="006B6DC2" w:rsidRPr="006B6DC2" w:rsidRDefault="006B6DC2" w:rsidP="006B6DC2">
      <w:pPr>
        <w:ind w:left="851"/>
        <w:rPr>
          <w:bCs/>
          <w:sz w:val="24"/>
          <w:szCs w:val="24"/>
          <w:u w:val="single"/>
        </w:rPr>
      </w:pPr>
      <w:r w:rsidRPr="006B6DC2">
        <w:rPr>
          <w:bCs/>
          <w:sz w:val="24"/>
          <w:szCs w:val="24"/>
          <w:u w:val="single"/>
        </w:rPr>
        <w:t>Absorption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  <w:r w:rsidRPr="006B6DC2">
        <w:rPr>
          <w:bCs/>
          <w:sz w:val="24"/>
          <w:szCs w:val="24"/>
        </w:rPr>
        <w:t xml:space="preserve">Efter oral administration er biotilgængeligheden af </w:t>
      </w:r>
      <w:proofErr w:type="spellStart"/>
      <w:r w:rsidRPr="006B6DC2">
        <w:rPr>
          <w:bCs/>
          <w:sz w:val="24"/>
          <w:szCs w:val="24"/>
        </w:rPr>
        <w:t>doxycyklin</w:t>
      </w:r>
      <w:proofErr w:type="spellEnd"/>
      <w:r w:rsidRPr="006B6DC2">
        <w:rPr>
          <w:bCs/>
          <w:sz w:val="24"/>
          <w:szCs w:val="24"/>
        </w:rPr>
        <w:t xml:space="preserve"> ca. 45 % hos hunde og katte. Maksimalkoncentrationer på 1,4 </w:t>
      </w:r>
      <w:proofErr w:type="spellStart"/>
      <w:r w:rsidRPr="006B6DC2">
        <w:rPr>
          <w:bCs/>
          <w:sz w:val="24"/>
          <w:szCs w:val="24"/>
        </w:rPr>
        <w:t>μg</w:t>
      </w:r>
      <w:proofErr w:type="spellEnd"/>
      <w:r w:rsidRPr="006B6DC2">
        <w:rPr>
          <w:bCs/>
          <w:sz w:val="24"/>
          <w:szCs w:val="24"/>
        </w:rPr>
        <w:t>/ml (hunde) og 4,3 </w:t>
      </w:r>
      <w:proofErr w:type="spellStart"/>
      <w:r w:rsidRPr="006B6DC2">
        <w:rPr>
          <w:bCs/>
          <w:sz w:val="24"/>
          <w:szCs w:val="24"/>
        </w:rPr>
        <w:t>μg</w:t>
      </w:r>
      <w:proofErr w:type="spellEnd"/>
      <w:r w:rsidRPr="006B6DC2">
        <w:rPr>
          <w:bCs/>
          <w:sz w:val="24"/>
          <w:szCs w:val="24"/>
        </w:rPr>
        <w:t xml:space="preserve">/ml (katte) nås inden for 3 timer efter oral administration, hvilket understøtter, at </w:t>
      </w:r>
      <w:proofErr w:type="spellStart"/>
      <w:r w:rsidRPr="006B6DC2">
        <w:rPr>
          <w:bCs/>
          <w:sz w:val="24"/>
          <w:szCs w:val="24"/>
        </w:rPr>
        <w:t>doxycyklin</w:t>
      </w:r>
      <w:proofErr w:type="spellEnd"/>
      <w:r w:rsidRPr="006B6DC2">
        <w:rPr>
          <w:bCs/>
          <w:sz w:val="24"/>
          <w:szCs w:val="24"/>
        </w:rPr>
        <w:t xml:space="preserve"> absorberes hurtigt fra </w:t>
      </w:r>
      <w:proofErr w:type="spellStart"/>
      <w:r w:rsidRPr="006B6DC2">
        <w:rPr>
          <w:bCs/>
          <w:sz w:val="24"/>
          <w:szCs w:val="24"/>
        </w:rPr>
        <w:t>mave-tarmkanalen</w:t>
      </w:r>
      <w:proofErr w:type="spellEnd"/>
      <w:r w:rsidRPr="006B6DC2">
        <w:rPr>
          <w:bCs/>
          <w:sz w:val="24"/>
          <w:szCs w:val="24"/>
        </w:rPr>
        <w:t>.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</w:p>
    <w:p w:rsidR="006B6DC2" w:rsidRPr="006B6DC2" w:rsidRDefault="006B6DC2" w:rsidP="006B6DC2">
      <w:pPr>
        <w:ind w:left="851"/>
        <w:rPr>
          <w:bCs/>
          <w:sz w:val="24"/>
          <w:szCs w:val="24"/>
          <w:u w:val="single"/>
        </w:rPr>
      </w:pPr>
      <w:r w:rsidRPr="006B6DC2">
        <w:rPr>
          <w:bCs/>
          <w:sz w:val="24"/>
          <w:szCs w:val="24"/>
          <w:u w:val="single"/>
        </w:rPr>
        <w:t>Fordeling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  <w:proofErr w:type="spellStart"/>
      <w:r w:rsidRPr="006B6DC2">
        <w:rPr>
          <w:bCs/>
          <w:sz w:val="24"/>
          <w:szCs w:val="24"/>
        </w:rPr>
        <w:t>Doxycyklin</w:t>
      </w:r>
      <w:proofErr w:type="spellEnd"/>
      <w:r w:rsidRPr="006B6DC2">
        <w:rPr>
          <w:bCs/>
          <w:sz w:val="24"/>
          <w:szCs w:val="24"/>
        </w:rPr>
        <w:t xml:space="preserve"> er bredt fordelt i hele organismen på grund af dets fysisk-kemiske egenskaber, da det er meget fedtopløseligt. Proteinbinding hos hunde er rapporteret som 91,75 % ± 0,63 og 91,4 % i litteraturen. Hos katte rapporterer en publikation om en proteinbinding på 98,35 % ± 0,24.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  <w:r w:rsidRPr="006B6DC2">
        <w:rPr>
          <w:bCs/>
          <w:sz w:val="24"/>
          <w:szCs w:val="24"/>
        </w:rPr>
        <w:t>Vævskoncentrationerne, med undtagelse af huden, er generelt højere end plasmaniveauerne, inklusive udskillelsesorganerne (lever, nyre og tarme) og for lungerne.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</w:p>
    <w:p w:rsidR="006B6DC2" w:rsidRPr="006B6DC2" w:rsidRDefault="006B6DC2" w:rsidP="006B6DC2">
      <w:pPr>
        <w:ind w:left="851"/>
        <w:rPr>
          <w:bCs/>
          <w:sz w:val="24"/>
          <w:szCs w:val="24"/>
          <w:u w:val="single"/>
        </w:rPr>
      </w:pPr>
      <w:r w:rsidRPr="006B6DC2">
        <w:rPr>
          <w:bCs/>
          <w:sz w:val="24"/>
          <w:szCs w:val="24"/>
          <w:u w:val="single"/>
        </w:rPr>
        <w:t>Elimination</w:t>
      </w:r>
    </w:p>
    <w:p w:rsidR="006B6DC2" w:rsidRPr="006B6DC2" w:rsidRDefault="006B6DC2" w:rsidP="006B6DC2">
      <w:pPr>
        <w:ind w:left="851"/>
        <w:rPr>
          <w:bCs/>
          <w:sz w:val="24"/>
          <w:szCs w:val="24"/>
        </w:rPr>
      </w:pPr>
      <w:r w:rsidRPr="006B6DC2">
        <w:rPr>
          <w:bCs/>
          <w:sz w:val="24"/>
          <w:szCs w:val="24"/>
        </w:rPr>
        <w:t>Efter en enkelt administration er halveringstiden (T</w:t>
      </w:r>
      <w:r w:rsidRPr="006B6DC2">
        <w:rPr>
          <w:bCs/>
          <w:sz w:val="24"/>
          <w:szCs w:val="24"/>
          <w:vertAlign w:val="subscript"/>
        </w:rPr>
        <w:t>1/2</w:t>
      </w:r>
      <w:r w:rsidRPr="006B6DC2">
        <w:rPr>
          <w:bCs/>
          <w:sz w:val="24"/>
          <w:szCs w:val="24"/>
        </w:rPr>
        <w:t>) 8,37 timer hos katte. Udskillelse sker i uændret aktiv form (90 %) via fæces (ca. 75 %), via urinen (ca. 25 %) og mindre end 5 % via galdevejene</w:t>
      </w:r>
      <w:r w:rsidRPr="006B6DC2">
        <w:rPr>
          <w:bCs/>
          <w:iCs/>
          <w:sz w:val="24"/>
          <w:szCs w:val="24"/>
          <w:lang w:val="cs-CZ"/>
        </w:rPr>
        <w:t>.</w:t>
      </w:r>
    </w:p>
    <w:p w:rsidR="00297E52" w:rsidRPr="005668F5" w:rsidRDefault="00297E52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297E52" w:rsidRPr="00C550E6" w:rsidRDefault="00297E52" w:rsidP="00297E52">
      <w:pPr>
        <w:tabs>
          <w:tab w:val="left" w:pos="567"/>
        </w:tabs>
        <w:ind w:left="851"/>
        <w:rPr>
          <w:snapToGrid w:val="0"/>
          <w:sz w:val="24"/>
          <w:szCs w:val="24"/>
        </w:rPr>
      </w:pPr>
      <w:proofErr w:type="spellStart"/>
      <w:r w:rsidRPr="00C550E6">
        <w:rPr>
          <w:snapToGrid w:val="0"/>
          <w:sz w:val="24"/>
          <w:szCs w:val="24"/>
        </w:rPr>
        <w:t>Natriumstivelsesglycolat</w:t>
      </w:r>
      <w:proofErr w:type="spellEnd"/>
      <w:r w:rsidRPr="00C550E6">
        <w:rPr>
          <w:snapToGrid w:val="0"/>
          <w:sz w:val="24"/>
          <w:szCs w:val="24"/>
        </w:rPr>
        <w:t xml:space="preserve"> (type a)</w:t>
      </w:r>
    </w:p>
    <w:p w:rsidR="00297E52" w:rsidRPr="00137F0F" w:rsidRDefault="00297E52" w:rsidP="00297E52">
      <w:pPr>
        <w:tabs>
          <w:tab w:val="left" w:pos="567"/>
        </w:tabs>
        <w:ind w:left="851"/>
        <w:rPr>
          <w:bCs/>
          <w:snapToGrid w:val="0"/>
          <w:sz w:val="24"/>
          <w:szCs w:val="24"/>
        </w:rPr>
      </w:pPr>
      <w:r w:rsidRPr="00137F0F">
        <w:rPr>
          <w:bCs/>
          <w:snapToGrid w:val="0"/>
          <w:sz w:val="24"/>
          <w:szCs w:val="24"/>
        </w:rPr>
        <w:t>Mikrokrystallinsk cellulose</w:t>
      </w:r>
    </w:p>
    <w:p w:rsidR="00297E52" w:rsidRPr="00C550E6" w:rsidRDefault="00297E52" w:rsidP="00297E52">
      <w:pPr>
        <w:tabs>
          <w:tab w:val="left" w:pos="567"/>
        </w:tabs>
        <w:ind w:left="851"/>
        <w:rPr>
          <w:snapToGrid w:val="0"/>
          <w:sz w:val="24"/>
          <w:szCs w:val="24"/>
        </w:rPr>
      </w:pPr>
      <w:r w:rsidRPr="00C550E6">
        <w:rPr>
          <w:snapToGrid w:val="0"/>
          <w:sz w:val="24"/>
          <w:szCs w:val="24"/>
        </w:rPr>
        <w:t>Gærekstrakt</w:t>
      </w:r>
    </w:p>
    <w:p w:rsidR="00297E52" w:rsidRPr="009F2CEC" w:rsidRDefault="00297E52" w:rsidP="00297E52">
      <w:pPr>
        <w:tabs>
          <w:tab w:val="left" w:pos="567"/>
        </w:tabs>
        <w:ind w:left="851"/>
        <w:rPr>
          <w:snapToGrid w:val="0"/>
          <w:sz w:val="24"/>
          <w:szCs w:val="24"/>
        </w:rPr>
      </w:pPr>
      <w:proofErr w:type="spellStart"/>
      <w:r w:rsidRPr="00C550E6">
        <w:rPr>
          <w:snapToGrid w:val="0"/>
          <w:sz w:val="24"/>
          <w:szCs w:val="24"/>
        </w:rPr>
        <w:t>Magnesiumstearat</w:t>
      </w:r>
      <w:proofErr w:type="spellEnd"/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297E52" w:rsidRPr="00406EE7" w:rsidRDefault="00297E52" w:rsidP="00297E52">
      <w:pPr>
        <w:ind w:left="851"/>
        <w:rPr>
          <w:sz w:val="24"/>
          <w:szCs w:val="24"/>
        </w:rPr>
      </w:pPr>
      <w:r w:rsidRPr="009B413D">
        <w:rPr>
          <w:sz w:val="24"/>
          <w:szCs w:val="24"/>
        </w:rPr>
        <w:t>I salgspakning: 30 måneder</w:t>
      </w:r>
      <w:r>
        <w:rPr>
          <w:sz w:val="24"/>
          <w:szCs w:val="24"/>
        </w:rPr>
        <w:t>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297E52" w:rsidRDefault="00297E52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37F0F">
        <w:rPr>
          <w:bCs/>
          <w:sz w:val="24"/>
          <w:szCs w:val="24"/>
        </w:rPr>
        <w:t>Dette veterinærlægemiddel kræver ingen særlige forholdsregler vedrørende opbevaringen</w:t>
      </w:r>
      <w:r>
        <w:rPr>
          <w:bCs/>
          <w:sz w:val="24"/>
          <w:szCs w:val="24"/>
        </w:rPr>
        <w:t>.</w:t>
      </w:r>
    </w:p>
    <w:p w:rsidR="00297E52" w:rsidRPr="00137F0F" w:rsidRDefault="00297E52" w:rsidP="00297E52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137F0F">
        <w:rPr>
          <w:bCs/>
          <w:sz w:val="24"/>
          <w:szCs w:val="24"/>
        </w:rPr>
        <w:br/>
        <w:t>Eventuel tilover</w:t>
      </w:r>
      <w:r>
        <w:rPr>
          <w:bCs/>
          <w:sz w:val="24"/>
          <w:szCs w:val="24"/>
        </w:rPr>
        <w:t>s</w:t>
      </w:r>
      <w:r w:rsidRPr="00137F0F">
        <w:rPr>
          <w:bCs/>
          <w:sz w:val="24"/>
          <w:szCs w:val="24"/>
        </w:rPr>
        <w:t xml:space="preserve">bleven </w:t>
      </w:r>
      <w:r>
        <w:rPr>
          <w:bCs/>
          <w:sz w:val="24"/>
          <w:szCs w:val="24"/>
        </w:rPr>
        <w:t>tablet-</w:t>
      </w:r>
      <w:r w:rsidRPr="00137F0F">
        <w:rPr>
          <w:bCs/>
          <w:sz w:val="24"/>
          <w:szCs w:val="24"/>
        </w:rPr>
        <w:t>del bør returneres til blisterpakningen og gives ved den næste administration.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rFonts w:cs="Arial"/>
          <w:bCs/>
          <w:sz w:val="24"/>
          <w:szCs w:val="24"/>
        </w:rPr>
      </w:pPr>
      <w:r w:rsidRPr="005226BA">
        <w:rPr>
          <w:rFonts w:cs="Arial"/>
          <w:bCs/>
          <w:sz w:val="24"/>
          <w:szCs w:val="24"/>
        </w:rPr>
        <w:t>OPA/</w:t>
      </w:r>
      <w:proofErr w:type="gramStart"/>
      <w:r w:rsidRPr="005226BA">
        <w:rPr>
          <w:rFonts w:cs="Arial"/>
          <w:bCs/>
          <w:sz w:val="24"/>
          <w:szCs w:val="24"/>
        </w:rPr>
        <w:t>Aluminium/PVC folie</w:t>
      </w:r>
      <w:proofErr w:type="gramEnd"/>
      <w:r w:rsidRPr="005226BA">
        <w:rPr>
          <w:rFonts w:cs="Arial"/>
          <w:bCs/>
          <w:sz w:val="24"/>
          <w:szCs w:val="24"/>
        </w:rPr>
        <w:t xml:space="preserve"> og aluminiumsfolie blisterpakning indeholdende 10 tabletter</w:t>
      </w:r>
      <w:r>
        <w:rPr>
          <w:rFonts w:cs="Arial"/>
          <w:bCs/>
          <w:sz w:val="24"/>
          <w:szCs w:val="24"/>
        </w:rPr>
        <w:t>, i kartonæske.</w:t>
      </w: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rFonts w:cs="Arial"/>
          <w:bCs/>
          <w:sz w:val="24"/>
          <w:szCs w:val="24"/>
        </w:rPr>
      </w:pP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Pakningsstørrelser:</w:t>
      </w:r>
      <w:r w:rsidRPr="005226BA">
        <w:rPr>
          <w:rFonts w:cs="Arial"/>
          <w:bCs/>
          <w:sz w:val="24"/>
          <w:szCs w:val="24"/>
        </w:rPr>
        <w:t xml:space="preserve"> 10, 20, 30, 40, 50, 60, 70, 80, 90, 100 </w:t>
      </w:r>
      <w:r>
        <w:rPr>
          <w:rFonts w:cs="Arial"/>
          <w:bCs/>
          <w:sz w:val="24"/>
          <w:szCs w:val="24"/>
        </w:rPr>
        <w:t>og</w:t>
      </w:r>
      <w:r w:rsidRPr="005226BA">
        <w:rPr>
          <w:rFonts w:cs="Arial"/>
          <w:bCs/>
          <w:sz w:val="24"/>
          <w:szCs w:val="24"/>
        </w:rPr>
        <w:t xml:space="preserve"> 250 tabletter.</w:t>
      </w: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rFonts w:cs="Arial"/>
          <w:bCs/>
          <w:sz w:val="24"/>
          <w:szCs w:val="24"/>
        </w:rPr>
      </w:pP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rFonts w:cs="Arial"/>
          <w:bCs/>
          <w:sz w:val="24"/>
          <w:szCs w:val="24"/>
          <w:lang w:val="nl-NL"/>
        </w:rPr>
      </w:pPr>
      <w:r w:rsidRPr="005226BA">
        <w:rPr>
          <w:rFonts w:cs="Arial"/>
          <w:bCs/>
          <w:sz w:val="24"/>
          <w:szCs w:val="24"/>
          <w:lang w:val="nl-NL"/>
        </w:rPr>
        <w:t>Ikke alle pakningsstørrelser er nødvendigvis markedsført.</w:t>
      </w:r>
    </w:p>
    <w:p w:rsidR="00297E52" w:rsidRPr="005226BA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  <w:lang w:val="nl-NL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297E52" w:rsidRPr="0069592B" w:rsidRDefault="00297E52" w:rsidP="00297E52">
      <w:pPr>
        <w:ind w:left="851"/>
        <w:rPr>
          <w:sz w:val="24"/>
          <w:szCs w:val="24"/>
          <w:lang w:val="nl-NL"/>
        </w:rPr>
      </w:pPr>
      <w:r w:rsidRPr="005A290B">
        <w:rPr>
          <w:sz w:val="24"/>
          <w:szCs w:val="24"/>
        </w:rPr>
        <w:t>Ikke anvendte veterinærlægemidler samt affald heraf bør destrueres i henhold til lokale retningslinjer</w:t>
      </w:r>
      <w:r>
        <w:rPr>
          <w:sz w:val="24"/>
          <w:szCs w:val="24"/>
          <w:lang w:val="nl-NL"/>
        </w:rPr>
        <w:t>.</w:t>
      </w:r>
    </w:p>
    <w:p w:rsidR="00297E52" w:rsidRPr="00070728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297E52" w:rsidRPr="00883660" w:rsidRDefault="00297E52" w:rsidP="00297E52">
      <w:pPr>
        <w:ind w:left="851"/>
        <w:jc w:val="both"/>
        <w:rPr>
          <w:sz w:val="24"/>
          <w:szCs w:val="24"/>
          <w:lang w:val="nl-NL"/>
        </w:rPr>
      </w:pPr>
      <w:bookmarkStart w:id="4" w:name="_Hlk14243310"/>
      <w:r w:rsidRPr="00883660">
        <w:rPr>
          <w:sz w:val="24"/>
          <w:szCs w:val="24"/>
          <w:lang w:val="nl-NL"/>
        </w:rPr>
        <w:t>Ecuphar NV</w:t>
      </w:r>
    </w:p>
    <w:p w:rsidR="00297E52" w:rsidRPr="00883660" w:rsidRDefault="00297E52" w:rsidP="00297E52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Legeweg 157-i</w:t>
      </w:r>
    </w:p>
    <w:p w:rsidR="00297E52" w:rsidRPr="00883660" w:rsidRDefault="00297E52" w:rsidP="00297E52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B-8020</w:t>
      </w:r>
      <w:r>
        <w:rPr>
          <w:sz w:val="24"/>
          <w:szCs w:val="24"/>
          <w:lang w:val="nl-NL"/>
        </w:rPr>
        <w:t xml:space="preserve"> </w:t>
      </w:r>
      <w:r w:rsidRPr="00883660">
        <w:rPr>
          <w:sz w:val="24"/>
          <w:szCs w:val="24"/>
          <w:lang w:val="nl-NL"/>
        </w:rPr>
        <w:t>Oostkamp</w:t>
      </w:r>
    </w:p>
    <w:p w:rsidR="00297E52" w:rsidRDefault="00297E52" w:rsidP="00297E52">
      <w:pPr>
        <w:ind w:left="851"/>
        <w:jc w:val="both"/>
        <w:rPr>
          <w:sz w:val="24"/>
          <w:szCs w:val="24"/>
          <w:lang w:val="nl-NL"/>
        </w:rPr>
      </w:pPr>
      <w:r w:rsidRPr="00883660">
        <w:rPr>
          <w:sz w:val="24"/>
          <w:szCs w:val="24"/>
          <w:lang w:val="nl-NL"/>
        </w:rPr>
        <w:t>Belgien</w:t>
      </w:r>
      <w:bookmarkEnd w:id="4"/>
    </w:p>
    <w:p w:rsidR="00297E52" w:rsidRDefault="00297E52" w:rsidP="00297E52">
      <w:pPr>
        <w:ind w:left="851"/>
        <w:jc w:val="both"/>
        <w:rPr>
          <w:sz w:val="24"/>
          <w:szCs w:val="24"/>
          <w:lang w:val="nl-NL"/>
        </w:rPr>
      </w:pPr>
    </w:p>
    <w:p w:rsidR="00297E52" w:rsidRDefault="00297E52" w:rsidP="00297E52">
      <w:pPr>
        <w:ind w:left="851"/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Repræsentant</w:t>
      </w:r>
    </w:p>
    <w:p w:rsidR="00297E52" w:rsidRPr="00E952E9" w:rsidRDefault="00297E52" w:rsidP="00297E52">
      <w:pPr>
        <w:ind w:left="851"/>
        <w:jc w:val="both"/>
        <w:rPr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ScanVet Animal Health AS</w:t>
      </w:r>
    </w:p>
    <w:p w:rsidR="00297E52" w:rsidRPr="00E952E9" w:rsidRDefault="00297E52" w:rsidP="00297E52">
      <w:pPr>
        <w:ind w:left="851"/>
        <w:jc w:val="both"/>
        <w:rPr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Kongevejen 66</w:t>
      </w:r>
    </w:p>
    <w:p w:rsidR="00297E52" w:rsidRPr="00E952E9" w:rsidRDefault="00297E52" w:rsidP="00297E52">
      <w:pPr>
        <w:ind w:left="851"/>
        <w:jc w:val="both"/>
        <w:rPr>
          <w:b/>
          <w:sz w:val="24"/>
          <w:szCs w:val="24"/>
          <w:lang w:val="nl-NL"/>
        </w:rPr>
      </w:pPr>
      <w:r w:rsidRPr="00E952E9">
        <w:rPr>
          <w:sz w:val="24"/>
          <w:szCs w:val="24"/>
          <w:lang w:val="nl-NL"/>
        </w:rPr>
        <w:t>3480 Fredensborg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297E52" w:rsidRDefault="00297E52" w:rsidP="00297E52">
      <w:pPr>
        <w:tabs>
          <w:tab w:val="left" w:pos="170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40 mg:</w:t>
      </w:r>
      <w:r>
        <w:rPr>
          <w:sz w:val="24"/>
          <w:szCs w:val="24"/>
        </w:rPr>
        <w:tab/>
        <w:t>61154</w:t>
      </w:r>
    </w:p>
    <w:p w:rsidR="00297E52" w:rsidRPr="00406EE7" w:rsidRDefault="00297E52" w:rsidP="00297E52">
      <w:pPr>
        <w:tabs>
          <w:tab w:val="left" w:pos="170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200 mg:</w:t>
      </w:r>
      <w:r>
        <w:rPr>
          <w:sz w:val="24"/>
          <w:szCs w:val="24"/>
        </w:rPr>
        <w:tab/>
        <w:t>61155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august 2019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297E52" w:rsidRPr="00406EE7" w:rsidRDefault="00BA5A33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A5A33">
        <w:rPr>
          <w:sz w:val="24"/>
          <w:szCs w:val="24"/>
        </w:rPr>
        <w:t>9. august 2022</w:t>
      </w:r>
    </w:p>
    <w:p w:rsidR="00297E52" w:rsidRPr="00406EE7" w:rsidRDefault="00297E52" w:rsidP="00297E5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97E52" w:rsidRPr="00406EE7" w:rsidRDefault="00297E52" w:rsidP="00297E5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297E52" w:rsidRPr="00643E2C" w:rsidRDefault="00297E52" w:rsidP="00297E52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</w:t>
      </w:r>
    </w:p>
    <w:p w:rsidR="00297E52" w:rsidRPr="00DF73F1" w:rsidRDefault="00297E52" w:rsidP="00297E52"/>
    <w:p w:rsidR="0003527F" w:rsidRPr="00297E52" w:rsidRDefault="0003527F" w:rsidP="00297E52"/>
    <w:sectPr w:rsidR="0003527F" w:rsidRPr="00297E52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52" w:rsidRDefault="00297E52">
      <w:r>
        <w:separator/>
      </w:r>
    </w:p>
  </w:endnote>
  <w:endnote w:type="continuationSeparator" w:id="0">
    <w:p w:rsidR="00297E52" w:rsidRDefault="0029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C2A86">
      <w:rPr>
        <w:i/>
        <w:noProof/>
        <w:snapToGrid w:val="0"/>
        <w:sz w:val="18"/>
      </w:rPr>
      <w:t>Doxycare Vet., tabletter 40 mg og 200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C2A86">
      <w:rPr>
        <w:i/>
        <w:noProof/>
        <w:snapToGrid w:val="0"/>
        <w:sz w:val="18"/>
      </w:rPr>
      <w:t>Doxycare Vet., tabletter 40 mg og 200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52" w:rsidRDefault="00297E52">
      <w:r>
        <w:separator/>
      </w:r>
    </w:p>
  </w:footnote>
  <w:footnote w:type="continuationSeparator" w:id="0">
    <w:p w:rsidR="00297E52" w:rsidRDefault="0029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2"/>
    <w:rsid w:val="0003527F"/>
    <w:rsid w:val="00065C7D"/>
    <w:rsid w:val="000C6CD4"/>
    <w:rsid w:val="00132F7B"/>
    <w:rsid w:val="001577E4"/>
    <w:rsid w:val="001858CA"/>
    <w:rsid w:val="001C4AEF"/>
    <w:rsid w:val="001D3CC5"/>
    <w:rsid w:val="0023750E"/>
    <w:rsid w:val="00297E52"/>
    <w:rsid w:val="002C2A86"/>
    <w:rsid w:val="00322BDE"/>
    <w:rsid w:val="00406EE7"/>
    <w:rsid w:val="00407013"/>
    <w:rsid w:val="00482D26"/>
    <w:rsid w:val="004A62CC"/>
    <w:rsid w:val="00565A74"/>
    <w:rsid w:val="005B0036"/>
    <w:rsid w:val="005F5831"/>
    <w:rsid w:val="00621F7A"/>
    <w:rsid w:val="00662012"/>
    <w:rsid w:val="00666B01"/>
    <w:rsid w:val="006B1539"/>
    <w:rsid w:val="006B6DC2"/>
    <w:rsid w:val="006D4B41"/>
    <w:rsid w:val="006F5621"/>
    <w:rsid w:val="007E2A00"/>
    <w:rsid w:val="008010F2"/>
    <w:rsid w:val="009202AE"/>
    <w:rsid w:val="00932676"/>
    <w:rsid w:val="009502D7"/>
    <w:rsid w:val="009D66C6"/>
    <w:rsid w:val="00A96525"/>
    <w:rsid w:val="00AE29E5"/>
    <w:rsid w:val="00AE5757"/>
    <w:rsid w:val="00AF4DF9"/>
    <w:rsid w:val="00B25EB8"/>
    <w:rsid w:val="00BA5A33"/>
    <w:rsid w:val="00BC634B"/>
    <w:rsid w:val="00BF2AE0"/>
    <w:rsid w:val="00BF5CA6"/>
    <w:rsid w:val="00C479BF"/>
    <w:rsid w:val="00D567AA"/>
    <w:rsid w:val="00DD6D71"/>
    <w:rsid w:val="00DF32BE"/>
    <w:rsid w:val="00E14F0A"/>
    <w:rsid w:val="00E74478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B51"/>
  <w15:chartTrackingRefBased/>
  <w15:docId w15:val="{CD1D6A1F-CAD6-4CBA-BCB6-F20EF0EB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28</TotalTime>
  <Pages>6</Pages>
  <Words>1515</Words>
  <Characters>9925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2021101262_x000d_
SPC pkt. 2, 4.2-4.10, 5.1, 5.2</dc:description>
  <cp:lastModifiedBy>Betty Winther Andersen</cp:lastModifiedBy>
  <cp:revision>8</cp:revision>
  <dcterms:created xsi:type="dcterms:W3CDTF">2022-08-05T06:44:00Z</dcterms:created>
  <dcterms:modified xsi:type="dcterms:W3CDTF">2022-08-05T07:50:00Z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