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40D72" w14:textId="77777777" w:rsidR="005B0036" w:rsidRPr="008F49E1" w:rsidRDefault="005B0036" w:rsidP="005B0036">
      <w:pPr>
        <w:rPr>
          <w:sz w:val="24"/>
          <w:szCs w:val="24"/>
        </w:rPr>
      </w:pPr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0B9A6450" wp14:editId="3D070F67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B478" w14:textId="77777777" w:rsidR="00C479BF" w:rsidRDefault="00C479BF" w:rsidP="005B0036">
      <w:pPr>
        <w:rPr>
          <w:sz w:val="24"/>
          <w:szCs w:val="24"/>
        </w:rPr>
      </w:pPr>
    </w:p>
    <w:p w14:paraId="492C2234" w14:textId="22821BC7" w:rsidR="00C479BF" w:rsidRPr="00C20AF7" w:rsidRDefault="00C479BF" w:rsidP="005B0036">
      <w:pPr>
        <w:rPr>
          <w:sz w:val="24"/>
          <w:szCs w:val="24"/>
        </w:rPr>
      </w:pPr>
    </w:p>
    <w:p w14:paraId="3D291116" w14:textId="22C30F0E" w:rsidR="005B0036" w:rsidRPr="00406EE7" w:rsidRDefault="005B0036" w:rsidP="005B0036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02A41">
        <w:rPr>
          <w:b/>
          <w:sz w:val="24"/>
          <w:szCs w:val="24"/>
        </w:rPr>
        <w:t>24</w:t>
      </w:r>
      <w:r w:rsidR="00467066">
        <w:rPr>
          <w:b/>
          <w:sz w:val="24"/>
          <w:szCs w:val="24"/>
        </w:rPr>
        <w:t xml:space="preserve">. </w:t>
      </w:r>
      <w:r w:rsidR="00F02A41">
        <w:rPr>
          <w:b/>
          <w:sz w:val="24"/>
          <w:szCs w:val="24"/>
        </w:rPr>
        <w:t>januar</w:t>
      </w:r>
      <w:r w:rsidR="00467066">
        <w:rPr>
          <w:b/>
          <w:sz w:val="24"/>
          <w:szCs w:val="24"/>
        </w:rPr>
        <w:t xml:space="preserve"> 20</w:t>
      </w:r>
      <w:r w:rsidR="00F02A41">
        <w:rPr>
          <w:b/>
          <w:sz w:val="24"/>
          <w:szCs w:val="24"/>
        </w:rPr>
        <w:t>24</w:t>
      </w:r>
    </w:p>
    <w:p w14:paraId="6B815DEB" w14:textId="77777777" w:rsidR="005B0036" w:rsidRPr="00406EE7" w:rsidRDefault="005B0036" w:rsidP="005B0036">
      <w:pPr>
        <w:rPr>
          <w:sz w:val="24"/>
          <w:szCs w:val="24"/>
        </w:rPr>
      </w:pPr>
    </w:p>
    <w:p w14:paraId="5CFCF3E9" w14:textId="77777777" w:rsidR="005B0036" w:rsidRPr="00406EE7" w:rsidRDefault="005B0036" w:rsidP="005B0036">
      <w:pPr>
        <w:rPr>
          <w:sz w:val="24"/>
          <w:szCs w:val="24"/>
        </w:rPr>
      </w:pPr>
    </w:p>
    <w:p w14:paraId="6F260F14" w14:textId="77777777" w:rsidR="00C479BF" w:rsidRDefault="00C479BF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221D5F83" w14:textId="77777777" w:rsidR="00C479BF" w:rsidRDefault="00C479BF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5BE5F822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206D1E80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1537C86E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14:paraId="1810D2B8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58709D81" w14:textId="77777777" w:rsidR="005B0036" w:rsidRPr="00565A74" w:rsidRDefault="002D13AF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Doxytab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tabletter</w:t>
      </w:r>
    </w:p>
    <w:p w14:paraId="735754B2" w14:textId="77777777"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78593403" w14:textId="77777777"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112D40F7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14:paraId="10221089" w14:textId="77777777" w:rsidR="005B0036" w:rsidRPr="00406EE7" w:rsidRDefault="002D13AF" w:rsidP="005B00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31718</w:t>
      </w:r>
    </w:p>
    <w:p w14:paraId="05E11238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26849588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14:paraId="47695C2C" w14:textId="77777777" w:rsidR="005B0036" w:rsidRPr="00406EE7" w:rsidRDefault="00FC3FD7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Doxytab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</w:p>
    <w:p w14:paraId="3001CEB0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50631373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14:paraId="03EDF0A2" w14:textId="77777777" w:rsidR="00FE1940" w:rsidRPr="0085283C" w:rsidRDefault="00FE1940" w:rsidP="00FE1940">
      <w:pPr>
        <w:ind w:left="851"/>
        <w:rPr>
          <w:sz w:val="24"/>
          <w:szCs w:val="24"/>
        </w:rPr>
      </w:pPr>
      <w:r w:rsidRPr="0085283C">
        <w:rPr>
          <w:sz w:val="24"/>
          <w:szCs w:val="24"/>
        </w:rPr>
        <w:t>En tablet indeholder:</w:t>
      </w:r>
    </w:p>
    <w:p w14:paraId="5A351FC3" w14:textId="77777777" w:rsidR="00FE1940" w:rsidRPr="0085283C" w:rsidRDefault="00FE1940" w:rsidP="00FE1940">
      <w:pPr>
        <w:ind w:left="851"/>
        <w:rPr>
          <w:b/>
          <w:sz w:val="24"/>
          <w:szCs w:val="24"/>
        </w:rPr>
      </w:pPr>
    </w:p>
    <w:p w14:paraId="43105C6C" w14:textId="77777777" w:rsidR="00FE1940" w:rsidRPr="00FE1940" w:rsidRDefault="00FE1940" w:rsidP="00FE1940">
      <w:pPr>
        <w:ind w:left="851"/>
        <w:rPr>
          <w:sz w:val="24"/>
          <w:szCs w:val="24"/>
          <w:u w:val="single"/>
        </w:rPr>
      </w:pPr>
      <w:r w:rsidRPr="00FE1940">
        <w:rPr>
          <w:sz w:val="24"/>
          <w:szCs w:val="24"/>
          <w:u w:val="single"/>
        </w:rPr>
        <w:t>Aktivt stof</w:t>
      </w:r>
    </w:p>
    <w:p w14:paraId="65B67A3E" w14:textId="77777777" w:rsidR="00FE1940" w:rsidRPr="0085283C" w:rsidRDefault="00FE1940" w:rsidP="00FE1940">
      <w:pPr>
        <w:ind w:left="851"/>
        <w:rPr>
          <w:sz w:val="24"/>
          <w:szCs w:val="24"/>
        </w:rPr>
      </w:pPr>
    </w:p>
    <w:p w14:paraId="247C82A7" w14:textId="77777777" w:rsidR="00FE1940" w:rsidRPr="00FE1940" w:rsidRDefault="004C38EC" w:rsidP="00FE1940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Doxytab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Vet</w:t>
      </w:r>
      <w:proofErr w:type="spellEnd"/>
      <w:r>
        <w:rPr>
          <w:i/>
          <w:sz w:val="24"/>
          <w:szCs w:val="24"/>
        </w:rPr>
        <w:t>.</w:t>
      </w:r>
      <w:r w:rsidR="00FE1940" w:rsidRPr="00FE1940">
        <w:rPr>
          <w:i/>
          <w:sz w:val="24"/>
          <w:szCs w:val="24"/>
        </w:rPr>
        <w:t xml:space="preserve"> 15 mg</w:t>
      </w:r>
    </w:p>
    <w:p w14:paraId="57AD0A3F" w14:textId="77777777" w:rsidR="00FE1940" w:rsidRPr="00467066" w:rsidRDefault="00FE1940" w:rsidP="00FE1940">
      <w:pPr>
        <w:tabs>
          <w:tab w:val="left" w:pos="3119"/>
        </w:tabs>
        <w:ind w:left="851"/>
        <w:rPr>
          <w:sz w:val="24"/>
          <w:szCs w:val="24"/>
        </w:rPr>
      </w:pPr>
      <w:proofErr w:type="spellStart"/>
      <w:r w:rsidRPr="00467066">
        <w:rPr>
          <w:sz w:val="24"/>
          <w:szCs w:val="24"/>
        </w:rPr>
        <w:t>Doxycyclin</w:t>
      </w:r>
      <w:proofErr w:type="spellEnd"/>
      <w:r w:rsidRPr="00467066">
        <w:rPr>
          <w:sz w:val="24"/>
          <w:szCs w:val="24"/>
        </w:rPr>
        <w:tab/>
        <w:t>15 mg</w:t>
      </w:r>
      <w:r w:rsidR="00366025" w:rsidRPr="00467066">
        <w:rPr>
          <w:sz w:val="24"/>
          <w:szCs w:val="24"/>
        </w:rPr>
        <w:t xml:space="preserve"> </w:t>
      </w:r>
      <w:r w:rsidRPr="00467066">
        <w:rPr>
          <w:sz w:val="24"/>
          <w:szCs w:val="24"/>
        </w:rPr>
        <w:t xml:space="preserve">(som </w:t>
      </w:r>
      <w:proofErr w:type="spellStart"/>
      <w:r w:rsidRPr="00467066">
        <w:rPr>
          <w:sz w:val="24"/>
          <w:szCs w:val="24"/>
        </w:rPr>
        <w:t>doxycyclinhyclat</w:t>
      </w:r>
      <w:proofErr w:type="spellEnd"/>
      <w:r w:rsidR="00366025" w:rsidRPr="00467066">
        <w:rPr>
          <w:sz w:val="24"/>
          <w:szCs w:val="24"/>
        </w:rPr>
        <w:t xml:space="preserve"> </w:t>
      </w:r>
      <w:r w:rsidRPr="00467066">
        <w:rPr>
          <w:sz w:val="24"/>
          <w:szCs w:val="24"/>
        </w:rPr>
        <w:t>17,3 mg)</w:t>
      </w:r>
    </w:p>
    <w:p w14:paraId="246EFAF7" w14:textId="77777777" w:rsidR="00366025" w:rsidRPr="00467066" w:rsidRDefault="00366025" w:rsidP="00FE1940">
      <w:pPr>
        <w:tabs>
          <w:tab w:val="left" w:pos="3119"/>
        </w:tabs>
        <w:ind w:left="851"/>
        <w:rPr>
          <w:sz w:val="24"/>
          <w:szCs w:val="24"/>
        </w:rPr>
      </w:pPr>
    </w:p>
    <w:p w14:paraId="509E94AB" w14:textId="77777777" w:rsidR="00FE1940" w:rsidRPr="00FE1940" w:rsidRDefault="004C38EC" w:rsidP="00FE1940">
      <w:pPr>
        <w:tabs>
          <w:tab w:val="left" w:pos="3119"/>
        </w:tabs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Doxytab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Vet</w:t>
      </w:r>
      <w:proofErr w:type="spellEnd"/>
      <w:r>
        <w:rPr>
          <w:i/>
          <w:sz w:val="24"/>
          <w:szCs w:val="24"/>
        </w:rPr>
        <w:t>.</w:t>
      </w:r>
      <w:r w:rsidR="00FE1940" w:rsidRPr="00FE1940">
        <w:rPr>
          <w:i/>
          <w:sz w:val="24"/>
          <w:szCs w:val="24"/>
        </w:rPr>
        <w:t xml:space="preserve"> 50 mg</w:t>
      </w:r>
    </w:p>
    <w:p w14:paraId="6EBA5423" w14:textId="77777777" w:rsidR="00FE1940" w:rsidRPr="00467066" w:rsidRDefault="00FE1940" w:rsidP="00FE1940">
      <w:pPr>
        <w:tabs>
          <w:tab w:val="left" w:pos="3119"/>
        </w:tabs>
        <w:ind w:left="851"/>
        <w:rPr>
          <w:sz w:val="24"/>
          <w:szCs w:val="24"/>
        </w:rPr>
      </w:pPr>
      <w:proofErr w:type="spellStart"/>
      <w:r w:rsidRPr="00467066">
        <w:rPr>
          <w:sz w:val="24"/>
          <w:szCs w:val="24"/>
        </w:rPr>
        <w:t>Doxycyclin</w:t>
      </w:r>
      <w:proofErr w:type="spellEnd"/>
      <w:r w:rsidRPr="00467066">
        <w:rPr>
          <w:sz w:val="24"/>
          <w:szCs w:val="24"/>
        </w:rPr>
        <w:tab/>
        <w:t xml:space="preserve">50 mg (som </w:t>
      </w:r>
      <w:proofErr w:type="spellStart"/>
      <w:r w:rsidRPr="00467066">
        <w:rPr>
          <w:sz w:val="24"/>
          <w:szCs w:val="24"/>
        </w:rPr>
        <w:t>doxycyclinhyclat</w:t>
      </w:r>
      <w:proofErr w:type="spellEnd"/>
      <w:r w:rsidRPr="00467066">
        <w:rPr>
          <w:sz w:val="24"/>
          <w:szCs w:val="24"/>
        </w:rPr>
        <w:t xml:space="preserve"> 57,7 mg)</w:t>
      </w:r>
    </w:p>
    <w:p w14:paraId="7D3AB1C1" w14:textId="77777777" w:rsidR="00366025" w:rsidRPr="00467066" w:rsidRDefault="00366025" w:rsidP="00FE1940">
      <w:pPr>
        <w:tabs>
          <w:tab w:val="left" w:pos="3119"/>
        </w:tabs>
        <w:ind w:left="851"/>
        <w:rPr>
          <w:sz w:val="24"/>
          <w:szCs w:val="24"/>
        </w:rPr>
      </w:pPr>
    </w:p>
    <w:p w14:paraId="4FC240CF" w14:textId="77777777" w:rsidR="00FE1940" w:rsidRPr="00467066" w:rsidRDefault="004C38EC" w:rsidP="00FE1940">
      <w:pPr>
        <w:tabs>
          <w:tab w:val="left" w:pos="3119"/>
        </w:tabs>
        <w:ind w:left="851"/>
        <w:rPr>
          <w:i/>
          <w:sz w:val="24"/>
          <w:szCs w:val="24"/>
        </w:rPr>
      </w:pPr>
      <w:proofErr w:type="spellStart"/>
      <w:r w:rsidRPr="00467066">
        <w:rPr>
          <w:i/>
          <w:sz w:val="24"/>
          <w:szCs w:val="24"/>
        </w:rPr>
        <w:t>Doxytab</w:t>
      </w:r>
      <w:proofErr w:type="spellEnd"/>
      <w:r w:rsidRPr="00467066">
        <w:rPr>
          <w:i/>
          <w:sz w:val="24"/>
          <w:szCs w:val="24"/>
        </w:rPr>
        <w:t xml:space="preserve"> </w:t>
      </w:r>
      <w:proofErr w:type="spellStart"/>
      <w:r w:rsidRPr="00467066">
        <w:rPr>
          <w:i/>
          <w:sz w:val="24"/>
          <w:szCs w:val="24"/>
        </w:rPr>
        <w:t>Vet</w:t>
      </w:r>
      <w:proofErr w:type="spellEnd"/>
      <w:r w:rsidRPr="00467066">
        <w:rPr>
          <w:i/>
          <w:sz w:val="24"/>
          <w:szCs w:val="24"/>
        </w:rPr>
        <w:t>.</w:t>
      </w:r>
      <w:r w:rsidR="00FE1940" w:rsidRPr="00467066">
        <w:rPr>
          <w:i/>
          <w:sz w:val="24"/>
          <w:szCs w:val="24"/>
        </w:rPr>
        <w:t xml:space="preserve"> 200 mg</w:t>
      </w:r>
    </w:p>
    <w:p w14:paraId="6A3D1D3D" w14:textId="77777777" w:rsidR="00FE1940" w:rsidRPr="00467066" w:rsidRDefault="00FE1940" w:rsidP="00FE1940">
      <w:pPr>
        <w:tabs>
          <w:tab w:val="left" w:pos="3119"/>
        </w:tabs>
        <w:ind w:left="851"/>
        <w:rPr>
          <w:sz w:val="24"/>
          <w:szCs w:val="24"/>
        </w:rPr>
      </w:pPr>
      <w:proofErr w:type="spellStart"/>
      <w:r w:rsidRPr="00467066">
        <w:rPr>
          <w:sz w:val="24"/>
          <w:szCs w:val="24"/>
        </w:rPr>
        <w:t>Doxycyclin</w:t>
      </w:r>
      <w:proofErr w:type="spellEnd"/>
      <w:r w:rsidRPr="00467066">
        <w:rPr>
          <w:sz w:val="24"/>
          <w:szCs w:val="24"/>
        </w:rPr>
        <w:tab/>
        <w:t xml:space="preserve">200 mg (som </w:t>
      </w:r>
      <w:proofErr w:type="spellStart"/>
      <w:r w:rsidRPr="00467066">
        <w:rPr>
          <w:sz w:val="24"/>
          <w:szCs w:val="24"/>
        </w:rPr>
        <w:t>doxycyclinhyclat</w:t>
      </w:r>
      <w:proofErr w:type="spellEnd"/>
      <w:r w:rsidRPr="00467066">
        <w:rPr>
          <w:sz w:val="24"/>
          <w:szCs w:val="24"/>
        </w:rPr>
        <w:t xml:space="preserve"> </w:t>
      </w:r>
      <w:r w:rsidRPr="0085283C">
        <w:rPr>
          <w:sz w:val="24"/>
          <w:szCs w:val="24"/>
          <w:lang w:val="nl-NL"/>
        </w:rPr>
        <w:t>230,8</w:t>
      </w:r>
      <w:r w:rsidRPr="00467066">
        <w:rPr>
          <w:sz w:val="24"/>
          <w:szCs w:val="24"/>
        </w:rPr>
        <w:t xml:space="preserve"> mg)</w:t>
      </w:r>
    </w:p>
    <w:p w14:paraId="45979769" w14:textId="77777777" w:rsidR="00366025" w:rsidRPr="00467066" w:rsidRDefault="00366025" w:rsidP="00FE1940">
      <w:pPr>
        <w:tabs>
          <w:tab w:val="left" w:pos="3119"/>
        </w:tabs>
        <w:ind w:left="851"/>
        <w:rPr>
          <w:sz w:val="24"/>
          <w:szCs w:val="24"/>
        </w:rPr>
      </w:pPr>
    </w:p>
    <w:p w14:paraId="63986059" w14:textId="77777777" w:rsidR="00FE1940" w:rsidRPr="00467066" w:rsidRDefault="004C38EC" w:rsidP="00FE1940">
      <w:pPr>
        <w:tabs>
          <w:tab w:val="left" w:pos="3119"/>
        </w:tabs>
        <w:ind w:left="851"/>
        <w:rPr>
          <w:i/>
          <w:sz w:val="24"/>
          <w:szCs w:val="24"/>
        </w:rPr>
      </w:pPr>
      <w:proofErr w:type="spellStart"/>
      <w:r w:rsidRPr="00467066">
        <w:rPr>
          <w:i/>
          <w:sz w:val="24"/>
          <w:szCs w:val="24"/>
        </w:rPr>
        <w:t>Doxytab</w:t>
      </w:r>
      <w:proofErr w:type="spellEnd"/>
      <w:r w:rsidRPr="00467066">
        <w:rPr>
          <w:i/>
          <w:sz w:val="24"/>
          <w:szCs w:val="24"/>
        </w:rPr>
        <w:t xml:space="preserve"> </w:t>
      </w:r>
      <w:proofErr w:type="spellStart"/>
      <w:r w:rsidRPr="00467066">
        <w:rPr>
          <w:i/>
          <w:sz w:val="24"/>
          <w:szCs w:val="24"/>
        </w:rPr>
        <w:t>Vet</w:t>
      </w:r>
      <w:proofErr w:type="spellEnd"/>
      <w:r w:rsidRPr="00467066">
        <w:rPr>
          <w:i/>
          <w:sz w:val="24"/>
          <w:szCs w:val="24"/>
        </w:rPr>
        <w:t>.</w:t>
      </w:r>
      <w:r w:rsidR="00FE1940" w:rsidRPr="00467066">
        <w:rPr>
          <w:i/>
          <w:sz w:val="24"/>
          <w:szCs w:val="24"/>
        </w:rPr>
        <w:t xml:space="preserve"> 400 mg</w:t>
      </w:r>
    </w:p>
    <w:p w14:paraId="67B521ED" w14:textId="77777777" w:rsidR="00FE1940" w:rsidRPr="00467066" w:rsidRDefault="00FE1940" w:rsidP="00FE1940">
      <w:pPr>
        <w:tabs>
          <w:tab w:val="left" w:pos="3119"/>
        </w:tabs>
        <w:ind w:left="851"/>
        <w:rPr>
          <w:sz w:val="24"/>
          <w:szCs w:val="24"/>
        </w:rPr>
      </w:pPr>
      <w:proofErr w:type="spellStart"/>
      <w:r w:rsidRPr="00467066">
        <w:rPr>
          <w:sz w:val="24"/>
          <w:szCs w:val="24"/>
        </w:rPr>
        <w:t>Doxycyclin</w:t>
      </w:r>
      <w:proofErr w:type="spellEnd"/>
      <w:r w:rsidRPr="00467066">
        <w:rPr>
          <w:sz w:val="24"/>
          <w:szCs w:val="24"/>
        </w:rPr>
        <w:tab/>
        <w:t>400 mg</w:t>
      </w:r>
      <w:r w:rsidR="00366025" w:rsidRPr="00467066">
        <w:rPr>
          <w:sz w:val="24"/>
          <w:szCs w:val="24"/>
        </w:rPr>
        <w:t xml:space="preserve"> </w:t>
      </w:r>
      <w:r w:rsidRPr="00467066">
        <w:rPr>
          <w:sz w:val="24"/>
          <w:szCs w:val="24"/>
        </w:rPr>
        <w:t xml:space="preserve">(som </w:t>
      </w:r>
      <w:proofErr w:type="spellStart"/>
      <w:r w:rsidRPr="00467066">
        <w:rPr>
          <w:sz w:val="24"/>
          <w:szCs w:val="24"/>
        </w:rPr>
        <w:t>doxycyclinhyclat</w:t>
      </w:r>
      <w:proofErr w:type="spellEnd"/>
      <w:r w:rsidR="00366025" w:rsidRPr="00467066">
        <w:rPr>
          <w:sz w:val="24"/>
          <w:szCs w:val="24"/>
        </w:rPr>
        <w:t xml:space="preserve"> </w:t>
      </w:r>
      <w:r w:rsidRPr="00467066">
        <w:rPr>
          <w:sz w:val="24"/>
          <w:szCs w:val="24"/>
        </w:rPr>
        <w:t>461,7 mg)</w:t>
      </w:r>
    </w:p>
    <w:p w14:paraId="2AE37B02" w14:textId="77777777" w:rsidR="00FE1940" w:rsidRPr="00467066" w:rsidRDefault="00FE1940" w:rsidP="00FE1940">
      <w:pPr>
        <w:ind w:left="851"/>
        <w:rPr>
          <w:sz w:val="24"/>
          <w:szCs w:val="24"/>
        </w:rPr>
      </w:pPr>
    </w:p>
    <w:p w14:paraId="73F2C381" w14:textId="77777777" w:rsidR="00FE1940" w:rsidRPr="00366025" w:rsidRDefault="00FE1940" w:rsidP="00FE1940">
      <w:pPr>
        <w:ind w:left="851"/>
        <w:rPr>
          <w:sz w:val="24"/>
          <w:szCs w:val="24"/>
          <w:u w:val="single"/>
        </w:rPr>
      </w:pPr>
      <w:r w:rsidRPr="00366025">
        <w:rPr>
          <w:sz w:val="24"/>
          <w:szCs w:val="24"/>
          <w:u w:val="single"/>
        </w:rPr>
        <w:t>Hjælpestoffer</w:t>
      </w:r>
    </w:p>
    <w:p w14:paraId="43432C84" w14:textId="77777777" w:rsidR="00FE1940" w:rsidRPr="0085283C" w:rsidRDefault="00FE1940" w:rsidP="00FE1940">
      <w:pPr>
        <w:ind w:left="851"/>
        <w:rPr>
          <w:sz w:val="24"/>
          <w:szCs w:val="24"/>
        </w:rPr>
      </w:pPr>
      <w:r w:rsidRPr="0085283C">
        <w:rPr>
          <w:sz w:val="24"/>
          <w:szCs w:val="24"/>
        </w:rPr>
        <w:t>Alle hjælpestoffer er anført under pkt. 6.1.</w:t>
      </w:r>
    </w:p>
    <w:p w14:paraId="030F9927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08730E71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14:paraId="40FDAB0B" w14:textId="77777777" w:rsidR="004C38EC" w:rsidRDefault="004C38EC" w:rsidP="004C38EC">
      <w:pPr>
        <w:ind w:left="851"/>
        <w:rPr>
          <w:sz w:val="24"/>
          <w:szCs w:val="24"/>
        </w:rPr>
      </w:pPr>
      <w:r w:rsidRPr="0085283C">
        <w:rPr>
          <w:sz w:val="24"/>
          <w:szCs w:val="24"/>
        </w:rPr>
        <w:t>Tabletter</w:t>
      </w:r>
    </w:p>
    <w:p w14:paraId="5E9792FC" w14:textId="77777777" w:rsidR="00D5577C" w:rsidRPr="0085283C" w:rsidRDefault="00D5577C" w:rsidP="004C38EC">
      <w:pPr>
        <w:ind w:left="851"/>
        <w:rPr>
          <w:sz w:val="24"/>
          <w:szCs w:val="24"/>
        </w:rPr>
      </w:pPr>
    </w:p>
    <w:p w14:paraId="77EEC1D5" w14:textId="77777777" w:rsidR="004C38EC" w:rsidRPr="0085283C" w:rsidRDefault="004C38EC" w:rsidP="004C38EC">
      <w:pPr>
        <w:ind w:left="851"/>
        <w:rPr>
          <w:sz w:val="24"/>
          <w:szCs w:val="24"/>
        </w:rPr>
      </w:pPr>
      <w:r w:rsidRPr="0085283C">
        <w:rPr>
          <w:sz w:val="24"/>
          <w:szCs w:val="24"/>
        </w:rPr>
        <w:t>Gul med brune pletter, rund og konveks tablet med en korsformet delekærv på den ene side. Tabletten kan deles i to eller fire lige store dele.</w:t>
      </w:r>
    </w:p>
    <w:p w14:paraId="1D8F04FD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2BF1416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7724FFB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lastRenderedPageBreak/>
        <w:t>4.</w:t>
      </w:r>
      <w:r w:rsidRPr="00406EE7">
        <w:rPr>
          <w:b/>
          <w:sz w:val="24"/>
          <w:szCs w:val="24"/>
        </w:rPr>
        <w:tab/>
        <w:t>KLINISKE OPLYSNINGER</w:t>
      </w:r>
    </w:p>
    <w:p w14:paraId="07732EAC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8D231D5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14:paraId="62CE9ECE" w14:textId="77777777" w:rsidR="00D5577C" w:rsidRPr="0085283C" w:rsidRDefault="00D5577C" w:rsidP="00D5577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Doxytab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  <w:r w:rsidRPr="0085283C">
        <w:rPr>
          <w:sz w:val="24"/>
          <w:szCs w:val="24"/>
        </w:rPr>
        <w:t xml:space="preserve"> 15 mg: Hund og kat.</w:t>
      </w:r>
    </w:p>
    <w:p w14:paraId="2BAF2A4A" w14:textId="77777777" w:rsidR="00D5577C" w:rsidRPr="0085283C" w:rsidRDefault="00D5577C" w:rsidP="00D5577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Doxytab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  <w:r w:rsidRPr="0085283C">
        <w:rPr>
          <w:sz w:val="24"/>
          <w:szCs w:val="24"/>
        </w:rPr>
        <w:t xml:space="preserve"> 50 mg: Hund og kat.</w:t>
      </w:r>
    </w:p>
    <w:p w14:paraId="79F63079" w14:textId="77777777" w:rsidR="00D5577C" w:rsidRPr="0085283C" w:rsidRDefault="00D5577C" w:rsidP="00D5577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Doxytab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  <w:r w:rsidRPr="0085283C">
        <w:rPr>
          <w:sz w:val="24"/>
          <w:szCs w:val="24"/>
        </w:rPr>
        <w:t xml:space="preserve"> 200 mg: Hund</w:t>
      </w:r>
      <w:r>
        <w:rPr>
          <w:sz w:val="24"/>
          <w:szCs w:val="24"/>
        </w:rPr>
        <w:t>.</w:t>
      </w:r>
    </w:p>
    <w:p w14:paraId="74AE78C1" w14:textId="77777777" w:rsidR="00D5577C" w:rsidRPr="0085283C" w:rsidRDefault="00D5577C" w:rsidP="00D5577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Doxytab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  <w:r w:rsidRPr="0085283C">
        <w:rPr>
          <w:sz w:val="24"/>
          <w:szCs w:val="24"/>
        </w:rPr>
        <w:t xml:space="preserve"> 400 mg: Hund</w:t>
      </w:r>
      <w:r>
        <w:rPr>
          <w:sz w:val="24"/>
          <w:szCs w:val="24"/>
        </w:rPr>
        <w:t>.</w:t>
      </w:r>
    </w:p>
    <w:p w14:paraId="645B8C68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27265B35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14:paraId="0585C98A" w14:textId="77777777" w:rsidR="00F43813" w:rsidRPr="0085283C" w:rsidRDefault="00F43813" w:rsidP="00F43813">
      <w:pPr>
        <w:ind w:left="851"/>
        <w:rPr>
          <w:sz w:val="24"/>
          <w:szCs w:val="24"/>
        </w:rPr>
      </w:pPr>
      <w:r w:rsidRPr="0085283C">
        <w:rPr>
          <w:sz w:val="24"/>
          <w:szCs w:val="24"/>
        </w:rPr>
        <w:t xml:space="preserve">Behandling af følgende tilstande forårsaget af bakterier, der er følsomme over for </w:t>
      </w:r>
      <w:proofErr w:type="spellStart"/>
      <w:r w:rsidRPr="0085283C">
        <w:rPr>
          <w:sz w:val="24"/>
          <w:szCs w:val="24"/>
        </w:rPr>
        <w:t>doxycyclin</w:t>
      </w:r>
      <w:proofErr w:type="spellEnd"/>
      <w:r w:rsidRPr="0085283C">
        <w:rPr>
          <w:sz w:val="24"/>
          <w:szCs w:val="24"/>
        </w:rPr>
        <w:t>:</w:t>
      </w:r>
    </w:p>
    <w:p w14:paraId="789158F8" w14:textId="77777777" w:rsidR="00F43813" w:rsidRPr="0085283C" w:rsidRDefault="00F43813" w:rsidP="00F43813">
      <w:pPr>
        <w:ind w:left="851"/>
        <w:rPr>
          <w:sz w:val="24"/>
          <w:szCs w:val="24"/>
          <w:u w:val="single"/>
        </w:rPr>
      </w:pPr>
    </w:p>
    <w:p w14:paraId="7B0F17E1" w14:textId="77777777" w:rsidR="00F43813" w:rsidRPr="0085283C" w:rsidRDefault="00F43813" w:rsidP="00F43813">
      <w:pPr>
        <w:ind w:left="851"/>
        <w:rPr>
          <w:sz w:val="24"/>
          <w:szCs w:val="24"/>
          <w:u w:val="single"/>
        </w:rPr>
      </w:pPr>
      <w:bookmarkStart w:id="0" w:name="_Hlk9606433"/>
      <w:r w:rsidRPr="0085283C">
        <w:rPr>
          <w:sz w:val="24"/>
          <w:szCs w:val="24"/>
          <w:u w:val="single"/>
        </w:rPr>
        <w:t>Hund</w:t>
      </w:r>
    </w:p>
    <w:p w14:paraId="0D140143" w14:textId="77777777" w:rsidR="00F43813" w:rsidRPr="0085283C" w:rsidRDefault="00F43813" w:rsidP="00F43813">
      <w:pPr>
        <w:ind w:left="851"/>
        <w:rPr>
          <w:sz w:val="24"/>
          <w:szCs w:val="24"/>
        </w:rPr>
      </w:pPr>
      <w:proofErr w:type="spellStart"/>
      <w:r w:rsidRPr="0085283C">
        <w:rPr>
          <w:sz w:val="24"/>
          <w:szCs w:val="24"/>
        </w:rPr>
        <w:t>Rhinitis</w:t>
      </w:r>
      <w:proofErr w:type="spellEnd"/>
      <w:r w:rsidRPr="0085283C">
        <w:rPr>
          <w:sz w:val="24"/>
          <w:szCs w:val="24"/>
        </w:rPr>
        <w:t xml:space="preserve"> forårsaget af </w:t>
      </w:r>
      <w:proofErr w:type="spellStart"/>
      <w:r w:rsidRPr="0085283C">
        <w:rPr>
          <w:i/>
          <w:sz w:val="24"/>
          <w:szCs w:val="24"/>
        </w:rPr>
        <w:t>Bordetella</w:t>
      </w:r>
      <w:proofErr w:type="spellEnd"/>
      <w:r w:rsidRPr="0085283C">
        <w:rPr>
          <w:i/>
          <w:sz w:val="24"/>
          <w:szCs w:val="24"/>
        </w:rPr>
        <w:t xml:space="preserve"> </w:t>
      </w:r>
      <w:proofErr w:type="spellStart"/>
      <w:r w:rsidRPr="0085283C">
        <w:rPr>
          <w:i/>
          <w:sz w:val="24"/>
          <w:szCs w:val="24"/>
        </w:rPr>
        <w:t>bronchiseptica</w:t>
      </w:r>
      <w:proofErr w:type="spellEnd"/>
      <w:r w:rsidRPr="0085283C">
        <w:rPr>
          <w:sz w:val="24"/>
          <w:szCs w:val="24"/>
        </w:rPr>
        <w:t xml:space="preserve"> og </w:t>
      </w:r>
      <w:proofErr w:type="spellStart"/>
      <w:r w:rsidRPr="0085283C">
        <w:rPr>
          <w:i/>
          <w:sz w:val="24"/>
          <w:szCs w:val="24"/>
        </w:rPr>
        <w:t>Pasteurella</w:t>
      </w:r>
      <w:proofErr w:type="spellEnd"/>
      <w:r w:rsidRPr="0085283C">
        <w:rPr>
          <w:sz w:val="24"/>
          <w:szCs w:val="24"/>
        </w:rPr>
        <w:t xml:space="preserve"> </w:t>
      </w:r>
      <w:proofErr w:type="spellStart"/>
      <w:r w:rsidRPr="0085283C">
        <w:rPr>
          <w:sz w:val="24"/>
          <w:szCs w:val="24"/>
        </w:rPr>
        <w:t>spp</w:t>
      </w:r>
      <w:proofErr w:type="spellEnd"/>
      <w:r w:rsidRPr="0085283C">
        <w:rPr>
          <w:sz w:val="24"/>
          <w:szCs w:val="24"/>
        </w:rPr>
        <w:t>.;</w:t>
      </w:r>
    </w:p>
    <w:p w14:paraId="538117D1" w14:textId="77777777" w:rsidR="00F43813" w:rsidRPr="0085283C" w:rsidRDefault="00F43813" w:rsidP="00F43813">
      <w:pPr>
        <w:ind w:left="851"/>
        <w:rPr>
          <w:sz w:val="24"/>
          <w:szCs w:val="24"/>
        </w:rPr>
      </w:pPr>
      <w:proofErr w:type="spellStart"/>
      <w:r w:rsidRPr="0085283C">
        <w:rPr>
          <w:sz w:val="24"/>
          <w:szCs w:val="24"/>
        </w:rPr>
        <w:t>Bronkopneumoni</w:t>
      </w:r>
      <w:proofErr w:type="spellEnd"/>
      <w:r w:rsidRPr="0085283C">
        <w:rPr>
          <w:sz w:val="24"/>
          <w:szCs w:val="24"/>
        </w:rPr>
        <w:t xml:space="preserve"> forårsaget af </w:t>
      </w:r>
      <w:proofErr w:type="spellStart"/>
      <w:r w:rsidRPr="0085283C">
        <w:rPr>
          <w:i/>
          <w:sz w:val="24"/>
          <w:szCs w:val="24"/>
        </w:rPr>
        <w:t>Bordetella</w:t>
      </w:r>
      <w:proofErr w:type="spellEnd"/>
      <w:r w:rsidRPr="0085283C">
        <w:rPr>
          <w:sz w:val="24"/>
          <w:szCs w:val="24"/>
        </w:rPr>
        <w:t xml:space="preserve"> </w:t>
      </w:r>
      <w:proofErr w:type="spellStart"/>
      <w:r w:rsidRPr="0085283C">
        <w:rPr>
          <w:sz w:val="24"/>
          <w:szCs w:val="24"/>
        </w:rPr>
        <w:t>spp</w:t>
      </w:r>
      <w:proofErr w:type="spellEnd"/>
      <w:r w:rsidRPr="0085283C">
        <w:rPr>
          <w:sz w:val="24"/>
          <w:szCs w:val="24"/>
        </w:rPr>
        <w:t xml:space="preserve">. og </w:t>
      </w:r>
      <w:proofErr w:type="spellStart"/>
      <w:r w:rsidRPr="0085283C">
        <w:rPr>
          <w:i/>
          <w:sz w:val="24"/>
          <w:szCs w:val="24"/>
        </w:rPr>
        <w:t>Pasteurella</w:t>
      </w:r>
      <w:proofErr w:type="spellEnd"/>
      <w:r w:rsidRPr="0085283C">
        <w:rPr>
          <w:sz w:val="24"/>
          <w:szCs w:val="24"/>
        </w:rPr>
        <w:t xml:space="preserve"> </w:t>
      </w:r>
      <w:proofErr w:type="spellStart"/>
      <w:r w:rsidRPr="0085283C">
        <w:rPr>
          <w:sz w:val="24"/>
          <w:szCs w:val="24"/>
        </w:rPr>
        <w:t>spp</w:t>
      </w:r>
      <w:proofErr w:type="spellEnd"/>
      <w:r w:rsidRPr="0085283C">
        <w:rPr>
          <w:sz w:val="24"/>
          <w:szCs w:val="24"/>
        </w:rPr>
        <w:t>.;</w:t>
      </w:r>
    </w:p>
    <w:p w14:paraId="1A7B9AC6" w14:textId="77777777" w:rsidR="00F43813" w:rsidRPr="0085283C" w:rsidRDefault="00F43813" w:rsidP="00F43813">
      <w:pPr>
        <w:ind w:left="851"/>
        <w:rPr>
          <w:sz w:val="24"/>
          <w:szCs w:val="24"/>
        </w:rPr>
      </w:pPr>
      <w:proofErr w:type="spellStart"/>
      <w:r w:rsidRPr="0085283C">
        <w:rPr>
          <w:sz w:val="24"/>
          <w:szCs w:val="24"/>
        </w:rPr>
        <w:t>Interstitiel</w:t>
      </w:r>
      <w:proofErr w:type="spellEnd"/>
      <w:r w:rsidRPr="0085283C">
        <w:rPr>
          <w:sz w:val="24"/>
          <w:szCs w:val="24"/>
        </w:rPr>
        <w:t xml:space="preserve"> </w:t>
      </w:r>
      <w:proofErr w:type="spellStart"/>
      <w:r w:rsidRPr="0085283C">
        <w:rPr>
          <w:sz w:val="24"/>
          <w:szCs w:val="24"/>
        </w:rPr>
        <w:t>nefritis</w:t>
      </w:r>
      <w:proofErr w:type="spellEnd"/>
      <w:r w:rsidRPr="0085283C">
        <w:rPr>
          <w:sz w:val="24"/>
          <w:szCs w:val="24"/>
        </w:rPr>
        <w:t xml:space="preserve"> forårsaget af </w:t>
      </w:r>
      <w:proofErr w:type="spellStart"/>
      <w:r w:rsidRPr="0085283C">
        <w:rPr>
          <w:i/>
          <w:sz w:val="24"/>
          <w:szCs w:val="24"/>
        </w:rPr>
        <w:t>Leptospira</w:t>
      </w:r>
      <w:proofErr w:type="spellEnd"/>
      <w:r w:rsidRPr="0085283C">
        <w:rPr>
          <w:sz w:val="24"/>
          <w:szCs w:val="24"/>
        </w:rPr>
        <w:t xml:space="preserve"> </w:t>
      </w:r>
      <w:proofErr w:type="spellStart"/>
      <w:r w:rsidRPr="0085283C">
        <w:rPr>
          <w:sz w:val="24"/>
          <w:szCs w:val="24"/>
        </w:rPr>
        <w:t>spp</w:t>
      </w:r>
      <w:proofErr w:type="spellEnd"/>
      <w:r w:rsidRPr="0085283C">
        <w:rPr>
          <w:sz w:val="24"/>
          <w:szCs w:val="24"/>
        </w:rPr>
        <w:t>.;</w:t>
      </w:r>
    </w:p>
    <w:p w14:paraId="12ED5C59" w14:textId="77777777" w:rsidR="00F43813" w:rsidRPr="0085283C" w:rsidRDefault="00F43813" w:rsidP="00F43813">
      <w:pPr>
        <w:ind w:left="851"/>
        <w:rPr>
          <w:sz w:val="24"/>
          <w:szCs w:val="24"/>
        </w:rPr>
      </w:pPr>
    </w:p>
    <w:p w14:paraId="36FC8193" w14:textId="77777777" w:rsidR="00F43813" w:rsidRPr="0085283C" w:rsidRDefault="00F43813" w:rsidP="00F43813">
      <w:pPr>
        <w:ind w:left="851"/>
        <w:rPr>
          <w:sz w:val="24"/>
          <w:szCs w:val="24"/>
          <w:u w:val="single"/>
        </w:rPr>
      </w:pPr>
      <w:r w:rsidRPr="0085283C">
        <w:rPr>
          <w:sz w:val="24"/>
          <w:szCs w:val="24"/>
          <w:u w:val="single"/>
        </w:rPr>
        <w:t>Kat</w:t>
      </w:r>
    </w:p>
    <w:p w14:paraId="1003A392" w14:textId="77777777" w:rsidR="00F43813" w:rsidRPr="0085283C" w:rsidRDefault="00F43813" w:rsidP="00F43813">
      <w:pPr>
        <w:tabs>
          <w:tab w:val="left" w:pos="0"/>
        </w:tabs>
        <w:ind w:left="851"/>
        <w:rPr>
          <w:sz w:val="24"/>
          <w:szCs w:val="24"/>
        </w:rPr>
      </w:pPr>
      <w:r w:rsidRPr="0085283C">
        <w:rPr>
          <w:sz w:val="24"/>
          <w:szCs w:val="24"/>
        </w:rPr>
        <w:t xml:space="preserve">Luftvejsinfektioner forårsaget af </w:t>
      </w:r>
      <w:proofErr w:type="spellStart"/>
      <w:r w:rsidRPr="0085283C">
        <w:rPr>
          <w:i/>
          <w:sz w:val="24"/>
          <w:szCs w:val="24"/>
        </w:rPr>
        <w:t>Bordetella</w:t>
      </w:r>
      <w:proofErr w:type="spellEnd"/>
      <w:r w:rsidRPr="0085283C">
        <w:rPr>
          <w:i/>
          <w:sz w:val="24"/>
          <w:szCs w:val="24"/>
        </w:rPr>
        <w:t xml:space="preserve"> </w:t>
      </w:r>
      <w:proofErr w:type="spellStart"/>
      <w:r w:rsidRPr="0085283C">
        <w:rPr>
          <w:i/>
          <w:sz w:val="24"/>
          <w:szCs w:val="24"/>
        </w:rPr>
        <w:t>bronchiseptica</w:t>
      </w:r>
      <w:proofErr w:type="spellEnd"/>
      <w:r w:rsidRPr="0085283C">
        <w:rPr>
          <w:sz w:val="24"/>
          <w:szCs w:val="24"/>
        </w:rPr>
        <w:t>,</w:t>
      </w:r>
      <w:r w:rsidRPr="0085283C">
        <w:rPr>
          <w:i/>
          <w:sz w:val="24"/>
          <w:szCs w:val="24"/>
        </w:rPr>
        <w:t xml:space="preserve"> </w:t>
      </w:r>
      <w:proofErr w:type="spellStart"/>
      <w:r w:rsidRPr="0085283C">
        <w:rPr>
          <w:i/>
          <w:sz w:val="24"/>
          <w:szCs w:val="24"/>
        </w:rPr>
        <w:t>Chlamydophila</w:t>
      </w:r>
      <w:proofErr w:type="spellEnd"/>
      <w:r w:rsidRPr="0085283C">
        <w:rPr>
          <w:i/>
          <w:sz w:val="24"/>
          <w:szCs w:val="24"/>
        </w:rPr>
        <w:t xml:space="preserve"> </w:t>
      </w:r>
      <w:proofErr w:type="spellStart"/>
      <w:r w:rsidRPr="0085283C">
        <w:rPr>
          <w:i/>
          <w:sz w:val="24"/>
          <w:szCs w:val="24"/>
        </w:rPr>
        <w:t>felis</w:t>
      </w:r>
      <w:proofErr w:type="spellEnd"/>
      <w:r w:rsidRPr="0085283C">
        <w:rPr>
          <w:sz w:val="24"/>
          <w:szCs w:val="24"/>
        </w:rPr>
        <w:t xml:space="preserve">, </w:t>
      </w:r>
      <w:proofErr w:type="spellStart"/>
      <w:r w:rsidRPr="0085283C">
        <w:rPr>
          <w:i/>
          <w:sz w:val="24"/>
          <w:szCs w:val="24"/>
        </w:rPr>
        <w:t>Pasteurella</w:t>
      </w:r>
      <w:proofErr w:type="spellEnd"/>
      <w:r w:rsidRPr="0085283C">
        <w:rPr>
          <w:sz w:val="24"/>
          <w:szCs w:val="24"/>
        </w:rPr>
        <w:t xml:space="preserve"> </w:t>
      </w:r>
      <w:proofErr w:type="spellStart"/>
      <w:r w:rsidRPr="0085283C">
        <w:rPr>
          <w:sz w:val="24"/>
          <w:szCs w:val="24"/>
        </w:rPr>
        <w:t>spp</w:t>
      </w:r>
      <w:proofErr w:type="spellEnd"/>
      <w:r w:rsidRPr="0085283C">
        <w:rPr>
          <w:sz w:val="24"/>
          <w:szCs w:val="24"/>
        </w:rPr>
        <w:t>.</w:t>
      </w:r>
    </w:p>
    <w:bookmarkEnd w:id="0"/>
    <w:p w14:paraId="76A6D03B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788F7079" w14:textId="77777777" w:rsidR="005B0036" w:rsidRPr="00406EE7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14:paraId="31DADAB4" w14:textId="77777777" w:rsidR="00F43813" w:rsidRPr="00F43813" w:rsidRDefault="00F43813" w:rsidP="00F43813">
      <w:pPr>
        <w:pStyle w:val="Sidehoved"/>
        <w:tabs>
          <w:tab w:val="left" w:pos="8222"/>
        </w:tabs>
        <w:ind w:left="851"/>
        <w:rPr>
          <w:szCs w:val="24"/>
        </w:rPr>
      </w:pPr>
      <w:r w:rsidRPr="00F43813">
        <w:rPr>
          <w:szCs w:val="24"/>
        </w:rPr>
        <w:t xml:space="preserve">Bør ikke anvendes i tilfælde af overfølsomhed over for </w:t>
      </w:r>
      <w:proofErr w:type="spellStart"/>
      <w:r w:rsidRPr="00F43813">
        <w:rPr>
          <w:szCs w:val="24"/>
        </w:rPr>
        <w:t>tetracycliner</w:t>
      </w:r>
      <w:proofErr w:type="spellEnd"/>
      <w:r w:rsidRPr="00F43813">
        <w:rPr>
          <w:szCs w:val="24"/>
        </w:rPr>
        <w:t xml:space="preserve"> eller over for et eller flere af hjælpestofferne.</w:t>
      </w:r>
    </w:p>
    <w:p w14:paraId="3404F1E6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3CC0DB79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14:paraId="4DB07F68" w14:textId="77777777" w:rsidR="005B0036" w:rsidRPr="00406EE7" w:rsidRDefault="002C0460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Ingen</w:t>
      </w:r>
    </w:p>
    <w:p w14:paraId="07149971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3C4F43AA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14:paraId="47E3B2C4" w14:textId="77777777" w:rsidR="005B0036" w:rsidRPr="002374DA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54DD329" w14:textId="77777777" w:rsidR="002C0460" w:rsidRPr="002C0460" w:rsidRDefault="005B0036" w:rsidP="002C0460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dyret</w:t>
      </w:r>
    </w:p>
    <w:p w14:paraId="15AA8A17" w14:textId="77777777" w:rsidR="002C0460" w:rsidRPr="002C0460" w:rsidRDefault="002C0460" w:rsidP="002C04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C0460">
        <w:rPr>
          <w:sz w:val="24"/>
          <w:szCs w:val="24"/>
        </w:rPr>
        <w:t xml:space="preserve">Produktet bør administreres med forsigtighed til dyr med </w:t>
      </w:r>
      <w:proofErr w:type="spellStart"/>
      <w:r w:rsidRPr="002C0460">
        <w:rPr>
          <w:sz w:val="24"/>
          <w:szCs w:val="24"/>
        </w:rPr>
        <w:t>dysfagi</w:t>
      </w:r>
      <w:proofErr w:type="spellEnd"/>
      <w:r w:rsidRPr="002C0460">
        <w:rPr>
          <w:sz w:val="24"/>
          <w:szCs w:val="24"/>
        </w:rPr>
        <w:t xml:space="preserve"> eller sygdomme ledsaget af opkastning, da administration af </w:t>
      </w:r>
      <w:proofErr w:type="spellStart"/>
      <w:r w:rsidRPr="002C0460">
        <w:rPr>
          <w:sz w:val="24"/>
          <w:szCs w:val="24"/>
        </w:rPr>
        <w:t>doxycyclinhyclat</w:t>
      </w:r>
      <w:proofErr w:type="spellEnd"/>
      <w:r w:rsidRPr="002C0460">
        <w:rPr>
          <w:sz w:val="24"/>
          <w:szCs w:val="24"/>
        </w:rPr>
        <w:t xml:space="preserve">-tabletter har været forbundet med </w:t>
      </w:r>
      <w:proofErr w:type="spellStart"/>
      <w:r w:rsidRPr="002C0460">
        <w:rPr>
          <w:sz w:val="24"/>
          <w:szCs w:val="24"/>
        </w:rPr>
        <w:t>øsofageal</w:t>
      </w:r>
      <w:proofErr w:type="spellEnd"/>
      <w:r w:rsidRPr="002C0460">
        <w:rPr>
          <w:sz w:val="24"/>
          <w:szCs w:val="24"/>
        </w:rPr>
        <w:t xml:space="preserve"> erosion.</w:t>
      </w:r>
    </w:p>
    <w:p w14:paraId="4A803EB1" w14:textId="77777777" w:rsidR="002C0460" w:rsidRPr="002C0460" w:rsidRDefault="002C0460" w:rsidP="002C04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C0460">
        <w:rPr>
          <w:sz w:val="24"/>
          <w:szCs w:val="24"/>
        </w:rPr>
        <w:t xml:space="preserve">For at reducere sandsynligheden for </w:t>
      </w:r>
      <w:proofErr w:type="spellStart"/>
      <w:r w:rsidRPr="002C0460">
        <w:rPr>
          <w:sz w:val="24"/>
          <w:szCs w:val="24"/>
        </w:rPr>
        <w:t>øsofageal</w:t>
      </w:r>
      <w:proofErr w:type="spellEnd"/>
      <w:r w:rsidRPr="002C0460">
        <w:rPr>
          <w:sz w:val="24"/>
          <w:szCs w:val="24"/>
        </w:rPr>
        <w:t xml:space="preserve"> irritation samt andre </w:t>
      </w:r>
      <w:proofErr w:type="spellStart"/>
      <w:r w:rsidRPr="002C0460">
        <w:rPr>
          <w:sz w:val="24"/>
          <w:szCs w:val="24"/>
        </w:rPr>
        <w:t>gastrointestinale</w:t>
      </w:r>
      <w:proofErr w:type="spellEnd"/>
      <w:r w:rsidRPr="002C0460">
        <w:rPr>
          <w:sz w:val="24"/>
          <w:szCs w:val="24"/>
        </w:rPr>
        <w:t xml:space="preserve"> bivirkninger bør produktet administreres sammen med mad.</w:t>
      </w:r>
    </w:p>
    <w:p w14:paraId="34F1D7D4" w14:textId="77777777" w:rsidR="002C0460" w:rsidRPr="002C0460" w:rsidRDefault="002C0460" w:rsidP="002C04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C0460">
        <w:rPr>
          <w:sz w:val="24"/>
          <w:szCs w:val="24"/>
        </w:rPr>
        <w:t xml:space="preserve">Der bør udvises særlig forsigtighed, når produktet administreres til dyr med leversygdom, da der er dokumenteret stigninger i leverenzymer hos nogle dyr efter </w:t>
      </w:r>
      <w:proofErr w:type="spellStart"/>
      <w:r w:rsidRPr="002C0460">
        <w:rPr>
          <w:sz w:val="24"/>
          <w:szCs w:val="24"/>
        </w:rPr>
        <w:t>doxycyclinbehandling</w:t>
      </w:r>
      <w:proofErr w:type="spellEnd"/>
      <w:r w:rsidRPr="002C0460">
        <w:rPr>
          <w:sz w:val="24"/>
          <w:szCs w:val="24"/>
        </w:rPr>
        <w:t>.</w:t>
      </w:r>
    </w:p>
    <w:p w14:paraId="3CF1BD74" w14:textId="77777777" w:rsidR="002C0460" w:rsidRPr="002C0460" w:rsidRDefault="002C0460" w:rsidP="002C04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C0460">
        <w:rPr>
          <w:sz w:val="24"/>
          <w:szCs w:val="24"/>
        </w:rPr>
        <w:t xml:space="preserve">Produktet bør administreres med forsigtighed til unge dyr, da </w:t>
      </w:r>
      <w:proofErr w:type="spellStart"/>
      <w:r w:rsidRPr="002C0460">
        <w:rPr>
          <w:sz w:val="24"/>
          <w:szCs w:val="24"/>
        </w:rPr>
        <w:t>tetracycliner</w:t>
      </w:r>
      <w:proofErr w:type="spellEnd"/>
      <w:r w:rsidRPr="002C0460">
        <w:rPr>
          <w:sz w:val="24"/>
          <w:szCs w:val="24"/>
        </w:rPr>
        <w:t xml:space="preserve"> som klasse kan forårsage permanent misfarvning af tænderne, når det administreres under tandudviklingen. Imidlertid indikerer human litteratur, at </w:t>
      </w:r>
      <w:proofErr w:type="spellStart"/>
      <w:r w:rsidRPr="002C0460">
        <w:rPr>
          <w:sz w:val="24"/>
          <w:szCs w:val="24"/>
        </w:rPr>
        <w:t>doxycyclin</w:t>
      </w:r>
      <w:proofErr w:type="spellEnd"/>
      <w:r w:rsidRPr="002C0460">
        <w:rPr>
          <w:sz w:val="24"/>
          <w:szCs w:val="24"/>
        </w:rPr>
        <w:t xml:space="preserve"> er mindre tilbøjeligt end andre </w:t>
      </w:r>
      <w:proofErr w:type="spellStart"/>
      <w:r w:rsidRPr="002C0460">
        <w:rPr>
          <w:sz w:val="24"/>
          <w:szCs w:val="24"/>
        </w:rPr>
        <w:t>tetracycliner</w:t>
      </w:r>
      <w:proofErr w:type="spellEnd"/>
      <w:r w:rsidRPr="002C0460">
        <w:rPr>
          <w:sz w:val="24"/>
          <w:szCs w:val="24"/>
        </w:rPr>
        <w:t xml:space="preserve"> til at forårsage disse abnormiteter på grund af dets reducerede evne til at </w:t>
      </w:r>
      <w:proofErr w:type="spellStart"/>
      <w:r w:rsidRPr="002C0460">
        <w:rPr>
          <w:sz w:val="24"/>
          <w:szCs w:val="24"/>
        </w:rPr>
        <w:t>chelatere</w:t>
      </w:r>
      <w:proofErr w:type="spellEnd"/>
      <w:r w:rsidRPr="002C0460">
        <w:rPr>
          <w:sz w:val="24"/>
          <w:szCs w:val="24"/>
        </w:rPr>
        <w:t xml:space="preserve"> calcium.</w:t>
      </w:r>
    </w:p>
    <w:p w14:paraId="20FDD206" w14:textId="77777777" w:rsidR="002C0460" w:rsidRPr="002C0460" w:rsidRDefault="002C0460" w:rsidP="002C04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C0460">
        <w:rPr>
          <w:sz w:val="24"/>
          <w:szCs w:val="24"/>
        </w:rPr>
        <w:t>Da tabletterne er aromatiserede, skal tabletterne opbevares utilgængeligt for dyrene for at undgå utilsigtet indtagelse.</w:t>
      </w:r>
    </w:p>
    <w:p w14:paraId="446F0393" w14:textId="77777777" w:rsidR="002C0460" w:rsidRPr="002C0460" w:rsidRDefault="002C0460" w:rsidP="002C04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C0460">
        <w:rPr>
          <w:sz w:val="24"/>
          <w:szCs w:val="24"/>
        </w:rPr>
        <w:t xml:space="preserve">Bakteriologisk prøvetagning og følsomhedstest anbefales, da bakteriernes følsomhed over for </w:t>
      </w:r>
      <w:proofErr w:type="spellStart"/>
      <w:r w:rsidRPr="002C0460">
        <w:rPr>
          <w:sz w:val="24"/>
          <w:szCs w:val="24"/>
        </w:rPr>
        <w:t>doxycyclin</w:t>
      </w:r>
      <w:proofErr w:type="spellEnd"/>
      <w:r w:rsidRPr="002C0460">
        <w:rPr>
          <w:sz w:val="24"/>
          <w:szCs w:val="24"/>
        </w:rPr>
        <w:t xml:space="preserve"> kan variere (over tid og geografisk sted). Officielle, nationale og regionale antibiotikapolitikker bør tages i betragtning, når produktet anvendes.</w:t>
      </w:r>
    </w:p>
    <w:p w14:paraId="71E8FE9C" w14:textId="77777777" w:rsidR="002C0460" w:rsidRPr="002C0460" w:rsidRDefault="002C0460" w:rsidP="002C04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C0460">
        <w:rPr>
          <w:sz w:val="24"/>
          <w:szCs w:val="24"/>
        </w:rPr>
        <w:lastRenderedPageBreak/>
        <w:t xml:space="preserve">Afvigelse fra vejledningen i produktresuméet, kan øge forekomsten af bakterier, som er resistente over for </w:t>
      </w:r>
      <w:proofErr w:type="spellStart"/>
      <w:r w:rsidRPr="002C0460">
        <w:rPr>
          <w:sz w:val="24"/>
          <w:szCs w:val="24"/>
        </w:rPr>
        <w:t>doxycyclin</w:t>
      </w:r>
      <w:proofErr w:type="spellEnd"/>
      <w:r w:rsidRPr="002C0460">
        <w:rPr>
          <w:sz w:val="24"/>
          <w:szCs w:val="24"/>
        </w:rPr>
        <w:t xml:space="preserve">, og kan på grund af potentialet for krydsresistens mindske effekten af behandling med andre </w:t>
      </w:r>
      <w:proofErr w:type="spellStart"/>
      <w:r w:rsidRPr="002C0460">
        <w:rPr>
          <w:sz w:val="24"/>
          <w:szCs w:val="24"/>
        </w:rPr>
        <w:t>tetracycliner</w:t>
      </w:r>
      <w:proofErr w:type="spellEnd"/>
      <w:r w:rsidRPr="002C0460">
        <w:rPr>
          <w:sz w:val="24"/>
          <w:szCs w:val="24"/>
        </w:rPr>
        <w:t>.</w:t>
      </w:r>
    </w:p>
    <w:p w14:paraId="127C8935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EA86456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personer, der administrerer lægemidlet</w:t>
      </w:r>
    </w:p>
    <w:p w14:paraId="2D1E05EB" w14:textId="77777777" w:rsidR="000329DE" w:rsidRPr="002C0460" w:rsidRDefault="000329DE" w:rsidP="000329D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C0460">
        <w:rPr>
          <w:sz w:val="24"/>
          <w:szCs w:val="24"/>
        </w:rPr>
        <w:t xml:space="preserve">Dette produkt kan forårsage overfølsomhedsreaktioner. Ved overfølsomhed over for </w:t>
      </w:r>
      <w:proofErr w:type="spellStart"/>
      <w:r w:rsidRPr="002C0460">
        <w:rPr>
          <w:sz w:val="24"/>
          <w:szCs w:val="24"/>
        </w:rPr>
        <w:t>tetracycliner</w:t>
      </w:r>
      <w:proofErr w:type="spellEnd"/>
      <w:r w:rsidRPr="002C0460">
        <w:rPr>
          <w:sz w:val="24"/>
          <w:szCs w:val="24"/>
        </w:rPr>
        <w:t xml:space="preserve"> bør kontakt med veterinærlægemidlet undgås. Hvis der opstår symptomer efter eksponering, eksempelvis hududslæt, skal du straks søge lægehjælp og vise lægen denne indlægsseddel. </w:t>
      </w:r>
    </w:p>
    <w:p w14:paraId="73D5D791" w14:textId="77777777" w:rsidR="000329DE" w:rsidRPr="002C0460" w:rsidRDefault="000329DE" w:rsidP="000329DE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2C0460">
        <w:rPr>
          <w:sz w:val="24"/>
          <w:szCs w:val="24"/>
        </w:rPr>
        <w:t xml:space="preserve">Dette produkt kan forårsage alvorlige </w:t>
      </w:r>
      <w:proofErr w:type="spellStart"/>
      <w:r w:rsidRPr="002C0460">
        <w:rPr>
          <w:sz w:val="24"/>
          <w:szCs w:val="24"/>
        </w:rPr>
        <w:t>gastrointestinale</w:t>
      </w:r>
      <w:proofErr w:type="spellEnd"/>
      <w:r w:rsidRPr="002C0460">
        <w:rPr>
          <w:sz w:val="24"/>
          <w:szCs w:val="24"/>
        </w:rPr>
        <w:t xml:space="preserve"> virkninger, hvis det indtages, især af børn. For at undgå utilsigtet indtagelse skal ubrugte tabletdele anbringes i åbne blisterrum og lægges tilbage i kartonen, som skal opbevares på et sikkert sted utilgængeligt for børn. I tilfælde af utilsigtet indtagelse skal der søges lægehjælp, og indlægssedlen eller etiketten bør vises til lægen.</w:t>
      </w:r>
    </w:p>
    <w:p w14:paraId="6DBBD5A7" w14:textId="77777777" w:rsidR="000329DE" w:rsidRPr="002C0460" w:rsidRDefault="000329DE" w:rsidP="000329DE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2C0460">
        <w:rPr>
          <w:sz w:val="24"/>
          <w:szCs w:val="24"/>
        </w:rPr>
        <w:t>Vask hænder efter brug.</w:t>
      </w:r>
    </w:p>
    <w:p w14:paraId="5A004ACC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84259F0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14:paraId="04812043" w14:textId="77777777" w:rsidR="000329DE" w:rsidRPr="000329DE" w:rsidRDefault="000329DE" w:rsidP="000329D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1" w:name="_Hlk9871397"/>
      <w:r w:rsidRPr="000329DE">
        <w:rPr>
          <w:sz w:val="24"/>
          <w:szCs w:val="24"/>
        </w:rPr>
        <w:t>Lidelser i mave-tarm</w:t>
      </w:r>
      <w:r w:rsidR="008348F5">
        <w:rPr>
          <w:sz w:val="24"/>
          <w:szCs w:val="24"/>
        </w:rPr>
        <w:t>-</w:t>
      </w:r>
      <w:r w:rsidRPr="000329DE">
        <w:rPr>
          <w:sz w:val="24"/>
          <w:szCs w:val="24"/>
        </w:rPr>
        <w:t xml:space="preserve">kanalen såsom opkastning, diarré og </w:t>
      </w:r>
      <w:proofErr w:type="spellStart"/>
      <w:r w:rsidRPr="000329DE">
        <w:rPr>
          <w:sz w:val="24"/>
          <w:szCs w:val="24"/>
        </w:rPr>
        <w:t>øsofagitis</w:t>
      </w:r>
      <w:proofErr w:type="spellEnd"/>
      <w:r w:rsidRPr="000329DE">
        <w:rPr>
          <w:sz w:val="24"/>
          <w:szCs w:val="24"/>
        </w:rPr>
        <w:t xml:space="preserve"> er blevet rapporteret som bivirkninger efter langtidsbehandling med </w:t>
      </w:r>
      <w:proofErr w:type="spellStart"/>
      <w:r w:rsidRPr="000329DE">
        <w:rPr>
          <w:sz w:val="24"/>
          <w:szCs w:val="24"/>
        </w:rPr>
        <w:t>doxycyclin</w:t>
      </w:r>
      <w:proofErr w:type="spellEnd"/>
      <w:r w:rsidRPr="000329DE">
        <w:rPr>
          <w:sz w:val="24"/>
          <w:szCs w:val="24"/>
        </w:rPr>
        <w:t>.</w:t>
      </w:r>
    </w:p>
    <w:p w14:paraId="68BF562C" w14:textId="77777777" w:rsidR="000329DE" w:rsidRPr="000329DE" w:rsidRDefault="000329DE" w:rsidP="000329D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329DE">
        <w:rPr>
          <w:sz w:val="24"/>
          <w:szCs w:val="24"/>
        </w:rPr>
        <w:t xml:space="preserve">Hos meget unge dyr kan der forekomme misfarvning af tænderne ved dannelse af et </w:t>
      </w:r>
      <w:proofErr w:type="spellStart"/>
      <w:r w:rsidRPr="000329DE">
        <w:rPr>
          <w:sz w:val="24"/>
          <w:szCs w:val="24"/>
        </w:rPr>
        <w:t>tetracyclin-calciumphosphatkompleks</w:t>
      </w:r>
      <w:proofErr w:type="spellEnd"/>
      <w:r w:rsidRPr="000329DE">
        <w:rPr>
          <w:sz w:val="24"/>
          <w:szCs w:val="24"/>
        </w:rPr>
        <w:t>.</w:t>
      </w:r>
    </w:p>
    <w:p w14:paraId="0F59B9CB" w14:textId="77777777" w:rsidR="000329DE" w:rsidRPr="000329DE" w:rsidRDefault="000329DE" w:rsidP="000329D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329DE">
        <w:rPr>
          <w:sz w:val="24"/>
          <w:szCs w:val="24"/>
        </w:rPr>
        <w:t xml:space="preserve">Overfølsomhedsreaktioner, lysfølsomhed og i undtagelsestilfælde </w:t>
      </w:r>
      <w:proofErr w:type="spellStart"/>
      <w:r w:rsidRPr="000329DE">
        <w:rPr>
          <w:sz w:val="24"/>
          <w:szCs w:val="24"/>
        </w:rPr>
        <w:t>fotodermatitis</w:t>
      </w:r>
      <w:proofErr w:type="spellEnd"/>
      <w:r w:rsidRPr="000329DE">
        <w:rPr>
          <w:sz w:val="24"/>
          <w:szCs w:val="24"/>
        </w:rPr>
        <w:t xml:space="preserve"> kan forekomme efter udsættelse for intenst dagslys.</w:t>
      </w:r>
    </w:p>
    <w:p w14:paraId="00395221" w14:textId="34C9B215" w:rsidR="000329DE" w:rsidRDefault="000329DE" w:rsidP="000329D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329DE">
        <w:rPr>
          <w:sz w:val="24"/>
          <w:szCs w:val="24"/>
        </w:rPr>
        <w:t xml:space="preserve">Hæmmet knoglevækst hos unge dyr (reversibel ved </w:t>
      </w:r>
      <w:proofErr w:type="spellStart"/>
      <w:r w:rsidRPr="000329DE">
        <w:rPr>
          <w:sz w:val="24"/>
          <w:szCs w:val="24"/>
        </w:rPr>
        <w:t>seponering</w:t>
      </w:r>
      <w:proofErr w:type="spellEnd"/>
      <w:r w:rsidRPr="000329DE">
        <w:rPr>
          <w:sz w:val="24"/>
          <w:szCs w:val="24"/>
        </w:rPr>
        <w:t xml:space="preserve"> af behandlingen) er kendt for at forekomme ved brug af andre </w:t>
      </w:r>
      <w:proofErr w:type="spellStart"/>
      <w:r w:rsidRPr="000329DE">
        <w:rPr>
          <w:sz w:val="24"/>
          <w:szCs w:val="24"/>
        </w:rPr>
        <w:t>tetracycliner</w:t>
      </w:r>
      <w:proofErr w:type="spellEnd"/>
      <w:r w:rsidRPr="000329DE">
        <w:rPr>
          <w:sz w:val="24"/>
          <w:szCs w:val="24"/>
        </w:rPr>
        <w:t xml:space="preserve"> og kan forekomme efter administration af </w:t>
      </w:r>
      <w:proofErr w:type="spellStart"/>
      <w:r w:rsidRPr="000329DE">
        <w:rPr>
          <w:sz w:val="24"/>
          <w:szCs w:val="24"/>
        </w:rPr>
        <w:t>doxycyclin</w:t>
      </w:r>
      <w:proofErr w:type="spellEnd"/>
      <w:r w:rsidRPr="000329DE">
        <w:rPr>
          <w:sz w:val="24"/>
          <w:szCs w:val="24"/>
        </w:rPr>
        <w:t>.</w:t>
      </w:r>
    </w:p>
    <w:p w14:paraId="38C194A3" w14:textId="59F7F0F5" w:rsidR="00B81A36" w:rsidRDefault="00B81A36" w:rsidP="000329D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bookmarkEnd w:id="1"/>
    <w:p w14:paraId="39D92DB1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14:paraId="5BBAB16C" w14:textId="77777777" w:rsidR="00F01B1B" w:rsidRPr="00F01B1B" w:rsidRDefault="00F01B1B" w:rsidP="00F01B1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01B1B">
        <w:rPr>
          <w:sz w:val="24"/>
          <w:szCs w:val="24"/>
        </w:rPr>
        <w:t xml:space="preserve">Veterinærlægemidlets sikkerhed under drægtighed og diegivning er ikke fastlagt. </w:t>
      </w:r>
      <w:proofErr w:type="spellStart"/>
      <w:r w:rsidRPr="00F01B1B">
        <w:rPr>
          <w:sz w:val="24"/>
          <w:szCs w:val="24"/>
        </w:rPr>
        <w:t>Tetracycliner</w:t>
      </w:r>
      <w:proofErr w:type="spellEnd"/>
      <w:r w:rsidRPr="00F01B1B">
        <w:rPr>
          <w:sz w:val="24"/>
          <w:szCs w:val="24"/>
        </w:rPr>
        <w:t xml:space="preserve"> som klasse kan forsinke fosterets knogleudvikling (fuldt reversibel) og forårsage misfarvning af løvtænderne. Dokumentation fra human litteratur tyder dog på, at </w:t>
      </w:r>
      <w:proofErr w:type="spellStart"/>
      <w:r w:rsidRPr="00F01B1B">
        <w:rPr>
          <w:sz w:val="24"/>
          <w:szCs w:val="24"/>
        </w:rPr>
        <w:t>doxycyclin</w:t>
      </w:r>
      <w:proofErr w:type="spellEnd"/>
      <w:r w:rsidRPr="00F01B1B">
        <w:rPr>
          <w:sz w:val="24"/>
          <w:szCs w:val="24"/>
        </w:rPr>
        <w:t xml:space="preserve"> er mindre tilbøjeligt til at forårsage disse abnormiteter end andre </w:t>
      </w:r>
      <w:proofErr w:type="spellStart"/>
      <w:r w:rsidRPr="00F01B1B">
        <w:rPr>
          <w:sz w:val="24"/>
          <w:szCs w:val="24"/>
        </w:rPr>
        <w:t>tetracycliner</w:t>
      </w:r>
      <w:proofErr w:type="spellEnd"/>
      <w:r w:rsidRPr="00F01B1B">
        <w:rPr>
          <w:sz w:val="24"/>
          <w:szCs w:val="24"/>
        </w:rPr>
        <w:t xml:space="preserve">. Må kun anvendes i overensstemmelse med den ansvarlige dyrlæges vurdering af </w:t>
      </w:r>
      <w:proofErr w:type="spellStart"/>
      <w:r w:rsidRPr="00F01B1B">
        <w:rPr>
          <w:sz w:val="24"/>
          <w:szCs w:val="24"/>
        </w:rPr>
        <w:t>risk</w:t>
      </w:r>
      <w:proofErr w:type="spellEnd"/>
      <w:r w:rsidRPr="00F01B1B">
        <w:rPr>
          <w:sz w:val="24"/>
          <w:szCs w:val="24"/>
        </w:rPr>
        <w:t>-benefit-forholdet.</w:t>
      </w:r>
    </w:p>
    <w:p w14:paraId="24355913" w14:textId="77777777" w:rsidR="00F01B1B" w:rsidRPr="00F01B1B" w:rsidRDefault="00F01B1B" w:rsidP="00F01B1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DA6E367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14:paraId="766EB46A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C7CFC">
        <w:rPr>
          <w:sz w:val="24"/>
          <w:szCs w:val="24"/>
        </w:rPr>
        <w:t xml:space="preserve">Må ikke bruges sammen med bakteriedræbende antibiotika som penicilliner og </w:t>
      </w:r>
      <w:proofErr w:type="spellStart"/>
      <w:r w:rsidRPr="00BC7CFC">
        <w:rPr>
          <w:sz w:val="24"/>
          <w:szCs w:val="24"/>
        </w:rPr>
        <w:t>cefalosporiner</w:t>
      </w:r>
      <w:proofErr w:type="spellEnd"/>
      <w:r w:rsidRPr="00BC7CFC">
        <w:rPr>
          <w:sz w:val="24"/>
          <w:szCs w:val="24"/>
        </w:rPr>
        <w:t>.</w:t>
      </w:r>
    </w:p>
    <w:p w14:paraId="100C4A16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BC7CFC">
        <w:rPr>
          <w:sz w:val="24"/>
          <w:szCs w:val="24"/>
        </w:rPr>
        <w:t xml:space="preserve">Oralt absorberende stoffer og stoffer, der indeholder multivalente kationer såsom </w:t>
      </w:r>
      <w:proofErr w:type="spellStart"/>
      <w:r w:rsidRPr="00BC7CFC">
        <w:rPr>
          <w:sz w:val="24"/>
          <w:szCs w:val="24"/>
        </w:rPr>
        <w:t>antacida</w:t>
      </w:r>
      <w:proofErr w:type="spellEnd"/>
      <w:r w:rsidRPr="00BC7CFC">
        <w:rPr>
          <w:sz w:val="24"/>
          <w:szCs w:val="24"/>
        </w:rPr>
        <w:t xml:space="preserve"> og jernsalte, bør ikke anvendes fra 3 timer før til 3 timer efter administration af </w:t>
      </w:r>
      <w:proofErr w:type="spellStart"/>
      <w:r w:rsidRPr="00BC7CFC">
        <w:rPr>
          <w:sz w:val="24"/>
          <w:szCs w:val="24"/>
        </w:rPr>
        <w:t>doxycyclin</w:t>
      </w:r>
      <w:proofErr w:type="spellEnd"/>
      <w:r w:rsidRPr="00BC7CFC">
        <w:rPr>
          <w:sz w:val="24"/>
          <w:szCs w:val="24"/>
        </w:rPr>
        <w:t xml:space="preserve">, da de reducerer tilgængeligheden af </w:t>
      </w:r>
      <w:proofErr w:type="spellStart"/>
      <w:r w:rsidRPr="00BC7CFC">
        <w:rPr>
          <w:sz w:val="24"/>
          <w:szCs w:val="24"/>
        </w:rPr>
        <w:t>doxycyclin</w:t>
      </w:r>
      <w:proofErr w:type="spellEnd"/>
      <w:r w:rsidRPr="00BC7CFC">
        <w:rPr>
          <w:sz w:val="24"/>
          <w:szCs w:val="24"/>
        </w:rPr>
        <w:t xml:space="preserve">. </w:t>
      </w:r>
      <w:proofErr w:type="spellStart"/>
      <w:r w:rsidRPr="00BC7CFC">
        <w:rPr>
          <w:sz w:val="24"/>
          <w:szCs w:val="24"/>
        </w:rPr>
        <w:t>Doxycyclins</w:t>
      </w:r>
      <w:proofErr w:type="spellEnd"/>
      <w:r w:rsidRPr="00BC7CFC">
        <w:rPr>
          <w:sz w:val="24"/>
          <w:szCs w:val="24"/>
        </w:rPr>
        <w:t xml:space="preserve"> halveringstid reduceres ved samtidig administration af </w:t>
      </w:r>
      <w:proofErr w:type="spellStart"/>
      <w:r w:rsidRPr="00BC7CFC">
        <w:rPr>
          <w:sz w:val="24"/>
          <w:szCs w:val="24"/>
        </w:rPr>
        <w:t>antiepileptika</w:t>
      </w:r>
      <w:proofErr w:type="spellEnd"/>
      <w:r w:rsidRPr="00BC7CFC">
        <w:rPr>
          <w:sz w:val="24"/>
          <w:szCs w:val="24"/>
        </w:rPr>
        <w:t xml:space="preserve"> såsom </w:t>
      </w:r>
      <w:proofErr w:type="spellStart"/>
      <w:r w:rsidRPr="00BC7CFC">
        <w:rPr>
          <w:sz w:val="24"/>
          <w:szCs w:val="24"/>
        </w:rPr>
        <w:t>phenobarbital</w:t>
      </w:r>
      <w:proofErr w:type="spellEnd"/>
      <w:r w:rsidRPr="00BC7CFC">
        <w:rPr>
          <w:sz w:val="24"/>
          <w:szCs w:val="24"/>
        </w:rPr>
        <w:t xml:space="preserve"> og </w:t>
      </w:r>
      <w:proofErr w:type="spellStart"/>
      <w:r w:rsidRPr="00BC7CFC">
        <w:rPr>
          <w:sz w:val="24"/>
          <w:szCs w:val="24"/>
        </w:rPr>
        <w:t>phenytoin</w:t>
      </w:r>
      <w:proofErr w:type="spellEnd"/>
      <w:r w:rsidRPr="00BC7CFC">
        <w:rPr>
          <w:sz w:val="24"/>
          <w:szCs w:val="24"/>
        </w:rPr>
        <w:t>.</w:t>
      </w:r>
    </w:p>
    <w:p w14:paraId="4282DFF8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1D70CDA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14:paraId="2214E648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2" w:name="_Hlk9606473"/>
      <w:r w:rsidRPr="00BC7CFC">
        <w:rPr>
          <w:sz w:val="24"/>
          <w:szCs w:val="24"/>
        </w:rPr>
        <w:t>Oral anvendelse.</w:t>
      </w:r>
    </w:p>
    <w:p w14:paraId="16D31EE4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bookmarkStart w:id="3" w:name="_Hlk29890541"/>
      <w:r w:rsidRPr="00BC7CFC">
        <w:rPr>
          <w:sz w:val="24"/>
          <w:szCs w:val="24"/>
        </w:rPr>
        <w:t xml:space="preserve">Den anbefalede dosis er 10 mg </w:t>
      </w:r>
      <w:proofErr w:type="spellStart"/>
      <w:r w:rsidRPr="00BC7CFC">
        <w:rPr>
          <w:sz w:val="24"/>
          <w:szCs w:val="24"/>
        </w:rPr>
        <w:t>doxycyclin</w:t>
      </w:r>
      <w:proofErr w:type="spellEnd"/>
      <w:r w:rsidRPr="00BC7CFC">
        <w:rPr>
          <w:sz w:val="24"/>
          <w:szCs w:val="24"/>
        </w:rPr>
        <w:t xml:space="preserve"> pr. kg pr. dag. Den daglige dosis kan opdeles i to administrationer pr. dag (dvs. 5 mg/kg legemsvægt to gange </w:t>
      </w:r>
      <w:r w:rsidR="009E5D2E">
        <w:rPr>
          <w:sz w:val="24"/>
          <w:szCs w:val="24"/>
        </w:rPr>
        <w:t>daglig</w:t>
      </w:r>
      <w:r w:rsidRPr="00BC7CFC">
        <w:rPr>
          <w:sz w:val="24"/>
          <w:szCs w:val="24"/>
        </w:rPr>
        <w:t xml:space="preserve">). </w:t>
      </w:r>
    </w:p>
    <w:p w14:paraId="3C54D64A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BC7CFC">
        <w:rPr>
          <w:sz w:val="24"/>
          <w:szCs w:val="24"/>
        </w:rPr>
        <w:t xml:space="preserve">De fleste rutinetilfælde forventes at respondere efter mellem 5 og 7 dages behandling. Behandlingen bør fortsætte i 2 til 3 dage efter den kliniske helbredelse af akutte infektioner. I kroniske eller refraktære tilfælde kan et længere behandlingsforløb på op til 14 dage være nødvendigt. </w:t>
      </w:r>
    </w:p>
    <w:p w14:paraId="1DAD96F9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BC7CFC">
        <w:rPr>
          <w:sz w:val="24"/>
          <w:szCs w:val="24"/>
        </w:rPr>
        <w:lastRenderedPageBreak/>
        <w:t xml:space="preserve">Hos hunde med </w:t>
      </w:r>
      <w:proofErr w:type="spellStart"/>
      <w:r w:rsidRPr="00BC7CFC">
        <w:rPr>
          <w:sz w:val="24"/>
          <w:szCs w:val="24"/>
        </w:rPr>
        <w:t>interstitiel</w:t>
      </w:r>
      <w:proofErr w:type="spellEnd"/>
      <w:r w:rsidRPr="00BC7CFC">
        <w:rPr>
          <w:sz w:val="24"/>
          <w:szCs w:val="24"/>
        </w:rPr>
        <w:t xml:space="preserve"> </w:t>
      </w:r>
      <w:proofErr w:type="spellStart"/>
      <w:r w:rsidRPr="00BC7CFC">
        <w:rPr>
          <w:sz w:val="24"/>
          <w:szCs w:val="24"/>
        </w:rPr>
        <w:t>nefritis</w:t>
      </w:r>
      <w:proofErr w:type="spellEnd"/>
      <w:r w:rsidRPr="00BC7CFC">
        <w:rPr>
          <w:sz w:val="24"/>
          <w:szCs w:val="24"/>
        </w:rPr>
        <w:t xml:space="preserve"> på grund af </w:t>
      </w:r>
      <w:proofErr w:type="spellStart"/>
      <w:r w:rsidRPr="00BC7CFC">
        <w:rPr>
          <w:sz w:val="24"/>
          <w:szCs w:val="24"/>
        </w:rPr>
        <w:t>leptospirose</w:t>
      </w:r>
      <w:proofErr w:type="spellEnd"/>
      <w:r w:rsidRPr="00BC7CFC">
        <w:rPr>
          <w:sz w:val="24"/>
          <w:szCs w:val="24"/>
        </w:rPr>
        <w:t xml:space="preserve"> anbefales behandling i 14 dage.</w:t>
      </w:r>
    </w:p>
    <w:p w14:paraId="278589E1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BC7CFC">
        <w:rPr>
          <w:sz w:val="24"/>
          <w:szCs w:val="24"/>
        </w:rPr>
        <w:t xml:space="preserve">Hos katte med </w:t>
      </w:r>
      <w:r w:rsidRPr="00BC7CFC">
        <w:rPr>
          <w:i/>
          <w:sz w:val="24"/>
          <w:szCs w:val="24"/>
        </w:rPr>
        <w:t xml:space="preserve">C. </w:t>
      </w:r>
      <w:proofErr w:type="spellStart"/>
      <w:r w:rsidRPr="00BC7CFC">
        <w:rPr>
          <w:i/>
          <w:sz w:val="24"/>
          <w:szCs w:val="24"/>
        </w:rPr>
        <w:t>felis</w:t>
      </w:r>
      <w:proofErr w:type="spellEnd"/>
      <w:r w:rsidRPr="00BC7CFC">
        <w:rPr>
          <w:sz w:val="24"/>
          <w:szCs w:val="24"/>
        </w:rPr>
        <w:t>-infektioner anbefales det at administrere behandling i 28 dage for at sikre eliminering af organismen.</w:t>
      </w:r>
    </w:p>
    <w:p w14:paraId="490731CA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C7CFC">
        <w:rPr>
          <w:sz w:val="24"/>
          <w:szCs w:val="24"/>
        </w:rPr>
        <w:t xml:space="preserve">Legemsvægten bør bestemmes så nøjagtigt som muligt, så man sikrer, at doseringen er korrekt og undgår underdosering. </w:t>
      </w:r>
    </w:p>
    <w:p w14:paraId="340DDCF0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C7CFC">
        <w:rPr>
          <w:sz w:val="24"/>
          <w:szCs w:val="24"/>
        </w:rPr>
        <w:t>Tabletterne bør administreres sammen med maden (se pkt. 4.5).</w:t>
      </w:r>
    </w:p>
    <w:bookmarkEnd w:id="3"/>
    <w:p w14:paraId="12E1B2C4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C7CFC">
        <w:rPr>
          <w:sz w:val="24"/>
          <w:szCs w:val="24"/>
        </w:rPr>
        <w:t>Den mest hensigtsmæssige tabletstyrke bør anvendes for at minimere antallet af delte tabletter, der skal opbevares indtil næste dosering.</w:t>
      </w:r>
    </w:p>
    <w:bookmarkEnd w:id="2"/>
    <w:p w14:paraId="7793B8EE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C7CFC">
        <w:rPr>
          <w:sz w:val="24"/>
          <w:szCs w:val="24"/>
        </w:rPr>
        <w:t>Tabletterne kan deles i to eller fire lige store dele for at sikre nøjagtig dosering. Læg tabletten på en flad overflade med delekærven opad og den konvekse (afrundede) side nedad.</w:t>
      </w:r>
    </w:p>
    <w:p w14:paraId="792A7759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D3178F5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C7CFC">
        <w:rPr>
          <w:noProof/>
          <w:sz w:val="24"/>
          <w:szCs w:val="24"/>
        </w:rPr>
        <w:drawing>
          <wp:inline distT="0" distB="0" distL="0" distR="0" wp14:anchorId="52E6C10D" wp14:editId="7988F95E">
            <wp:extent cx="2305050" cy="1955800"/>
            <wp:effectExtent l="0" t="0" r="0" b="635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30F0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C7CFC">
        <w:rPr>
          <w:sz w:val="24"/>
          <w:szCs w:val="24"/>
        </w:rPr>
        <w:t>To lige store dele: Tryk ned med tommelfingrene på begge sider af tabletten.</w:t>
      </w:r>
    </w:p>
    <w:p w14:paraId="22342A40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C7CFC">
        <w:rPr>
          <w:sz w:val="24"/>
          <w:szCs w:val="24"/>
        </w:rPr>
        <w:t>Fire lige store dele: Tryk ned med tommelfingeren midt på tabletten.</w:t>
      </w:r>
    </w:p>
    <w:p w14:paraId="4645A288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879079B" w14:textId="77777777" w:rsidR="00BC7CFC" w:rsidRPr="00BC7CFC" w:rsidRDefault="00BC7CFC" w:rsidP="00BC7C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C7CFC">
        <w:rPr>
          <w:sz w:val="24"/>
          <w:szCs w:val="24"/>
        </w:rPr>
        <w:t>Læg eventuelle delte tabletter tilbage i blisterpakningen. De opdelte tabletter bør anvendes ved næste administration. Eventuelle delte tabletter, der er tilbage efter den sidste administration af produktet, skal kasseres.</w:t>
      </w:r>
    </w:p>
    <w:p w14:paraId="5625BB18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087763E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14:paraId="67CFD8ED" w14:textId="77777777" w:rsidR="00717AD0" w:rsidRPr="00717AD0" w:rsidRDefault="00717AD0" w:rsidP="00717AD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4" w:name="_Hlk9871437"/>
      <w:r w:rsidRPr="00717AD0">
        <w:rPr>
          <w:sz w:val="24"/>
          <w:szCs w:val="24"/>
        </w:rPr>
        <w:t>I tilfælde af overdosering forventes der ingen andre symptomer end dem, der er nævnt som bivirkninger i pkt. 4.6.</w:t>
      </w:r>
    </w:p>
    <w:bookmarkEnd w:id="4"/>
    <w:p w14:paraId="2BC1E2FA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82D5ED2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14:paraId="0F9B7B81" w14:textId="77777777" w:rsidR="005B0036" w:rsidRPr="00357F1D" w:rsidRDefault="00717AD0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57F1D">
        <w:rPr>
          <w:sz w:val="24"/>
          <w:szCs w:val="24"/>
        </w:rPr>
        <w:t>Ikke relevant.</w:t>
      </w:r>
    </w:p>
    <w:p w14:paraId="5ADDB5D7" w14:textId="77777777" w:rsidR="005B0036" w:rsidRPr="00357F1D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3D1535A8" w14:textId="77777777" w:rsidR="005B0036" w:rsidRPr="00357F1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DAD755F" w14:textId="77777777" w:rsidR="005B0036" w:rsidRPr="00357F1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57F1D">
        <w:rPr>
          <w:b/>
          <w:sz w:val="24"/>
          <w:szCs w:val="24"/>
        </w:rPr>
        <w:t>5.</w:t>
      </w:r>
      <w:r w:rsidRPr="00357F1D">
        <w:rPr>
          <w:b/>
          <w:sz w:val="24"/>
          <w:szCs w:val="24"/>
        </w:rPr>
        <w:tab/>
        <w:t>FARMAKOLOGISKE EGENSKABER</w:t>
      </w:r>
    </w:p>
    <w:p w14:paraId="427C843F" w14:textId="77777777" w:rsidR="005B0036" w:rsidRPr="00357F1D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3DEA2A58" w14:textId="77777777" w:rsidR="00357F1D" w:rsidRPr="00357F1D" w:rsidRDefault="00357F1D" w:rsidP="00357F1D">
      <w:pPr>
        <w:tabs>
          <w:tab w:val="left" w:pos="8222"/>
        </w:tabs>
        <w:ind w:left="851"/>
        <w:rPr>
          <w:i/>
          <w:sz w:val="24"/>
          <w:szCs w:val="24"/>
        </w:rPr>
      </w:pPr>
      <w:proofErr w:type="spellStart"/>
      <w:r w:rsidRPr="00357F1D">
        <w:rPr>
          <w:sz w:val="24"/>
          <w:szCs w:val="24"/>
        </w:rPr>
        <w:t>Farmakoterapeutisk</w:t>
      </w:r>
      <w:proofErr w:type="spellEnd"/>
      <w:r w:rsidRPr="00357F1D">
        <w:rPr>
          <w:sz w:val="24"/>
          <w:szCs w:val="24"/>
        </w:rPr>
        <w:t xml:space="preserve"> gruppe: </w:t>
      </w:r>
      <w:proofErr w:type="spellStart"/>
      <w:r w:rsidRPr="00357F1D">
        <w:rPr>
          <w:sz w:val="24"/>
          <w:szCs w:val="24"/>
        </w:rPr>
        <w:t>Antibakterica</w:t>
      </w:r>
      <w:proofErr w:type="spellEnd"/>
      <w:r w:rsidRPr="00357F1D">
        <w:rPr>
          <w:sz w:val="24"/>
          <w:szCs w:val="24"/>
        </w:rPr>
        <w:t xml:space="preserve"> til systemisk brug, </w:t>
      </w:r>
      <w:proofErr w:type="spellStart"/>
      <w:r w:rsidRPr="00357F1D">
        <w:rPr>
          <w:sz w:val="24"/>
          <w:szCs w:val="24"/>
        </w:rPr>
        <w:t>tetracycliner</w:t>
      </w:r>
      <w:proofErr w:type="spellEnd"/>
      <w:r w:rsidR="00930208">
        <w:rPr>
          <w:sz w:val="24"/>
          <w:szCs w:val="24"/>
        </w:rPr>
        <w:t>.</w:t>
      </w:r>
    </w:p>
    <w:p w14:paraId="5B675A6B" w14:textId="77777777" w:rsidR="00357F1D" w:rsidRPr="00357F1D" w:rsidRDefault="00357F1D" w:rsidP="00357F1D">
      <w:pPr>
        <w:tabs>
          <w:tab w:val="left" w:pos="8222"/>
        </w:tabs>
        <w:ind w:left="851"/>
        <w:rPr>
          <w:i/>
          <w:sz w:val="24"/>
          <w:szCs w:val="24"/>
        </w:rPr>
      </w:pPr>
      <w:proofErr w:type="spellStart"/>
      <w:r w:rsidRPr="00357F1D">
        <w:rPr>
          <w:sz w:val="24"/>
          <w:szCs w:val="24"/>
        </w:rPr>
        <w:t>ATCvet</w:t>
      </w:r>
      <w:proofErr w:type="spellEnd"/>
      <w:r w:rsidRPr="00357F1D">
        <w:rPr>
          <w:sz w:val="24"/>
          <w:szCs w:val="24"/>
        </w:rPr>
        <w:t>-kode:</w:t>
      </w:r>
      <w:r w:rsidRPr="00357F1D">
        <w:rPr>
          <w:b/>
          <w:i/>
          <w:sz w:val="24"/>
          <w:szCs w:val="24"/>
        </w:rPr>
        <w:t xml:space="preserve"> </w:t>
      </w:r>
      <w:bookmarkStart w:id="5" w:name="_Hlk9606604"/>
      <w:r w:rsidRPr="00357F1D">
        <w:rPr>
          <w:sz w:val="24"/>
          <w:szCs w:val="24"/>
        </w:rPr>
        <w:t>QJ</w:t>
      </w:r>
      <w:r w:rsidR="00930208">
        <w:rPr>
          <w:sz w:val="24"/>
          <w:szCs w:val="24"/>
        </w:rPr>
        <w:t xml:space="preserve"> </w:t>
      </w:r>
      <w:r w:rsidRPr="00357F1D">
        <w:rPr>
          <w:sz w:val="24"/>
          <w:szCs w:val="24"/>
        </w:rPr>
        <w:t>01</w:t>
      </w:r>
      <w:r w:rsidR="00930208">
        <w:rPr>
          <w:sz w:val="24"/>
          <w:szCs w:val="24"/>
        </w:rPr>
        <w:t xml:space="preserve"> </w:t>
      </w:r>
      <w:r w:rsidRPr="00357F1D">
        <w:rPr>
          <w:sz w:val="24"/>
          <w:szCs w:val="24"/>
        </w:rPr>
        <w:t>AA</w:t>
      </w:r>
      <w:r w:rsidR="00930208">
        <w:rPr>
          <w:sz w:val="24"/>
          <w:szCs w:val="24"/>
        </w:rPr>
        <w:t xml:space="preserve"> </w:t>
      </w:r>
      <w:r w:rsidRPr="00357F1D">
        <w:rPr>
          <w:sz w:val="24"/>
          <w:szCs w:val="24"/>
        </w:rPr>
        <w:t>02</w:t>
      </w:r>
      <w:bookmarkEnd w:id="5"/>
      <w:r w:rsidR="00930208">
        <w:rPr>
          <w:sz w:val="24"/>
          <w:szCs w:val="24"/>
        </w:rPr>
        <w:t>.</w:t>
      </w:r>
    </w:p>
    <w:p w14:paraId="27049CA8" w14:textId="77777777" w:rsidR="005B0036" w:rsidRPr="00357F1D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76FA8E14" w14:textId="77777777" w:rsidR="005B0036" w:rsidRPr="00357F1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357F1D">
        <w:rPr>
          <w:b/>
          <w:sz w:val="24"/>
          <w:szCs w:val="24"/>
        </w:rPr>
        <w:t>5.1</w:t>
      </w:r>
      <w:r w:rsidRPr="00357F1D">
        <w:rPr>
          <w:b/>
          <w:sz w:val="24"/>
          <w:szCs w:val="24"/>
        </w:rPr>
        <w:tab/>
      </w:r>
      <w:proofErr w:type="spellStart"/>
      <w:r w:rsidRPr="00357F1D">
        <w:rPr>
          <w:b/>
          <w:sz w:val="24"/>
          <w:szCs w:val="24"/>
        </w:rPr>
        <w:t>Farmakodynamiske</w:t>
      </w:r>
      <w:proofErr w:type="spellEnd"/>
      <w:r w:rsidRPr="00357F1D">
        <w:rPr>
          <w:b/>
          <w:sz w:val="24"/>
          <w:szCs w:val="24"/>
        </w:rPr>
        <w:t xml:space="preserve"> egenskaber</w:t>
      </w:r>
    </w:p>
    <w:p w14:paraId="05298630" w14:textId="77777777" w:rsidR="00FC6126" w:rsidRPr="00FC6126" w:rsidRDefault="00FC6126" w:rsidP="00FC612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6" w:name="_Hlk9610496"/>
      <w:proofErr w:type="spellStart"/>
      <w:r w:rsidRPr="00FC6126">
        <w:rPr>
          <w:sz w:val="24"/>
          <w:szCs w:val="24"/>
        </w:rPr>
        <w:t>Doxycyclin</w:t>
      </w:r>
      <w:proofErr w:type="spellEnd"/>
      <w:r w:rsidRPr="00FC6126">
        <w:rPr>
          <w:sz w:val="24"/>
          <w:szCs w:val="24"/>
        </w:rPr>
        <w:t xml:space="preserve"> tilhører anden generation af </w:t>
      </w:r>
      <w:proofErr w:type="spellStart"/>
      <w:r w:rsidRPr="00FC6126">
        <w:rPr>
          <w:sz w:val="24"/>
          <w:szCs w:val="24"/>
        </w:rPr>
        <w:t>tetracycliner</w:t>
      </w:r>
      <w:proofErr w:type="spellEnd"/>
      <w:r w:rsidRPr="00FC6126">
        <w:rPr>
          <w:sz w:val="24"/>
          <w:szCs w:val="24"/>
        </w:rPr>
        <w:t xml:space="preserve">. Produktet er hovedsageligt </w:t>
      </w:r>
      <w:proofErr w:type="spellStart"/>
      <w:r w:rsidRPr="00FC6126">
        <w:rPr>
          <w:sz w:val="24"/>
          <w:szCs w:val="24"/>
        </w:rPr>
        <w:t>bakteriostatisk</w:t>
      </w:r>
      <w:proofErr w:type="spellEnd"/>
      <w:r w:rsidRPr="00FC6126">
        <w:rPr>
          <w:sz w:val="24"/>
          <w:szCs w:val="24"/>
        </w:rPr>
        <w:t xml:space="preserve">; det hæmmer bakteriel proteinsyntese ved at blokere bindingen af overførsels-RNA ved </w:t>
      </w:r>
      <w:proofErr w:type="spellStart"/>
      <w:r w:rsidRPr="00FC6126">
        <w:rPr>
          <w:sz w:val="24"/>
          <w:szCs w:val="24"/>
        </w:rPr>
        <w:t>messenger</w:t>
      </w:r>
      <w:proofErr w:type="spellEnd"/>
      <w:r w:rsidRPr="00FC6126">
        <w:rPr>
          <w:sz w:val="24"/>
          <w:szCs w:val="24"/>
        </w:rPr>
        <w:t>-RNA-ribosom-komplekset.</w:t>
      </w:r>
    </w:p>
    <w:p w14:paraId="250D88BA" w14:textId="77777777" w:rsidR="00FC6126" w:rsidRPr="00FC6126" w:rsidRDefault="00FC6126" w:rsidP="00FC612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C6126">
        <w:rPr>
          <w:sz w:val="24"/>
          <w:szCs w:val="24"/>
        </w:rPr>
        <w:t xml:space="preserve">Resistens medieres hovedsageligt af </w:t>
      </w:r>
      <w:proofErr w:type="spellStart"/>
      <w:r w:rsidRPr="00FC6126">
        <w:rPr>
          <w:sz w:val="24"/>
          <w:szCs w:val="24"/>
        </w:rPr>
        <w:t>effluxpumper</w:t>
      </w:r>
      <w:proofErr w:type="spellEnd"/>
      <w:r w:rsidRPr="00FC6126">
        <w:rPr>
          <w:sz w:val="24"/>
          <w:szCs w:val="24"/>
        </w:rPr>
        <w:t xml:space="preserve"> eller ribosomale beskyttelsesproteiner.</w:t>
      </w:r>
    </w:p>
    <w:p w14:paraId="1342FE45" w14:textId="77777777" w:rsidR="00FC6126" w:rsidRPr="00FC6126" w:rsidRDefault="00FC6126" w:rsidP="00FC612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C6126">
        <w:rPr>
          <w:sz w:val="24"/>
          <w:szCs w:val="24"/>
        </w:rPr>
        <w:t xml:space="preserve">Krydsresistens mellem </w:t>
      </w:r>
      <w:proofErr w:type="spellStart"/>
      <w:r w:rsidRPr="00FC6126">
        <w:rPr>
          <w:sz w:val="24"/>
          <w:szCs w:val="24"/>
        </w:rPr>
        <w:t>tetracycliner</w:t>
      </w:r>
      <w:proofErr w:type="spellEnd"/>
      <w:r w:rsidRPr="00FC6126">
        <w:rPr>
          <w:sz w:val="24"/>
          <w:szCs w:val="24"/>
        </w:rPr>
        <w:t xml:space="preserve"> er almindelig, men afhænger af resistensmekanismer: dvs. mutation i </w:t>
      </w:r>
      <w:proofErr w:type="spellStart"/>
      <w:r w:rsidRPr="00FC6126">
        <w:rPr>
          <w:sz w:val="24"/>
          <w:szCs w:val="24"/>
        </w:rPr>
        <w:t>effluxpumper</w:t>
      </w:r>
      <w:proofErr w:type="spellEnd"/>
      <w:r w:rsidRPr="00FC6126">
        <w:rPr>
          <w:sz w:val="24"/>
          <w:szCs w:val="24"/>
        </w:rPr>
        <w:t xml:space="preserve">, der gør </w:t>
      </w:r>
      <w:proofErr w:type="spellStart"/>
      <w:r w:rsidRPr="00FC6126">
        <w:rPr>
          <w:sz w:val="24"/>
          <w:szCs w:val="24"/>
        </w:rPr>
        <w:t>tetracyclin</w:t>
      </w:r>
      <w:proofErr w:type="spellEnd"/>
      <w:r w:rsidRPr="00FC6126">
        <w:rPr>
          <w:sz w:val="24"/>
          <w:szCs w:val="24"/>
        </w:rPr>
        <w:t xml:space="preserve"> resistent, kan stadig være følsom over for </w:t>
      </w:r>
      <w:proofErr w:type="spellStart"/>
      <w:r w:rsidRPr="00FC6126">
        <w:rPr>
          <w:sz w:val="24"/>
          <w:szCs w:val="24"/>
        </w:rPr>
        <w:lastRenderedPageBreak/>
        <w:t>doxycyclin</w:t>
      </w:r>
      <w:proofErr w:type="spellEnd"/>
      <w:r w:rsidRPr="00FC6126">
        <w:rPr>
          <w:sz w:val="24"/>
          <w:szCs w:val="24"/>
        </w:rPr>
        <w:t xml:space="preserve">. Induktion af ribosomale beskyttelsesproteiner giver dog krydsresistens over for </w:t>
      </w:r>
      <w:proofErr w:type="spellStart"/>
      <w:r w:rsidRPr="00FC6126">
        <w:rPr>
          <w:sz w:val="24"/>
          <w:szCs w:val="24"/>
        </w:rPr>
        <w:t>doxycyclin</w:t>
      </w:r>
      <w:proofErr w:type="spellEnd"/>
      <w:r w:rsidRPr="00FC6126">
        <w:rPr>
          <w:sz w:val="24"/>
          <w:szCs w:val="24"/>
        </w:rPr>
        <w:t>.</w:t>
      </w:r>
    </w:p>
    <w:bookmarkEnd w:id="6"/>
    <w:p w14:paraId="0C216779" w14:textId="77777777" w:rsidR="00FC6126" w:rsidRPr="00FC6126" w:rsidRDefault="00FC6126" w:rsidP="00FC612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tbl>
      <w:tblPr>
        <w:tblW w:w="9179" w:type="dxa"/>
        <w:tblInd w:w="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808"/>
        <w:gridCol w:w="1843"/>
      </w:tblGrid>
      <w:tr w:rsidR="00FC6126" w:rsidRPr="00FC6126" w14:paraId="3A134BF6" w14:textId="77777777" w:rsidTr="00A65B8E">
        <w:trPr>
          <w:trHeight w:val="238"/>
        </w:trPr>
        <w:tc>
          <w:tcPr>
            <w:tcW w:w="5528" w:type="dxa"/>
            <w:shd w:val="clear" w:color="auto" w:fill="auto"/>
          </w:tcPr>
          <w:p w14:paraId="788B4E97" w14:textId="77777777" w:rsidR="00FC6126" w:rsidRPr="00FC6126" w:rsidRDefault="00FC6126" w:rsidP="00FC6126">
            <w:pPr>
              <w:tabs>
                <w:tab w:val="left" w:pos="8222"/>
              </w:tabs>
              <w:ind w:left="33"/>
              <w:rPr>
                <w:b/>
                <w:sz w:val="24"/>
                <w:szCs w:val="24"/>
              </w:rPr>
            </w:pPr>
            <w:r w:rsidRPr="00FC6126">
              <w:rPr>
                <w:b/>
                <w:sz w:val="24"/>
                <w:szCs w:val="24"/>
              </w:rPr>
              <w:t>Bakteriearter og oprindelse</w:t>
            </w:r>
          </w:p>
        </w:tc>
        <w:tc>
          <w:tcPr>
            <w:tcW w:w="1808" w:type="dxa"/>
            <w:shd w:val="clear" w:color="auto" w:fill="auto"/>
          </w:tcPr>
          <w:p w14:paraId="1352FB8E" w14:textId="77777777" w:rsidR="00FC6126" w:rsidRPr="00FC6126" w:rsidRDefault="00FC6126" w:rsidP="00A65B8E">
            <w:pPr>
              <w:tabs>
                <w:tab w:val="left" w:pos="8222"/>
              </w:tabs>
              <w:rPr>
                <w:b/>
                <w:sz w:val="24"/>
                <w:szCs w:val="24"/>
              </w:rPr>
            </w:pPr>
            <w:r w:rsidRPr="00FC6126">
              <w:rPr>
                <w:b/>
                <w:sz w:val="24"/>
                <w:szCs w:val="24"/>
              </w:rPr>
              <w:t>MIC</w:t>
            </w:r>
            <w:r w:rsidRPr="00FC6126">
              <w:rPr>
                <w:b/>
                <w:sz w:val="24"/>
                <w:szCs w:val="24"/>
                <w:vertAlign w:val="subscript"/>
              </w:rPr>
              <w:t>90</w:t>
            </w:r>
            <w:r w:rsidRPr="00FC6126">
              <w:rPr>
                <w:b/>
                <w:sz w:val="24"/>
                <w:szCs w:val="24"/>
              </w:rPr>
              <w:t xml:space="preserve"> (µg/ml)</w:t>
            </w:r>
          </w:p>
        </w:tc>
        <w:tc>
          <w:tcPr>
            <w:tcW w:w="1843" w:type="dxa"/>
            <w:shd w:val="clear" w:color="auto" w:fill="auto"/>
          </w:tcPr>
          <w:p w14:paraId="7189446F" w14:textId="77777777" w:rsidR="00FC6126" w:rsidRPr="00FC6126" w:rsidRDefault="00FC6126" w:rsidP="00A65B8E">
            <w:pPr>
              <w:tabs>
                <w:tab w:val="left" w:pos="8222"/>
              </w:tabs>
              <w:ind w:left="40"/>
              <w:rPr>
                <w:b/>
                <w:sz w:val="24"/>
                <w:szCs w:val="24"/>
              </w:rPr>
            </w:pPr>
            <w:r w:rsidRPr="00FC6126">
              <w:rPr>
                <w:b/>
                <w:sz w:val="24"/>
                <w:szCs w:val="24"/>
              </w:rPr>
              <w:t>Resistent</w:t>
            </w:r>
            <w:r w:rsidRPr="00FC6126">
              <w:rPr>
                <w:b/>
                <w:sz w:val="24"/>
                <w:szCs w:val="24"/>
                <w:vertAlign w:val="superscript"/>
              </w:rPr>
              <w:t>#</w:t>
            </w:r>
            <w:r w:rsidRPr="00FC6126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FC6126" w:rsidRPr="00FC6126" w14:paraId="6E50454A" w14:textId="77777777" w:rsidTr="00A65B8E">
        <w:trPr>
          <w:trHeight w:val="238"/>
        </w:trPr>
        <w:tc>
          <w:tcPr>
            <w:tcW w:w="5528" w:type="dxa"/>
            <w:shd w:val="clear" w:color="auto" w:fill="auto"/>
          </w:tcPr>
          <w:p w14:paraId="1155FD1A" w14:textId="77777777" w:rsidR="00FC6126" w:rsidRPr="00FC6126" w:rsidRDefault="00FC6126" w:rsidP="00FC6126">
            <w:pPr>
              <w:tabs>
                <w:tab w:val="left" w:pos="8222"/>
              </w:tabs>
              <w:ind w:left="33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2ADB9508" w14:textId="77777777" w:rsidR="00FC6126" w:rsidRPr="00FC6126" w:rsidRDefault="00FC6126" w:rsidP="00A65B8E">
            <w:pPr>
              <w:tabs>
                <w:tab w:val="left" w:pos="822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F10B6E" w14:textId="77777777" w:rsidR="00FC6126" w:rsidRPr="00FC6126" w:rsidRDefault="00FC6126" w:rsidP="00A65B8E">
            <w:pPr>
              <w:tabs>
                <w:tab w:val="left" w:pos="8222"/>
              </w:tabs>
              <w:ind w:left="40"/>
              <w:rPr>
                <w:b/>
                <w:sz w:val="24"/>
                <w:szCs w:val="24"/>
              </w:rPr>
            </w:pPr>
          </w:p>
        </w:tc>
      </w:tr>
      <w:tr w:rsidR="00FC6126" w:rsidRPr="00FC6126" w14:paraId="3C13BC9A" w14:textId="77777777" w:rsidTr="00A65B8E">
        <w:tc>
          <w:tcPr>
            <w:tcW w:w="5528" w:type="dxa"/>
            <w:shd w:val="clear" w:color="auto" w:fill="auto"/>
          </w:tcPr>
          <w:p w14:paraId="187F08EB" w14:textId="77777777" w:rsidR="00FC6126" w:rsidRPr="00FC6126" w:rsidRDefault="00FC6126" w:rsidP="00FC6126">
            <w:pPr>
              <w:tabs>
                <w:tab w:val="left" w:pos="8222"/>
              </w:tabs>
              <w:ind w:left="33"/>
              <w:rPr>
                <w:sz w:val="24"/>
                <w:szCs w:val="24"/>
              </w:rPr>
            </w:pPr>
            <w:r w:rsidRPr="00FC6126">
              <w:rPr>
                <w:i/>
                <w:sz w:val="24"/>
                <w:szCs w:val="24"/>
              </w:rPr>
              <w:t xml:space="preserve">P. </w:t>
            </w:r>
            <w:proofErr w:type="spellStart"/>
            <w:r w:rsidRPr="00FC6126">
              <w:rPr>
                <w:i/>
                <w:sz w:val="24"/>
                <w:szCs w:val="24"/>
              </w:rPr>
              <w:t>multocida</w:t>
            </w:r>
            <w:proofErr w:type="spellEnd"/>
            <w:r w:rsidRPr="00FC6126">
              <w:rPr>
                <w:sz w:val="24"/>
                <w:szCs w:val="24"/>
              </w:rPr>
              <w:t xml:space="preserve"> hos katte (DE 2017)</w:t>
            </w:r>
          </w:p>
          <w:p w14:paraId="5C85DB89" w14:textId="77777777" w:rsidR="00FC6126" w:rsidRPr="00FC6126" w:rsidRDefault="00FC6126" w:rsidP="00FC6126">
            <w:pPr>
              <w:tabs>
                <w:tab w:val="left" w:pos="8222"/>
              </w:tabs>
              <w:ind w:left="33"/>
              <w:rPr>
                <w:sz w:val="24"/>
                <w:szCs w:val="24"/>
              </w:rPr>
            </w:pPr>
          </w:p>
          <w:p w14:paraId="16441181" w14:textId="77777777" w:rsidR="00FC6126" w:rsidRPr="00FC6126" w:rsidRDefault="00FC6126" w:rsidP="00FC6126">
            <w:pPr>
              <w:tabs>
                <w:tab w:val="left" w:pos="8222"/>
              </w:tabs>
              <w:ind w:left="33"/>
              <w:rPr>
                <w:sz w:val="24"/>
                <w:szCs w:val="24"/>
              </w:rPr>
            </w:pPr>
            <w:proofErr w:type="spellStart"/>
            <w:r w:rsidRPr="00FC6126">
              <w:rPr>
                <w:i/>
                <w:sz w:val="24"/>
                <w:szCs w:val="24"/>
              </w:rPr>
              <w:t>Pasteurella</w:t>
            </w:r>
            <w:proofErr w:type="spellEnd"/>
            <w:r w:rsidRPr="00FC6126">
              <w:rPr>
                <w:i/>
                <w:sz w:val="24"/>
                <w:szCs w:val="24"/>
              </w:rPr>
              <w:t xml:space="preserve"> </w:t>
            </w:r>
            <w:r w:rsidRPr="00FC6126">
              <w:rPr>
                <w:sz w:val="24"/>
                <w:szCs w:val="24"/>
              </w:rPr>
              <w:t>hos hunde (FR 2017)</w:t>
            </w:r>
          </w:p>
          <w:p w14:paraId="4C604992" w14:textId="77777777" w:rsidR="00FC6126" w:rsidRPr="00FC6126" w:rsidRDefault="00FC6126" w:rsidP="00FC6126">
            <w:pPr>
              <w:tabs>
                <w:tab w:val="left" w:pos="8222"/>
              </w:tabs>
              <w:ind w:left="33"/>
              <w:rPr>
                <w:sz w:val="24"/>
                <w:szCs w:val="24"/>
              </w:rPr>
            </w:pPr>
            <w:proofErr w:type="spellStart"/>
            <w:r w:rsidRPr="00FC6126">
              <w:rPr>
                <w:i/>
                <w:sz w:val="24"/>
                <w:szCs w:val="24"/>
              </w:rPr>
              <w:t>Pasteurella</w:t>
            </w:r>
            <w:proofErr w:type="spellEnd"/>
            <w:r w:rsidRPr="00FC6126">
              <w:rPr>
                <w:sz w:val="24"/>
                <w:szCs w:val="24"/>
              </w:rPr>
              <w:t xml:space="preserve"> hos katte (FR 2017)</w:t>
            </w:r>
          </w:p>
        </w:tc>
        <w:tc>
          <w:tcPr>
            <w:tcW w:w="1808" w:type="dxa"/>
            <w:shd w:val="clear" w:color="auto" w:fill="auto"/>
          </w:tcPr>
          <w:p w14:paraId="24F3395C" w14:textId="77777777" w:rsidR="00FC6126" w:rsidRPr="00FC6126" w:rsidRDefault="00FC6126" w:rsidP="00A65B8E">
            <w:pPr>
              <w:tabs>
                <w:tab w:val="left" w:pos="8222"/>
              </w:tabs>
              <w:rPr>
                <w:sz w:val="24"/>
                <w:szCs w:val="24"/>
              </w:rPr>
            </w:pPr>
            <w:r w:rsidRPr="00FC6126">
              <w:rPr>
                <w:sz w:val="24"/>
                <w:szCs w:val="24"/>
              </w:rPr>
              <w:t>0,5</w:t>
            </w:r>
          </w:p>
          <w:p w14:paraId="21EC57AA" w14:textId="77777777" w:rsidR="00FC6126" w:rsidRPr="00FC6126" w:rsidRDefault="00FC6126" w:rsidP="00A65B8E">
            <w:pPr>
              <w:tabs>
                <w:tab w:val="left" w:pos="8222"/>
              </w:tabs>
              <w:rPr>
                <w:sz w:val="24"/>
                <w:szCs w:val="24"/>
              </w:rPr>
            </w:pPr>
          </w:p>
          <w:p w14:paraId="02EBD50D" w14:textId="77777777" w:rsidR="00FC6126" w:rsidRPr="00FC6126" w:rsidRDefault="00FC6126" w:rsidP="00A65B8E">
            <w:pPr>
              <w:tabs>
                <w:tab w:val="left" w:pos="8222"/>
              </w:tabs>
              <w:rPr>
                <w:sz w:val="24"/>
                <w:szCs w:val="24"/>
              </w:rPr>
            </w:pPr>
          </w:p>
          <w:p w14:paraId="2C59015B" w14:textId="77777777" w:rsidR="00FC6126" w:rsidRPr="00FC6126" w:rsidRDefault="00FC6126" w:rsidP="00A65B8E">
            <w:pPr>
              <w:tabs>
                <w:tab w:val="left" w:pos="8222"/>
              </w:tabs>
              <w:rPr>
                <w:sz w:val="24"/>
                <w:szCs w:val="24"/>
              </w:rPr>
            </w:pPr>
          </w:p>
          <w:p w14:paraId="6D95CB49" w14:textId="77777777" w:rsidR="00FC6126" w:rsidRPr="00FC6126" w:rsidRDefault="00FC6126" w:rsidP="00A65B8E">
            <w:pPr>
              <w:tabs>
                <w:tab w:val="left" w:pos="82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A4AE73" w14:textId="77777777" w:rsidR="00FC6126" w:rsidRPr="00FC6126" w:rsidRDefault="00FC6126" w:rsidP="00A65B8E">
            <w:pPr>
              <w:tabs>
                <w:tab w:val="left" w:pos="8222"/>
              </w:tabs>
              <w:ind w:left="40"/>
              <w:rPr>
                <w:sz w:val="24"/>
                <w:szCs w:val="24"/>
              </w:rPr>
            </w:pPr>
          </w:p>
          <w:p w14:paraId="16C5403B" w14:textId="77777777" w:rsidR="00FC6126" w:rsidRPr="00FC6126" w:rsidRDefault="00FC6126" w:rsidP="00A65B8E">
            <w:pPr>
              <w:tabs>
                <w:tab w:val="left" w:pos="8222"/>
              </w:tabs>
              <w:ind w:left="40"/>
              <w:rPr>
                <w:sz w:val="24"/>
                <w:szCs w:val="24"/>
              </w:rPr>
            </w:pPr>
          </w:p>
          <w:p w14:paraId="283DD1BB" w14:textId="77777777" w:rsidR="00FC6126" w:rsidRPr="00FC6126" w:rsidRDefault="00FC6126" w:rsidP="00A65B8E">
            <w:pPr>
              <w:tabs>
                <w:tab w:val="left" w:pos="8222"/>
              </w:tabs>
              <w:ind w:left="40"/>
              <w:rPr>
                <w:sz w:val="24"/>
                <w:szCs w:val="24"/>
              </w:rPr>
            </w:pPr>
            <w:r w:rsidRPr="00FC6126">
              <w:rPr>
                <w:sz w:val="24"/>
                <w:szCs w:val="24"/>
              </w:rPr>
              <w:t>3 (n=101)</w:t>
            </w:r>
          </w:p>
          <w:p w14:paraId="66A3B28C" w14:textId="77777777" w:rsidR="00FC6126" w:rsidRPr="00FC6126" w:rsidRDefault="00FC6126" w:rsidP="00A65B8E">
            <w:pPr>
              <w:tabs>
                <w:tab w:val="left" w:pos="8222"/>
              </w:tabs>
              <w:ind w:left="40"/>
              <w:rPr>
                <w:sz w:val="24"/>
                <w:szCs w:val="24"/>
              </w:rPr>
            </w:pPr>
            <w:r w:rsidRPr="00FC6126">
              <w:rPr>
                <w:sz w:val="24"/>
                <w:szCs w:val="24"/>
              </w:rPr>
              <w:t>9 (n=33)</w:t>
            </w:r>
          </w:p>
          <w:p w14:paraId="310586DE" w14:textId="77777777" w:rsidR="00FC6126" w:rsidRPr="00FC6126" w:rsidRDefault="00FC6126" w:rsidP="00A65B8E">
            <w:pPr>
              <w:tabs>
                <w:tab w:val="left" w:pos="8222"/>
              </w:tabs>
              <w:ind w:left="40"/>
              <w:rPr>
                <w:sz w:val="24"/>
                <w:szCs w:val="24"/>
              </w:rPr>
            </w:pPr>
          </w:p>
        </w:tc>
      </w:tr>
      <w:tr w:rsidR="00FC6126" w:rsidRPr="00FC6126" w14:paraId="4B22A890" w14:textId="77777777" w:rsidTr="00A65B8E">
        <w:tc>
          <w:tcPr>
            <w:tcW w:w="5528" w:type="dxa"/>
            <w:shd w:val="clear" w:color="auto" w:fill="auto"/>
          </w:tcPr>
          <w:p w14:paraId="5C37447F" w14:textId="77777777" w:rsidR="00FC6126" w:rsidRPr="00FC6126" w:rsidRDefault="00FC6126" w:rsidP="00FC6126">
            <w:pPr>
              <w:tabs>
                <w:tab w:val="left" w:pos="8222"/>
              </w:tabs>
              <w:ind w:left="33"/>
              <w:rPr>
                <w:sz w:val="24"/>
                <w:szCs w:val="24"/>
              </w:rPr>
            </w:pPr>
            <w:r w:rsidRPr="00FC6126">
              <w:rPr>
                <w:i/>
                <w:sz w:val="24"/>
                <w:szCs w:val="24"/>
              </w:rPr>
              <w:t xml:space="preserve">B. </w:t>
            </w:r>
            <w:proofErr w:type="spellStart"/>
            <w:r w:rsidRPr="00FC6126">
              <w:rPr>
                <w:i/>
                <w:sz w:val="24"/>
                <w:szCs w:val="24"/>
              </w:rPr>
              <w:t>bronchiseptica</w:t>
            </w:r>
            <w:proofErr w:type="spellEnd"/>
            <w:r w:rsidRPr="00FC6126">
              <w:rPr>
                <w:sz w:val="24"/>
                <w:szCs w:val="24"/>
              </w:rPr>
              <w:t xml:space="preserve"> hos hunde og katte (DE 2016/2017)</w:t>
            </w:r>
          </w:p>
        </w:tc>
        <w:tc>
          <w:tcPr>
            <w:tcW w:w="1808" w:type="dxa"/>
            <w:shd w:val="clear" w:color="auto" w:fill="auto"/>
          </w:tcPr>
          <w:p w14:paraId="4F4BB332" w14:textId="77777777" w:rsidR="00FC6126" w:rsidRPr="00FC6126" w:rsidRDefault="00FC6126" w:rsidP="00A65B8E">
            <w:pPr>
              <w:tabs>
                <w:tab w:val="left" w:pos="8222"/>
              </w:tabs>
              <w:rPr>
                <w:sz w:val="24"/>
                <w:szCs w:val="24"/>
              </w:rPr>
            </w:pPr>
            <w:r w:rsidRPr="00FC6126">
              <w:rPr>
                <w:sz w:val="24"/>
                <w:szCs w:val="24"/>
              </w:rPr>
              <w:t>1,0</w:t>
            </w:r>
          </w:p>
          <w:p w14:paraId="2626770F" w14:textId="77777777" w:rsidR="00FC6126" w:rsidRPr="00FC6126" w:rsidRDefault="00FC6126" w:rsidP="00A65B8E">
            <w:pPr>
              <w:tabs>
                <w:tab w:val="left" w:pos="82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CB23186" w14:textId="77777777" w:rsidR="00FC6126" w:rsidRPr="00FC6126" w:rsidRDefault="00FC6126" w:rsidP="00A65B8E">
            <w:pPr>
              <w:tabs>
                <w:tab w:val="left" w:pos="8222"/>
              </w:tabs>
              <w:ind w:left="40"/>
              <w:rPr>
                <w:sz w:val="24"/>
                <w:szCs w:val="24"/>
              </w:rPr>
            </w:pPr>
          </w:p>
        </w:tc>
      </w:tr>
    </w:tbl>
    <w:p w14:paraId="0BA96FB6" w14:textId="77777777" w:rsidR="00FC6126" w:rsidRPr="00FC6126" w:rsidRDefault="00FC6126" w:rsidP="003F3727">
      <w:pPr>
        <w:tabs>
          <w:tab w:val="left" w:pos="1276"/>
          <w:tab w:val="left" w:pos="8222"/>
        </w:tabs>
        <w:ind w:left="1276" w:hanging="425"/>
        <w:rPr>
          <w:bCs/>
          <w:sz w:val="24"/>
          <w:szCs w:val="24"/>
        </w:rPr>
      </w:pPr>
      <w:r w:rsidRPr="00FC6126">
        <w:rPr>
          <w:sz w:val="24"/>
          <w:szCs w:val="24"/>
          <w:vertAlign w:val="superscript"/>
        </w:rPr>
        <w:t>#</w:t>
      </w:r>
      <w:r w:rsidRPr="00FC6126">
        <w:rPr>
          <w:sz w:val="24"/>
          <w:szCs w:val="24"/>
        </w:rPr>
        <w:t xml:space="preserve"> =</w:t>
      </w:r>
      <w:r w:rsidR="003F3727">
        <w:rPr>
          <w:sz w:val="24"/>
          <w:szCs w:val="24"/>
        </w:rPr>
        <w:tab/>
      </w:r>
      <w:r w:rsidRPr="00FC6126">
        <w:rPr>
          <w:sz w:val="24"/>
          <w:szCs w:val="24"/>
        </w:rPr>
        <w:t>100 – Følsom (%), skæringspunkt for følsomhed ≤ 4 µg/ml, baseret på anbefalingerne fra den franske CA-SFM (</w:t>
      </w:r>
      <w:proofErr w:type="spellStart"/>
      <w:r w:rsidRPr="00FC6126">
        <w:rPr>
          <w:sz w:val="24"/>
          <w:szCs w:val="24"/>
        </w:rPr>
        <w:t>Comité</w:t>
      </w:r>
      <w:proofErr w:type="spellEnd"/>
      <w:r w:rsidRPr="00FC6126">
        <w:rPr>
          <w:sz w:val="24"/>
          <w:szCs w:val="24"/>
        </w:rPr>
        <w:t xml:space="preserve"> de </w:t>
      </w:r>
      <w:proofErr w:type="spellStart"/>
      <w:r w:rsidRPr="00FC6126">
        <w:rPr>
          <w:sz w:val="24"/>
          <w:szCs w:val="24"/>
        </w:rPr>
        <w:t>l'Antibiogram</w:t>
      </w:r>
      <w:proofErr w:type="spellEnd"/>
      <w:r w:rsidRPr="00FC6126">
        <w:rPr>
          <w:sz w:val="24"/>
          <w:szCs w:val="24"/>
        </w:rPr>
        <w:t xml:space="preserve"> de la Société </w:t>
      </w:r>
      <w:proofErr w:type="spellStart"/>
      <w:r w:rsidRPr="00FC6126">
        <w:rPr>
          <w:sz w:val="24"/>
          <w:szCs w:val="24"/>
        </w:rPr>
        <w:t>Française</w:t>
      </w:r>
      <w:proofErr w:type="spellEnd"/>
      <w:r w:rsidRPr="00FC6126">
        <w:rPr>
          <w:sz w:val="24"/>
          <w:szCs w:val="24"/>
        </w:rPr>
        <w:t xml:space="preserve"> de </w:t>
      </w:r>
      <w:proofErr w:type="spellStart"/>
      <w:r w:rsidRPr="00FC6126">
        <w:rPr>
          <w:sz w:val="24"/>
          <w:szCs w:val="24"/>
        </w:rPr>
        <w:t>Microbiologie</w:t>
      </w:r>
      <w:proofErr w:type="spellEnd"/>
      <w:r w:rsidRPr="00FC6126">
        <w:rPr>
          <w:sz w:val="24"/>
          <w:szCs w:val="24"/>
        </w:rPr>
        <w:t>)</w:t>
      </w:r>
    </w:p>
    <w:p w14:paraId="7E2F52F5" w14:textId="77777777" w:rsidR="00FC6126" w:rsidRPr="00FC6126" w:rsidRDefault="00A65B8E" w:rsidP="003F3727">
      <w:pPr>
        <w:tabs>
          <w:tab w:val="left" w:pos="1276"/>
          <w:tab w:val="left" w:pos="8222"/>
        </w:tabs>
        <w:ind w:left="1276" w:hanging="425"/>
        <w:rPr>
          <w:bCs/>
          <w:sz w:val="24"/>
          <w:szCs w:val="24"/>
        </w:rPr>
      </w:pPr>
      <w:r>
        <w:rPr>
          <w:sz w:val="24"/>
          <w:szCs w:val="24"/>
        </w:rPr>
        <w:t>n</w:t>
      </w:r>
      <w:r w:rsidR="00FC6126" w:rsidRPr="00FC6126">
        <w:rPr>
          <w:sz w:val="24"/>
          <w:szCs w:val="24"/>
        </w:rPr>
        <w:t xml:space="preserve"> =</w:t>
      </w:r>
      <w:r w:rsidR="003F3727">
        <w:rPr>
          <w:sz w:val="24"/>
          <w:szCs w:val="24"/>
        </w:rPr>
        <w:tab/>
      </w:r>
      <w:r w:rsidR="00FC6126" w:rsidRPr="00FC6126">
        <w:rPr>
          <w:sz w:val="24"/>
          <w:szCs w:val="24"/>
        </w:rPr>
        <w:t>samlet antal testede stammer</w:t>
      </w:r>
    </w:p>
    <w:p w14:paraId="788E89E5" w14:textId="77777777" w:rsidR="005B0036" w:rsidRPr="00357F1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F4D1101" w14:textId="77777777" w:rsidR="005B0036" w:rsidRPr="00357F1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357F1D">
        <w:rPr>
          <w:b/>
          <w:sz w:val="24"/>
          <w:szCs w:val="24"/>
        </w:rPr>
        <w:t>5.2</w:t>
      </w:r>
      <w:r w:rsidRPr="00357F1D">
        <w:rPr>
          <w:b/>
          <w:sz w:val="24"/>
          <w:szCs w:val="24"/>
        </w:rPr>
        <w:tab/>
      </w:r>
      <w:proofErr w:type="spellStart"/>
      <w:r w:rsidRPr="00357F1D">
        <w:rPr>
          <w:b/>
          <w:sz w:val="24"/>
          <w:szCs w:val="24"/>
        </w:rPr>
        <w:t>Farmakokinetiske</w:t>
      </w:r>
      <w:proofErr w:type="spellEnd"/>
      <w:r w:rsidRPr="00357F1D">
        <w:rPr>
          <w:b/>
          <w:sz w:val="24"/>
          <w:szCs w:val="24"/>
        </w:rPr>
        <w:t xml:space="preserve"> egenskaber</w:t>
      </w:r>
    </w:p>
    <w:p w14:paraId="1A91FBC1" w14:textId="77777777" w:rsidR="002E21CB" w:rsidRPr="002E21CB" w:rsidRDefault="002E21CB" w:rsidP="002E21C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7" w:name="_Hlk9611180"/>
      <w:r w:rsidRPr="002E21CB">
        <w:rPr>
          <w:sz w:val="24"/>
          <w:szCs w:val="24"/>
        </w:rPr>
        <w:t xml:space="preserve">Efter oral administration absorberes </w:t>
      </w:r>
      <w:proofErr w:type="spellStart"/>
      <w:r w:rsidRPr="002E21CB">
        <w:rPr>
          <w:sz w:val="24"/>
          <w:szCs w:val="24"/>
        </w:rPr>
        <w:t>doxycyclin</w:t>
      </w:r>
      <w:proofErr w:type="spellEnd"/>
      <w:r w:rsidRPr="002E21CB">
        <w:rPr>
          <w:sz w:val="24"/>
          <w:szCs w:val="24"/>
        </w:rPr>
        <w:t xml:space="preserve"> hovedsageligt fra duodenum og jejunum. Efter oral administration er biotilgængeligheden &gt; 50 %.</w:t>
      </w:r>
    </w:p>
    <w:p w14:paraId="6D73CAEA" w14:textId="77777777" w:rsidR="002E21CB" w:rsidRPr="002E21CB" w:rsidRDefault="002E21CB" w:rsidP="002E21C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E21CB">
        <w:rPr>
          <w:sz w:val="24"/>
          <w:szCs w:val="24"/>
        </w:rPr>
        <w:t xml:space="preserve">Den maksimale plasmakoncentration, </w:t>
      </w:r>
      <w:proofErr w:type="spellStart"/>
      <w:r w:rsidRPr="002E21CB">
        <w:rPr>
          <w:sz w:val="24"/>
          <w:szCs w:val="24"/>
        </w:rPr>
        <w:t>C</w:t>
      </w:r>
      <w:r w:rsidRPr="002E21CB">
        <w:rPr>
          <w:sz w:val="24"/>
          <w:szCs w:val="24"/>
          <w:vertAlign w:val="subscript"/>
        </w:rPr>
        <w:t>max</w:t>
      </w:r>
      <w:proofErr w:type="spellEnd"/>
      <w:r w:rsidRPr="002E21CB">
        <w:rPr>
          <w:sz w:val="24"/>
          <w:szCs w:val="24"/>
        </w:rPr>
        <w:t xml:space="preserve"> på 1710 </w:t>
      </w:r>
      <w:proofErr w:type="spellStart"/>
      <w:r w:rsidRPr="002E21CB">
        <w:rPr>
          <w:sz w:val="24"/>
          <w:szCs w:val="24"/>
        </w:rPr>
        <w:t>ng</w:t>
      </w:r>
      <w:proofErr w:type="spellEnd"/>
      <w:r w:rsidRPr="002E21CB">
        <w:rPr>
          <w:sz w:val="24"/>
          <w:szCs w:val="24"/>
        </w:rPr>
        <w:t xml:space="preserve">/ml, blev nået hos hunde mellem 0,5 og 6 timer efter dosering 10 mg/kg legemsvægt under fodring. Hos nogle hunde blev der observeret endnu en plasmatop (variabel i højde). Den gennemsnitlige </w:t>
      </w:r>
      <w:proofErr w:type="spellStart"/>
      <w:r w:rsidRPr="002E21CB">
        <w:rPr>
          <w:sz w:val="24"/>
          <w:szCs w:val="24"/>
        </w:rPr>
        <w:t>AUC</w:t>
      </w:r>
      <w:r w:rsidRPr="002E21CB">
        <w:rPr>
          <w:sz w:val="24"/>
          <w:szCs w:val="24"/>
          <w:vertAlign w:val="subscript"/>
        </w:rPr>
        <w:t>t</w:t>
      </w:r>
      <w:proofErr w:type="spellEnd"/>
      <w:r w:rsidRPr="002E21CB">
        <w:rPr>
          <w:sz w:val="24"/>
          <w:szCs w:val="24"/>
        </w:rPr>
        <w:t xml:space="preserve"> var 26300 h· </w:t>
      </w:r>
      <w:proofErr w:type="spellStart"/>
      <w:r w:rsidRPr="002E21CB">
        <w:rPr>
          <w:sz w:val="24"/>
          <w:szCs w:val="24"/>
        </w:rPr>
        <w:t>ng</w:t>
      </w:r>
      <w:proofErr w:type="spellEnd"/>
      <w:r w:rsidRPr="002E21CB">
        <w:rPr>
          <w:sz w:val="24"/>
          <w:szCs w:val="24"/>
        </w:rPr>
        <w:t xml:space="preserve">/ml. Den maksimale plasmakoncentration hos katte, </w:t>
      </w:r>
      <w:proofErr w:type="spellStart"/>
      <w:r w:rsidRPr="002E21CB">
        <w:rPr>
          <w:sz w:val="24"/>
          <w:szCs w:val="24"/>
        </w:rPr>
        <w:t>C</w:t>
      </w:r>
      <w:r w:rsidRPr="002E21CB">
        <w:rPr>
          <w:sz w:val="24"/>
          <w:szCs w:val="24"/>
          <w:vertAlign w:val="subscript"/>
        </w:rPr>
        <w:t>max</w:t>
      </w:r>
      <w:proofErr w:type="spellEnd"/>
      <w:r w:rsidRPr="002E21CB">
        <w:rPr>
          <w:sz w:val="24"/>
          <w:szCs w:val="24"/>
        </w:rPr>
        <w:t xml:space="preserve"> på 3510 </w:t>
      </w:r>
      <w:proofErr w:type="spellStart"/>
      <w:r w:rsidRPr="002E21CB">
        <w:rPr>
          <w:sz w:val="24"/>
          <w:szCs w:val="24"/>
        </w:rPr>
        <w:t>ng</w:t>
      </w:r>
      <w:proofErr w:type="spellEnd"/>
      <w:r w:rsidRPr="002E21CB">
        <w:rPr>
          <w:sz w:val="24"/>
          <w:szCs w:val="24"/>
        </w:rPr>
        <w:t xml:space="preserve">/ml, blev nået mellem 1 og 16 timer efter dosering 5 mg/kg legemsvægt under fodring. Den gennemsnitlige </w:t>
      </w:r>
      <w:proofErr w:type="spellStart"/>
      <w:r w:rsidRPr="002E21CB">
        <w:rPr>
          <w:sz w:val="24"/>
          <w:szCs w:val="24"/>
        </w:rPr>
        <w:t>AUC</w:t>
      </w:r>
      <w:r w:rsidRPr="002E21CB">
        <w:rPr>
          <w:sz w:val="24"/>
          <w:szCs w:val="24"/>
          <w:vertAlign w:val="subscript"/>
        </w:rPr>
        <w:t>t</w:t>
      </w:r>
      <w:proofErr w:type="spellEnd"/>
      <w:r w:rsidRPr="002E21CB">
        <w:rPr>
          <w:sz w:val="24"/>
          <w:szCs w:val="24"/>
        </w:rPr>
        <w:t xml:space="preserve"> var 38100 h· </w:t>
      </w:r>
      <w:proofErr w:type="spellStart"/>
      <w:r w:rsidRPr="002E21CB">
        <w:rPr>
          <w:sz w:val="24"/>
          <w:szCs w:val="24"/>
        </w:rPr>
        <w:t>ng</w:t>
      </w:r>
      <w:proofErr w:type="spellEnd"/>
      <w:r w:rsidRPr="002E21CB">
        <w:rPr>
          <w:sz w:val="24"/>
          <w:szCs w:val="24"/>
        </w:rPr>
        <w:t>/ml. Den estimerede halveringstid, baseret kun på et begrænset antal hunde, var 8,9 timer. Hos katte var den gennemsnitlige halveringstid 7,3 timer.</w:t>
      </w:r>
    </w:p>
    <w:p w14:paraId="0E3C6EDE" w14:textId="77777777" w:rsidR="002E21CB" w:rsidRPr="002E21CB" w:rsidRDefault="002E21CB" w:rsidP="002E21CB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proofErr w:type="spellStart"/>
      <w:r w:rsidRPr="002E21CB">
        <w:rPr>
          <w:sz w:val="24"/>
          <w:szCs w:val="24"/>
        </w:rPr>
        <w:t>Doxycyclin</w:t>
      </w:r>
      <w:proofErr w:type="spellEnd"/>
      <w:r w:rsidRPr="002E21CB">
        <w:rPr>
          <w:sz w:val="24"/>
          <w:szCs w:val="24"/>
        </w:rPr>
        <w:t xml:space="preserve"> distribueres bredt i hele kroppen og kan akkumuleres intracellulært, f.eks. i leukocytter. Det deponeres i aktivt knoglevæv og tænder. </w:t>
      </w:r>
      <w:proofErr w:type="spellStart"/>
      <w:r w:rsidRPr="002E21CB">
        <w:rPr>
          <w:sz w:val="24"/>
          <w:szCs w:val="24"/>
        </w:rPr>
        <w:t>Doxycyclin</w:t>
      </w:r>
      <w:proofErr w:type="spellEnd"/>
      <w:r w:rsidRPr="002E21CB">
        <w:rPr>
          <w:sz w:val="24"/>
          <w:szCs w:val="24"/>
        </w:rPr>
        <w:t xml:space="preserve"> trænger bedre ind i cerebrospinalvæsken end de ældre </w:t>
      </w:r>
      <w:proofErr w:type="spellStart"/>
      <w:r w:rsidRPr="002E21CB">
        <w:rPr>
          <w:sz w:val="24"/>
          <w:szCs w:val="24"/>
        </w:rPr>
        <w:t>tetracycliner</w:t>
      </w:r>
      <w:proofErr w:type="spellEnd"/>
      <w:r w:rsidRPr="002E21CB">
        <w:rPr>
          <w:sz w:val="24"/>
          <w:szCs w:val="24"/>
        </w:rPr>
        <w:t xml:space="preserve">. </w:t>
      </w:r>
      <w:proofErr w:type="spellStart"/>
      <w:r w:rsidRPr="002E21CB">
        <w:rPr>
          <w:sz w:val="24"/>
          <w:szCs w:val="24"/>
        </w:rPr>
        <w:t>Doxycyclin</w:t>
      </w:r>
      <w:proofErr w:type="spellEnd"/>
      <w:r w:rsidRPr="002E21CB">
        <w:rPr>
          <w:sz w:val="24"/>
          <w:szCs w:val="24"/>
        </w:rPr>
        <w:t xml:space="preserve"> elimineres primært via fæces gennem direkte </w:t>
      </w:r>
      <w:proofErr w:type="spellStart"/>
      <w:r w:rsidRPr="002E21CB">
        <w:rPr>
          <w:sz w:val="24"/>
          <w:szCs w:val="24"/>
        </w:rPr>
        <w:t>intestinal</w:t>
      </w:r>
      <w:proofErr w:type="spellEnd"/>
      <w:r w:rsidRPr="002E21CB">
        <w:rPr>
          <w:sz w:val="24"/>
          <w:szCs w:val="24"/>
        </w:rPr>
        <w:t xml:space="preserve"> udskillelse og i mindre grad ved </w:t>
      </w:r>
      <w:proofErr w:type="spellStart"/>
      <w:r w:rsidRPr="002E21CB">
        <w:rPr>
          <w:sz w:val="24"/>
          <w:szCs w:val="24"/>
        </w:rPr>
        <w:t>glomerulær</w:t>
      </w:r>
      <w:proofErr w:type="spellEnd"/>
      <w:r w:rsidRPr="002E21CB">
        <w:rPr>
          <w:sz w:val="24"/>
          <w:szCs w:val="24"/>
        </w:rPr>
        <w:t xml:space="preserve"> udskillelse og galdesekretion.</w:t>
      </w:r>
      <w:bookmarkEnd w:id="7"/>
    </w:p>
    <w:p w14:paraId="3F75F7DD" w14:textId="77777777" w:rsidR="002E21CB" w:rsidRPr="002E21CB" w:rsidRDefault="002E21CB" w:rsidP="002E21CB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</w:p>
    <w:p w14:paraId="3083E284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3DBE9CA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14:paraId="26A49C96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417F4CC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14:paraId="7616E277" w14:textId="77777777" w:rsidR="001E1781" w:rsidRPr="001E1781" w:rsidRDefault="001E1781" w:rsidP="001E17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1E1781">
        <w:rPr>
          <w:sz w:val="24"/>
          <w:szCs w:val="24"/>
        </w:rPr>
        <w:t>Natriumstivelsesglycolat</w:t>
      </w:r>
      <w:proofErr w:type="spellEnd"/>
      <w:r w:rsidRPr="001E1781">
        <w:rPr>
          <w:sz w:val="24"/>
          <w:szCs w:val="24"/>
        </w:rPr>
        <w:t xml:space="preserve"> (type A)</w:t>
      </w:r>
    </w:p>
    <w:p w14:paraId="66FADD73" w14:textId="77777777" w:rsidR="001E1781" w:rsidRPr="001E1781" w:rsidRDefault="001E1781" w:rsidP="001E1781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proofErr w:type="spellStart"/>
      <w:r w:rsidRPr="001E1781">
        <w:rPr>
          <w:sz w:val="24"/>
          <w:szCs w:val="24"/>
        </w:rPr>
        <w:t>Silica</w:t>
      </w:r>
      <w:proofErr w:type="spellEnd"/>
      <w:r w:rsidRPr="001E1781">
        <w:rPr>
          <w:sz w:val="24"/>
          <w:szCs w:val="24"/>
        </w:rPr>
        <w:t>, hydreret</w:t>
      </w:r>
    </w:p>
    <w:p w14:paraId="410E661C" w14:textId="77777777" w:rsidR="001E1781" w:rsidRPr="001E1781" w:rsidRDefault="001E1781" w:rsidP="001E17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E1781">
        <w:rPr>
          <w:sz w:val="24"/>
          <w:szCs w:val="24"/>
        </w:rPr>
        <w:t>Cellulose, mikrokrystallins</w:t>
      </w:r>
      <w:r>
        <w:rPr>
          <w:sz w:val="24"/>
          <w:szCs w:val="24"/>
        </w:rPr>
        <w:t>k</w:t>
      </w:r>
    </w:p>
    <w:p w14:paraId="60701823" w14:textId="77777777" w:rsidR="001E1781" w:rsidRPr="001E1781" w:rsidRDefault="001E1781" w:rsidP="001E17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E1781">
        <w:rPr>
          <w:sz w:val="24"/>
          <w:szCs w:val="24"/>
        </w:rPr>
        <w:t>Laktosemonohydrat</w:t>
      </w:r>
    </w:p>
    <w:p w14:paraId="475AD9FF" w14:textId="77777777" w:rsidR="001E1781" w:rsidRPr="001E1781" w:rsidRDefault="001E1781" w:rsidP="001E17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E1781">
        <w:rPr>
          <w:sz w:val="24"/>
          <w:szCs w:val="24"/>
        </w:rPr>
        <w:t>Hønsekødssmag</w:t>
      </w:r>
    </w:p>
    <w:p w14:paraId="0369D8F7" w14:textId="77777777" w:rsidR="001E1781" w:rsidRPr="001E1781" w:rsidRDefault="001E1781" w:rsidP="001E17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1E1781">
        <w:rPr>
          <w:sz w:val="24"/>
          <w:szCs w:val="24"/>
        </w:rPr>
        <w:t>Magnesiumstearat</w:t>
      </w:r>
      <w:proofErr w:type="spellEnd"/>
    </w:p>
    <w:p w14:paraId="0EB54098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A7BB7EC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14:paraId="574BB51F" w14:textId="77777777" w:rsidR="005B0036" w:rsidRPr="00406EE7" w:rsidRDefault="001E1781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14:paraId="0E703EAE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3215994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14:paraId="3176375E" w14:textId="13055555" w:rsidR="00A6175B" w:rsidRDefault="00A6175B" w:rsidP="00A6175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A6175B">
        <w:rPr>
          <w:sz w:val="24"/>
          <w:szCs w:val="24"/>
        </w:rPr>
        <w:t>I salgspakning</w:t>
      </w:r>
      <w:r>
        <w:rPr>
          <w:sz w:val="24"/>
          <w:szCs w:val="24"/>
        </w:rPr>
        <w:t>:</w:t>
      </w:r>
      <w:r w:rsidRPr="00A6175B">
        <w:rPr>
          <w:sz w:val="24"/>
          <w:szCs w:val="24"/>
        </w:rPr>
        <w:t xml:space="preserve"> </w:t>
      </w:r>
    </w:p>
    <w:p w14:paraId="7EB8D1B4" w14:textId="21FAD53E" w:rsidR="00F02A41" w:rsidRPr="00A6175B" w:rsidRDefault="00F02A41" w:rsidP="00F02A41">
      <w:pPr>
        <w:tabs>
          <w:tab w:val="left" w:pos="851"/>
          <w:tab w:val="left" w:pos="1843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15 mg. </w:t>
      </w:r>
      <w:r>
        <w:rPr>
          <w:sz w:val="24"/>
          <w:szCs w:val="24"/>
        </w:rPr>
        <w:tab/>
      </w:r>
      <w:r>
        <w:rPr>
          <w:sz w:val="24"/>
          <w:szCs w:val="24"/>
        </w:rPr>
        <w:t>3 år.</w:t>
      </w:r>
    </w:p>
    <w:p w14:paraId="1351E1F3" w14:textId="5BB3241D" w:rsidR="00F02A41" w:rsidRDefault="00F02A41" w:rsidP="00F02A41">
      <w:pPr>
        <w:tabs>
          <w:tab w:val="left" w:pos="851"/>
          <w:tab w:val="left" w:pos="1843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50 mg: </w:t>
      </w:r>
      <w:r>
        <w:rPr>
          <w:sz w:val="24"/>
          <w:szCs w:val="24"/>
        </w:rPr>
        <w:tab/>
      </w:r>
      <w:r>
        <w:rPr>
          <w:sz w:val="24"/>
          <w:szCs w:val="24"/>
        </w:rPr>
        <w:t>4 år</w:t>
      </w:r>
    </w:p>
    <w:p w14:paraId="4755EEFC" w14:textId="7090A3FD" w:rsidR="00F02A41" w:rsidRDefault="00F02A41" w:rsidP="00F02A41">
      <w:pPr>
        <w:tabs>
          <w:tab w:val="left" w:pos="851"/>
          <w:tab w:val="left" w:pos="1843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200 mg: </w:t>
      </w:r>
      <w:r>
        <w:rPr>
          <w:sz w:val="24"/>
          <w:szCs w:val="24"/>
        </w:rPr>
        <w:tab/>
      </w:r>
      <w:r>
        <w:rPr>
          <w:sz w:val="24"/>
          <w:szCs w:val="24"/>
        </w:rPr>
        <w:t>4 år.</w:t>
      </w:r>
    </w:p>
    <w:p w14:paraId="46BE0CDE" w14:textId="77F00DB4" w:rsidR="00F02A41" w:rsidRPr="00406EE7" w:rsidRDefault="00F02A41" w:rsidP="00F02A41">
      <w:pPr>
        <w:tabs>
          <w:tab w:val="left" w:pos="851"/>
          <w:tab w:val="left" w:pos="1843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400 mg: </w:t>
      </w:r>
      <w:r>
        <w:rPr>
          <w:sz w:val="24"/>
          <w:szCs w:val="24"/>
        </w:rPr>
        <w:tab/>
      </w:r>
      <w:r>
        <w:rPr>
          <w:sz w:val="24"/>
          <w:szCs w:val="24"/>
        </w:rPr>
        <w:t>4 år.</w:t>
      </w:r>
    </w:p>
    <w:p w14:paraId="21601957" w14:textId="77777777" w:rsidR="00F02A41" w:rsidRDefault="00F02A41" w:rsidP="00A6175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61334EB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14:paraId="6BE026C6" w14:textId="77777777" w:rsidR="00467066" w:rsidRPr="00467066" w:rsidRDefault="00467066" w:rsidP="0046706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67066">
        <w:rPr>
          <w:sz w:val="24"/>
          <w:szCs w:val="24"/>
        </w:rPr>
        <w:t>Dette veterinærlægemiddel kræver ingen særlige forholdsregler vedrørende opbevaringen.</w:t>
      </w:r>
    </w:p>
    <w:p w14:paraId="07B0C1A6" w14:textId="77777777" w:rsidR="00467066" w:rsidRDefault="00467066" w:rsidP="00A6175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647CE53" w14:textId="53D0AE04" w:rsidR="00E068A5" w:rsidRDefault="00A6175B" w:rsidP="00A6175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A6175B">
        <w:rPr>
          <w:sz w:val="24"/>
          <w:szCs w:val="24"/>
        </w:rPr>
        <w:t>Opbevar blisteren i den ydre karton.</w:t>
      </w:r>
    </w:p>
    <w:p w14:paraId="4BC31CC5" w14:textId="77777777" w:rsidR="00E068A5" w:rsidRDefault="00E068A5" w:rsidP="00A6175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7338A82" w14:textId="77777777" w:rsidR="00A6175B" w:rsidRPr="00A6175B" w:rsidRDefault="00A6175B" w:rsidP="00A6175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A6175B">
        <w:rPr>
          <w:sz w:val="24"/>
          <w:szCs w:val="24"/>
        </w:rPr>
        <w:t>Eventuelle resterende portioner af delte tabletter skal lægges tilbage i den åbnede blisterpakning og gives ved næste administration.</w:t>
      </w:r>
    </w:p>
    <w:p w14:paraId="4A94941F" w14:textId="77777777" w:rsidR="008061CC" w:rsidRDefault="008061CC" w:rsidP="008061C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A83D2D7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14:paraId="5CBFBA34" w14:textId="3BE1ACB1" w:rsidR="001B4207" w:rsidRPr="001B4207" w:rsidRDefault="001B4207" w:rsidP="001B4207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1B4207">
        <w:rPr>
          <w:sz w:val="24"/>
          <w:szCs w:val="24"/>
        </w:rPr>
        <w:t>Aluminium - PVC/PE/PVDC-blisterpakning</w:t>
      </w:r>
      <w:r w:rsidR="00ED2D47">
        <w:rPr>
          <w:sz w:val="24"/>
          <w:szCs w:val="24"/>
        </w:rPr>
        <w:t>, i kartonæske.</w:t>
      </w:r>
    </w:p>
    <w:p w14:paraId="425739BA" w14:textId="77777777" w:rsidR="001B4207" w:rsidRPr="001B4207" w:rsidRDefault="001B4207" w:rsidP="001B4207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</w:p>
    <w:p w14:paraId="274E706F" w14:textId="263032C6" w:rsidR="001B4207" w:rsidRPr="00ED2D47" w:rsidRDefault="001B4207" w:rsidP="001B4207">
      <w:pPr>
        <w:tabs>
          <w:tab w:val="left" w:pos="851"/>
          <w:tab w:val="left" w:pos="8222"/>
        </w:tabs>
        <w:ind w:left="851"/>
        <w:rPr>
          <w:bCs/>
          <w:sz w:val="24"/>
          <w:szCs w:val="24"/>
          <w:u w:val="single"/>
        </w:rPr>
      </w:pPr>
      <w:r w:rsidRPr="00ED2D47">
        <w:rPr>
          <w:sz w:val="24"/>
          <w:szCs w:val="24"/>
          <w:u w:val="single"/>
        </w:rPr>
        <w:t>Pakningsstørrelser</w:t>
      </w:r>
    </w:p>
    <w:p w14:paraId="073C2054" w14:textId="7A051FD3" w:rsidR="001B4207" w:rsidRPr="001B4207" w:rsidRDefault="001B4207" w:rsidP="001B4207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1B4207">
        <w:rPr>
          <w:sz w:val="24"/>
          <w:szCs w:val="24"/>
        </w:rPr>
        <w:t>3 blistre à 10 tabletter</w:t>
      </w:r>
      <w:r w:rsidR="00ED2D47">
        <w:rPr>
          <w:sz w:val="24"/>
          <w:szCs w:val="24"/>
        </w:rPr>
        <w:t>.</w:t>
      </w:r>
    </w:p>
    <w:p w14:paraId="28B0ED5D" w14:textId="31A2E66D" w:rsidR="001B4207" w:rsidRPr="001B4207" w:rsidRDefault="001B4207" w:rsidP="001B4207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1B4207">
        <w:rPr>
          <w:sz w:val="24"/>
          <w:szCs w:val="24"/>
        </w:rPr>
        <w:t>5 blistre à 10 tabletter</w:t>
      </w:r>
      <w:r w:rsidR="00ED2D47">
        <w:rPr>
          <w:sz w:val="24"/>
          <w:szCs w:val="24"/>
        </w:rPr>
        <w:t>.</w:t>
      </w:r>
    </w:p>
    <w:p w14:paraId="268EE121" w14:textId="516EB857" w:rsidR="001B4207" w:rsidRPr="001B4207" w:rsidRDefault="001B4207" w:rsidP="001B4207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1B4207">
        <w:rPr>
          <w:sz w:val="24"/>
          <w:szCs w:val="24"/>
        </w:rPr>
        <w:t>10 blistre à 10 tabletter</w:t>
      </w:r>
      <w:r w:rsidR="00ED2D47">
        <w:rPr>
          <w:sz w:val="24"/>
          <w:szCs w:val="24"/>
        </w:rPr>
        <w:t>.</w:t>
      </w:r>
    </w:p>
    <w:p w14:paraId="5EA40383" w14:textId="77777777" w:rsidR="00ED2D47" w:rsidRDefault="00ED2D47" w:rsidP="001B420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25F6862" w14:textId="1FA2CC28" w:rsidR="001B4207" w:rsidRPr="001B4207" w:rsidRDefault="00ED2D47" w:rsidP="001B4207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1B4207" w:rsidRPr="001B4207">
        <w:rPr>
          <w:sz w:val="24"/>
          <w:szCs w:val="24"/>
        </w:rPr>
        <w:t xml:space="preserve"> blister à 30 tabletter</w:t>
      </w:r>
      <w:r>
        <w:rPr>
          <w:sz w:val="24"/>
          <w:szCs w:val="24"/>
        </w:rPr>
        <w:t>.</w:t>
      </w:r>
    </w:p>
    <w:p w14:paraId="313456B0" w14:textId="437ED93F" w:rsidR="001B4207" w:rsidRPr="001B4207" w:rsidRDefault="001B4207" w:rsidP="001B4207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1B4207">
        <w:rPr>
          <w:sz w:val="24"/>
          <w:szCs w:val="24"/>
        </w:rPr>
        <w:t>5 blistre à 30 tabletter</w:t>
      </w:r>
      <w:r w:rsidR="00ED2D47">
        <w:rPr>
          <w:sz w:val="24"/>
          <w:szCs w:val="24"/>
        </w:rPr>
        <w:t>.</w:t>
      </w:r>
    </w:p>
    <w:p w14:paraId="3FEE64AC" w14:textId="746120FF" w:rsidR="001B4207" w:rsidRPr="001B4207" w:rsidRDefault="001B4207" w:rsidP="001B420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B4207">
        <w:rPr>
          <w:sz w:val="24"/>
          <w:szCs w:val="24"/>
        </w:rPr>
        <w:t>10 blistre à 30 tabletter</w:t>
      </w:r>
      <w:r w:rsidR="00ED2D47">
        <w:rPr>
          <w:sz w:val="24"/>
          <w:szCs w:val="24"/>
        </w:rPr>
        <w:t>.</w:t>
      </w:r>
    </w:p>
    <w:p w14:paraId="1C3D62D4" w14:textId="77777777" w:rsidR="00ED2D47" w:rsidRDefault="00ED2D47" w:rsidP="001B420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798DFF2" w14:textId="6C0BD027" w:rsidR="001B4207" w:rsidRPr="001B4207" w:rsidRDefault="001B4207" w:rsidP="001B420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B4207">
        <w:rPr>
          <w:sz w:val="24"/>
          <w:szCs w:val="24"/>
        </w:rPr>
        <w:t>Ikke alle pakningsstørrelser er nødvendigvis markedsført.</w:t>
      </w:r>
    </w:p>
    <w:p w14:paraId="7ED408FF" w14:textId="77777777" w:rsidR="001B4207" w:rsidRPr="001B4207" w:rsidRDefault="001B4207" w:rsidP="001B420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6594168" w14:textId="77777777"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14:paraId="4BCAEB92" w14:textId="77777777" w:rsidR="006E7521" w:rsidRPr="006E7521" w:rsidRDefault="006E7521" w:rsidP="006E7521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6E7521">
        <w:rPr>
          <w:sz w:val="24"/>
          <w:szCs w:val="24"/>
        </w:rPr>
        <w:t>Ikke anvendte veterinærlægemidler eller affald heraf bør destrueres i henhold til lokale retningslinjer.</w:t>
      </w:r>
    </w:p>
    <w:p w14:paraId="007399F0" w14:textId="77777777" w:rsidR="005B0036" w:rsidRPr="0007072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DE54B20" w14:textId="77777777"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14:paraId="11474B47" w14:textId="77777777" w:rsidR="006E7521" w:rsidRPr="006E7521" w:rsidRDefault="006E7521" w:rsidP="006E752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7521">
        <w:rPr>
          <w:sz w:val="24"/>
          <w:szCs w:val="24"/>
        </w:rPr>
        <w:t xml:space="preserve">CP-Pharma </w:t>
      </w:r>
      <w:proofErr w:type="spellStart"/>
      <w:r w:rsidRPr="006E7521">
        <w:rPr>
          <w:sz w:val="24"/>
          <w:szCs w:val="24"/>
        </w:rPr>
        <w:t>Handelsgesellschaft</w:t>
      </w:r>
      <w:proofErr w:type="spellEnd"/>
      <w:r w:rsidRPr="006E7521">
        <w:rPr>
          <w:sz w:val="24"/>
          <w:szCs w:val="24"/>
        </w:rPr>
        <w:t xml:space="preserve"> </w:t>
      </w:r>
      <w:proofErr w:type="spellStart"/>
      <w:r w:rsidRPr="006E7521">
        <w:rPr>
          <w:sz w:val="24"/>
          <w:szCs w:val="24"/>
        </w:rPr>
        <w:t>mbH</w:t>
      </w:r>
      <w:proofErr w:type="spellEnd"/>
      <w:r w:rsidRPr="006E7521">
        <w:rPr>
          <w:sz w:val="24"/>
          <w:szCs w:val="24"/>
        </w:rPr>
        <w:t xml:space="preserve"> </w:t>
      </w:r>
    </w:p>
    <w:p w14:paraId="771F8F5F" w14:textId="77777777" w:rsidR="006E7521" w:rsidRPr="006E7521" w:rsidRDefault="006E7521" w:rsidP="006E752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6E7521">
        <w:rPr>
          <w:sz w:val="24"/>
          <w:szCs w:val="24"/>
        </w:rPr>
        <w:t>Ostlandring</w:t>
      </w:r>
      <w:proofErr w:type="spellEnd"/>
      <w:r w:rsidRPr="006E7521">
        <w:rPr>
          <w:sz w:val="24"/>
          <w:szCs w:val="24"/>
        </w:rPr>
        <w:t xml:space="preserve"> 13 </w:t>
      </w:r>
    </w:p>
    <w:p w14:paraId="10CC32A4" w14:textId="77777777" w:rsidR="006E7521" w:rsidRPr="006E7521" w:rsidRDefault="006E7521" w:rsidP="006E752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7521">
        <w:rPr>
          <w:sz w:val="24"/>
          <w:szCs w:val="24"/>
        </w:rPr>
        <w:t>31303 Burgdorf</w:t>
      </w:r>
    </w:p>
    <w:p w14:paraId="04BF6C43" w14:textId="77777777" w:rsidR="006E7521" w:rsidRPr="006E7521" w:rsidRDefault="006E7521" w:rsidP="006E752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E7521">
        <w:rPr>
          <w:sz w:val="24"/>
          <w:szCs w:val="24"/>
        </w:rPr>
        <w:t>Tyskland</w:t>
      </w:r>
    </w:p>
    <w:p w14:paraId="36B33CCA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0DBC4E7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14:paraId="0A1D8300" w14:textId="3B4A4ED2" w:rsidR="005B0036" w:rsidRDefault="008061CC" w:rsidP="008061CC">
      <w:pPr>
        <w:tabs>
          <w:tab w:val="left" w:pos="851"/>
          <w:tab w:val="left" w:pos="1843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15 mg:</w:t>
      </w:r>
      <w:r>
        <w:rPr>
          <w:sz w:val="24"/>
          <w:szCs w:val="24"/>
        </w:rPr>
        <w:tab/>
      </w:r>
      <w:r w:rsidR="00FB4C5B">
        <w:rPr>
          <w:sz w:val="24"/>
          <w:szCs w:val="24"/>
        </w:rPr>
        <w:t>63030</w:t>
      </w:r>
    </w:p>
    <w:p w14:paraId="2CBE9DA4" w14:textId="171A0F40" w:rsidR="00FB4C5B" w:rsidRDefault="00FB4C5B" w:rsidP="008061CC">
      <w:pPr>
        <w:tabs>
          <w:tab w:val="left" w:pos="851"/>
          <w:tab w:val="left" w:pos="1843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50 mg:</w:t>
      </w:r>
      <w:r>
        <w:rPr>
          <w:sz w:val="24"/>
          <w:szCs w:val="24"/>
        </w:rPr>
        <w:tab/>
        <w:t>63031</w:t>
      </w:r>
    </w:p>
    <w:p w14:paraId="5DC7CDE9" w14:textId="2FB6D84D" w:rsidR="00FB4C5B" w:rsidRDefault="00FB4C5B" w:rsidP="008061CC">
      <w:pPr>
        <w:tabs>
          <w:tab w:val="left" w:pos="851"/>
          <w:tab w:val="left" w:pos="1843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200 mg:</w:t>
      </w:r>
      <w:r>
        <w:rPr>
          <w:sz w:val="24"/>
          <w:szCs w:val="24"/>
        </w:rPr>
        <w:tab/>
        <w:t>63032</w:t>
      </w:r>
    </w:p>
    <w:p w14:paraId="1494D60C" w14:textId="354DE0C7" w:rsidR="00FB4C5B" w:rsidRPr="00406EE7" w:rsidRDefault="00FB4C5B" w:rsidP="008061CC">
      <w:pPr>
        <w:tabs>
          <w:tab w:val="left" w:pos="851"/>
          <w:tab w:val="left" w:pos="1843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400 mg:</w:t>
      </w:r>
      <w:r>
        <w:rPr>
          <w:sz w:val="24"/>
          <w:szCs w:val="24"/>
        </w:rPr>
        <w:tab/>
        <w:t>63033</w:t>
      </w:r>
    </w:p>
    <w:p w14:paraId="29374981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90BA92D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14:paraId="5F65F43B" w14:textId="4E2DA83C" w:rsidR="005B0036" w:rsidRPr="00406EE7" w:rsidRDefault="0046706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september 2020</w:t>
      </w:r>
    </w:p>
    <w:p w14:paraId="65576B86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5C4E9B1" w14:textId="77777777"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14:paraId="4E46085C" w14:textId="68958DF5" w:rsidR="005B0036" w:rsidRPr="00406EE7" w:rsidRDefault="00F02A41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30. januar 2024</w:t>
      </w:r>
      <w:bookmarkStart w:id="8" w:name="_GoBack"/>
      <w:bookmarkEnd w:id="8"/>
    </w:p>
    <w:p w14:paraId="6FBBA230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C49F371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14:paraId="671429F4" w14:textId="43B09AFD" w:rsidR="0003527F" w:rsidRPr="005B0036" w:rsidRDefault="00B47121" w:rsidP="00B47121">
      <w:pPr>
        <w:pStyle w:val="Sidehoved"/>
        <w:tabs>
          <w:tab w:val="clear" w:pos="4819"/>
          <w:tab w:val="left" w:pos="851"/>
          <w:tab w:val="left" w:pos="8222"/>
        </w:tabs>
        <w:ind w:left="851"/>
      </w:pPr>
      <w:r>
        <w:rPr>
          <w:szCs w:val="24"/>
        </w:rPr>
        <w:t>B</w:t>
      </w:r>
    </w:p>
    <w:sectPr w:rsidR="0003527F" w:rsidRPr="005B0036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89BC2" w14:textId="77777777" w:rsidR="002D13AF" w:rsidRDefault="002D13AF">
      <w:r>
        <w:separator/>
      </w:r>
    </w:p>
  </w:endnote>
  <w:endnote w:type="continuationSeparator" w:id="0">
    <w:p w14:paraId="06D64D57" w14:textId="77777777" w:rsidR="002D13AF" w:rsidRDefault="002D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FAEE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6F216D13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0627254" w14:textId="3C9BA8C8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0E2173">
      <w:rPr>
        <w:i/>
        <w:noProof/>
        <w:snapToGrid w:val="0"/>
        <w:sz w:val="18"/>
      </w:rPr>
      <w:t>Doxytab Vet., tabletter 15 mg, 50 mg, 200 mg og 400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DE424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076633AA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6D8BA86" w14:textId="2FB9D90F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0E2173">
      <w:rPr>
        <w:i/>
        <w:noProof/>
        <w:snapToGrid w:val="0"/>
        <w:sz w:val="18"/>
      </w:rPr>
      <w:t>Doxytab Vet., tabletter 15 mg, 50 mg, 200 mg og 400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4C828" w14:textId="77777777" w:rsidR="002D13AF" w:rsidRDefault="002D13AF">
      <w:r>
        <w:separator/>
      </w:r>
    </w:p>
  </w:footnote>
  <w:footnote w:type="continuationSeparator" w:id="0">
    <w:p w14:paraId="154F48B3" w14:textId="77777777" w:rsidR="002D13AF" w:rsidRDefault="002D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8F9C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C1090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AF"/>
    <w:rsid w:val="000329DE"/>
    <w:rsid w:val="0003527F"/>
    <w:rsid w:val="00065C7D"/>
    <w:rsid w:val="000C6CD4"/>
    <w:rsid w:val="000E2173"/>
    <w:rsid w:val="001577E4"/>
    <w:rsid w:val="001858CA"/>
    <w:rsid w:val="001B4207"/>
    <w:rsid w:val="001C4AEF"/>
    <w:rsid w:val="001D3CC5"/>
    <w:rsid w:val="001E1781"/>
    <w:rsid w:val="002C0460"/>
    <w:rsid w:val="002D13AF"/>
    <w:rsid w:val="002E21CB"/>
    <w:rsid w:val="00322BDE"/>
    <w:rsid w:val="00357F1D"/>
    <w:rsid w:val="00366025"/>
    <w:rsid w:val="00377FB6"/>
    <w:rsid w:val="003A4B93"/>
    <w:rsid w:val="003F3727"/>
    <w:rsid w:val="00406EE7"/>
    <w:rsid w:val="00407013"/>
    <w:rsid w:val="00467066"/>
    <w:rsid w:val="004A62CC"/>
    <w:rsid w:val="004C38EC"/>
    <w:rsid w:val="00565A74"/>
    <w:rsid w:val="005B0036"/>
    <w:rsid w:val="005F5831"/>
    <w:rsid w:val="00662012"/>
    <w:rsid w:val="00666B01"/>
    <w:rsid w:val="006B1539"/>
    <w:rsid w:val="006E7521"/>
    <w:rsid w:val="006F5621"/>
    <w:rsid w:val="00717AD0"/>
    <w:rsid w:val="0079415B"/>
    <w:rsid w:val="007E2A00"/>
    <w:rsid w:val="008010F2"/>
    <w:rsid w:val="008061CC"/>
    <w:rsid w:val="008348F5"/>
    <w:rsid w:val="009202AE"/>
    <w:rsid w:val="00930208"/>
    <w:rsid w:val="009819F5"/>
    <w:rsid w:val="009D66C6"/>
    <w:rsid w:val="009E5D2E"/>
    <w:rsid w:val="00A6175B"/>
    <w:rsid w:val="00A65B8E"/>
    <w:rsid w:val="00A96525"/>
    <w:rsid w:val="00AE29E5"/>
    <w:rsid w:val="00AE5757"/>
    <w:rsid w:val="00B25EB8"/>
    <w:rsid w:val="00B47121"/>
    <w:rsid w:val="00B81A36"/>
    <w:rsid w:val="00BC634B"/>
    <w:rsid w:val="00BC7CFC"/>
    <w:rsid w:val="00BF2AE0"/>
    <w:rsid w:val="00C479BF"/>
    <w:rsid w:val="00D5577C"/>
    <w:rsid w:val="00DA008F"/>
    <w:rsid w:val="00DD6D71"/>
    <w:rsid w:val="00DF32BE"/>
    <w:rsid w:val="00E068A5"/>
    <w:rsid w:val="00E14F0A"/>
    <w:rsid w:val="00EB5778"/>
    <w:rsid w:val="00ED2D47"/>
    <w:rsid w:val="00EE5253"/>
    <w:rsid w:val="00F01B1B"/>
    <w:rsid w:val="00F02A41"/>
    <w:rsid w:val="00F43813"/>
    <w:rsid w:val="00F77ABB"/>
    <w:rsid w:val="00FA66E4"/>
    <w:rsid w:val="00FB4C5B"/>
    <w:rsid w:val="00FC3FD7"/>
    <w:rsid w:val="00FC6126"/>
    <w:rsid w:val="00FD6433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4F5A4"/>
  <w15:chartTrackingRefBased/>
  <w15:docId w15:val="{1B6DB633-E308-405C-8592-A430C112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9538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Søndersted</dc:creator>
  <cp:keywords/>
  <dc:description>2023103851 pkt. 6.3</dc:description>
  <cp:lastModifiedBy>Helle Søndersted</cp:lastModifiedBy>
  <cp:revision>2</cp:revision>
  <cp:lastPrinted>2020-09-01T09:22:00Z</cp:lastPrinted>
  <dcterms:created xsi:type="dcterms:W3CDTF">2024-01-30T07:58:00Z</dcterms:created>
  <dcterms:modified xsi:type="dcterms:W3CDTF">2024-01-30T07:58:00Z</dcterms:modified>
</cp:coreProperties>
</file>