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981" w:rsidRPr="00406EE7" w:rsidRDefault="00E30951" w:rsidP="006E0981">
      <w:pPr>
        <w:tabs>
          <w:tab w:val="left" w:pos="6804"/>
        </w:tabs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2466975" cy="685800"/>
            <wp:effectExtent l="0" t="0" r="9525" b="0"/>
            <wp:docPr id="1" name="Billede 1" descr="\\dklmmu.dk\Home\Users\moje\My Pictures\LMST-logo (EN) - min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klmmu.dk\Home\Users\moje\My Pictures\LMST-logo (EN) - mind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981" w:rsidRPr="00406EE7" w:rsidRDefault="006E0981" w:rsidP="006E0981">
      <w:pPr>
        <w:tabs>
          <w:tab w:val="left" w:pos="6804"/>
        </w:tabs>
        <w:rPr>
          <w:b/>
          <w:sz w:val="24"/>
          <w:szCs w:val="24"/>
        </w:rPr>
      </w:pPr>
    </w:p>
    <w:p w:rsidR="006E0981" w:rsidRPr="00406EE7" w:rsidRDefault="00D55E68" w:rsidP="006E0981">
      <w:pPr>
        <w:tabs>
          <w:tab w:val="left" w:pos="6804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28</w:t>
      </w:r>
      <w:r w:rsidR="006E0981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juni</w:t>
      </w:r>
      <w:r w:rsidR="00E30951">
        <w:rPr>
          <w:b/>
          <w:sz w:val="24"/>
          <w:szCs w:val="24"/>
        </w:rPr>
        <w:t xml:space="preserve"> </w:t>
      </w:r>
      <w:r w:rsidR="006E0981">
        <w:rPr>
          <w:b/>
          <w:sz w:val="24"/>
          <w:szCs w:val="24"/>
        </w:rPr>
        <w:t>20</w:t>
      </w:r>
      <w:r w:rsidR="00E3095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</w:t>
      </w:r>
    </w:p>
    <w:p w:rsidR="006E0981" w:rsidRPr="00406EE7" w:rsidRDefault="006E0981" w:rsidP="006E0981">
      <w:pPr>
        <w:tabs>
          <w:tab w:val="left" w:pos="8222"/>
        </w:tabs>
        <w:rPr>
          <w:sz w:val="24"/>
          <w:szCs w:val="24"/>
        </w:rPr>
      </w:pPr>
    </w:p>
    <w:p w:rsidR="006E0981" w:rsidRPr="00406EE7" w:rsidRDefault="006E0981" w:rsidP="006E0981">
      <w:pPr>
        <w:tabs>
          <w:tab w:val="left" w:pos="8222"/>
        </w:tabs>
        <w:rPr>
          <w:sz w:val="24"/>
          <w:szCs w:val="24"/>
        </w:rPr>
      </w:pPr>
    </w:p>
    <w:p w:rsidR="006E0981" w:rsidRPr="00406EE7" w:rsidRDefault="006E0981" w:rsidP="006E0981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:rsidR="006E0981" w:rsidRPr="00406EE7" w:rsidRDefault="006E0981" w:rsidP="006E0981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6E0981" w:rsidRPr="00406EE7" w:rsidRDefault="006E0981" w:rsidP="006E0981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for</w:t>
      </w:r>
    </w:p>
    <w:p w:rsidR="006E0981" w:rsidRPr="00406EE7" w:rsidRDefault="006E0981" w:rsidP="006E0981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6E0981" w:rsidRPr="00406EE7" w:rsidRDefault="006E0981" w:rsidP="006E0981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Ecomectin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Vet</w:t>
      </w:r>
      <w:proofErr w:type="spellEnd"/>
      <w:r>
        <w:rPr>
          <w:b/>
          <w:sz w:val="24"/>
          <w:szCs w:val="24"/>
        </w:rPr>
        <w:t>., oralt pulver</w:t>
      </w:r>
    </w:p>
    <w:p w:rsidR="006E0981" w:rsidRPr="00406EE7" w:rsidRDefault="006E0981" w:rsidP="006E0981">
      <w:pPr>
        <w:tabs>
          <w:tab w:val="left" w:pos="8222"/>
        </w:tabs>
        <w:jc w:val="both"/>
        <w:rPr>
          <w:sz w:val="24"/>
          <w:szCs w:val="24"/>
        </w:rPr>
      </w:pPr>
    </w:p>
    <w:p w:rsidR="006E0981" w:rsidRPr="007F207C" w:rsidRDefault="006E0981" w:rsidP="006E0981">
      <w:pPr>
        <w:tabs>
          <w:tab w:val="left" w:pos="8222"/>
        </w:tabs>
        <w:ind w:left="851" w:hanging="851"/>
        <w:jc w:val="both"/>
        <w:rPr>
          <w:sz w:val="24"/>
          <w:szCs w:val="24"/>
        </w:rPr>
      </w:pPr>
    </w:p>
    <w:p w:rsidR="006E0981" w:rsidRPr="007F207C" w:rsidRDefault="006E0981" w:rsidP="006E098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7F207C">
        <w:rPr>
          <w:b/>
          <w:sz w:val="24"/>
          <w:szCs w:val="24"/>
        </w:rPr>
        <w:t>0.</w:t>
      </w:r>
      <w:r w:rsidRPr="007F207C">
        <w:rPr>
          <w:b/>
          <w:sz w:val="24"/>
          <w:szCs w:val="24"/>
        </w:rPr>
        <w:tab/>
        <w:t>D.SP.NR.</w:t>
      </w:r>
    </w:p>
    <w:p w:rsidR="006E0981" w:rsidRPr="007F207C" w:rsidRDefault="006E0981" w:rsidP="006E0981">
      <w:pPr>
        <w:tabs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7F207C">
        <w:rPr>
          <w:sz w:val="24"/>
          <w:szCs w:val="24"/>
        </w:rPr>
        <w:t>09937</w:t>
      </w:r>
    </w:p>
    <w:p w:rsidR="006E0981" w:rsidRPr="007F207C" w:rsidRDefault="006E0981" w:rsidP="006E0981">
      <w:pPr>
        <w:tabs>
          <w:tab w:val="left" w:pos="8222"/>
        </w:tabs>
        <w:ind w:left="851" w:hanging="851"/>
        <w:rPr>
          <w:sz w:val="24"/>
          <w:szCs w:val="24"/>
        </w:rPr>
      </w:pPr>
    </w:p>
    <w:p w:rsidR="006E0981" w:rsidRPr="007F207C" w:rsidRDefault="006E0981" w:rsidP="006E098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7F207C">
        <w:rPr>
          <w:b/>
          <w:sz w:val="24"/>
          <w:szCs w:val="24"/>
        </w:rPr>
        <w:t>1.</w:t>
      </w:r>
      <w:r w:rsidRPr="007F207C">
        <w:rPr>
          <w:b/>
          <w:sz w:val="24"/>
          <w:szCs w:val="24"/>
        </w:rPr>
        <w:tab/>
        <w:t>VETERINÆRLÆGEMIDLETS NAVN</w:t>
      </w:r>
    </w:p>
    <w:p w:rsidR="006E0981" w:rsidRPr="007F207C" w:rsidRDefault="006E0981" w:rsidP="006E0981">
      <w:pPr>
        <w:tabs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7F207C">
        <w:rPr>
          <w:sz w:val="24"/>
          <w:szCs w:val="24"/>
        </w:rPr>
        <w:t>Ecomectin</w:t>
      </w:r>
      <w:proofErr w:type="spellEnd"/>
      <w:r w:rsidRPr="007F207C">
        <w:rPr>
          <w:sz w:val="24"/>
          <w:szCs w:val="24"/>
        </w:rPr>
        <w:t xml:space="preserve"> </w:t>
      </w:r>
      <w:proofErr w:type="spellStart"/>
      <w:r w:rsidRPr="007F207C">
        <w:rPr>
          <w:sz w:val="24"/>
          <w:szCs w:val="24"/>
        </w:rPr>
        <w:t>Vet</w:t>
      </w:r>
      <w:proofErr w:type="spellEnd"/>
      <w:r w:rsidRPr="007F207C">
        <w:rPr>
          <w:sz w:val="24"/>
          <w:szCs w:val="24"/>
        </w:rPr>
        <w:t>.</w:t>
      </w:r>
    </w:p>
    <w:p w:rsidR="006E0981" w:rsidRPr="007F207C" w:rsidRDefault="006E0981" w:rsidP="006E0981">
      <w:pPr>
        <w:tabs>
          <w:tab w:val="left" w:pos="8222"/>
        </w:tabs>
        <w:ind w:left="851" w:hanging="851"/>
        <w:rPr>
          <w:sz w:val="24"/>
          <w:szCs w:val="24"/>
        </w:rPr>
      </w:pPr>
    </w:p>
    <w:p w:rsidR="006E0981" w:rsidRPr="007F207C" w:rsidRDefault="006E0981" w:rsidP="006E098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7F207C">
        <w:rPr>
          <w:b/>
          <w:sz w:val="24"/>
          <w:szCs w:val="24"/>
        </w:rPr>
        <w:t>2.</w:t>
      </w:r>
      <w:r w:rsidRPr="007F207C">
        <w:rPr>
          <w:b/>
          <w:sz w:val="24"/>
          <w:szCs w:val="24"/>
        </w:rPr>
        <w:tab/>
        <w:t>KVALITATIV OG KVANTITATIV SAMMENSÆTNING</w:t>
      </w:r>
    </w:p>
    <w:p w:rsidR="006E0981" w:rsidRDefault="006E0981" w:rsidP="006E0981">
      <w:pPr>
        <w:ind w:left="851" w:hanging="851"/>
        <w:rPr>
          <w:b/>
          <w:sz w:val="24"/>
          <w:szCs w:val="24"/>
        </w:rPr>
      </w:pPr>
    </w:p>
    <w:p w:rsidR="006E0981" w:rsidRPr="007F207C" w:rsidRDefault="006E0981" w:rsidP="006E0981">
      <w:pPr>
        <w:ind w:left="851"/>
        <w:rPr>
          <w:b/>
          <w:sz w:val="24"/>
          <w:szCs w:val="24"/>
        </w:rPr>
      </w:pPr>
      <w:r w:rsidRPr="007F207C">
        <w:rPr>
          <w:b/>
          <w:sz w:val="24"/>
          <w:szCs w:val="24"/>
        </w:rPr>
        <w:t>Aktivt stof:</w:t>
      </w:r>
    </w:p>
    <w:p w:rsidR="006E0981" w:rsidRPr="007F207C" w:rsidRDefault="006E0981" w:rsidP="006E0981">
      <w:pPr>
        <w:pStyle w:val="table"/>
        <w:tabs>
          <w:tab w:val="left" w:pos="2565"/>
          <w:tab w:val="left" w:pos="4328"/>
          <w:tab w:val="left" w:pos="5819"/>
          <w:tab w:val="left" w:pos="7717"/>
        </w:tabs>
        <w:ind w:left="851" w:hanging="851"/>
        <w:rPr>
          <w:rFonts w:ascii="Times New Roman" w:hAnsi="Times New Roman"/>
          <w:sz w:val="24"/>
          <w:szCs w:val="24"/>
        </w:rPr>
      </w:pPr>
      <w:r w:rsidRPr="007F207C">
        <w:rPr>
          <w:rFonts w:ascii="Times New Roman" w:hAnsi="Times New Roman"/>
          <w:sz w:val="24"/>
          <w:szCs w:val="24"/>
        </w:rPr>
        <w:tab/>
      </w:r>
      <w:proofErr w:type="spellStart"/>
      <w:r w:rsidRPr="007F207C">
        <w:rPr>
          <w:rFonts w:ascii="Times New Roman" w:hAnsi="Times New Roman"/>
          <w:sz w:val="24"/>
          <w:szCs w:val="24"/>
        </w:rPr>
        <w:t>Ivermectin</w:t>
      </w:r>
      <w:proofErr w:type="spellEnd"/>
      <w:r w:rsidRPr="007F207C">
        <w:rPr>
          <w:rFonts w:ascii="Times New Roman" w:hAnsi="Times New Roman"/>
          <w:sz w:val="24"/>
          <w:szCs w:val="24"/>
        </w:rPr>
        <w:tab/>
        <w:t>6,0 mg/g</w:t>
      </w:r>
    </w:p>
    <w:p w:rsidR="006E0981" w:rsidRPr="007F207C" w:rsidRDefault="006E0981" w:rsidP="006E0981">
      <w:pPr>
        <w:ind w:left="851" w:hanging="851"/>
        <w:rPr>
          <w:sz w:val="24"/>
          <w:szCs w:val="24"/>
        </w:rPr>
      </w:pPr>
    </w:p>
    <w:p w:rsidR="006E0981" w:rsidRPr="007F207C" w:rsidRDefault="006E0981" w:rsidP="006E0981">
      <w:pPr>
        <w:autoSpaceDE w:val="0"/>
        <w:autoSpaceDN w:val="0"/>
        <w:adjustRightInd w:val="0"/>
        <w:ind w:left="851"/>
        <w:rPr>
          <w:rFonts w:eastAsia="Calibri"/>
          <w:b/>
          <w:bCs/>
          <w:sz w:val="24"/>
          <w:szCs w:val="24"/>
        </w:rPr>
      </w:pPr>
      <w:r w:rsidRPr="007F207C">
        <w:rPr>
          <w:rFonts w:eastAsia="Calibri"/>
          <w:b/>
          <w:bCs/>
          <w:sz w:val="24"/>
          <w:szCs w:val="24"/>
        </w:rPr>
        <w:t>Hjælpestoffer:</w:t>
      </w:r>
    </w:p>
    <w:p w:rsidR="006E0981" w:rsidRPr="00AA060B" w:rsidRDefault="006E0981" w:rsidP="006E0981">
      <w:pPr>
        <w:autoSpaceDE w:val="0"/>
        <w:autoSpaceDN w:val="0"/>
        <w:adjustRightInd w:val="0"/>
        <w:ind w:left="851"/>
        <w:rPr>
          <w:rFonts w:eastAsia="Calibri"/>
          <w:sz w:val="24"/>
          <w:szCs w:val="24"/>
        </w:rPr>
      </w:pPr>
      <w:proofErr w:type="spellStart"/>
      <w:r w:rsidRPr="00AA060B">
        <w:rPr>
          <w:rFonts w:eastAsia="Calibri"/>
          <w:sz w:val="24"/>
          <w:szCs w:val="24"/>
        </w:rPr>
        <w:t>Butylhydroxyanisol</w:t>
      </w:r>
      <w:proofErr w:type="spellEnd"/>
      <w:r w:rsidRPr="00AA060B">
        <w:rPr>
          <w:rFonts w:eastAsia="Calibri"/>
          <w:sz w:val="24"/>
          <w:szCs w:val="24"/>
        </w:rPr>
        <w:tab/>
        <w:t>1,0 mg/g</w:t>
      </w:r>
    </w:p>
    <w:p w:rsidR="006E0981" w:rsidRPr="00AA060B" w:rsidRDefault="006E0981" w:rsidP="006E0981">
      <w:pPr>
        <w:autoSpaceDE w:val="0"/>
        <w:autoSpaceDN w:val="0"/>
        <w:adjustRightInd w:val="0"/>
        <w:ind w:left="851"/>
        <w:rPr>
          <w:rFonts w:eastAsia="Calibri"/>
          <w:sz w:val="24"/>
          <w:szCs w:val="24"/>
        </w:rPr>
      </w:pPr>
      <w:proofErr w:type="spellStart"/>
      <w:r w:rsidRPr="00AA060B">
        <w:rPr>
          <w:rFonts w:eastAsia="Calibri"/>
          <w:sz w:val="24"/>
          <w:szCs w:val="24"/>
        </w:rPr>
        <w:t>Propylgallat</w:t>
      </w:r>
      <w:proofErr w:type="spellEnd"/>
      <w:r w:rsidRPr="00AA060B">
        <w:rPr>
          <w:rFonts w:eastAsia="Calibri"/>
          <w:sz w:val="24"/>
          <w:szCs w:val="24"/>
        </w:rPr>
        <w:tab/>
      </w:r>
      <w:r w:rsidRPr="00AA060B">
        <w:rPr>
          <w:rFonts w:eastAsia="Calibri"/>
          <w:sz w:val="24"/>
          <w:szCs w:val="24"/>
        </w:rPr>
        <w:tab/>
        <w:t>0,3 mg/g</w:t>
      </w:r>
    </w:p>
    <w:p w:rsidR="006E0981" w:rsidRPr="00AA060B" w:rsidRDefault="006E0981" w:rsidP="006E0981">
      <w:pPr>
        <w:ind w:left="851" w:hanging="851"/>
        <w:rPr>
          <w:sz w:val="24"/>
          <w:szCs w:val="24"/>
        </w:rPr>
      </w:pPr>
    </w:p>
    <w:p w:rsidR="006E0981" w:rsidRPr="007F207C" w:rsidRDefault="006E0981" w:rsidP="006E0981">
      <w:pPr>
        <w:ind w:left="851"/>
        <w:rPr>
          <w:sz w:val="24"/>
          <w:szCs w:val="24"/>
        </w:rPr>
      </w:pPr>
      <w:r w:rsidRPr="007F207C">
        <w:rPr>
          <w:b/>
          <w:sz w:val="24"/>
          <w:szCs w:val="24"/>
        </w:rPr>
        <w:t>Hjælpestof:</w:t>
      </w:r>
    </w:p>
    <w:p w:rsidR="006E0981" w:rsidRPr="007F207C" w:rsidRDefault="006E0981" w:rsidP="006E0981">
      <w:pPr>
        <w:ind w:left="851" w:hanging="851"/>
        <w:rPr>
          <w:sz w:val="24"/>
          <w:szCs w:val="24"/>
        </w:rPr>
      </w:pPr>
      <w:r w:rsidRPr="007F207C">
        <w:rPr>
          <w:sz w:val="24"/>
          <w:szCs w:val="24"/>
        </w:rPr>
        <w:tab/>
        <w:t>Alle hjælpestoffer er anført under pkt. 6.1.</w:t>
      </w:r>
    </w:p>
    <w:p w:rsidR="006E0981" w:rsidRPr="007F207C" w:rsidRDefault="006E0981" w:rsidP="006E0981">
      <w:pPr>
        <w:tabs>
          <w:tab w:val="left" w:pos="8222"/>
        </w:tabs>
        <w:ind w:left="851" w:hanging="851"/>
        <w:rPr>
          <w:sz w:val="24"/>
          <w:szCs w:val="24"/>
        </w:rPr>
      </w:pPr>
    </w:p>
    <w:p w:rsidR="006E0981" w:rsidRPr="007F207C" w:rsidRDefault="006E0981" w:rsidP="006E098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7F207C">
        <w:rPr>
          <w:b/>
          <w:sz w:val="24"/>
          <w:szCs w:val="24"/>
        </w:rPr>
        <w:t>3.</w:t>
      </w:r>
      <w:r w:rsidRPr="007F207C">
        <w:rPr>
          <w:b/>
          <w:sz w:val="24"/>
          <w:szCs w:val="24"/>
        </w:rPr>
        <w:tab/>
        <w:t>LÆGEMIDDELFORM</w:t>
      </w:r>
    </w:p>
    <w:p w:rsidR="006E0981" w:rsidRPr="007F207C" w:rsidRDefault="006E0981" w:rsidP="006E0981">
      <w:pPr>
        <w:ind w:left="851"/>
        <w:rPr>
          <w:sz w:val="24"/>
          <w:szCs w:val="24"/>
        </w:rPr>
      </w:pPr>
      <w:r w:rsidRPr="007F207C">
        <w:rPr>
          <w:sz w:val="24"/>
          <w:szCs w:val="24"/>
        </w:rPr>
        <w:t>Oralt pulver</w:t>
      </w:r>
    </w:p>
    <w:p w:rsidR="006E0981" w:rsidRPr="007F207C" w:rsidRDefault="006E0981" w:rsidP="006E0981">
      <w:pPr>
        <w:tabs>
          <w:tab w:val="left" w:pos="851"/>
          <w:tab w:val="left" w:pos="8222"/>
        </w:tabs>
        <w:ind w:left="851" w:hanging="851"/>
        <w:jc w:val="both"/>
        <w:rPr>
          <w:sz w:val="24"/>
          <w:szCs w:val="24"/>
        </w:rPr>
      </w:pPr>
      <w:r w:rsidRPr="007F207C">
        <w:rPr>
          <w:sz w:val="24"/>
          <w:szCs w:val="24"/>
        </w:rPr>
        <w:tab/>
        <w:t>Gulbrunt, frit flydende granulat.</w:t>
      </w:r>
    </w:p>
    <w:p w:rsidR="006E0981" w:rsidRPr="007F207C" w:rsidRDefault="006E0981" w:rsidP="006E098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6E0981" w:rsidRPr="007F207C" w:rsidRDefault="006E0981" w:rsidP="006E098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6E0981" w:rsidRPr="007F207C" w:rsidRDefault="006E0981" w:rsidP="006E098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7F207C">
        <w:rPr>
          <w:b/>
          <w:sz w:val="24"/>
          <w:szCs w:val="24"/>
        </w:rPr>
        <w:t>4.</w:t>
      </w:r>
      <w:r w:rsidRPr="007F207C">
        <w:rPr>
          <w:b/>
          <w:sz w:val="24"/>
          <w:szCs w:val="24"/>
        </w:rPr>
        <w:tab/>
        <w:t>KLINISKE OPLYSNINGER</w:t>
      </w:r>
    </w:p>
    <w:p w:rsidR="006E0981" w:rsidRPr="007F207C" w:rsidRDefault="006E0981" w:rsidP="006E098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6E0981" w:rsidRPr="007F207C" w:rsidRDefault="006E0981" w:rsidP="006E0981">
      <w:pPr>
        <w:tabs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7F207C">
        <w:rPr>
          <w:b/>
          <w:sz w:val="24"/>
          <w:szCs w:val="24"/>
        </w:rPr>
        <w:t>4.1</w:t>
      </w:r>
      <w:r w:rsidRPr="007F207C">
        <w:rPr>
          <w:b/>
          <w:sz w:val="24"/>
          <w:szCs w:val="24"/>
        </w:rPr>
        <w:tab/>
        <w:t>Dyrearter</w:t>
      </w:r>
    </w:p>
    <w:p w:rsidR="006E0981" w:rsidRPr="007F207C" w:rsidRDefault="006E0981" w:rsidP="006E0981">
      <w:pPr>
        <w:ind w:left="851"/>
        <w:rPr>
          <w:sz w:val="24"/>
          <w:szCs w:val="24"/>
        </w:rPr>
      </w:pPr>
      <w:r w:rsidRPr="007F207C">
        <w:rPr>
          <w:sz w:val="24"/>
          <w:szCs w:val="24"/>
        </w:rPr>
        <w:t>Svin (søer og orner).</w:t>
      </w:r>
    </w:p>
    <w:p w:rsidR="006E0981" w:rsidRPr="007F207C" w:rsidRDefault="006E0981" w:rsidP="006E0981">
      <w:pPr>
        <w:tabs>
          <w:tab w:val="left" w:pos="8222"/>
        </w:tabs>
        <w:ind w:left="851" w:hanging="851"/>
        <w:rPr>
          <w:sz w:val="24"/>
          <w:szCs w:val="24"/>
        </w:rPr>
      </w:pPr>
    </w:p>
    <w:p w:rsidR="006E0981" w:rsidRPr="007F207C" w:rsidRDefault="006E0981" w:rsidP="006E0981">
      <w:pPr>
        <w:pStyle w:val="Sidehoved"/>
        <w:tabs>
          <w:tab w:val="clear" w:pos="4819"/>
          <w:tab w:val="left" w:pos="8222"/>
        </w:tabs>
        <w:ind w:left="851" w:hanging="851"/>
        <w:rPr>
          <w:b/>
          <w:szCs w:val="24"/>
        </w:rPr>
      </w:pPr>
      <w:r w:rsidRPr="007F207C">
        <w:rPr>
          <w:b/>
          <w:szCs w:val="24"/>
        </w:rPr>
        <w:t>4.2</w:t>
      </w:r>
      <w:r w:rsidRPr="007F207C">
        <w:rPr>
          <w:b/>
          <w:szCs w:val="24"/>
        </w:rPr>
        <w:tab/>
        <w:t>Terapeutiske indikationer</w:t>
      </w:r>
    </w:p>
    <w:p w:rsidR="006E0981" w:rsidRPr="007F207C" w:rsidRDefault="006E0981" w:rsidP="006E0981">
      <w:pPr>
        <w:autoSpaceDE w:val="0"/>
        <w:autoSpaceDN w:val="0"/>
        <w:adjustRightInd w:val="0"/>
        <w:ind w:left="851"/>
        <w:rPr>
          <w:rFonts w:eastAsia="Calibri"/>
          <w:sz w:val="24"/>
          <w:szCs w:val="24"/>
          <w:highlight w:val="green"/>
        </w:rPr>
      </w:pPr>
      <w:r w:rsidRPr="007F207C">
        <w:rPr>
          <w:rFonts w:eastAsia="Calibri"/>
          <w:sz w:val="24"/>
          <w:szCs w:val="24"/>
        </w:rPr>
        <w:t xml:space="preserve">Behandling af infektioner med </w:t>
      </w:r>
      <w:proofErr w:type="spellStart"/>
      <w:r w:rsidRPr="007F207C">
        <w:rPr>
          <w:rFonts w:eastAsia="Calibri"/>
          <w:sz w:val="24"/>
          <w:szCs w:val="24"/>
        </w:rPr>
        <w:t>nematoder</w:t>
      </w:r>
      <w:proofErr w:type="spellEnd"/>
      <w:r w:rsidRPr="007F207C">
        <w:rPr>
          <w:rFonts w:eastAsia="Calibri"/>
          <w:sz w:val="24"/>
          <w:szCs w:val="24"/>
        </w:rPr>
        <w:t xml:space="preserve"> eller </w:t>
      </w:r>
      <w:proofErr w:type="spellStart"/>
      <w:r w:rsidRPr="007F207C">
        <w:rPr>
          <w:rFonts w:eastAsia="Calibri"/>
          <w:sz w:val="24"/>
          <w:szCs w:val="24"/>
        </w:rPr>
        <w:t>arthropoder</w:t>
      </w:r>
      <w:proofErr w:type="spellEnd"/>
      <w:r w:rsidRPr="007F207C">
        <w:rPr>
          <w:rFonts w:eastAsia="Calibri"/>
          <w:sz w:val="24"/>
          <w:szCs w:val="24"/>
        </w:rPr>
        <w:t xml:space="preserve"> forårsaget af:</w:t>
      </w:r>
    </w:p>
    <w:p w:rsidR="006E0981" w:rsidRPr="007F207C" w:rsidRDefault="006E0981" w:rsidP="006E0981">
      <w:pPr>
        <w:autoSpaceDE w:val="0"/>
        <w:autoSpaceDN w:val="0"/>
        <w:adjustRightInd w:val="0"/>
        <w:ind w:left="851" w:hanging="851"/>
        <w:rPr>
          <w:rFonts w:eastAsia="Calibri"/>
          <w:b/>
          <w:bCs/>
          <w:sz w:val="24"/>
          <w:szCs w:val="24"/>
          <w:highlight w:val="green"/>
        </w:rPr>
      </w:pPr>
    </w:p>
    <w:p w:rsidR="006E0981" w:rsidRPr="007F207C" w:rsidRDefault="006E0981" w:rsidP="006E0981">
      <w:pPr>
        <w:autoSpaceDE w:val="0"/>
        <w:autoSpaceDN w:val="0"/>
        <w:adjustRightInd w:val="0"/>
        <w:ind w:left="851"/>
        <w:rPr>
          <w:rFonts w:eastAsia="Calibri"/>
          <w:b/>
          <w:bCs/>
          <w:sz w:val="24"/>
          <w:szCs w:val="24"/>
        </w:rPr>
      </w:pPr>
      <w:proofErr w:type="spellStart"/>
      <w:r w:rsidRPr="007F207C">
        <w:rPr>
          <w:rFonts w:eastAsia="Calibri"/>
          <w:b/>
          <w:bCs/>
          <w:sz w:val="24"/>
          <w:szCs w:val="24"/>
        </w:rPr>
        <w:t>Gastrointestinale</w:t>
      </w:r>
      <w:proofErr w:type="spellEnd"/>
      <w:r w:rsidRPr="007F207C">
        <w:rPr>
          <w:rFonts w:eastAsia="Calibri"/>
          <w:b/>
          <w:bCs/>
          <w:sz w:val="24"/>
          <w:szCs w:val="24"/>
        </w:rPr>
        <w:t xml:space="preserve"> rundorm</w:t>
      </w:r>
    </w:p>
    <w:p w:rsidR="006E0981" w:rsidRPr="007F207C" w:rsidRDefault="006E0981" w:rsidP="006E0981">
      <w:pPr>
        <w:autoSpaceDE w:val="0"/>
        <w:autoSpaceDN w:val="0"/>
        <w:adjustRightInd w:val="0"/>
        <w:ind w:left="851"/>
        <w:rPr>
          <w:rFonts w:eastAsia="Calibri"/>
          <w:sz w:val="24"/>
          <w:szCs w:val="24"/>
        </w:rPr>
      </w:pPr>
      <w:proofErr w:type="spellStart"/>
      <w:r w:rsidRPr="007F207C">
        <w:rPr>
          <w:rFonts w:eastAsia="Calibri"/>
          <w:i/>
          <w:iCs/>
          <w:sz w:val="24"/>
          <w:szCs w:val="24"/>
        </w:rPr>
        <w:t>Ascaris</w:t>
      </w:r>
      <w:proofErr w:type="spellEnd"/>
      <w:r w:rsidRPr="007F207C">
        <w:rPr>
          <w:rFonts w:eastAsia="Calibri"/>
          <w:i/>
          <w:iCs/>
          <w:sz w:val="24"/>
          <w:szCs w:val="24"/>
        </w:rPr>
        <w:t xml:space="preserve"> </w:t>
      </w:r>
      <w:proofErr w:type="spellStart"/>
      <w:r w:rsidRPr="007F207C">
        <w:rPr>
          <w:rFonts w:eastAsia="Calibri"/>
          <w:i/>
          <w:iCs/>
          <w:sz w:val="24"/>
          <w:szCs w:val="24"/>
        </w:rPr>
        <w:t>suum</w:t>
      </w:r>
      <w:proofErr w:type="spellEnd"/>
      <w:r w:rsidRPr="007F207C">
        <w:rPr>
          <w:rFonts w:eastAsia="Calibri"/>
          <w:i/>
          <w:iCs/>
          <w:sz w:val="24"/>
          <w:szCs w:val="24"/>
        </w:rPr>
        <w:t xml:space="preserve"> </w:t>
      </w:r>
      <w:r w:rsidRPr="007F207C">
        <w:rPr>
          <w:rFonts w:eastAsia="Calibri"/>
          <w:sz w:val="24"/>
          <w:szCs w:val="24"/>
        </w:rPr>
        <w:t>(voksne og L4)</w:t>
      </w:r>
    </w:p>
    <w:p w:rsidR="006E0981" w:rsidRPr="007F207C" w:rsidRDefault="006E0981" w:rsidP="006E0981">
      <w:pPr>
        <w:autoSpaceDE w:val="0"/>
        <w:autoSpaceDN w:val="0"/>
        <w:adjustRightInd w:val="0"/>
        <w:ind w:left="851"/>
        <w:rPr>
          <w:rFonts w:eastAsia="Calibri"/>
          <w:sz w:val="24"/>
          <w:szCs w:val="24"/>
        </w:rPr>
      </w:pPr>
      <w:proofErr w:type="spellStart"/>
      <w:r w:rsidRPr="007F207C">
        <w:rPr>
          <w:rFonts w:eastAsia="Calibri"/>
          <w:i/>
          <w:iCs/>
          <w:sz w:val="24"/>
          <w:szCs w:val="24"/>
        </w:rPr>
        <w:t>Hyostrongylus</w:t>
      </w:r>
      <w:proofErr w:type="spellEnd"/>
      <w:r w:rsidRPr="007F207C">
        <w:rPr>
          <w:rFonts w:eastAsia="Calibri"/>
          <w:i/>
          <w:iCs/>
          <w:sz w:val="24"/>
          <w:szCs w:val="24"/>
        </w:rPr>
        <w:t xml:space="preserve"> </w:t>
      </w:r>
      <w:proofErr w:type="spellStart"/>
      <w:r w:rsidRPr="007F207C">
        <w:rPr>
          <w:rFonts w:eastAsia="Calibri"/>
          <w:i/>
          <w:iCs/>
          <w:sz w:val="24"/>
          <w:szCs w:val="24"/>
        </w:rPr>
        <w:t>rubidus</w:t>
      </w:r>
      <w:proofErr w:type="spellEnd"/>
      <w:r w:rsidRPr="007F207C">
        <w:rPr>
          <w:rFonts w:eastAsia="Calibri"/>
          <w:i/>
          <w:iCs/>
          <w:sz w:val="24"/>
          <w:szCs w:val="24"/>
        </w:rPr>
        <w:t xml:space="preserve"> </w:t>
      </w:r>
      <w:r w:rsidRPr="007F207C">
        <w:rPr>
          <w:rFonts w:eastAsia="Calibri"/>
          <w:sz w:val="24"/>
          <w:szCs w:val="24"/>
        </w:rPr>
        <w:t>(voksne og L4)</w:t>
      </w:r>
    </w:p>
    <w:p w:rsidR="006E0981" w:rsidRPr="007F207C" w:rsidRDefault="006E0981" w:rsidP="006E0981">
      <w:pPr>
        <w:autoSpaceDE w:val="0"/>
        <w:autoSpaceDN w:val="0"/>
        <w:adjustRightInd w:val="0"/>
        <w:ind w:left="851"/>
        <w:rPr>
          <w:rFonts w:eastAsia="Calibri"/>
          <w:sz w:val="24"/>
          <w:szCs w:val="24"/>
        </w:rPr>
      </w:pPr>
      <w:proofErr w:type="spellStart"/>
      <w:r w:rsidRPr="007F207C">
        <w:rPr>
          <w:rFonts w:eastAsia="Calibri"/>
          <w:i/>
          <w:iCs/>
          <w:sz w:val="24"/>
          <w:szCs w:val="24"/>
        </w:rPr>
        <w:t>Oesophagostomum</w:t>
      </w:r>
      <w:proofErr w:type="spellEnd"/>
      <w:r w:rsidRPr="007F207C">
        <w:rPr>
          <w:rFonts w:eastAsia="Calibri"/>
          <w:i/>
          <w:iCs/>
          <w:sz w:val="24"/>
          <w:szCs w:val="24"/>
        </w:rPr>
        <w:t xml:space="preserve"> </w:t>
      </w:r>
      <w:proofErr w:type="spellStart"/>
      <w:r w:rsidRPr="007F207C">
        <w:rPr>
          <w:rFonts w:eastAsia="Calibri"/>
          <w:sz w:val="24"/>
          <w:szCs w:val="24"/>
        </w:rPr>
        <w:t>spp</w:t>
      </w:r>
      <w:proofErr w:type="spellEnd"/>
      <w:r w:rsidRPr="007F207C">
        <w:rPr>
          <w:rFonts w:eastAsia="Calibri"/>
          <w:sz w:val="24"/>
          <w:szCs w:val="24"/>
        </w:rPr>
        <w:t>. (voksne og L4)</w:t>
      </w:r>
    </w:p>
    <w:p w:rsidR="006E0981" w:rsidRPr="007F207C" w:rsidRDefault="006E0981" w:rsidP="006E0981">
      <w:pPr>
        <w:autoSpaceDE w:val="0"/>
        <w:autoSpaceDN w:val="0"/>
        <w:adjustRightInd w:val="0"/>
        <w:ind w:left="851"/>
        <w:rPr>
          <w:rFonts w:eastAsia="Calibri"/>
          <w:sz w:val="24"/>
          <w:szCs w:val="24"/>
        </w:rPr>
      </w:pPr>
      <w:proofErr w:type="spellStart"/>
      <w:r w:rsidRPr="007F207C">
        <w:rPr>
          <w:rFonts w:eastAsia="Calibri"/>
          <w:i/>
          <w:iCs/>
          <w:sz w:val="24"/>
          <w:szCs w:val="24"/>
        </w:rPr>
        <w:t>Strongyloides</w:t>
      </w:r>
      <w:proofErr w:type="spellEnd"/>
      <w:r w:rsidRPr="007F207C">
        <w:rPr>
          <w:rFonts w:eastAsia="Calibri"/>
          <w:i/>
          <w:iCs/>
          <w:sz w:val="24"/>
          <w:szCs w:val="24"/>
        </w:rPr>
        <w:t xml:space="preserve"> </w:t>
      </w:r>
      <w:proofErr w:type="spellStart"/>
      <w:r w:rsidRPr="007F207C">
        <w:rPr>
          <w:rFonts w:eastAsia="Calibri"/>
          <w:i/>
          <w:iCs/>
          <w:sz w:val="24"/>
          <w:szCs w:val="24"/>
        </w:rPr>
        <w:t>ransomi</w:t>
      </w:r>
      <w:proofErr w:type="spellEnd"/>
      <w:r w:rsidRPr="007F207C">
        <w:rPr>
          <w:rFonts w:eastAsia="Calibri"/>
          <w:i/>
          <w:iCs/>
          <w:sz w:val="24"/>
          <w:szCs w:val="24"/>
        </w:rPr>
        <w:t xml:space="preserve"> </w:t>
      </w:r>
      <w:r w:rsidRPr="007F207C">
        <w:rPr>
          <w:rFonts w:eastAsia="Calibri"/>
          <w:sz w:val="24"/>
          <w:szCs w:val="24"/>
        </w:rPr>
        <w:t>(voksne)*</w:t>
      </w:r>
    </w:p>
    <w:p w:rsidR="006E0981" w:rsidRPr="007F207C" w:rsidRDefault="006E0981" w:rsidP="006E0981">
      <w:pPr>
        <w:autoSpaceDE w:val="0"/>
        <w:autoSpaceDN w:val="0"/>
        <w:adjustRightInd w:val="0"/>
        <w:ind w:left="851"/>
        <w:rPr>
          <w:rFonts w:eastAsia="Calibri"/>
          <w:b/>
          <w:bCs/>
          <w:sz w:val="24"/>
          <w:szCs w:val="24"/>
          <w:highlight w:val="green"/>
        </w:rPr>
      </w:pPr>
    </w:p>
    <w:p w:rsidR="006E0981" w:rsidRPr="007F207C" w:rsidRDefault="006E0981" w:rsidP="006E0981">
      <w:pPr>
        <w:autoSpaceDE w:val="0"/>
        <w:autoSpaceDN w:val="0"/>
        <w:adjustRightInd w:val="0"/>
        <w:ind w:left="851"/>
        <w:rPr>
          <w:rFonts w:eastAsia="Calibri"/>
          <w:b/>
          <w:bCs/>
          <w:sz w:val="24"/>
          <w:szCs w:val="24"/>
        </w:rPr>
      </w:pPr>
      <w:r w:rsidRPr="007F207C">
        <w:rPr>
          <w:rFonts w:eastAsia="Calibri"/>
          <w:b/>
          <w:bCs/>
          <w:sz w:val="24"/>
          <w:szCs w:val="24"/>
        </w:rPr>
        <w:t>Lungeorm</w:t>
      </w:r>
    </w:p>
    <w:p w:rsidR="006E0981" w:rsidRPr="007F207C" w:rsidRDefault="006E0981" w:rsidP="006E0981">
      <w:pPr>
        <w:autoSpaceDE w:val="0"/>
        <w:autoSpaceDN w:val="0"/>
        <w:adjustRightInd w:val="0"/>
        <w:ind w:left="851"/>
        <w:rPr>
          <w:rFonts w:eastAsia="Calibri"/>
          <w:sz w:val="24"/>
          <w:szCs w:val="24"/>
        </w:rPr>
      </w:pPr>
      <w:proofErr w:type="spellStart"/>
      <w:r w:rsidRPr="007F207C">
        <w:rPr>
          <w:rFonts w:eastAsia="Calibri"/>
          <w:i/>
          <w:iCs/>
          <w:sz w:val="24"/>
          <w:szCs w:val="24"/>
        </w:rPr>
        <w:t>Metastrongylus</w:t>
      </w:r>
      <w:proofErr w:type="spellEnd"/>
      <w:r w:rsidRPr="007F207C">
        <w:rPr>
          <w:rFonts w:eastAsia="Calibri"/>
          <w:i/>
          <w:iCs/>
          <w:sz w:val="24"/>
          <w:szCs w:val="24"/>
        </w:rPr>
        <w:t xml:space="preserve"> </w:t>
      </w:r>
      <w:proofErr w:type="spellStart"/>
      <w:r w:rsidRPr="007F207C">
        <w:rPr>
          <w:rFonts w:eastAsia="Calibri"/>
          <w:sz w:val="24"/>
          <w:szCs w:val="24"/>
        </w:rPr>
        <w:t>spp</w:t>
      </w:r>
      <w:proofErr w:type="spellEnd"/>
      <w:r w:rsidRPr="007F207C">
        <w:rPr>
          <w:rFonts w:eastAsia="Calibri"/>
          <w:sz w:val="24"/>
          <w:szCs w:val="24"/>
        </w:rPr>
        <w:t>. (voksne)</w:t>
      </w:r>
    </w:p>
    <w:p w:rsidR="006E0981" w:rsidRPr="007F207C" w:rsidRDefault="006E0981" w:rsidP="006E0981">
      <w:pPr>
        <w:autoSpaceDE w:val="0"/>
        <w:autoSpaceDN w:val="0"/>
        <w:adjustRightInd w:val="0"/>
        <w:ind w:left="851"/>
        <w:rPr>
          <w:rFonts w:eastAsia="Calibri"/>
          <w:b/>
          <w:bCs/>
          <w:sz w:val="24"/>
          <w:szCs w:val="24"/>
          <w:highlight w:val="green"/>
        </w:rPr>
      </w:pPr>
    </w:p>
    <w:p w:rsidR="006E0981" w:rsidRPr="00AA060B" w:rsidRDefault="006E0981" w:rsidP="006E0981">
      <w:pPr>
        <w:autoSpaceDE w:val="0"/>
        <w:autoSpaceDN w:val="0"/>
        <w:adjustRightInd w:val="0"/>
        <w:ind w:left="851"/>
        <w:rPr>
          <w:rFonts w:eastAsia="Calibri"/>
          <w:b/>
          <w:bCs/>
          <w:sz w:val="24"/>
          <w:szCs w:val="24"/>
          <w:lang w:val="en-US"/>
        </w:rPr>
      </w:pPr>
      <w:proofErr w:type="spellStart"/>
      <w:r w:rsidRPr="00AA060B">
        <w:rPr>
          <w:rFonts w:eastAsia="Calibri"/>
          <w:b/>
          <w:bCs/>
          <w:sz w:val="24"/>
          <w:szCs w:val="24"/>
          <w:lang w:val="en-US"/>
        </w:rPr>
        <w:t>Lus</w:t>
      </w:r>
      <w:proofErr w:type="spellEnd"/>
    </w:p>
    <w:p w:rsidR="006E0981" w:rsidRPr="00AA060B" w:rsidRDefault="006E0981" w:rsidP="006E0981">
      <w:pPr>
        <w:autoSpaceDE w:val="0"/>
        <w:autoSpaceDN w:val="0"/>
        <w:adjustRightInd w:val="0"/>
        <w:ind w:left="851"/>
        <w:rPr>
          <w:rFonts w:eastAsia="Calibri"/>
          <w:i/>
          <w:iCs/>
          <w:sz w:val="24"/>
          <w:szCs w:val="24"/>
          <w:lang w:val="en-US"/>
        </w:rPr>
      </w:pPr>
      <w:proofErr w:type="spellStart"/>
      <w:r w:rsidRPr="00AA060B">
        <w:rPr>
          <w:rFonts w:eastAsia="Calibri"/>
          <w:i/>
          <w:iCs/>
          <w:sz w:val="24"/>
          <w:szCs w:val="24"/>
          <w:lang w:val="en-US"/>
        </w:rPr>
        <w:t>Haematopinus</w:t>
      </w:r>
      <w:proofErr w:type="spellEnd"/>
      <w:r w:rsidRPr="00AA060B">
        <w:rPr>
          <w:rFonts w:eastAsia="Calibri"/>
          <w:i/>
          <w:iCs/>
          <w:sz w:val="24"/>
          <w:szCs w:val="24"/>
          <w:lang w:val="en-US"/>
        </w:rPr>
        <w:t xml:space="preserve"> </w:t>
      </w:r>
      <w:proofErr w:type="spellStart"/>
      <w:r w:rsidRPr="00AA060B">
        <w:rPr>
          <w:rFonts w:eastAsia="Calibri"/>
          <w:i/>
          <w:iCs/>
          <w:sz w:val="24"/>
          <w:szCs w:val="24"/>
          <w:lang w:val="en-US"/>
        </w:rPr>
        <w:t>suis</w:t>
      </w:r>
      <w:proofErr w:type="spellEnd"/>
    </w:p>
    <w:p w:rsidR="006E0981" w:rsidRPr="00AA060B" w:rsidRDefault="006E0981" w:rsidP="006E0981">
      <w:pPr>
        <w:autoSpaceDE w:val="0"/>
        <w:autoSpaceDN w:val="0"/>
        <w:adjustRightInd w:val="0"/>
        <w:ind w:left="851"/>
        <w:rPr>
          <w:rFonts w:eastAsia="Calibri"/>
          <w:b/>
          <w:bCs/>
          <w:sz w:val="24"/>
          <w:szCs w:val="24"/>
          <w:highlight w:val="green"/>
          <w:lang w:val="en-US"/>
        </w:rPr>
      </w:pPr>
    </w:p>
    <w:p w:rsidR="006E0981" w:rsidRPr="00AA060B" w:rsidRDefault="006E0981" w:rsidP="006E0981">
      <w:pPr>
        <w:autoSpaceDE w:val="0"/>
        <w:autoSpaceDN w:val="0"/>
        <w:adjustRightInd w:val="0"/>
        <w:ind w:left="851"/>
        <w:rPr>
          <w:rFonts w:eastAsia="Calibri"/>
          <w:b/>
          <w:bCs/>
          <w:sz w:val="24"/>
          <w:szCs w:val="24"/>
          <w:lang w:val="en-US"/>
        </w:rPr>
      </w:pPr>
      <w:proofErr w:type="spellStart"/>
      <w:r w:rsidRPr="00AA060B">
        <w:rPr>
          <w:rFonts w:eastAsia="Calibri"/>
          <w:b/>
          <w:bCs/>
          <w:sz w:val="24"/>
          <w:szCs w:val="24"/>
          <w:lang w:val="en-US"/>
        </w:rPr>
        <w:t>Skabmider</w:t>
      </w:r>
      <w:proofErr w:type="spellEnd"/>
    </w:p>
    <w:p w:rsidR="006E0981" w:rsidRPr="00AA060B" w:rsidRDefault="006E0981" w:rsidP="006E0981">
      <w:pPr>
        <w:autoSpaceDE w:val="0"/>
        <w:autoSpaceDN w:val="0"/>
        <w:adjustRightInd w:val="0"/>
        <w:ind w:left="851"/>
        <w:rPr>
          <w:rFonts w:eastAsia="Calibri"/>
          <w:i/>
          <w:iCs/>
          <w:sz w:val="24"/>
          <w:szCs w:val="24"/>
          <w:lang w:val="en-US"/>
        </w:rPr>
      </w:pPr>
      <w:proofErr w:type="spellStart"/>
      <w:r w:rsidRPr="00AA060B">
        <w:rPr>
          <w:rFonts w:eastAsia="Calibri"/>
          <w:i/>
          <w:iCs/>
          <w:sz w:val="24"/>
          <w:szCs w:val="24"/>
          <w:lang w:val="en-US"/>
        </w:rPr>
        <w:t>Sarcoptes</w:t>
      </w:r>
      <w:proofErr w:type="spellEnd"/>
      <w:r w:rsidRPr="00AA060B">
        <w:rPr>
          <w:rFonts w:eastAsia="Calibri"/>
          <w:i/>
          <w:iCs/>
          <w:sz w:val="24"/>
          <w:szCs w:val="24"/>
          <w:lang w:val="en-US"/>
        </w:rPr>
        <w:t xml:space="preserve"> </w:t>
      </w:r>
      <w:proofErr w:type="spellStart"/>
      <w:r w:rsidRPr="00AA060B">
        <w:rPr>
          <w:rFonts w:eastAsia="Calibri"/>
          <w:i/>
          <w:iCs/>
          <w:sz w:val="24"/>
          <w:szCs w:val="24"/>
          <w:lang w:val="en-US"/>
        </w:rPr>
        <w:t>scabiei</w:t>
      </w:r>
      <w:proofErr w:type="spellEnd"/>
      <w:r w:rsidRPr="00AA060B">
        <w:rPr>
          <w:rFonts w:eastAsia="Calibri"/>
          <w:i/>
          <w:iCs/>
          <w:sz w:val="24"/>
          <w:szCs w:val="24"/>
          <w:lang w:val="en-US"/>
        </w:rPr>
        <w:t xml:space="preserve"> </w:t>
      </w:r>
      <w:r w:rsidRPr="00AA060B">
        <w:rPr>
          <w:rFonts w:eastAsia="Calibri"/>
          <w:sz w:val="24"/>
          <w:szCs w:val="24"/>
          <w:lang w:val="en-US"/>
        </w:rPr>
        <w:t xml:space="preserve">var. </w:t>
      </w:r>
      <w:proofErr w:type="spellStart"/>
      <w:r w:rsidRPr="00AA060B">
        <w:rPr>
          <w:rFonts w:eastAsia="Calibri"/>
          <w:i/>
          <w:iCs/>
          <w:sz w:val="24"/>
          <w:szCs w:val="24"/>
          <w:lang w:val="en-US"/>
        </w:rPr>
        <w:t>suis</w:t>
      </w:r>
      <w:proofErr w:type="spellEnd"/>
    </w:p>
    <w:p w:rsidR="006E0981" w:rsidRPr="00AA060B" w:rsidRDefault="006E0981" w:rsidP="006E0981">
      <w:pPr>
        <w:autoSpaceDE w:val="0"/>
        <w:autoSpaceDN w:val="0"/>
        <w:adjustRightInd w:val="0"/>
        <w:ind w:left="851"/>
        <w:rPr>
          <w:rFonts w:eastAsia="Calibri"/>
          <w:sz w:val="24"/>
          <w:szCs w:val="24"/>
          <w:lang w:val="en-US"/>
        </w:rPr>
      </w:pPr>
    </w:p>
    <w:p w:rsidR="006E0981" w:rsidRPr="007F207C" w:rsidRDefault="006E0981" w:rsidP="006E0981">
      <w:pPr>
        <w:autoSpaceDE w:val="0"/>
        <w:autoSpaceDN w:val="0"/>
        <w:adjustRightInd w:val="0"/>
        <w:ind w:left="851"/>
        <w:rPr>
          <w:rFonts w:eastAsia="Calibri"/>
          <w:sz w:val="24"/>
          <w:szCs w:val="24"/>
        </w:rPr>
      </w:pPr>
      <w:r w:rsidRPr="007F207C">
        <w:rPr>
          <w:rFonts w:eastAsia="Calibri"/>
          <w:sz w:val="24"/>
          <w:szCs w:val="24"/>
        </w:rPr>
        <w:t xml:space="preserve">*Når lægemidlet gives til drægtige søer, før de farer, modvirkes overførsel af </w:t>
      </w:r>
      <w:r w:rsidRPr="007F207C">
        <w:rPr>
          <w:rFonts w:eastAsia="Calibri"/>
          <w:i/>
          <w:iCs/>
          <w:sz w:val="24"/>
          <w:szCs w:val="24"/>
        </w:rPr>
        <w:t xml:space="preserve">S. </w:t>
      </w:r>
      <w:proofErr w:type="spellStart"/>
      <w:r w:rsidRPr="007F207C">
        <w:rPr>
          <w:rFonts w:eastAsia="Calibri"/>
          <w:i/>
          <w:iCs/>
          <w:sz w:val="24"/>
          <w:szCs w:val="24"/>
        </w:rPr>
        <w:t>ransomi</w:t>
      </w:r>
      <w:proofErr w:type="spellEnd"/>
      <w:r w:rsidRPr="007F207C">
        <w:rPr>
          <w:rFonts w:eastAsia="Calibri"/>
          <w:i/>
          <w:iCs/>
          <w:sz w:val="24"/>
          <w:szCs w:val="24"/>
        </w:rPr>
        <w:t xml:space="preserve"> </w:t>
      </w:r>
      <w:r w:rsidRPr="007F207C">
        <w:rPr>
          <w:rFonts w:eastAsia="Calibri"/>
          <w:sz w:val="24"/>
          <w:szCs w:val="24"/>
        </w:rPr>
        <w:t>via modermælk til pattegrise.</w:t>
      </w:r>
    </w:p>
    <w:p w:rsidR="006E0981" w:rsidRPr="007F207C" w:rsidRDefault="006E0981" w:rsidP="006E0981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</w:rPr>
      </w:pPr>
    </w:p>
    <w:p w:rsidR="006E0981" w:rsidRPr="007F207C" w:rsidRDefault="006E0981" w:rsidP="006E0981">
      <w:pPr>
        <w:pStyle w:val="Sidehoved"/>
        <w:tabs>
          <w:tab w:val="clear" w:pos="4819"/>
          <w:tab w:val="left" w:pos="851"/>
          <w:tab w:val="left" w:pos="8222"/>
        </w:tabs>
        <w:ind w:left="851" w:hanging="851"/>
        <w:rPr>
          <w:b/>
          <w:szCs w:val="24"/>
        </w:rPr>
      </w:pPr>
      <w:r w:rsidRPr="007F207C">
        <w:rPr>
          <w:b/>
          <w:szCs w:val="24"/>
        </w:rPr>
        <w:t>4.3</w:t>
      </w:r>
      <w:r w:rsidRPr="007F207C">
        <w:rPr>
          <w:b/>
          <w:szCs w:val="24"/>
        </w:rPr>
        <w:tab/>
        <w:t>Kontraindikationer</w:t>
      </w:r>
    </w:p>
    <w:p w:rsidR="006E0981" w:rsidRPr="007F207C" w:rsidRDefault="006E0981" w:rsidP="006E0981">
      <w:pPr>
        <w:autoSpaceDE w:val="0"/>
        <w:autoSpaceDN w:val="0"/>
        <w:adjustRightInd w:val="0"/>
        <w:ind w:left="851"/>
        <w:rPr>
          <w:rFonts w:eastAsia="Calibri"/>
          <w:sz w:val="24"/>
          <w:szCs w:val="24"/>
        </w:rPr>
      </w:pPr>
      <w:r w:rsidRPr="007F207C">
        <w:rPr>
          <w:rFonts w:eastAsia="Calibri"/>
          <w:sz w:val="24"/>
          <w:szCs w:val="24"/>
        </w:rPr>
        <w:t>Må ikke anvendes til andre arter end svin, da der kan forekomme alvorlige bivirkninger. Der er bl.a. set dødsfald hos hunde.</w:t>
      </w:r>
    </w:p>
    <w:p w:rsidR="006E0981" w:rsidRPr="007F207C" w:rsidRDefault="006E0981" w:rsidP="006E0981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</w:rPr>
      </w:pPr>
    </w:p>
    <w:p w:rsidR="006E0981" w:rsidRPr="007F207C" w:rsidRDefault="006E0981" w:rsidP="006E0981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7F207C">
        <w:rPr>
          <w:b/>
          <w:sz w:val="24"/>
          <w:szCs w:val="24"/>
        </w:rPr>
        <w:t>4.4</w:t>
      </w:r>
      <w:r w:rsidRPr="007F207C">
        <w:rPr>
          <w:b/>
          <w:sz w:val="24"/>
          <w:szCs w:val="24"/>
        </w:rPr>
        <w:tab/>
        <w:t>Særlige advarsler</w:t>
      </w:r>
    </w:p>
    <w:p w:rsidR="006E0981" w:rsidRPr="007F207C" w:rsidRDefault="006E0981" w:rsidP="006E0981">
      <w:pPr>
        <w:pStyle w:val="Slutnotetekst"/>
        <w:tabs>
          <w:tab w:val="clear" w:pos="567"/>
          <w:tab w:val="left" w:pos="1304"/>
        </w:tabs>
        <w:ind w:left="851" w:hanging="851"/>
        <w:rPr>
          <w:rFonts w:eastAsia="Calibri"/>
          <w:sz w:val="24"/>
          <w:szCs w:val="24"/>
          <w:highlight w:val="green"/>
        </w:rPr>
      </w:pPr>
      <w:r>
        <w:rPr>
          <w:sz w:val="24"/>
          <w:szCs w:val="24"/>
        </w:rPr>
        <w:tab/>
      </w:r>
      <w:r w:rsidRPr="007F207C">
        <w:rPr>
          <w:rFonts w:eastAsia="Calibri"/>
          <w:sz w:val="24"/>
          <w:szCs w:val="24"/>
        </w:rPr>
        <w:t xml:space="preserve">Hvis behandlede svin er i kontakt med inficerede dyr, forurenede bygninger, jord eller græsningsarealer, kan det resultere i </w:t>
      </w:r>
      <w:proofErr w:type="spellStart"/>
      <w:r w:rsidRPr="007F207C">
        <w:rPr>
          <w:rFonts w:eastAsia="Calibri"/>
          <w:sz w:val="24"/>
          <w:szCs w:val="24"/>
        </w:rPr>
        <w:t>reinfestation</w:t>
      </w:r>
      <w:proofErr w:type="spellEnd"/>
      <w:r w:rsidRPr="007F207C">
        <w:rPr>
          <w:rFonts w:eastAsia="Calibri"/>
          <w:sz w:val="24"/>
          <w:szCs w:val="24"/>
        </w:rPr>
        <w:t xml:space="preserve">, og genbehandling kan være nødvendig. Da </w:t>
      </w:r>
      <w:proofErr w:type="spellStart"/>
      <w:r w:rsidRPr="007F207C">
        <w:rPr>
          <w:rFonts w:eastAsia="Calibri"/>
          <w:sz w:val="24"/>
          <w:szCs w:val="24"/>
        </w:rPr>
        <w:t>ivermectins</w:t>
      </w:r>
      <w:proofErr w:type="spellEnd"/>
      <w:r w:rsidRPr="007F207C">
        <w:rPr>
          <w:rFonts w:eastAsia="Calibri"/>
          <w:sz w:val="24"/>
          <w:szCs w:val="24"/>
        </w:rPr>
        <w:t xml:space="preserve"> effekt på skabmider ikke er øjeblikkelig, bør der ikke være direkte kontakt mellem behandlede og ubehandlede svin i mindst en uge efter afslutningen af behandlingen. Da luseæg ikke påvirkes af </w:t>
      </w:r>
      <w:proofErr w:type="spellStart"/>
      <w:r w:rsidRPr="007F207C">
        <w:rPr>
          <w:rFonts w:eastAsia="Calibri"/>
          <w:sz w:val="24"/>
          <w:szCs w:val="24"/>
        </w:rPr>
        <w:t>ivermectin</w:t>
      </w:r>
      <w:proofErr w:type="spellEnd"/>
      <w:r w:rsidRPr="007F207C">
        <w:rPr>
          <w:rFonts w:eastAsia="Calibri"/>
          <w:sz w:val="24"/>
          <w:szCs w:val="24"/>
        </w:rPr>
        <w:t>, og da der kan gå op til tre uger, før de udklækkes, kan genbehandling være nødvendig.</w:t>
      </w:r>
    </w:p>
    <w:p w:rsidR="006E0981" w:rsidRPr="007F207C" w:rsidRDefault="006E0981" w:rsidP="006E0981">
      <w:pPr>
        <w:pStyle w:val="Slutnotetekst"/>
        <w:tabs>
          <w:tab w:val="clear" w:pos="567"/>
          <w:tab w:val="left" w:pos="1304"/>
        </w:tabs>
        <w:ind w:left="851" w:hanging="851"/>
        <w:rPr>
          <w:sz w:val="24"/>
          <w:szCs w:val="24"/>
        </w:rPr>
      </w:pPr>
    </w:p>
    <w:p w:rsidR="006E0981" w:rsidRPr="007F207C" w:rsidRDefault="006E0981" w:rsidP="006E0981">
      <w:pPr>
        <w:ind w:left="851"/>
        <w:rPr>
          <w:sz w:val="24"/>
          <w:szCs w:val="24"/>
        </w:rPr>
      </w:pPr>
      <w:r w:rsidRPr="007F207C">
        <w:rPr>
          <w:sz w:val="24"/>
          <w:szCs w:val="24"/>
        </w:rPr>
        <w:t>Vær omhyggelig med at undgå nedenstående praksis, da den øger risikoen for udvikling af resistens der i værste fald kan lede til behandlingssvigt:</w:t>
      </w:r>
    </w:p>
    <w:p w:rsidR="006E0981" w:rsidRPr="007F207C" w:rsidRDefault="006E0981" w:rsidP="006E0981">
      <w:pPr>
        <w:ind w:left="851" w:hanging="851"/>
        <w:rPr>
          <w:sz w:val="24"/>
          <w:szCs w:val="24"/>
        </w:rPr>
      </w:pPr>
    </w:p>
    <w:p w:rsidR="006E0981" w:rsidRPr="007F207C" w:rsidRDefault="006E0981" w:rsidP="006E0981">
      <w:pPr>
        <w:numPr>
          <w:ilvl w:val="0"/>
          <w:numId w:val="4"/>
        </w:numPr>
        <w:tabs>
          <w:tab w:val="clear" w:pos="1080"/>
        </w:tabs>
        <w:ind w:left="1276" w:hanging="425"/>
        <w:rPr>
          <w:sz w:val="24"/>
          <w:szCs w:val="24"/>
        </w:rPr>
      </w:pPr>
      <w:r w:rsidRPr="007F207C">
        <w:rPr>
          <w:sz w:val="24"/>
          <w:szCs w:val="24"/>
        </w:rPr>
        <w:t xml:space="preserve">For hyppig og gentagen anvendelse af </w:t>
      </w:r>
      <w:proofErr w:type="spellStart"/>
      <w:r w:rsidRPr="007F207C">
        <w:rPr>
          <w:sz w:val="24"/>
          <w:szCs w:val="24"/>
        </w:rPr>
        <w:t>anthemintika</w:t>
      </w:r>
      <w:proofErr w:type="spellEnd"/>
      <w:r w:rsidRPr="007F207C">
        <w:rPr>
          <w:sz w:val="24"/>
          <w:szCs w:val="24"/>
        </w:rPr>
        <w:t xml:space="preserve"> fra samme klasse over en længere periode.</w:t>
      </w:r>
    </w:p>
    <w:p w:rsidR="006E0981" w:rsidRPr="007F207C" w:rsidRDefault="006E0981" w:rsidP="006E0981">
      <w:pPr>
        <w:numPr>
          <w:ilvl w:val="0"/>
          <w:numId w:val="4"/>
        </w:numPr>
        <w:tabs>
          <w:tab w:val="clear" w:pos="1080"/>
        </w:tabs>
        <w:ind w:left="1276" w:hanging="425"/>
        <w:rPr>
          <w:sz w:val="24"/>
          <w:szCs w:val="24"/>
        </w:rPr>
      </w:pPr>
      <w:r w:rsidRPr="007F207C">
        <w:rPr>
          <w:sz w:val="24"/>
          <w:szCs w:val="24"/>
        </w:rPr>
        <w:t>Underdosering, der kan skyldes underestimering af legemsvægt, forkert administration af præparatet.</w:t>
      </w:r>
    </w:p>
    <w:p w:rsidR="006E0981" w:rsidRPr="007F207C" w:rsidRDefault="006E0981" w:rsidP="006E0981">
      <w:pPr>
        <w:ind w:left="851" w:hanging="851"/>
        <w:rPr>
          <w:sz w:val="24"/>
          <w:szCs w:val="24"/>
        </w:rPr>
      </w:pPr>
    </w:p>
    <w:p w:rsidR="006E0981" w:rsidRPr="007F207C" w:rsidRDefault="006E0981" w:rsidP="006E0981">
      <w:pPr>
        <w:ind w:left="851"/>
        <w:rPr>
          <w:sz w:val="24"/>
          <w:szCs w:val="24"/>
        </w:rPr>
      </w:pPr>
      <w:r w:rsidRPr="007F207C">
        <w:rPr>
          <w:sz w:val="24"/>
          <w:szCs w:val="24"/>
        </w:rPr>
        <w:t xml:space="preserve">Kliniske tilfælde med mistanke om resistens overfor </w:t>
      </w:r>
      <w:proofErr w:type="spellStart"/>
      <w:r w:rsidRPr="007F207C">
        <w:rPr>
          <w:sz w:val="24"/>
          <w:szCs w:val="24"/>
        </w:rPr>
        <w:t>anthelmintika</w:t>
      </w:r>
      <w:proofErr w:type="spellEnd"/>
      <w:r w:rsidRPr="007F207C">
        <w:rPr>
          <w:sz w:val="24"/>
          <w:szCs w:val="24"/>
        </w:rPr>
        <w:t xml:space="preserve"> bør undersøges nærmere ved brug af relevante tests (fx reduktion i fækalt </w:t>
      </w:r>
      <w:proofErr w:type="spellStart"/>
      <w:r w:rsidRPr="007F207C">
        <w:rPr>
          <w:sz w:val="24"/>
          <w:szCs w:val="24"/>
        </w:rPr>
        <w:t>ægantal</w:t>
      </w:r>
      <w:proofErr w:type="spellEnd"/>
      <w:r w:rsidRPr="007F207C">
        <w:rPr>
          <w:sz w:val="24"/>
          <w:szCs w:val="24"/>
        </w:rPr>
        <w:t xml:space="preserve">). Hvis resultatet af en sådan test tydeligt indikerer resistens over for et specifikt </w:t>
      </w:r>
      <w:proofErr w:type="spellStart"/>
      <w:r w:rsidRPr="007F207C">
        <w:rPr>
          <w:sz w:val="24"/>
          <w:szCs w:val="24"/>
        </w:rPr>
        <w:t>anthelmintikum</w:t>
      </w:r>
      <w:proofErr w:type="spellEnd"/>
      <w:r w:rsidRPr="007F207C">
        <w:rPr>
          <w:sz w:val="24"/>
          <w:szCs w:val="24"/>
        </w:rPr>
        <w:t xml:space="preserve">, skal et </w:t>
      </w:r>
      <w:proofErr w:type="spellStart"/>
      <w:r w:rsidRPr="007F207C">
        <w:rPr>
          <w:sz w:val="24"/>
          <w:szCs w:val="24"/>
        </w:rPr>
        <w:t>anthelmintikum</w:t>
      </w:r>
      <w:proofErr w:type="spellEnd"/>
      <w:r w:rsidRPr="007F207C">
        <w:rPr>
          <w:sz w:val="24"/>
          <w:szCs w:val="24"/>
        </w:rPr>
        <w:t xml:space="preserve"> fra en anden farmakologisk klasse med en anden virkningsmekanisme bruges.</w:t>
      </w:r>
    </w:p>
    <w:p w:rsidR="006E0981" w:rsidRPr="007F207C" w:rsidRDefault="006E0981" w:rsidP="006E0981">
      <w:pPr>
        <w:ind w:left="851" w:hanging="851"/>
        <w:rPr>
          <w:sz w:val="24"/>
          <w:szCs w:val="24"/>
        </w:rPr>
      </w:pPr>
    </w:p>
    <w:p w:rsidR="006E0981" w:rsidRPr="007F207C" w:rsidRDefault="006E0981" w:rsidP="006E0981">
      <w:pPr>
        <w:autoSpaceDE w:val="0"/>
        <w:autoSpaceDN w:val="0"/>
        <w:adjustRightInd w:val="0"/>
        <w:ind w:left="851"/>
        <w:rPr>
          <w:rFonts w:eastAsia="Calibri"/>
          <w:sz w:val="24"/>
          <w:szCs w:val="24"/>
          <w:highlight w:val="green"/>
        </w:rPr>
      </w:pPr>
      <w:r w:rsidRPr="007F207C">
        <w:rPr>
          <w:rFonts w:eastAsia="Calibri"/>
          <w:sz w:val="24"/>
          <w:szCs w:val="24"/>
        </w:rPr>
        <w:t xml:space="preserve">Dyrlægen skal rådgive om passende </w:t>
      </w:r>
      <w:proofErr w:type="spellStart"/>
      <w:r w:rsidRPr="007F207C">
        <w:rPr>
          <w:rFonts w:eastAsia="Calibri"/>
          <w:sz w:val="24"/>
          <w:szCs w:val="24"/>
        </w:rPr>
        <w:t>dosisregimener</w:t>
      </w:r>
      <w:proofErr w:type="spellEnd"/>
      <w:r w:rsidRPr="007F207C">
        <w:rPr>
          <w:rFonts w:eastAsia="Calibri"/>
          <w:sz w:val="24"/>
          <w:szCs w:val="24"/>
        </w:rPr>
        <w:t xml:space="preserve"> og lagerstyring, så der kan opnås adækvat parasitkontrol, og så sandsynligheden for udvikling af </w:t>
      </w:r>
      <w:proofErr w:type="spellStart"/>
      <w:r w:rsidRPr="007F207C">
        <w:rPr>
          <w:rFonts w:eastAsia="Calibri"/>
          <w:sz w:val="24"/>
          <w:szCs w:val="24"/>
        </w:rPr>
        <w:t>anthelmintikaresistens</w:t>
      </w:r>
      <w:proofErr w:type="spellEnd"/>
      <w:r w:rsidRPr="007F207C">
        <w:rPr>
          <w:rFonts w:eastAsia="Calibri"/>
          <w:sz w:val="24"/>
          <w:szCs w:val="24"/>
        </w:rPr>
        <w:t xml:space="preserve"> reduceres.</w:t>
      </w:r>
    </w:p>
    <w:p w:rsidR="006E0981" w:rsidRPr="007F207C" w:rsidRDefault="006E0981" w:rsidP="006E0981">
      <w:pPr>
        <w:autoSpaceDE w:val="0"/>
        <w:autoSpaceDN w:val="0"/>
        <w:adjustRightInd w:val="0"/>
        <w:ind w:left="851" w:hanging="851"/>
        <w:rPr>
          <w:rFonts w:eastAsia="Calibri"/>
          <w:bCs/>
          <w:sz w:val="24"/>
          <w:szCs w:val="24"/>
          <w:highlight w:val="green"/>
        </w:rPr>
      </w:pPr>
    </w:p>
    <w:p w:rsidR="006E0981" w:rsidRPr="007F207C" w:rsidRDefault="006E0981" w:rsidP="006E0981">
      <w:pPr>
        <w:autoSpaceDE w:val="0"/>
        <w:autoSpaceDN w:val="0"/>
        <w:adjustRightInd w:val="0"/>
        <w:ind w:left="851"/>
        <w:rPr>
          <w:rFonts w:eastAsia="Calibri"/>
          <w:b/>
          <w:bCs/>
          <w:sz w:val="24"/>
          <w:szCs w:val="24"/>
        </w:rPr>
      </w:pPr>
      <w:r w:rsidRPr="007F207C">
        <w:rPr>
          <w:rFonts w:eastAsia="Calibri"/>
          <w:sz w:val="24"/>
          <w:szCs w:val="24"/>
        </w:rPr>
        <w:t xml:space="preserve">Anvendelse af produktet på en måde, der afviger fra de instruktioner, der gives i produktresuméet, kan medføre øget risiko for udvikling af resistens over for </w:t>
      </w:r>
      <w:proofErr w:type="spellStart"/>
      <w:r w:rsidRPr="007F207C">
        <w:rPr>
          <w:rFonts w:eastAsia="Calibri"/>
          <w:sz w:val="24"/>
          <w:szCs w:val="24"/>
        </w:rPr>
        <w:t>ivermectin</w:t>
      </w:r>
      <w:proofErr w:type="spellEnd"/>
      <w:r w:rsidRPr="007F207C">
        <w:rPr>
          <w:rFonts w:eastAsia="Calibri"/>
          <w:sz w:val="24"/>
          <w:szCs w:val="24"/>
        </w:rPr>
        <w:t>.</w:t>
      </w:r>
    </w:p>
    <w:p w:rsidR="006E0981" w:rsidRPr="007F207C" w:rsidRDefault="006E0981" w:rsidP="006E0981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</w:rPr>
      </w:pPr>
      <w:r>
        <w:rPr>
          <w:szCs w:val="24"/>
        </w:rPr>
        <w:br w:type="page"/>
      </w:r>
    </w:p>
    <w:p w:rsidR="006E0981" w:rsidRPr="007F207C" w:rsidRDefault="006E0981" w:rsidP="006E0981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7F207C">
        <w:rPr>
          <w:b/>
          <w:sz w:val="24"/>
          <w:szCs w:val="24"/>
        </w:rPr>
        <w:lastRenderedPageBreak/>
        <w:t>4.5</w:t>
      </w:r>
      <w:r w:rsidRPr="007F207C">
        <w:rPr>
          <w:b/>
          <w:sz w:val="24"/>
          <w:szCs w:val="24"/>
        </w:rPr>
        <w:tab/>
        <w:t>Særlige forsigtighedsregler vedrørende brugen</w:t>
      </w:r>
    </w:p>
    <w:p w:rsidR="006E0981" w:rsidRPr="007F207C" w:rsidRDefault="006E0981" w:rsidP="006E0981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7F207C">
        <w:rPr>
          <w:b/>
          <w:sz w:val="24"/>
          <w:szCs w:val="24"/>
        </w:rPr>
        <w:tab/>
      </w:r>
    </w:p>
    <w:p w:rsidR="006E0981" w:rsidRPr="007F207C" w:rsidRDefault="006E0981" w:rsidP="006E0981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7F207C">
        <w:rPr>
          <w:b/>
          <w:sz w:val="24"/>
          <w:szCs w:val="24"/>
        </w:rPr>
        <w:tab/>
        <w:t>Særlige forsigtighedsregler for dyret</w:t>
      </w:r>
    </w:p>
    <w:p w:rsidR="006E0981" w:rsidRPr="007F207C" w:rsidRDefault="006E0981" w:rsidP="006E0981">
      <w:pPr>
        <w:autoSpaceDE w:val="0"/>
        <w:autoSpaceDN w:val="0"/>
        <w:adjustRightInd w:val="0"/>
        <w:ind w:left="851" w:hanging="851"/>
        <w:rPr>
          <w:rFonts w:eastAsia="Calibri"/>
          <w:b/>
          <w:bCs/>
          <w:sz w:val="24"/>
          <w:szCs w:val="24"/>
        </w:rPr>
      </w:pPr>
      <w:r w:rsidRPr="007F207C">
        <w:rPr>
          <w:sz w:val="24"/>
          <w:szCs w:val="24"/>
        </w:rPr>
        <w:tab/>
      </w:r>
      <w:proofErr w:type="spellStart"/>
      <w:r w:rsidRPr="007F207C">
        <w:rPr>
          <w:rFonts w:eastAsia="Calibri"/>
          <w:sz w:val="24"/>
          <w:szCs w:val="24"/>
        </w:rPr>
        <w:t>Avermectiner</w:t>
      </w:r>
      <w:proofErr w:type="spellEnd"/>
      <w:r w:rsidRPr="007F207C">
        <w:rPr>
          <w:rFonts w:eastAsia="Calibri"/>
          <w:sz w:val="24"/>
          <w:szCs w:val="24"/>
        </w:rPr>
        <w:t xml:space="preserve"> er muligvis ikke veltolererede af arter, de ikke er beregnede til. Der er rapporteret tilfælde af intolerance hos hunde, især collier, Old English </w:t>
      </w:r>
      <w:proofErr w:type="spellStart"/>
      <w:r w:rsidRPr="007F207C">
        <w:rPr>
          <w:rFonts w:eastAsia="Calibri"/>
          <w:sz w:val="24"/>
          <w:szCs w:val="24"/>
        </w:rPr>
        <w:t>Sheepdogs</w:t>
      </w:r>
      <w:proofErr w:type="spellEnd"/>
      <w:r w:rsidRPr="007F207C">
        <w:rPr>
          <w:rFonts w:eastAsia="Calibri"/>
          <w:sz w:val="24"/>
          <w:szCs w:val="24"/>
        </w:rPr>
        <w:t xml:space="preserve"> og beslægtede racer eller krydsninger samt hos hav- og landskildpadder.</w:t>
      </w:r>
    </w:p>
    <w:p w:rsidR="006E0981" w:rsidRPr="007F207C" w:rsidRDefault="006E0981" w:rsidP="006E098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6E0981" w:rsidRPr="007F207C" w:rsidRDefault="006E0981" w:rsidP="006E0981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7F207C">
        <w:rPr>
          <w:sz w:val="24"/>
          <w:szCs w:val="24"/>
        </w:rPr>
        <w:tab/>
      </w:r>
      <w:r w:rsidRPr="007F207C">
        <w:rPr>
          <w:b/>
          <w:sz w:val="24"/>
          <w:szCs w:val="24"/>
        </w:rPr>
        <w:t>Særlige forsigtighedsregler for personer, der administrerer lægemidlet</w:t>
      </w:r>
    </w:p>
    <w:p w:rsidR="006E0981" w:rsidRPr="007F207C" w:rsidRDefault="006E0981" w:rsidP="006E0981">
      <w:pPr>
        <w:autoSpaceDE w:val="0"/>
        <w:autoSpaceDN w:val="0"/>
        <w:adjustRightInd w:val="0"/>
        <w:ind w:left="851" w:hanging="851"/>
        <w:rPr>
          <w:rFonts w:eastAsia="Calibri"/>
          <w:sz w:val="24"/>
          <w:szCs w:val="24"/>
        </w:rPr>
      </w:pPr>
      <w:r w:rsidRPr="007F207C">
        <w:rPr>
          <w:sz w:val="24"/>
          <w:szCs w:val="24"/>
        </w:rPr>
        <w:tab/>
      </w:r>
      <w:r w:rsidRPr="007F207C">
        <w:rPr>
          <w:rFonts w:eastAsia="Calibri"/>
          <w:sz w:val="24"/>
          <w:szCs w:val="24"/>
        </w:rPr>
        <w:t>Undgå at ryge, drikke eller spise under håndtering af produktet.</w:t>
      </w:r>
    </w:p>
    <w:p w:rsidR="006E0981" w:rsidRPr="007F207C" w:rsidRDefault="006E0981" w:rsidP="006E0981">
      <w:pPr>
        <w:autoSpaceDE w:val="0"/>
        <w:autoSpaceDN w:val="0"/>
        <w:adjustRightInd w:val="0"/>
        <w:ind w:left="851"/>
        <w:rPr>
          <w:rFonts w:eastAsia="Calibri"/>
          <w:sz w:val="24"/>
          <w:szCs w:val="24"/>
        </w:rPr>
      </w:pPr>
      <w:r w:rsidRPr="007F207C">
        <w:rPr>
          <w:rFonts w:eastAsia="Calibri"/>
          <w:sz w:val="24"/>
          <w:szCs w:val="24"/>
        </w:rPr>
        <w:t>Vask hænder efter anvendelse.</w:t>
      </w:r>
    </w:p>
    <w:p w:rsidR="006E0981" w:rsidRPr="007F207C" w:rsidRDefault="006E0981" w:rsidP="006E0981">
      <w:pPr>
        <w:autoSpaceDE w:val="0"/>
        <w:autoSpaceDN w:val="0"/>
        <w:adjustRightInd w:val="0"/>
        <w:ind w:left="851"/>
        <w:rPr>
          <w:rFonts w:eastAsia="Calibri"/>
          <w:sz w:val="24"/>
          <w:szCs w:val="24"/>
        </w:rPr>
      </w:pPr>
      <w:r w:rsidRPr="007F207C">
        <w:rPr>
          <w:rFonts w:eastAsia="Calibri"/>
          <w:sz w:val="24"/>
          <w:szCs w:val="24"/>
        </w:rPr>
        <w:t>Blanding af produktet med foder skal foregå på et sted med god ventilation. Undgå kontakt med hud og øjne. Kommer man ved et uheld i kontakt med produktet, skal kontaktområdet vaskes grundigt med rent, rindende vand. Hvis øjenirritation varer ved, skal der søges læge.</w:t>
      </w:r>
    </w:p>
    <w:p w:rsidR="006E0981" w:rsidRPr="007F207C" w:rsidRDefault="006E0981" w:rsidP="006E098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6E0981" w:rsidRPr="007F207C" w:rsidRDefault="006E0981" w:rsidP="006E0981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7F207C">
        <w:rPr>
          <w:sz w:val="24"/>
          <w:szCs w:val="24"/>
        </w:rPr>
        <w:tab/>
      </w:r>
      <w:r w:rsidRPr="007F207C">
        <w:rPr>
          <w:b/>
          <w:sz w:val="24"/>
          <w:szCs w:val="24"/>
        </w:rPr>
        <w:t>Andre forsigtighedsregler</w:t>
      </w:r>
    </w:p>
    <w:p w:rsidR="006E0981" w:rsidRPr="007F207C" w:rsidRDefault="006E0981" w:rsidP="006E0981">
      <w:pPr>
        <w:ind w:left="851"/>
        <w:rPr>
          <w:sz w:val="24"/>
          <w:szCs w:val="24"/>
        </w:rPr>
      </w:pPr>
      <w:r w:rsidRPr="007F207C">
        <w:rPr>
          <w:sz w:val="24"/>
          <w:szCs w:val="24"/>
        </w:rPr>
        <w:t>-</w:t>
      </w:r>
    </w:p>
    <w:p w:rsidR="006E0981" w:rsidRPr="007F207C" w:rsidRDefault="006E0981" w:rsidP="006E098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6E0981" w:rsidRPr="007F207C" w:rsidRDefault="006E0981" w:rsidP="006E0981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7F207C">
        <w:rPr>
          <w:b/>
          <w:sz w:val="24"/>
          <w:szCs w:val="24"/>
        </w:rPr>
        <w:t>4.6</w:t>
      </w:r>
      <w:r w:rsidRPr="007F207C">
        <w:rPr>
          <w:b/>
          <w:sz w:val="24"/>
          <w:szCs w:val="24"/>
        </w:rPr>
        <w:tab/>
        <w:t>Bivirkninger</w:t>
      </w:r>
    </w:p>
    <w:p w:rsidR="006E0981" w:rsidRPr="007F207C" w:rsidRDefault="006E0981" w:rsidP="006E0981">
      <w:pPr>
        <w:ind w:left="851" w:hanging="851"/>
        <w:rPr>
          <w:sz w:val="24"/>
          <w:szCs w:val="24"/>
        </w:rPr>
      </w:pPr>
      <w:r w:rsidRPr="007F207C">
        <w:rPr>
          <w:sz w:val="24"/>
          <w:szCs w:val="24"/>
        </w:rPr>
        <w:tab/>
        <w:t>Ingen kendte.</w:t>
      </w:r>
    </w:p>
    <w:p w:rsidR="006E0981" w:rsidRPr="007F207C" w:rsidRDefault="006E0981" w:rsidP="006E098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6E0981" w:rsidRPr="007F207C" w:rsidRDefault="006E0981" w:rsidP="006E0981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7F207C">
        <w:rPr>
          <w:b/>
          <w:sz w:val="24"/>
          <w:szCs w:val="24"/>
        </w:rPr>
        <w:t>4.7</w:t>
      </w:r>
      <w:r w:rsidRPr="007F207C">
        <w:rPr>
          <w:b/>
          <w:sz w:val="24"/>
          <w:szCs w:val="24"/>
        </w:rPr>
        <w:tab/>
        <w:t>Drægtighed, diegivning eller æglægning</w:t>
      </w:r>
    </w:p>
    <w:p w:rsidR="006E0981" w:rsidRPr="007F207C" w:rsidRDefault="006E0981" w:rsidP="006E0981">
      <w:pPr>
        <w:autoSpaceDE w:val="0"/>
        <w:autoSpaceDN w:val="0"/>
        <w:adjustRightInd w:val="0"/>
        <w:ind w:left="851" w:hanging="851"/>
        <w:rPr>
          <w:rFonts w:eastAsia="Calibri"/>
          <w:sz w:val="24"/>
          <w:szCs w:val="24"/>
          <w:highlight w:val="green"/>
        </w:rPr>
      </w:pPr>
      <w:r w:rsidRPr="007F207C">
        <w:rPr>
          <w:sz w:val="24"/>
          <w:szCs w:val="24"/>
        </w:rPr>
        <w:tab/>
      </w:r>
      <w:r w:rsidRPr="007F207C">
        <w:rPr>
          <w:rFonts w:eastAsia="Calibri"/>
          <w:sz w:val="24"/>
          <w:szCs w:val="24"/>
        </w:rPr>
        <w:t xml:space="preserve">Produktet kan administreres til søer i alle stadier af drægtighed eller </w:t>
      </w:r>
      <w:r>
        <w:rPr>
          <w:rFonts w:eastAsia="Calibri"/>
          <w:sz w:val="24"/>
          <w:szCs w:val="24"/>
        </w:rPr>
        <w:t>diegivning.</w:t>
      </w:r>
    </w:p>
    <w:p w:rsidR="006E0981" w:rsidRPr="007F207C" w:rsidRDefault="006E0981" w:rsidP="006E0981">
      <w:pPr>
        <w:autoSpaceDE w:val="0"/>
        <w:autoSpaceDN w:val="0"/>
        <w:adjustRightInd w:val="0"/>
        <w:ind w:left="851"/>
        <w:rPr>
          <w:rFonts w:eastAsia="Calibri"/>
          <w:sz w:val="24"/>
          <w:szCs w:val="24"/>
        </w:rPr>
      </w:pPr>
      <w:r w:rsidRPr="007F207C">
        <w:rPr>
          <w:rFonts w:eastAsia="Calibri"/>
          <w:sz w:val="24"/>
          <w:szCs w:val="24"/>
        </w:rPr>
        <w:t>Produktet kan anvendes til avlende dyr.</w:t>
      </w:r>
    </w:p>
    <w:p w:rsidR="006E0981" w:rsidRPr="007F207C" w:rsidRDefault="006E0981" w:rsidP="006E098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6E0981" w:rsidRPr="007F207C" w:rsidRDefault="006E0981" w:rsidP="006E0981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7F207C">
        <w:rPr>
          <w:b/>
          <w:sz w:val="24"/>
          <w:szCs w:val="24"/>
        </w:rPr>
        <w:t>4.8</w:t>
      </w:r>
      <w:r w:rsidRPr="007F207C">
        <w:rPr>
          <w:b/>
          <w:sz w:val="24"/>
          <w:szCs w:val="24"/>
        </w:rPr>
        <w:tab/>
        <w:t>Interaktion med andre lægemidler og andre former for interaktion</w:t>
      </w:r>
    </w:p>
    <w:p w:rsidR="006E0981" w:rsidRPr="007F207C" w:rsidRDefault="006E0981" w:rsidP="006E098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7F207C">
        <w:rPr>
          <w:sz w:val="24"/>
          <w:szCs w:val="24"/>
        </w:rPr>
        <w:tab/>
        <w:t>Ingen kendte.</w:t>
      </w:r>
    </w:p>
    <w:p w:rsidR="006E0981" w:rsidRPr="007F207C" w:rsidRDefault="006E0981" w:rsidP="006E098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6E0981" w:rsidRPr="007F207C" w:rsidRDefault="006E0981" w:rsidP="006E0981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7F207C">
        <w:rPr>
          <w:b/>
          <w:sz w:val="24"/>
          <w:szCs w:val="24"/>
        </w:rPr>
        <w:t>4.9</w:t>
      </w:r>
      <w:r w:rsidRPr="007F207C">
        <w:rPr>
          <w:b/>
          <w:sz w:val="24"/>
          <w:szCs w:val="24"/>
        </w:rPr>
        <w:tab/>
        <w:t>Dosering og indgivelsesmåde</w:t>
      </w:r>
    </w:p>
    <w:p w:rsidR="006E0981" w:rsidRPr="007F207C" w:rsidRDefault="006E0981" w:rsidP="006E0981">
      <w:pPr>
        <w:autoSpaceDE w:val="0"/>
        <w:autoSpaceDN w:val="0"/>
        <w:adjustRightInd w:val="0"/>
        <w:ind w:left="851" w:hanging="851"/>
        <w:rPr>
          <w:rFonts w:eastAsia="Calibri"/>
          <w:sz w:val="24"/>
          <w:szCs w:val="24"/>
        </w:rPr>
      </w:pPr>
      <w:r w:rsidRPr="007F207C">
        <w:rPr>
          <w:sz w:val="24"/>
          <w:szCs w:val="24"/>
        </w:rPr>
        <w:tab/>
      </w:r>
      <w:r w:rsidRPr="007F207C">
        <w:rPr>
          <w:rFonts w:eastAsia="Calibri"/>
          <w:sz w:val="24"/>
          <w:szCs w:val="24"/>
        </w:rPr>
        <w:t>Dosering:</w:t>
      </w:r>
    </w:p>
    <w:p w:rsidR="006E0981" w:rsidRPr="007F207C" w:rsidRDefault="006E0981" w:rsidP="006E0981">
      <w:pPr>
        <w:adjustRightInd w:val="0"/>
        <w:ind w:left="851"/>
        <w:rPr>
          <w:rFonts w:eastAsia="Calibri"/>
          <w:sz w:val="24"/>
          <w:szCs w:val="24"/>
        </w:rPr>
      </w:pPr>
      <w:r w:rsidRPr="007F207C">
        <w:rPr>
          <w:rFonts w:eastAsia="Calibri"/>
          <w:sz w:val="24"/>
          <w:szCs w:val="24"/>
        </w:rPr>
        <w:t xml:space="preserve">Dosis er 0,1 mg </w:t>
      </w:r>
      <w:proofErr w:type="spellStart"/>
      <w:r w:rsidRPr="007F207C">
        <w:rPr>
          <w:rFonts w:eastAsia="Calibri"/>
          <w:sz w:val="24"/>
          <w:szCs w:val="24"/>
        </w:rPr>
        <w:t>ivermectin</w:t>
      </w:r>
      <w:proofErr w:type="spellEnd"/>
      <w:r w:rsidRPr="007F207C">
        <w:rPr>
          <w:rFonts w:eastAsia="Calibri"/>
          <w:sz w:val="24"/>
          <w:szCs w:val="24"/>
        </w:rPr>
        <w:t xml:space="preserve"> pr. kg kropsvægt pr. dag svarende til 16,7 mg produkt pr. kg kropsvægt pr. dag i 7 på hinanden følgende dage.</w:t>
      </w:r>
    </w:p>
    <w:p w:rsidR="006E0981" w:rsidRPr="007F207C" w:rsidRDefault="006E0981" w:rsidP="006E0981">
      <w:pPr>
        <w:adjustRightInd w:val="0"/>
        <w:ind w:left="851" w:hanging="851"/>
        <w:rPr>
          <w:rFonts w:eastAsia="Calibri"/>
          <w:sz w:val="24"/>
          <w:szCs w:val="24"/>
          <w:highlight w:val="green"/>
        </w:rPr>
      </w:pPr>
    </w:p>
    <w:p w:rsidR="006E0981" w:rsidRPr="007F207C" w:rsidRDefault="006E0981" w:rsidP="006E0981">
      <w:pPr>
        <w:adjustRightInd w:val="0"/>
        <w:ind w:left="851"/>
        <w:rPr>
          <w:rFonts w:eastAsia="Calibri"/>
          <w:sz w:val="24"/>
          <w:szCs w:val="24"/>
        </w:rPr>
      </w:pPr>
      <w:r w:rsidRPr="007F207C">
        <w:rPr>
          <w:rFonts w:eastAsia="Calibri"/>
          <w:sz w:val="24"/>
          <w:szCs w:val="24"/>
        </w:rPr>
        <w:t xml:space="preserve">Den mængde, der dagligt skal gives til individuelle svin, kan beregnes ved hjælp af følgende formel: </w:t>
      </w:r>
    </w:p>
    <w:p w:rsidR="006E0981" w:rsidRPr="007F207C" w:rsidRDefault="006E0981" w:rsidP="006E0981">
      <w:pPr>
        <w:adjustRightInd w:val="0"/>
        <w:ind w:left="851"/>
        <w:rPr>
          <w:rFonts w:eastAsia="Calibri"/>
          <w:sz w:val="24"/>
          <w:szCs w:val="24"/>
        </w:rPr>
      </w:pPr>
      <w:r w:rsidRPr="007F207C">
        <w:rPr>
          <w:rFonts w:eastAsia="Calibri"/>
          <w:sz w:val="24"/>
          <w:szCs w:val="24"/>
        </w:rPr>
        <w:t xml:space="preserve">16,7 mg </w:t>
      </w:r>
      <w:proofErr w:type="spellStart"/>
      <w:r w:rsidRPr="007F207C">
        <w:rPr>
          <w:rFonts w:eastAsia="Calibri"/>
          <w:sz w:val="24"/>
          <w:szCs w:val="24"/>
        </w:rPr>
        <w:t>Ecomectin</w:t>
      </w:r>
      <w:proofErr w:type="spellEnd"/>
      <w:r w:rsidRPr="007F207C">
        <w:rPr>
          <w:rFonts w:eastAsia="Calibri"/>
          <w:sz w:val="24"/>
          <w:szCs w:val="24"/>
        </w:rPr>
        <w:t xml:space="preserve"> pr. kg kropsvægt pr. dag ganget med den gennemsnitlige kropsvægt (kg) af de dyr, der skal behandles.</w:t>
      </w:r>
    </w:p>
    <w:p w:rsidR="006E0981" w:rsidRPr="007F207C" w:rsidRDefault="006E0981" w:rsidP="006E0981">
      <w:pPr>
        <w:adjustRightInd w:val="0"/>
        <w:ind w:left="851" w:hanging="851"/>
        <w:rPr>
          <w:rFonts w:eastAsia="Calibri"/>
          <w:sz w:val="24"/>
          <w:szCs w:val="24"/>
          <w:highlight w:val="green"/>
        </w:rPr>
      </w:pPr>
    </w:p>
    <w:p w:rsidR="006E0981" w:rsidRPr="007F207C" w:rsidRDefault="006E0981" w:rsidP="006E0981">
      <w:pPr>
        <w:autoSpaceDE w:val="0"/>
        <w:autoSpaceDN w:val="0"/>
        <w:adjustRightInd w:val="0"/>
        <w:ind w:left="851"/>
        <w:rPr>
          <w:rFonts w:eastAsia="Calibri"/>
          <w:sz w:val="24"/>
          <w:szCs w:val="24"/>
        </w:rPr>
      </w:pPr>
      <w:r w:rsidRPr="007F207C">
        <w:rPr>
          <w:rFonts w:eastAsia="Calibri"/>
          <w:sz w:val="24"/>
          <w:szCs w:val="24"/>
        </w:rPr>
        <w:t>Indgivelsesmåde:</w:t>
      </w:r>
    </w:p>
    <w:p w:rsidR="006E0981" w:rsidRPr="007F207C" w:rsidRDefault="006E0981" w:rsidP="006E0981">
      <w:pPr>
        <w:adjustRightInd w:val="0"/>
        <w:ind w:left="851"/>
        <w:rPr>
          <w:rFonts w:eastAsia="Calibri"/>
          <w:sz w:val="24"/>
          <w:szCs w:val="24"/>
        </w:rPr>
      </w:pPr>
      <w:r w:rsidRPr="007F207C">
        <w:rPr>
          <w:rFonts w:eastAsia="Calibri"/>
          <w:sz w:val="24"/>
          <w:szCs w:val="24"/>
        </w:rPr>
        <w:t>Beregnet til anvendelse til individuelle dyr (søer og orner) på bedrifter, hvor kun et lille antal svin skal have lægemidlet.</w:t>
      </w:r>
    </w:p>
    <w:p w:rsidR="006E0981" w:rsidRPr="007F207C" w:rsidRDefault="006E0981" w:rsidP="006E0981">
      <w:pPr>
        <w:adjustRightInd w:val="0"/>
        <w:ind w:left="851"/>
        <w:rPr>
          <w:rFonts w:eastAsia="Calibri"/>
          <w:sz w:val="24"/>
          <w:szCs w:val="24"/>
        </w:rPr>
      </w:pPr>
      <w:r w:rsidRPr="007F207C">
        <w:rPr>
          <w:rFonts w:eastAsia="Calibri"/>
          <w:sz w:val="24"/>
          <w:szCs w:val="24"/>
        </w:rPr>
        <w:t xml:space="preserve">Større besætninger bør behandles med medicineret foderstof fremstillet ved brug af en passende </w:t>
      </w:r>
      <w:proofErr w:type="spellStart"/>
      <w:r w:rsidRPr="007F207C">
        <w:rPr>
          <w:rFonts w:eastAsia="Calibri"/>
          <w:sz w:val="24"/>
          <w:szCs w:val="24"/>
        </w:rPr>
        <w:t>anthelmintisk</w:t>
      </w:r>
      <w:proofErr w:type="spellEnd"/>
      <w:r w:rsidRPr="007F207C">
        <w:rPr>
          <w:rFonts w:eastAsia="Calibri"/>
          <w:sz w:val="24"/>
          <w:szCs w:val="24"/>
        </w:rPr>
        <w:t xml:space="preserve"> </w:t>
      </w:r>
      <w:proofErr w:type="spellStart"/>
      <w:r w:rsidRPr="007F207C">
        <w:rPr>
          <w:rFonts w:eastAsia="Calibri"/>
          <w:sz w:val="24"/>
          <w:szCs w:val="24"/>
        </w:rPr>
        <w:t>forblanding</w:t>
      </w:r>
      <w:proofErr w:type="spellEnd"/>
      <w:r w:rsidRPr="007F207C">
        <w:rPr>
          <w:rFonts w:eastAsia="Calibri"/>
          <w:sz w:val="24"/>
          <w:szCs w:val="24"/>
        </w:rPr>
        <w:t>.</w:t>
      </w:r>
    </w:p>
    <w:p w:rsidR="006E0981" w:rsidRPr="007F207C" w:rsidRDefault="006E0981" w:rsidP="006E0981">
      <w:pPr>
        <w:adjustRightInd w:val="0"/>
        <w:ind w:left="851"/>
        <w:rPr>
          <w:rFonts w:eastAsia="Calibri"/>
          <w:sz w:val="24"/>
          <w:szCs w:val="24"/>
        </w:rPr>
      </w:pPr>
      <w:r w:rsidRPr="007F207C">
        <w:rPr>
          <w:rFonts w:eastAsia="Calibri"/>
          <w:sz w:val="24"/>
          <w:szCs w:val="24"/>
        </w:rPr>
        <w:t>For at sikre korrekt dosering skal kropsvægten bestemmes så nøjagtigt som muligt. Præcist og korrekt kalibreret udstyr skal anvendes til afvejning af den nødvendige mængde produkt.</w:t>
      </w:r>
    </w:p>
    <w:p w:rsidR="006E0981" w:rsidRPr="007F207C" w:rsidRDefault="006E0981" w:rsidP="006E0981">
      <w:pPr>
        <w:adjustRightInd w:val="0"/>
        <w:ind w:left="851"/>
        <w:rPr>
          <w:rFonts w:eastAsia="Calibri"/>
          <w:sz w:val="24"/>
          <w:szCs w:val="24"/>
        </w:rPr>
      </w:pPr>
      <w:r w:rsidRPr="007F207C">
        <w:rPr>
          <w:rFonts w:eastAsia="Calibri"/>
          <w:sz w:val="24"/>
          <w:szCs w:val="24"/>
        </w:rPr>
        <w:t>Til oral administration sammen med foder.</w:t>
      </w:r>
    </w:p>
    <w:p w:rsidR="006E0981" w:rsidRPr="007F207C" w:rsidRDefault="006E0981" w:rsidP="006E0981">
      <w:pPr>
        <w:spacing w:line="276" w:lineRule="auto"/>
        <w:ind w:left="851"/>
        <w:rPr>
          <w:rFonts w:eastAsia="Calibri"/>
          <w:sz w:val="24"/>
          <w:szCs w:val="24"/>
        </w:rPr>
      </w:pPr>
      <w:r w:rsidRPr="007F207C">
        <w:rPr>
          <w:rFonts w:eastAsia="Calibri"/>
          <w:sz w:val="24"/>
          <w:szCs w:val="24"/>
        </w:rPr>
        <w:t>Man skal sikre sig, at hele den anbefalede dosis indtages.</w:t>
      </w:r>
    </w:p>
    <w:p w:rsidR="006E0981" w:rsidRPr="007F207C" w:rsidRDefault="006E0981" w:rsidP="006E0981">
      <w:pPr>
        <w:spacing w:line="276" w:lineRule="auto"/>
        <w:ind w:left="851"/>
        <w:rPr>
          <w:rFonts w:eastAsia="Calibri"/>
          <w:sz w:val="24"/>
          <w:szCs w:val="24"/>
        </w:rPr>
      </w:pPr>
      <w:proofErr w:type="spellStart"/>
      <w:r w:rsidRPr="007F207C">
        <w:rPr>
          <w:rFonts w:eastAsia="Calibri"/>
          <w:sz w:val="24"/>
          <w:szCs w:val="24"/>
        </w:rPr>
        <w:lastRenderedPageBreak/>
        <w:t>Ivermectin</w:t>
      </w:r>
      <w:proofErr w:type="spellEnd"/>
      <w:r w:rsidRPr="007F207C">
        <w:rPr>
          <w:rFonts w:eastAsia="Calibri"/>
          <w:sz w:val="24"/>
          <w:szCs w:val="24"/>
        </w:rPr>
        <w:t xml:space="preserve"> skal blandes fuldstændig i en del af foderrationen før hver behandling. Det anbefales, at den del af foderrationen, der indeholder </w:t>
      </w:r>
      <w:proofErr w:type="spellStart"/>
      <w:r w:rsidRPr="007F207C">
        <w:rPr>
          <w:rFonts w:eastAsia="Calibri"/>
          <w:sz w:val="24"/>
          <w:szCs w:val="24"/>
        </w:rPr>
        <w:t>ivermectin</w:t>
      </w:r>
      <w:proofErr w:type="spellEnd"/>
      <w:r w:rsidRPr="007F207C">
        <w:rPr>
          <w:rFonts w:eastAsia="Calibri"/>
          <w:sz w:val="24"/>
          <w:szCs w:val="24"/>
        </w:rPr>
        <w:t>, gives først, før hovedrationen gives til dyret.</w:t>
      </w:r>
    </w:p>
    <w:p w:rsidR="006E0981" w:rsidRPr="007F207C" w:rsidRDefault="006E0981" w:rsidP="006E0981">
      <w:pPr>
        <w:autoSpaceDE w:val="0"/>
        <w:autoSpaceDN w:val="0"/>
        <w:adjustRightInd w:val="0"/>
        <w:ind w:left="851"/>
        <w:rPr>
          <w:rFonts w:eastAsia="Calibri"/>
          <w:sz w:val="24"/>
          <w:szCs w:val="24"/>
        </w:rPr>
      </w:pPr>
      <w:r w:rsidRPr="007F207C">
        <w:rPr>
          <w:rFonts w:eastAsia="Calibri"/>
          <w:sz w:val="24"/>
          <w:szCs w:val="24"/>
        </w:rPr>
        <w:t>Alvorligt syge dyr med nedsat appetit/anoreksi skal behandles parenteralt.</w:t>
      </w:r>
    </w:p>
    <w:p w:rsidR="006E0981" w:rsidRPr="007F207C" w:rsidRDefault="006E0981" w:rsidP="006E0981">
      <w:pPr>
        <w:autoSpaceDE w:val="0"/>
        <w:autoSpaceDN w:val="0"/>
        <w:adjustRightInd w:val="0"/>
        <w:ind w:left="851"/>
        <w:rPr>
          <w:rFonts w:eastAsia="Calibri"/>
          <w:sz w:val="24"/>
          <w:szCs w:val="24"/>
        </w:rPr>
      </w:pPr>
      <w:r w:rsidRPr="007F207C">
        <w:rPr>
          <w:rFonts w:eastAsia="Calibri"/>
          <w:sz w:val="24"/>
          <w:szCs w:val="24"/>
        </w:rPr>
        <w:t>Behandlingsregimenet skal baseres på den konkrete epidemiologiske situation.</w:t>
      </w:r>
    </w:p>
    <w:p w:rsidR="006E0981" w:rsidRPr="007F207C" w:rsidRDefault="006E0981" w:rsidP="006E098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6E0981" w:rsidRPr="007F207C" w:rsidRDefault="006E0981" w:rsidP="006E0981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7F207C">
        <w:rPr>
          <w:b/>
          <w:sz w:val="24"/>
          <w:szCs w:val="24"/>
        </w:rPr>
        <w:t>4.10</w:t>
      </w:r>
      <w:r w:rsidRPr="007F207C">
        <w:rPr>
          <w:b/>
          <w:sz w:val="24"/>
          <w:szCs w:val="24"/>
        </w:rPr>
        <w:tab/>
        <w:t>Overdosering</w:t>
      </w:r>
    </w:p>
    <w:p w:rsidR="006E0981" w:rsidRPr="007F207C" w:rsidRDefault="006E0981" w:rsidP="006E0981">
      <w:pPr>
        <w:autoSpaceDE w:val="0"/>
        <w:autoSpaceDN w:val="0"/>
        <w:adjustRightInd w:val="0"/>
        <w:ind w:left="851" w:hanging="851"/>
        <w:rPr>
          <w:rFonts w:eastAsia="Calibri"/>
          <w:sz w:val="24"/>
          <w:szCs w:val="24"/>
          <w:highlight w:val="green"/>
        </w:rPr>
      </w:pPr>
      <w:r w:rsidRPr="007F207C">
        <w:rPr>
          <w:sz w:val="24"/>
          <w:szCs w:val="24"/>
        </w:rPr>
        <w:tab/>
      </w:r>
      <w:r w:rsidRPr="007F207C">
        <w:rPr>
          <w:rFonts w:eastAsia="Calibri"/>
          <w:sz w:val="24"/>
          <w:szCs w:val="24"/>
        </w:rPr>
        <w:t xml:space="preserve">Givet i foderrationer til svin i mængder på op til 5 gange den anbefalede dosis på 0,1 mg </w:t>
      </w:r>
      <w:proofErr w:type="spellStart"/>
      <w:r w:rsidRPr="007F207C">
        <w:rPr>
          <w:rFonts w:eastAsia="Calibri"/>
          <w:sz w:val="24"/>
          <w:szCs w:val="24"/>
        </w:rPr>
        <w:t>ivermectin</w:t>
      </w:r>
      <w:proofErr w:type="spellEnd"/>
      <w:r w:rsidRPr="007F207C">
        <w:rPr>
          <w:rFonts w:eastAsia="Calibri"/>
          <w:sz w:val="24"/>
          <w:szCs w:val="24"/>
        </w:rPr>
        <w:t xml:space="preserve"> pr. kg kropsvægt i 21 på hinanden følgende dage (3 gange den anbefalede behandlingsperiode) forårsagede produktet ikke behandlingsrelaterede bivirkninger. </w:t>
      </w:r>
    </w:p>
    <w:p w:rsidR="006E0981" w:rsidRPr="007F207C" w:rsidRDefault="006E0981" w:rsidP="006E0981">
      <w:pPr>
        <w:autoSpaceDE w:val="0"/>
        <w:autoSpaceDN w:val="0"/>
        <w:adjustRightInd w:val="0"/>
        <w:ind w:left="851"/>
        <w:rPr>
          <w:rFonts w:eastAsia="Calibri"/>
          <w:sz w:val="24"/>
          <w:szCs w:val="24"/>
        </w:rPr>
      </w:pPr>
      <w:r w:rsidRPr="007F207C">
        <w:rPr>
          <w:rFonts w:eastAsia="Calibri"/>
          <w:sz w:val="24"/>
          <w:szCs w:val="24"/>
        </w:rPr>
        <w:t xml:space="preserve">Der er ikke fundet nogen </w:t>
      </w:r>
      <w:proofErr w:type="spellStart"/>
      <w:r w:rsidRPr="007F207C">
        <w:rPr>
          <w:rFonts w:eastAsia="Calibri"/>
          <w:sz w:val="24"/>
          <w:szCs w:val="24"/>
        </w:rPr>
        <w:t>antidot</w:t>
      </w:r>
      <w:proofErr w:type="spellEnd"/>
      <w:r w:rsidRPr="007F207C">
        <w:rPr>
          <w:rFonts w:eastAsia="Calibri"/>
          <w:sz w:val="24"/>
          <w:szCs w:val="24"/>
        </w:rPr>
        <w:t>.</w:t>
      </w:r>
    </w:p>
    <w:p w:rsidR="006E0981" w:rsidRPr="007F207C" w:rsidRDefault="006E0981" w:rsidP="006E0981">
      <w:pPr>
        <w:tabs>
          <w:tab w:val="left" w:pos="975"/>
        </w:tabs>
        <w:autoSpaceDE w:val="0"/>
        <w:autoSpaceDN w:val="0"/>
        <w:adjustRightInd w:val="0"/>
        <w:ind w:left="851" w:hanging="85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Pr="007F207C">
        <w:rPr>
          <w:rFonts w:eastAsia="Calibri"/>
          <w:sz w:val="24"/>
          <w:szCs w:val="24"/>
        </w:rPr>
        <w:t>Hvis der er mistanke om, at der forekommer bivirkninger, skal behandlingen seponeres, og passende symptomatisk behandling skal om nødvendigt iværksættes.</w:t>
      </w:r>
    </w:p>
    <w:p w:rsidR="006E0981" w:rsidRPr="007F207C" w:rsidRDefault="006E0981" w:rsidP="006E098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6E0981" w:rsidRPr="007F207C" w:rsidRDefault="006E0981" w:rsidP="006E0981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7F207C">
        <w:rPr>
          <w:b/>
          <w:sz w:val="24"/>
          <w:szCs w:val="24"/>
        </w:rPr>
        <w:t>4.11</w:t>
      </w:r>
      <w:r w:rsidRPr="007F207C">
        <w:rPr>
          <w:b/>
          <w:sz w:val="24"/>
          <w:szCs w:val="24"/>
        </w:rPr>
        <w:tab/>
        <w:t>Tilbageholdelsestid</w:t>
      </w:r>
    </w:p>
    <w:p w:rsidR="006E0981" w:rsidRPr="007F207C" w:rsidRDefault="006E0981" w:rsidP="006E0981">
      <w:pPr>
        <w:ind w:left="851" w:hanging="851"/>
        <w:rPr>
          <w:b/>
          <w:sz w:val="24"/>
          <w:szCs w:val="24"/>
        </w:rPr>
      </w:pPr>
      <w:r w:rsidRPr="007F207C">
        <w:rPr>
          <w:sz w:val="24"/>
          <w:szCs w:val="24"/>
        </w:rPr>
        <w:tab/>
        <w:t>Svin: 12 dage</w:t>
      </w:r>
    </w:p>
    <w:p w:rsidR="006E0981" w:rsidRPr="007F207C" w:rsidRDefault="006E0981" w:rsidP="006E0981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</w:rPr>
      </w:pPr>
    </w:p>
    <w:p w:rsidR="006E0981" w:rsidRPr="007F207C" w:rsidRDefault="006E0981" w:rsidP="006E098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6E0981" w:rsidRPr="007F207C" w:rsidRDefault="006E0981" w:rsidP="006E098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7F207C">
        <w:rPr>
          <w:b/>
          <w:sz w:val="24"/>
          <w:szCs w:val="24"/>
        </w:rPr>
        <w:t>5.</w:t>
      </w:r>
      <w:r w:rsidRPr="007F207C">
        <w:rPr>
          <w:b/>
          <w:sz w:val="24"/>
          <w:szCs w:val="24"/>
        </w:rPr>
        <w:tab/>
        <w:t>FARMAKOLOGISKE EGENSKABER</w:t>
      </w:r>
    </w:p>
    <w:p w:rsidR="006E0981" w:rsidRPr="007F207C" w:rsidRDefault="006E0981" w:rsidP="006E0981">
      <w:pPr>
        <w:ind w:left="851"/>
        <w:rPr>
          <w:sz w:val="24"/>
          <w:szCs w:val="24"/>
        </w:rPr>
      </w:pPr>
      <w:proofErr w:type="spellStart"/>
      <w:r w:rsidRPr="007F207C">
        <w:rPr>
          <w:sz w:val="24"/>
          <w:szCs w:val="24"/>
        </w:rPr>
        <w:t>Farmakoterapeutisk</w:t>
      </w:r>
      <w:proofErr w:type="spellEnd"/>
      <w:r w:rsidRPr="007F207C">
        <w:rPr>
          <w:sz w:val="24"/>
          <w:szCs w:val="24"/>
        </w:rPr>
        <w:t xml:space="preserve"> klassifikation: </w:t>
      </w:r>
      <w:proofErr w:type="spellStart"/>
      <w:r w:rsidRPr="007F207C">
        <w:rPr>
          <w:sz w:val="24"/>
          <w:szCs w:val="24"/>
        </w:rPr>
        <w:t>Endectocider</w:t>
      </w:r>
      <w:proofErr w:type="spellEnd"/>
      <w:r w:rsidRPr="007F207C">
        <w:rPr>
          <w:sz w:val="24"/>
          <w:szCs w:val="24"/>
        </w:rPr>
        <w:t xml:space="preserve">, </w:t>
      </w:r>
      <w:proofErr w:type="spellStart"/>
      <w:r w:rsidRPr="007F207C">
        <w:rPr>
          <w:sz w:val="24"/>
          <w:szCs w:val="24"/>
        </w:rPr>
        <w:t>avermectiner</w:t>
      </w:r>
      <w:proofErr w:type="spellEnd"/>
      <w:r w:rsidRPr="007F207C">
        <w:rPr>
          <w:sz w:val="24"/>
          <w:szCs w:val="24"/>
        </w:rPr>
        <w:t>.</w:t>
      </w:r>
    </w:p>
    <w:p w:rsidR="006E0981" w:rsidRPr="007F207C" w:rsidRDefault="006E0981" w:rsidP="006E0981">
      <w:pPr>
        <w:tabs>
          <w:tab w:val="left" w:pos="8222"/>
        </w:tabs>
        <w:ind w:left="851" w:hanging="851"/>
        <w:jc w:val="both"/>
        <w:rPr>
          <w:sz w:val="24"/>
          <w:szCs w:val="24"/>
        </w:rPr>
      </w:pPr>
      <w:r w:rsidRPr="007F207C">
        <w:rPr>
          <w:sz w:val="24"/>
          <w:szCs w:val="24"/>
        </w:rPr>
        <w:tab/>
      </w:r>
      <w:proofErr w:type="spellStart"/>
      <w:r w:rsidRPr="007F207C">
        <w:rPr>
          <w:sz w:val="24"/>
          <w:szCs w:val="24"/>
        </w:rPr>
        <w:t>ATCvet</w:t>
      </w:r>
      <w:proofErr w:type="spellEnd"/>
      <w:r w:rsidRPr="007F207C">
        <w:rPr>
          <w:sz w:val="24"/>
          <w:szCs w:val="24"/>
        </w:rPr>
        <w:t xml:space="preserve"> kode: QP 54 AA 01</w:t>
      </w:r>
    </w:p>
    <w:p w:rsidR="006E0981" w:rsidRPr="007F207C" w:rsidRDefault="006E0981" w:rsidP="006E0981">
      <w:pPr>
        <w:tabs>
          <w:tab w:val="left" w:pos="8222"/>
        </w:tabs>
        <w:ind w:left="851" w:hanging="851"/>
        <w:rPr>
          <w:sz w:val="24"/>
          <w:szCs w:val="24"/>
        </w:rPr>
      </w:pPr>
    </w:p>
    <w:p w:rsidR="006E0981" w:rsidRPr="007F207C" w:rsidRDefault="006E0981" w:rsidP="006E0981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7F207C">
        <w:rPr>
          <w:b/>
          <w:sz w:val="24"/>
          <w:szCs w:val="24"/>
        </w:rPr>
        <w:t>5.1</w:t>
      </w:r>
      <w:r w:rsidRPr="007F207C">
        <w:rPr>
          <w:b/>
          <w:sz w:val="24"/>
          <w:szCs w:val="24"/>
        </w:rPr>
        <w:tab/>
      </w:r>
      <w:proofErr w:type="spellStart"/>
      <w:r w:rsidRPr="007F207C">
        <w:rPr>
          <w:b/>
          <w:sz w:val="24"/>
          <w:szCs w:val="24"/>
        </w:rPr>
        <w:t>Farmakodynamiske</w:t>
      </w:r>
      <w:proofErr w:type="spellEnd"/>
      <w:r w:rsidRPr="007F207C">
        <w:rPr>
          <w:b/>
          <w:sz w:val="24"/>
          <w:szCs w:val="24"/>
        </w:rPr>
        <w:t xml:space="preserve"> egenskaber</w:t>
      </w:r>
    </w:p>
    <w:p w:rsidR="006E0981" w:rsidRPr="007F207C" w:rsidRDefault="006E0981" w:rsidP="006E0981">
      <w:pPr>
        <w:ind w:left="851" w:hanging="851"/>
        <w:rPr>
          <w:sz w:val="24"/>
          <w:szCs w:val="24"/>
        </w:rPr>
      </w:pPr>
      <w:r w:rsidRPr="007F207C">
        <w:rPr>
          <w:sz w:val="24"/>
          <w:szCs w:val="24"/>
        </w:rPr>
        <w:tab/>
      </w:r>
      <w:proofErr w:type="spellStart"/>
      <w:r w:rsidRPr="007F207C">
        <w:rPr>
          <w:sz w:val="24"/>
          <w:szCs w:val="24"/>
        </w:rPr>
        <w:t>Ivermectin</w:t>
      </w:r>
      <w:proofErr w:type="spellEnd"/>
      <w:r w:rsidRPr="007F207C">
        <w:rPr>
          <w:sz w:val="24"/>
          <w:szCs w:val="24"/>
        </w:rPr>
        <w:t xml:space="preserve"> tilhører den makrocykliske </w:t>
      </w:r>
      <w:proofErr w:type="spellStart"/>
      <w:r w:rsidRPr="007F207C">
        <w:rPr>
          <w:sz w:val="24"/>
          <w:szCs w:val="24"/>
        </w:rPr>
        <w:t>lacton</w:t>
      </w:r>
      <w:proofErr w:type="spellEnd"/>
      <w:r w:rsidRPr="007F207C">
        <w:rPr>
          <w:sz w:val="24"/>
          <w:szCs w:val="24"/>
        </w:rPr>
        <w:t xml:space="preserve">-klassen af </w:t>
      </w:r>
      <w:proofErr w:type="spellStart"/>
      <w:r w:rsidRPr="007F207C">
        <w:rPr>
          <w:sz w:val="24"/>
          <w:szCs w:val="24"/>
        </w:rPr>
        <w:t>endectocider</w:t>
      </w:r>
      <w:proofErr w:type="spellEnd"/>
      <w:r w:rsidRPr="007F207C">
        <w:rPr>
          <w:sz w:val="24"/>
          <w:szCs w:val="24"/>
        </w:rPr>
        <w:t xml:space="preserve">. Forbindelser i denne klasse binder sig selektivt og med høj affinitet til de glutamatmedierede </w:t>
      </w:r>
      <w:proofErr w:type="spellStart"/>
      <w:r w:rsidRPr="007F207C">
        <w:rPr>
          <w:sz w:val="24"/>
          <w:szCs w:val="24"/>
        </w:rPr>
        <w:t>chloridionkanaler</w:t>
      </w:r>
      <w:proofErr w:type="spellEnd"/>
      <w:r w:rsidRPr="007F207C">
        <w:rPr>
          <w:sz w:val="24"/>
          <w:szCs w:val="24"/>
        </w:rPr>
        <w:t xml:space="preserve">, som forekommer i nerve- og muskelceller hos hvirvelløse dyr. Dette øger cellemembranens permeabilitet for </w:t>
      </w:r>
      <w:proofErr w:type="spellStart"/>
      <w:r w:rsidRPr="007F207C">
        <w:rPr>
          <w:sz w:val="24"/>
          <w:szCs w:val="24"/>
        </w:rPr>
        <w:t>chloridioner</w:t>
      </w:r>
      <w:proofErr w:type="spellEnd"/>
      <w:r w:rsidRPr="007F207C">
        <w:rPr>
          <w:sz w:val="24"/>
          <w:szCs w:val="24"/>
        </w:rPr>
        <w:t xml:space="preserve"> med </w:t>
      </w:r>
      <w:proofErr w:type="spellStart"/>
      <w:r w:rsidRPr="007F207C">
        <w:rPr>
          <w:sz w:val="24"/>
          <w:szCs w:val="24"/>
        </w:rPr>
        <w:t>hyperpolarisering</w:t>
      </w:r>
      <w:proofErr w:type="spellEnd"/>
      <w:r w:rsidRPr="007F207C">
        <w:rPr>
          <w:sz w:val="24"/>
          <w:szCs w:val="24"/>
        </w:rPr>
        <w:t xml:space="preserve"> af nerve- eller muskelceller, hvilket medfører, at parasitterne lammes og dør. Forbindelser i denne klasse kan desuden interagere med andre </w:t>
      </w:r>
      <w:proofErr w:type="spellStart"/>
      <w:r w:rsidRPr="007F207C">
        <w:rPr>
          <w:sz w:val="24"/>
          <w:szCs w:val="24"/>
        </w:rPr>
        <w:t>ligandmedierede</w:t>
      </w:r>
      <w:proofErr w:type="spellEnd"/>
      <w:r w:rsidRPr="007F207C">
        <w:rPr>
          <w:sz w:val="24"/>
          <w:szCs w:val="24"/>
        </w:rPr>
        <w:t xml:space="preserve"> </w:t>
      </w:r>
      <w:proofErr w:type="spellStart"/>
      <w:r w:rsidRPr="007F207C">
        <w:rPr>
          <w:sz w:val="24"/>
          <w:szCs w:val="24"/>
        </w:rPr>
        <w:t>chloridkanaler</w:t>
      </w:r>
      <w:proofErr w:type="spellEnd"/>
      <w:r w:rsidRPr="007F207C">
        <w:rPr>
          <w:sz w:val="24"/>
          <w:szCs w:val="24"/>
        </w:rPr>
        <w:t>, som for eksempel kloridkanaler medieret af neurotransmitteren gamma-aminobutansyre (GABA).</w:t>
      </w:r>
    </w:p>
    <w:p w:rsidR="006E0981" w:rsidRPr="007F207C" w:rsidRDefault="006E0981" w:rsidP="006E0981">
      <w:pPr>
        <w:ind w:left="851" w:hanging="851"/>
        <w:rPr>
          <w:sz w:val="24"/>
          <w:szCs w:val="24"/>
        </w:rPr>
      </w:pPr>
    </w:p>
    <w:p w:rsidR="006E0981" w:rsidRPr="007F207C" w:rsidRDefault="006E0981" w:rsidP="006E0981">
      <w:pPr>
        <w:ind w:left="851"/>
        <w:rPr>
          <w:sz w:val="24"/>
          <w:szCs w:val="24"/>
        </w:rPr>
      </w:pPr>
      <w:r w:rsidRPr="007F207C">
        <w:rPr>
          <w:sz w:val="24"/>
          <w:szCs w:val="24"/>
        </w:rPr>
        <w:t xml:space="preserve">Sikkerhedsmargenen for forbindelser i denne klasse tillægges det forhold, at pattedyr ikke har glutamatmedierede </w:t>
      </w:r>
      <w:proofErr w:type="spellStart"/>
      <w:r w:rsidRPr="007F207C">
        <w:rPr>
          <w:sz w:val="24"/>
          <w:szCs w:val="24"/>
        </w:rPr>
        <w:t>chloridkanaler</w:t>
      </w:r>
      <w:proofErr w:type="spellEnd"/>
      <w:r w:rsidRPr="007F207C">
        <w:rPr>
          <w:sz w:val="24"/>
          <w:szCs w:val="24"/>
        </w:rPr>
        <w:t xml:space="preserve">, at makrocykliske laktoner har en lav affinitet over for andre </w:t>
      </w:r>
      <w:proofErr w:type="spellStart"/>
      <w:r w:rsidRPr="007F207C">
        <w:rPr>
          <w:sz w:val="24"/>
          <w:szCs w:val="24"/>
        </w:rPr>
        <w:t>ligandmedierede</w:t>
      </w:r>
      <w:proofErr w:type="spellEnd"/>
      <w:r w:rsidRPr="007F207C">
        <w:rPr>
          <w:sz w:val="24"/>
          <w:szCs w:val="24"/>
        </w:rPr>
        <w:t xml:space="preserve"> </w:t>
      </w:r>
      <w:proofErr w:type="spellStart"/>
      <w:r w:rsidRPr="007F207C">
        <w:rPr>
          <w:sz w:val="24"/>
          <w:szCs w:val="24"/>
        </w:rPr>
        <w:t>chloridkanaler</w:t>
      </w:r>
      <w:proofErr w:type="spellEnd"/>
      <w:r w:rsidRPr="007F207C">
        <w:rPr>
          <w:sz w:val="24"/>
          <w:szCs w:val="24"/>
        </w:rPr>
        <w:t xml:space="preserve"> hos pattedyr, og at makrocykliske laktoner ikke nemt passerer blodhjernebarrieren.</w:t>
      </w:r>
    </w:p>
    <w:p w:rsidR="006E0981" w:rsidRPr="007F207C" w:rsidRDefault="006E0981" w:rsidP="006E098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6E0981" w:rsidRPr="007F207C" w:rsidRDefault="006E0981" w:rsidP="006E0981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7F207C">
        <w:rPr>
          <w:b/>
          <w:sz w:val="24"/>
          <w:szCs w:val="24"/>
        </w:rPr>
        <w:t>5.2</w:t>
      </w:r>
      <w:r w:rsidRPr="007F207C">
        <w:rPr>
          <w:b/>
          <w:sz w:val="24"/>
          <w:szCs w:val="24"/>
        </w:rPr>
        <w:tab/>
      </w:r>
      <w:proofErr w:type="spellStart"/>
      <w:r w:rsidRPr="007F207C">
        <w:rPr>
          <w:b/>
          <w:sz w:val="24"/>
          <w:szCs w:val="24"/>
        </w:rPr>
        <w:t>Farmakokinetiske</w:t>
      </w:r>
      <w:proofErr w:type="spellEnd"/>
      <w:r w:rsidRPr="007F207C">
        <w:rPr>
          <w:b/>
          <w:sz w:val="24"/>
          <w:szCs w:val="24"/>
        </w:rPr>
        <w:t xml:space="preserve"> egenskaber</w:t>
      </w:r>
    </w:p>
    <w:p w:rsidR="006E0981" w:rsidRPr="007F207C" w:rsidRDefault="006E0981" w:rsidP="006E0981">
      <w:pPr>
        <w:autoSpaceDE w:val="0"/>
        <w:autoSpaceDN w:val="0"/>
        <w:adjustRightInd w:val="0"/>
        <w:ind w:left="851" w:hanging="851"/>
        <w:rPr>
          <w:rFonts w:eastAsia="Calibri"/>
          <w:sz w:val="24"/>
          <w:szCs w:val="24"/>
        </w:rPr>
      </w:pPr>
      <w:r w:rsidRPr="007F207C">
        <w:rPr>
          <w:sz w:val="24"/>
          <w:szCs w:val="24"/>
        </w:rPr>
        <w:tab/>
      </w:r>
      <w:r w:rsidRPr="007F207C">
        <w:rPr>
          <w:rFonts w:eastAsia="Calibri"/>
          <w:sz w:val="24"/>
          <w:szCs w:val="24"/>
        </w:rPr>
        <w:t xml:space="preserve">I et komparativt studie, hvor produktet administreredes til svin i den anbefalede dosis på 0,1 mg </w:t>
      </w:r>
      <w:proofErr w:type="spellStart"/>
      <w:r w:rsidRPr="007F207C">
        <w:rPr>
          <w:rFonts w:eastAsia="Calibri"/>
          <w:sz w:val="24"/>
          <w:szCs w:val="24"/>
        </w:rPr>
        <w:t>ivermectin</w:t>
      </w:r>
      <w:proofErr w:type="spellEnd"/>
      <w:r w:rsidRPr="007F207C">
        <w:rPr>
          <w:rFonts w:eastAsia="Calibri"/>
          <w:sz w:val="24"/>
          <w:szCs w:val="24"/>
        </w:rPr>
        <w:t xml:space="preserve"> pr. kg kropsvægt i 7 på hinanden følgende dage i foder, var den gennemsnitlige </w:t>
      </w:r>
      <w:proofErr w:type="spellStart"/>
      <w:r w:rsidRPr="007F207C">
        <w:rPr>
          <w:rFonts w:eastAsia="Calibri"/>
          <w:sz w:val="24"/>
          <w:szCs w:val="24"/>
        </w:rPr>
        <w:t>steady</w:t>
      </w:r>
      <w:proofErr w:type="spellEnd"/>
      <w:r w:rsidRPr="007F207C">
        <w:rPr>
          <w:rFonts w:eastAsia="Calibri"/>
          <w:sz w:val="24"/>
          <w:szCs w:val="24"/>
        </w:rPr>
        <w:t xml:space="preserve"> state-koncentration i plasma (Css) efter den sidste dosis 4,45 </w:t>
      </w:r>
      <w:proofErr w:type="spellStart"/>
      <w:r w:rsidRPr="007F207C">
        <w:rPr>
          <w:rFonts w:eastAsia="Calibri"/>
          <w:sz w:val="24"/>
          <w:szCs w:val="24"/>
        </w:rPr>
        <w:t>ng</w:t>
      </w:r>
      <w:proofErr w:type="spellEnd"/>
      <w:r w:rsidRPr="007F207C">
        <w:rPr>
          <w:rFonts w:eastAsia="Calibri"/>
          <w:sz w:val="24"/>
          <w:szCs w:val="24"/>
        </w:rPr>
        <w:t>/ml. Den maksimale plasmakoncentration (</w:t>
      </w:r>
      <w:proofErr w:type="spellStart"/>
      <w:r w:rsidRPr="007F207C">
        <w:rPr>
          <w:rFonts w:eastAsia="Calibri"/>
          <w:sz w:val="24"/>
          <w:szCs w:val="24"/>
        </w:rPr>
        <w:t>Cmax</w:t>
      </w:r>
      <w:proofErr w:type="spellEnd"/>
      <w:r w:rsidRPr="007F207C">
        <w:rPr>
          <w:rFonts w:eastAsia="Calibri"/>
          <w:sz w:val="24"/>
          <w:szCs w:val="24"/>
        </w:rPr>
        <w:t xml:space="preserve">) var efter den sidste administration 5,81 </w:t>
      </w:r>
      <w:proofErr w:type="spellStart"/>
      <w:r w:rsidRPr="007F207C">
        <w:rPr>
          <w:rFonts w:eastAsia="Calibri"/>
          <w:sz w:val="24"/>
          <w:szCs w:val="24"/>
        </w:rPr>
        <w:t>ng</w:t>
      </w:r>
      <w:proofErr w:type="spellEnd"/>
      <w:r w:rsidRPr="007F207C">
        <w:rPr>
          <w:rFonts w:eastAsia="Calibri"/>
          <w:sz w:val="24"/>
          <w:szCs w:val="24"/>
        </w:rPr>
        <w:t>/ml og forekom ca. 5 timer (</w:t>
      </w:r>
      <w:proofErr w:type="spellStart"/>
      <w:r w:rsidRPr="007F207C">
        <w:rPr>
          <w:rFonts w:eastAsia="Calibri"/>
          <w:sz w:val="24"/>
          <w:szCs w:val="24"/>
        </w:rPr>
        <w:t>Tmax</w:t>
      </w:r>
      <w:proofErr w:type="spellEnd"/>
      <w:r w:rsidRPr="007F207C">
        <w:rPr>
          <w:rFonts w:eastAsia="Calibri"/>
          <w:sz w:val="24"/>
          <w:szCs w:val="24"/>
        </w:rPr>
        <w:t xml:space="preserve">) efter den sidste administration. Derefter faldt de gennemsnitlige plasmakoncentrationer eksponentielt med den gennemsnitlige plasmahalveringstid (t½) i op til 72 timer efter den sidste dosis svarende til 26 timer. 120 timer efter den sidste dosis var de gennemsnitlige koncentrationer af </w:t>
      </w:r>
      <w:proofErr w:type="spellStart"/>
      <w:r w:rsidRPr="007F207C">
        <w:rPr>
          <w:rFonts w:eastAsia="Calibri"/>
          <w:sz w:val="24"/>
          <w:szCs w:val="24"/>
        </w:rPr>
        <w:t>ivermectin</w:t>
      </w:r>
      <w:proofErr w:type="spellEnd"/>
      <w:r w:rsidRPr="007F207C">
        <w:rPr>
          <w:rFonts w:eastAsia="Calibri"/>
          <w:sz w:val="24"/>
          <w:szCs w:val="24"/>
        </w:rPr>
        <w:t xml:space="preserve"> i plasma under analysens </w:t>
      </w:r>
      <w:proofErr w:type="spellStart"/>
      <w:r w:rsidRPr="007F207C">
        <w:rPr>
          <w:rFonts w:eastAsia="Calibri"/>
          <w:sz w:val="24"/>
          <w:szCs w:val="24"/>
        </w:rPr>
        <w:t>kvantifikationsgrænse</w:t>
      </w:r>
      <w:proofErr w:type="spellEnd"/>
      <w:r w:rsidRPr="007F207C">
        <w:rPr>
          <w:rFonts w:eastAsia="Calibri"/>
          <w:sz w:val="24"/>
          <w:szCs w:val="24"/>
        </w:rPr>
        <w:t xml:space="preserve"> hos de fleste dyr.</w:t>
      </w:r>
    </w:p>
    <w:p w:rsidR="006E0981" w:rsidRPr="007F207C" w:rsidRDefault="006E0981" w:rsidP="006E098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6E0981" w:rsidRPr="007F207C" w:rsidRDefault="006E0981" w:rsidP="006E0981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7F207C">
        <w:rPr>
          <w:b/>
          <w:sz w:val="24"/>
          <w:szCs w:val="24"/>
        </w:rPr>
        <w:t>5.3</w:t>
      </w:r>
      <w:r w:rsidRPr="007F207C">
        <w:rPr>
          <w:b/>
          <w:sz w:val="24"/>
          <w:szCs w:val="24"/>
        </w:rPr>
        <w:tab/>
        <w:t>Miljømæssige forhold</w:t>
      </w:r>
    </w:p>
    <w:p w:rsidR="006E0981" w:rsidRPr="007F207C" w:rsidRDefault="006E0981" w:rsidP="006E098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7F207C">
        <w:rPr>
          <w:sz w:val="24"/>
          <w:szCs w:val="24"/>
        </w:rPr>
        <w:tab/>
        <w:t>-</w:t>
      </w:r>
    </w:p>
    <w:p w:rsidR="006E0981" w:rsidRPr="007F207C" w:rsidRDefault="006E0981" w:rsidP="006E0981">
      <w:pPr>
        <w:tabs>
          <w:tab w:val="left" w:pos="8222"/>
        </w:tabs>
        <w:ind w:left="851" w:hanging="851"/>
        <w:rPr>
          <w:sz w:val="24"/>
          <w:szCs w:val="24"/>
        </w:rPr>
      </w:pPr>
    </w:p>
    <w:p w:rsidR="006E0981" w:rsidRPr="007F207C" w:rsidRDefault="006E0981" w:rsidP="006E098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6E0981" w:rsidRPr="007F207C" w:rsidRDefault="006E0981" w:rsidP="006E098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7F207C">
        <w:rPr>
          <w:b/>
          <w:sz w:val="24"/>
          <w:szCs w:val="24"/>
        </w:rPr>
        <w:t>6.</w:t>
      </w:r>
      <w:r w:rsidRPr="007F207C">
        <w:rPr>
          <w:b/>
          <w:sz w:val="24"/>
          <w:szCs w:val="24"/>
        </w:rPr>
        <w:tab/>
        <w:t>FARMACEUTISKE OPLYSNINGER</w:t>
      </w:r>
    </w:p>
    <w:p w:rsidR="006E0981" w:rsidRPr="007F207C" w:rsidRDefault="006E0981" w:rsidP="006E098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6E0981" w:rsidRPr="007F207C" w:rsidRDefault="006E0981" w:rsidP="006E098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7F207C">
        <w:rPr>
          <w:b/>
          <w:sz w:val="24"/>
          <w:szCs w:val="24"/>
        </w:rPr>
        <w:t>6.1</w:t>
      </w:r>
      <w:r w:rsidRPr="007F207C">
        <w:rPr>
          <w:b/>
          <w:sz w:val="24"/>
          <w:szCs w:val="24"/>
        </w:rPr>
        <w:tab/>
        <w:t>Hjælpestoffer</w:t>
      </w:r>
    </w:p>
    <w:p w:rsidR="006E0981" w:rsidRPr="007F207C" w:rsidRDefault="006E0981" w:rsidP="006E0981">
      <w:pPr>
        <w:autoSpaceDE w:val="0"/>
        <w:autoSpaceDN w:val="0"/>
        <w:adjustRightInd w:val="0"/>
        <w:ind w:left="851" w:hanging="851"/>
        <w:rPr>
          <w:rFonts w:eastAsia="Calibri"/>
          <w:sz w:val="24"/>
          <w:szCs w:val="24"/>
        </w:rPr>
      </w:pPr>
      <w:r w:rsidRPr="007F207C">
        <w:rPr>
          <w:sz w:val="24"/>
          <w:szCs w:val="24"/>
        </w:rPr>
        <w:tab/>
      </w:r>
      <w:proofErr w:type="spellStart"/>
      <w:r w:rsidRPr="007F207C">
        <w:rPr>
          <w:rFonts w:eastAsia="Calibri"/>
          <w:sz w:val="24"/>
          <w:szCs w:val="24"/>
        </w:rPr>
        <w:t>Macrogolglycerol-hydroxystearat</w:t>
      </w:r>
      <w:proofErr w:type="spellEnd"/>
    </w:p>
    <w:p w:rsidR="006E0981" w:rsidRPr="007F207C" w:rsidRDefault="006E0981" w:rsidP="006E0981">
      <w:pPr>
        <w:autoSpaceDE w:val="0"/>
        <w:autoSpaceDN w:val="0"/>
        <w:adjustRightInd w:val="0"/>
        <w:ind w:left="851"/>
        <w:rPr>
          <w:rFonts w:eastAsia="Calibri"/>
          <w:sz w:val="24"/>
          <w:szCs w:val="24"/>
        </w:rPr>
      </w:pPr>
      <w:r w:rsidRPr="007F207C">
        <w:rPr>
          <w:rFonts w:eastAsia="Calibri"/>
          <w:sz w:val="24"/>
          <w:szCs w:val="24"/>
        </w:rPr>
        <w:t xml:space="preserve">Destilleret </w:t>
      </w:r>
      <w:proofErr w:type="spellStart"/>
      <w:r w:rsidRPr="007F207C">
        <w:rPr>
          <w:rFonts w:eastAsia="Calibri"/>
          <w:sz w:val="24"/>
          <w:szCs w:val="24"/>
        </w:rPr>
        <w:t>monoglycerid</w:t>
      </w:r>
      <w:proofErr w:type="spellEnd"/>
    </w:p>
    <w:p w:rsidR="006E0981" w:rsidRPr="007F207C" w:rsidRDefault="006E0981" w:rsidP="006E0981">
      <w:pPr>
        <w:autoSpaceDE w:val="0"/>
        <w:autoSpaceDN w:val="0"/>
        <w:adjustRightInd w:val="0"/>
        <w:ind w:left="851"/>
        <w:rPr>
          <w:rFonts w:eastAsia="Calibri"/>
          <w:sz w:val="24"/>
          <w:szCs w:val="24"/>
        </w:rPr>
      </w:pPr>
      <w:proofErr w:type="spellStart"/>
      <w:r w:rsidRPr="007F207C">
        <w:rPr>
          <w:rFonts w:eastAsia="Calibri"/>
          <w:sz w:val="24"/>
          <w:szCs w:val="24"/>
        </w:rPr>
        <w:t>Propylgallat</w:t>
      </w:r>
      <w:proofErr w:type="spellEnd"/>
    </w:p>
    <w:p w:rsidR="006E0981" w:rsidRPr="007F207C" w:rsidRDefault="006E0981" w:rsidP="006E0981">
      <w:pPr>
        <w:autoSpaceDE w:val="0"/>
        <w:autoSpaceDN w:val="0"/>
        <w:adjustRightInd w:val="0"/>
        <w:ind w:left="851"/>
        <w:rPr>
          <w:rFonts w:eastAsia="Calibri"/>
          <w:sz w:val="24"/>
          <w:szCs w:val="24"/>
        </w:rPr>
      </w:pPr>
      <w:proofErr w:type="spellStart"/>
      <w:r w:rsidRPr="007F207C">
        <w:rPr>
          <w:rFonts w:eastAsia="Calibri"/>
          <w:sz w:val="24"/>
          <w:szCs w:val="24"/>
        </w:rPr>
        <w:t>Butylhydroxyanisol</w:t>
      </w:r>
      <w:proofErr w:type="spellEnd"/>
    </w:p>
    <w:p w:rsidR="006E0981" w:rsidRPr="007F207C" w:rsidRDefault="006E0981" w:rsidP="006E0981">
      <w:pPr>
        <w:ind w:left="851"/>
        <w:rPr>
          <w:sz w:val="24"/>
          <w:szCs w:val="24"/>
        </w:rPr>
      </w:pPr>
      <w:r w:rsidRPr="007F207C">
        <w:rPr>
          <w:rFonts w:eastAsia="Calibri"/>
          <w:sz w:val="24"/>
          <w:szCs w:val="24"/>
        </w:rPr>
        <w:t>Majskolber</w:t>
      </w:r>
    </w:p>
    <w:p w:rsidR="006E0981" w:rsidRPr="007F207C" w:rsidRDefault="006E0981" w:rsidP="006E098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6E0981" w:rsidRPr="007F207C" w:rsidRDefault="006E0981" w:rsidP="006E098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7F207C">
        <w:rPr>
          <w:b/>
          <w:sz w:val="24"/>
          <w:szCs w:val="24"/>
        </w:rPr>
        <w:t>6.2</w:t>
      </w:r>
      <w:r w:rsidRPr="007F207C">
        <w:rPr>
          <w:b/>
          <w:sz w:val="24"/>
          <w:szCs w:val="24"/>
        </w:rPr>
        <w:tab/>
        <w:t>Uforligeligheder</w:t>
      </w:r>
    </w:p>
    <w:p w:rsidR="006E0981" w:rsidRPr="007F207C" w:rsidRDefault="006E0981" w:rsidP="006E0981">
      <w:pPr>
        <w:ind w:left="851" w:hanging="851"/>
        <w:rPr>
          <w:sz w:val="24"/>
          <w:szCs w:val="24"/>
        </w:rPr>
      </w:pPr>
      <w:r w:rsidRPr="007F207C">
        <w:rPr>
          <w:sz w:val="24"/>
          <w:szCs w:val="24"/>
        </w:rPr>
        <w:tab/>
        <w:t>Da der ikke foreligger undersøgelser vedrørende eventuelle uforligeligheder, bør dette lægemiddel ikke blandes med andre præparater.</w:t>
      </w:r>
    </w:p>
    <w:p w:rsidR="006E0981" w:rsidRPr="007F207C" w:rsidRDefault="006E0981" w:rsidP="006E098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6E0981" w:rsidRPr="007F207C" w:rsidRDefault="006E0981" w:rsidP="006E098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7F207C">
        <w:rPr>
          <w:b/>
          <w:sz w:val="24"/>
          <w:szCs w:val="24"/>
        </w:rPr>
        <w:t>6.3</w:t>
      </w:r>
      <w:r w:rsidRPr="007F207C">
        <w:rPr>
          <w:b/>
          <w:sz w:val="24"/>
          <w:szCs w:val="24"/>
        </w:rPr>
        <w:tab/>
        <w:t>Opbevaringstid</w:t>
      </w:r>
    </w:p>
    <w:p w:rsidR="006E0981" w:rsidRPr="007F207C" w:rsidRDefault="006E0981" w:rsidP="006E0981">
      <w:pPr>
        <w:autoSpaceDE w:val="0"/>
        <w:autoSpaceDN w:val="0"/>
        <w:adjustRightInd w:val="0"/>
        <w:ind w:left="851" w:hanging="851"/>
        <w:rPr>
          <w:rFonts w:eastAsia="Calibri"/>
          <w:sz w:val="24"/>
          <w:szCs w:val="24"/>
        </w:rPr>
      </w:pPr>
      <w:r w:rsidRPr="007F207C">
        <w:rPr>
          <w:sz w:val="24"/>
          <w:szCs w:val="24"/>
        </w:rPr>
        <w:tab/>
      </w:r>
      <w:r>
        <w:rPr>
          <w:rFonts w:eastAsia="Calibri"/>
          <w:sz w:val="24"/>
          <w:szCs w:val="24"/>
        </w:rPr>
        <w:t>I</w:t>
      </w:r>
      <w:r w:rsidRPr="007F207C">
        <w:rPr>
          <w:rFonts w:eastAsia="Calibri"/>
          <w:sz w:val="24"/>
          <w:szCs w:val="24"/>
        </w:rPr>
        <w:t xml:space="preserve"> salgspakning: 18 måneder.</w:t>
      </w:r>
    </w:p>
    <w:p w:rsidR="006E0981" w:rsidRPr="007F207C" w:rsidRDefault="006E0981" w:rsidP="006E0981">
      <w:pPr>
        <w:autoSpaceDE w:val="0"/>
        <w:autoSpaceDN w:val="0"/>
        <w:adjustRightInd w:val="0"/>
        <w:ind w:left="85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Ef</w:t>
      </w:r>
      <w:r w:rsidRPr="007F207C">
        <w:rPr>
          <w:rFonts w:eastAsia="Calibri"/>
          <w:sz w:val="24"/>
          <w:szCs w:val="24"/>
        </w:rPr>
        <w:t>ter første åbning af den indre emballage: 28 dage.</w:t>
      </w:r>
    </w:p>
    <w:p w:rsidR="006E0981" w:rsidRPr="007F207C" w:rsidRDefault="006E0981" w:rsidP="006E098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6E0981" w:rsidRPr="007F207C" w:rsidRDefault="006E0981" w:rsidP="006E098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7F207C">
        <w:rPr>
          <w:b/>
          <w:sz w:val="24"/>
          <w:szCs w:val="24"/>
        </w:rPr>
        <w:t>6.4</w:t>
      </w:r>
      <w:r w:rsidRPr="007F207C">
        <w:rPr>
          <w:b/>
          <w:sz w:val="24"/>
          <w:szCs w:val="24"/>
        </w:rPr>
        <w:tab/>
        <w:t>Særlige opbevaringsforhold</w:t>
      </w:r>
    </w:p>
    <w:p w:rsidR="006E0981" w:rsidRPr="007F207C" w:rsidRDefault="006E0981" w:rsidP="006E0981">
      <w:pPr>
        <w:autoSpaceDE w:val="0"/>
        <w:autoSpaceDN w:val="0"/>
        <w:adjustRightInd w:val="0"/>
        <w:ind w:left="851" w:hanging="851"/>
        <w:rPr>
          <w:rFonts w:eastAsia="Calibri"/>
          <w:sz w:val="24"/>
          <w:szCs w:val="24"/>
        </w:rPr>
      </w:pPr>
      <w:r w:rsidRPr="007F207C">
        <w:rPr>
          <w:sz w:val="24"/>
          <w:szCs w:val="24"/>
        </w:rPr>
        <w:tab/>
      </w:r>
      <w:r w:rsidRPr="007F207C">
        <w:rPr>
          <w:rFonts w:eastAsia="Calibri"/>
          <w:sz w:val="24"/>
          <w:szCs w:val="24"/>
        </w:rPr>
        <w:t>Må ikke opbevares over 25°C.</w:t>
      </w:r>
    </w:p>
    <w:p w:rsidR="006E0981" w:rsidRPr="007F207C" w:rsidRDefault="006E0981" w:rsidP="006E0981">
      <w:pPr>
        <w:autoSpaceDE w:val="0"/>
        <w:autoSpaceDN w:val="0"/>
        <w:adjustRightInd w:val="0"/>
        <w:ind w:left="851"/>
        <w:rPr>
          <w:rFonts w:eastAsia="Calibri"/>
          <w:sz w:val="24"/>
          <w:szCs w:val="24"/>
        </w:rPr>
      </w:pPr>
      <w:r w:rsidRPr="007F207C">
        <w:rPr>
          <w:rFonts w:eastAsia="Calibri"/>
          <w:sz w:val="24"/>
          <w:szCs w:val="24"/>
        </w:rPr>
        <w:t>Opbevares tørt.</w:t>
      </w:r>
    </w:p>
    <w:p w:rsidR="006E0981" w:rsidRPr="007F207C" w:rsidRDefault="006E0981" w:rsidP="006E098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6E0981" w:rsidRPr="007F207C" w:rsidRDefault="006E0981" w:rsidP="006E098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7F207C">
        <w:rPr>
          <w:b/>
          <w:sz w:val="24"/>
          <w:szCs w:val="24"/>
        </w:rPr>
        <w:t>6.5</w:t>
      </w:r>
      <w:r w:rsidRPr="007F207C">
        <w:rPr>
          <w:b/>
          <w:sz w:val="24"/>
          <w:szCs w:val="24"/>
        </w:rPr>
        <w:tab/>
        <w:t>Emballage</w:t>
      </w:r>
    </w:p>
    <w:p w:rsidR="006E0981" w:rsidRPr="007F207C" w:rsidRDefault="006E0981" w:rsidP="006E0981">
      <w:pPr>
        <w:pStyle w:val="Brdtekst"/>
        <w:spacing w:after="0"/>
        <w:ind w:left="851" w:hanging="851"/>
        <w:rPr>
          <w:sz w:val="24"/>
          <w:szCs w:val="24"/>
          <w:lang w:eastAsia="de-DE"/>
        </w:rPr>
      </w:pPr>
      <w:r w:rsidRPr="007F207C">
        <w:rPr>
          <w:sz w:val="24"/>
          <w:szCs w:val="24"/>
        </w:rPr>
        <w:tab/>
      </w:r>
      <w:r w:rsidRPr="007F207C">
        <w:rPr>
          <w:sz w:val="24"/>
          <w:szCs w:val="24"/>
          <w:lang w:eastAsia="de-DE"/>
        </w:rPr>
        <w:t>Pakningsstørrelse: 333 g</w:t>
      </w:r>
    </w:p>
    <w:p w:rsidR="006E0981" w:rsidRPr="007F207C" w:rsidRDefault="006E0981" w:rsidP="006E0981">
      <w:pPr>
        <w:ind w:left="851"/>
        <w:rPr>
          <w:sz w:val="24"/>
          <w:szCs w:val="24"/>
          <w:lang w:eastAsia="de-DE"/>
        </w:rPr>
      </w:pPr>
      <w:r w:rsidRPr="007F207C">
        <w:rPr>
          <w:sz w:val="24"/>
          <w:szCs w:val="24"/>
          <w:lang w:eastAsia="de-DE"/>
        </w:rPr>
        <w:t>Pakning: pose af aluminiumfolie</w:t>
      </w:r>
    </w:p>
    <w:p w:rsidR="006E0981" w:rsidRPr="007F207C" w:rsidRDefault="006E0981" w:rsidP="006E0981">
      <w:pPr>
        <w:ind w:left="851"/>
        <w:rPr>
          <w:sz w:val="24"/>
          <w:szCs w:val="24"/>
          <w:lang w:eastAsia="de-DE"/>
        </w:rPr>
      </w:pPr>
      <w:r w:rsidRPr="007F207C">
        <w:rPr>
          <w:sz w:val="24"/>
          <w:szCs w:val="24"/>
          <w:lang w:eastAsia="de-DE"/>
        </w:rPr>
        <w:t>Lukning: varmeforsegling</w:t>
      </w:r>
    </w:p>
    <w:p w:rsidR="006E0981" w:rsidRPr="007F207C" w:rsidRDefault="006E0981" w:rsidP="006E098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6E0981" w:rsidRPr="007F207C" w:rsidRDefault="006E0981" w:rsidP="006E0981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7F207C">
        <w:rPr>
          <w:b/>
          <w:sz w:val="24"/>
          <w:szCs w:val="24"/>
        </w:rPr>
        <w:t>6.6</w:t>
      </w:r>
      <w:r w:rsidRPr="007F207C">
        <w:rPr>
          <w:b/>
          <w:sz w:val="24"/>
          <w:szCs w:val="24"/>
        </w:rPr>
        <w:tab/>
        <w:t>Særlige forholdsregler ved bortskaffelse af rester af lægemidlet eller affald</w:t>
      </w:r>
    </w:p>
    <w:p w:rsidR="006E0981" w:rsidRPr="007F207C" w:rsidRDefault="006E0981" w:rsidP="006E0981">
      <w:pPr>
        <w:ind w:left="851" w:right="-318" w:hanging="851"/>
        <w:rPr>
          <w:sz w:val="24"/>
          <w:szCs w:val="24"/>
        </w:rPr>
      </w:pPr>
      <w:r w:rsidRPr="007F207C">
        <w:rPr>
          <w:sz w:val="24"/>
          <w:szCs w:val="24"/>
        </w:rPr>
        <w:tab/>
      </w:r>
      <w:r w:rsidRPr="007F207C">
        <w:rPr>
          <w:b/>
          <w:sz w:val="24"/>
          <w:szCs w:val="24"/>
        </w:rPr>
        <w:t>EXTREMT FARLIGT FOR FISK OG ANDRE ORGANISMER I VANDET.</w:t>
      </w:r>
      <w:r w:rsidRPr="007F207C">
        <w:rPr>
          <w:sz w:val="24"/>
          <w:szCs w:val="24"/>
        </w:rPr>
        <w:t xml:space="preserve"> </w:t>
      </w:r>
    </w:p>
    <w:p w:rsidR="006E0981" w:rsidRPr="007F207C" w:rsidRDefault="006E0981" w:rsidP="006E0981">
      <w:pPr>
        <w:ind w:left="851" w:right="-318"/>
        <w:rPr>
          <w:sz w:val="24"/>
          <w:szCs w:val="24"/>
        </w:rPr>
      </w:pPr>
      <w:r w:rsidRPr="007F207C">
        <w:rPr>
          <w:sz w:val="24"/>
          <w:szCs w:val="24"/>
        </w:rPr>
        <w:t xml:space="preserve">Undgå at kontaminere vandløb og grøfter med lægemidlet eller brugte beholdere. </w:t>
      </w:r>
    </w:p>
    <w:p w:rsidR="006E0981" w:rsidRPr="007F207C" w:rsidRDefault="006E0981" w:rsidP="006E0981">
      <w:pPr>
        <w:ind w:left="851" w:right="-318"/>
        <w:rPr>
          <w:sz w:val="24"/>
          <w:szCs w:val="24"/>
        </w:rPr>
      </w:pPr>
      <w:r w:rsidRPr="007F207C">
        <w:rPr>
          <w:sz w:val="24"/>
          <w:szCs w:val="24"/>
        </w:rPr>
        <w:t xml:space="preserve">Ikke anvendte veterinære lægemidler, samt affald heraf, bør destrueres i henhold til lokale </w:t>
      </w:r>
      <w:proofErr w:type="spellStart"/>
      <w:r w:rsidRPr="007F207C">
        <w:rPr>
          <w:sz w:val="24"/>
          <w:szCs w:val="24"/>
        </w:rPr>
        <w:t>retningslinier</w:t>
      </w:r>
      <w:proofErr w:type="spellEnd"/>
      <w:r w:rsidRPr="007F207C">
        <w:rPr>
          <w:sz w:val="24"/>
          <w:szCs w:val="24"/>
        </w:rPr>
        <w:t>.</w:t>
      </w:r>
    </w:p>
    <w:p w:rsidR="006E0981" w:rsidRPr="007F207C" w:rsidRDefault="006E0981" w:rsidP="006E098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E30951" w:rsidRPr="00BC4772" w:rsidRDefault="006E0981" w:rsidP="00BC4772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7F207C">
        <w:rPr>
          <w:b/>
          <w:sz w:val="24"/>
          <w:szCs w:val="24"/>
        </w:rPr>
        <w:t>7.</w:t>
      </w:r>
      <w:r w:rsidRPr="007F207C">
        <w:rPr>
          <w:b/>
          <w:sz w:val="24"/>
          <w:szCs w:val="24"/>
        </w:rPr>
        <w:tab/>
        <w:t>INDEHAVER AF MARKEDSFØRINGSTILLADELSEN</w:t>
      </w:r>
    </w:p>
    <w:p w:rsidR="00BC4772" w:rsidRPr="00241CB8" w:rsidRDefault="00BC4772" w:rsidP="00BC4772">
      <w:pPr>
        <w:tabs>
          <w:tab w:val="left" w:pos="851"/>
        </w:tabs>
        <w:ind w:left="1285" w:hanging="1285"/>
        <w:jc w:val="both"/>
        <w:rPr>
          <w:spacing w:val="-3"/>
          <w:sz w:val="24"/>
          <w:szCs w:val="24"/>
        </w:rPr>
      </w:pPr>
      <w:r w:rsidRPr="00241CB8">
        <w:rPr>
          <w:spacing w:val="-3"/>
        </w:rPr>
        <w:tab/>
      </w:r>
      <w:r w:rsidRPr="00241CB8">
        <w:rPr>
          <w:spacing w:val="-3"/>
          <w:sz w:val="24"/>
          <w:szCs w:val="24"/>
        </w:rPr>
        <w:t>ECO Animal Health Europe Ltd.</w:t>
      </w:r>
    </w:p>
    <w:p w:rsidR="00BC4772" w:rsidRPr="00BC4772" w:rsidRDefault="00BC4772" w:rsidP="00BC4772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1276" w:hanging="1276"/>
        <w:jc w:val="both"/>
        <w:rPr>
          <w:spacing w:val="-3"/>
          <w:sz w:val="24"/>
          <w:szCs w:val="24"/>
          <w:lang w:val="en-GB"/>
        </w:rPr>
      </w:pPr>
      <w:r w:rsidRPr="00241CB8">
        <w:rPr>
          <w:spacing w:val="-3"/>
          <w:sz w:val="24"/>
          <w:szCs w:val="24"/>
        </w:rPr>
        <w:tab/>
      </w:r>
      <w:r w:rsidRPr="00BC4772">
        <w:rPr>
          <w:spacing w:val="-3"/>
          <w:sz w:val="24"/>
          <w:szCs w:val="24"/>
          <w:lang w:val="en-GB"/>
        </w:rPr>
        <w:t>6th Floor, South Bank House</w:t>
      </w:r>
    </w:p>
    <w:p w:rsidR="00BC4772" w:rsidRPr="00BC4772" w:rsidRDefault="00BC4772" w:rsidP="00BC4772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1276" w:hanging="1276"/>
        <w:jc w:val="both"/>
        <w:rPr>
          <w:spacing w:val="-3"/>
          <w:sz w:val="24"/>
          <w:szCs w:val="24"/>
          <w:lang w:val="en-GB"/>
        </w:rPr>
      </w:pPr>
      <w:r w:rsidRPr="00BC4772">
        <w:rPr>
          <w:spacing w:val="-3"/>
          <w:sz w:val="24"/>
          <w:szCs w:val="24"/>
          <w:lang w:val="en-GB"/>
        </w:rPr>
        <w:tab/>
        <w:t>Barrow Street</w:t>
      </w:r>
    </w:p>
    <w:p w:rsidR="00BC4772" w:rsidRPr="00BC4772" w:rsidRDefault="00BC4772" w:rsidP="00BC4772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ind w:left="1276" w:hanging="1276"/>
        <w:jc w:val="both"/>
        <w:rPr>
          <w:spacing w:val="-3"/>
          <w:sz w:val="24"/>
          <w:szCs w:val="24"/>
          <w:lang w:val="en-GB"/>
        </w:rPr>
      </w:pPr>
      <w:r w:rsidRPr="00BC4772">
        <w:rPr>
          <w:spacing w:val="-3"/>
          <w:sz w:val="24"/>
          <w:szCs w:val="24"/>
          <w:lang w:val="en-GB"/>
        </w:rPr>
        <w:tab/>
        <w:t>Dublin 4 D04 TR29</w:t>
      </w:r>
    </w:p>
    <w:p w:rsidR="006E0981" w:rsidRPr="00BC4772" w:rsidRDefault="00BC4772" w:rsidP="00BC4772">
      <w:pPr>
        <w:ind w:left="851"/>
        <w:jc w:val="both"/>
        <w:rPr>
          <w:sz w:val="24"/>
          <w:szCs w:val="24"/>
          <w:lang w:val="en-US"/>
        </w:rPr>
      </w:pPr>
      <w:proofErr w:type="spellStart"/>
      <w:r w:rsidRPr="00BC4772">
        <w:rPr>
          <w:spacing w:val="-3"/>
          <w:sz w:val="24"/>
          <w:szCs w:val="24"/>
          <w:lang w:val="en-US"/>
        </w:rPr>
        <w:t>Irland</w:t>
      </w:r>
      <w:proofErr w:type="spellEnd"/>
    </w:p>
    <w:p w:rsidR="006E0981" w:rsidRPr="00BC4772" w:rsidRDefault="006E0981" w:rsidP="006E0981">
      <w:pPr>
        <w:ind w:left="851"/>
        <w:jc w:val="both"/>
        <w:rPr>
          <w:sz w:val="24"/>
          <w:szCs w:val="24"/>
          <w:lang w:val="en-US"/>
        </w:rPr>
      </w:pPr>
    </w:p>
    <w:p w:rsidR="006E0981" w:rsidRPr="00BC4772" w:rsidRDefault="006E0981" w:rsidP="006E0981">
      <w:pPr>
        <w:ind w:left="851"/>
        <w:jc w:val="both"/>
        <w:rPr>
          <w:sz w:val="24"/>
          <w:szCs w:val="24"/>
          <w:lang w:val="en-US"/>
        </w:rPr>
      </w:pPr>
      <w:proofErr w:type="spellStart"/>
      <w:r w:rsidRPr="00BC4772">
        <w:rPr>
          <w:b/>
          <w:sz w:val="24"/>
          <w:szCs w:val="24"/>
          <w:lang w:val="en-US"/>
        </w:rPr>
        <w:t>Repræsentant</w:t>
      </w:r>
      <w:proofErr w:type="spellEnd"/>
    </w:p>
    <w:p w:rsidR="006E0981" w:rsidRPr="00BC4772" w:rsidRDefault="006E0981" w:rsidP="006E0981">
      <w:pPr>
        <w:tabs>
          <w:tab w:val="left" w:pos="1843"/>
          <w:tab w:val="left" w:pos="4537"/>
        </w:tabs>
        <w:ind w:left="851"/>
        <w:rPr>
          <w:sz w:val="24"/>
          <w:szCs w:val="24"/>
          <w:lang w:val="en-US"/>
        </w:rPr>
      </w:pPr>
      <w:proofErr w:type="spellStart"/>
      <w:r w:rsidRPr="00BC4772">
        <w:rPr>
          <w:color w:val="000000"/>
          <w:sz w:val="24"/>
          <w:szCs w:val="24"/>
          <w:lang w:val="en-US"/>
        </w:rPr>
        <w:t>Salfarm</w:t>
      </w:r>
      <w:proofErr w:type="spellEnd"/>
      <w:r w:rsidRPr="00BC4772">
        <w:rPr>
          <w:color w:val="000000"/>
          <w:sz w:val="24"/>
          <w:szCs w:val="24"/>
          <w:lang w:val="en-US"/>
        </w:rPr>
        <w:t xml:space="preserve"> Denmark A/S</w:t>
      </w:r>
    </w:p>
    <w:p w:rsidR="00D55E68" w:rsidRPr="00151292" w:rsidRDefault="00D55E68" w:rsidP="00D55E68">
      <w:pPr>
        <w:ind w:left="851"/>
        <w:rPr>
          <w:sz w:val="24"/>
          <w:szCs w:val="24"/>
        </w:rPr>
      </w:pPr>
      <w:r w:rsidRPr="00151292">
        <w:rPr>
          <w:sz w:val="24"/>
          <w:szCs w:val="24"/>
        </w:rPr>
        <w:t>Nordager 19</w:t>
      </w:r>
      <w:bookmarkStart w:id="0" w:name="_GoBack"/>
      <w:bookmarkEnd w:id="0"/>
    </w:p>
    <w:p w:rsidR="00D55E68" w:rsidRDefault="00D55E68" w:rsidP="00D55E68">
      <w:pPr>
        <w:ind w:left="851"/>
        <w:rPr>
          <w:sz w:val="24"/>
          <w:szCs w:val="24"/>
        </w:rPr>
      </w:pPr>
      <w:r w:rsidRPr="00151292">
        <w:rPr>
          <w:sz w:val="24"/>
          <w:szCs w:val="24"/>
        </w:rPr>
        <w:t>6000 Kolding</w:t>
      </w:r>
    </w:p>
    <w:p w:rsidR="006E0981" w:rsidRPr="007F207C" w:rsidRDefault="006E0981" w:rsidP="006E098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6E0981" w:rsidRPr="007F207C" w:rsidRDefault="006E0981" w:rsidP="006E098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7F207C">
        <w:rPr>
          <w:b/>
          <w:sz w:val="24"/>
          <w:szCs w:val="24"/>
        </w:rPr>
        <w:t>8.</w:t>
      </w:r>
      <w:r w:rsidRPr="007F207C">
        <w:rPr>
          <w:b/>
          <w:sz w:val="24"/>
          <w:szCs w:val="24"/>
        </w:rPr>
        <w:tab/>
        <w:t>MARKEDSFØRINGSTILLADELSESNUMMER (NUMRE)</w:t>
      </w:r>
    </w:p>
    <w:p w:rsidR="006E0981" w:rsidRPr="007F207C" w:rsidRDefault="006E0981" w:rsidP="006E098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7F207C">
        <w:rPr>
          <w:sz w:val="24"/>
          <w:szCs w:val="24"/>
        </w:rPr>
        <w:tab/>
      </w:r>
      <w:r>
        <w:rPr>
          <w:sz w:val="24"/>
          <w:szCs w:val="24"/>
        </w:rPr>
        <w:t>54637</w:t>
      </w:r>
    </w:p>
    <w:p w:rsidR="006E0981" w:rsidRPr="007F207C" w:rsidRDefault="006E0981" w:rsidP="006E098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6E0981" w:rsidRPr="007F207C" w:rsidRDefault="006E0981" w:rsidP="006E0981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7F207C">
        <w:rPr>
          <w:b/>
          <w:sz w:val="24"/>
          <w:szCs w:val="24"/>
        </w:rPr>
        <w:t>9.</w:t>
      </w:r>
      <w:r w:rsidRPr="007F207C">
        <w:rPr>
          <w:b/>
          <w:sz w:val="24"/>
          <w:szCs w:val="24"/>
        </w:rPr>
        <w:tab/>
        <w:t>DATO FOR FØRSTE MARKEDSFØRINGSTILLADELSE</w:t>
      </w:r>
    </w:p>
    <w:p w:rsidR="006E0981" w:rsidRPr="007F207C" w:rsidRDefault="006E0981" w:rsidP="006E098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7F207C">
        <w:rPr>
          <w:sz w:val="24"/>
          <w:szCs w:val="24"/>
        </w:rPr>
        <w:tab/>
      </w:r>
      <w:r>
        <w:rPr>
          <w:sz w:val="24"/>
          <w:szCs w:val="24"/>
        </w:rPr>
        <w:t>9. september 2000 (injektionsvæske, opløsning)</w:t>
      </w:r>
    </w:p>
    <w:p w:rsidR="006E0981" w:rsidRPr="007F207C" w:rsidRDefault="006E0981" w:rsidP="006E098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6E0981" w:rsidRPr="007F207C" w:rsidRDefault="006E0981" w:rsidP="006E0981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7F207C">
        <w:rPr>
          <w:b/>
          <w:sz w:val="24"/>
          <w:szCs w:val="24"/>
        </w:rPr>
        <w:lastRenderedPageBreak/>
        <w:t>10.</w:t>
      </w:r>
      <w:r w:rsidRPr="007F207C">
        <w:rPr>
          <w:b/>
          <w:sz w:val="24"/>
          <w:szCs w:val="24"/>
        </w:rPr>
        <w:tab/>
        <w:t>DATO FOR ÆNDRING AF TEKSTEN</w:t>
      </w:r>
    </w:p>
    <w:p w:rsidR="006E0981" w:rsidRPr="007F207C" w:rsidRDefault="006E0981" w:rsidP="006E098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7F207C">
        <w:rPr>
          <w:sz w:val="24"/>
          <w:szCs w:val="24"/>
        </w:rPr>
        <w:tab/>
      </w:r>
      <w:r w:rsidR="00D55E68">
        <w:rPr>
          <w:sz w:val="24"/>
          <w:szCs w:val="24"/>
        </w:rPr>
        <w:t>28. juni 2022</w:t>
      </w:r>
    </w:p>
    <w:p w:rsidR="006E0981" w:rsidRPr="007F207C" w:rsidRDefault="006E0981" w:rsidP="006E098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6E0981" w:rsidRPr="007F207C" w:rsidRDefault="006E0981" w:rsidP="006E0981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7F207C">
        <w:rPr>
          <w:b/>
          <w:sz w:val="24"/>
          <w:szCs w:val="24"/>
        </w:rPr>
        <w:t>11.</w:t>
      </w:r>
      <w:r w:rsidRPr="007F207C">
        <w:rPr>
          <w:b/>
          <w:sz w:val="24"/>
          <w:szCs w:val="24"/>
        </w:rPr>
        <w:tab/>
        <w:t>UDLEVERINGSBESTEMMELSE</w:t>
      </w:r>
    </w:p>
    <w:p w:rsidR="006E0981" w:rsidRPr="007F207C" w:rsidRDefault="006E0981" w:rsidP="006E0981">
      <w:pPr>
        <w:pStyle w:val="Sidehoved"/>
        <w:tabs>
          <w:tab w:val="clear" w:pos="4819"/>
          <w:tab w:val="left" w:pos="851"/>
          <w:tab w:val="left" w:pos="8222"/>
        </w:tabs>
        <w:ind w:left="851" w:hanging="851"/>
        <w:rPr>
          <w:szCs w:val="24"/>
        </w:rPr>
      </w:pPr>
      <w:r w:rsidRPr="007F207C">
        <w:rPr>
          <w:szCs w:val="24"/>
        </w:rPr>
        <w:tab/>
        <w:t>BP</w:t>
      </w:r>
    </w:p>
    <w:p w:rsidR="006E0981" w:rsidRPr="00B45A64" w:rsidRDefault="006E0981" w:rsidP="006E0981"/>
    <w:p w:rsidR="0003527F" w:rsidRPr="006E0981" w:rsidRDefault="0003527F" w:rsidP="006E0981"/>
    <w:sectPr w:rsidR="0003527F" w:rsidRPr="006E0981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981" w:rsidRDefault="006E0981">
      <w:r>
        <w:separator/>
      </w:r>
    </w:p>
  </w:endnote>
  <w:endnote w:type="continuationSeparator" w:id="0">
    <w:p w:rsidR="006E0981" w:rsidRDefault="006E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AA060B">
    <w:pPr>
      <w:pStyle w:val="Sidefod"/>
      <w:tabs>
        <w:tab w:val="clear" w:pos="4819"/>
        <w:tab w:val="left" w:pos="8647"/>
      </w:tabs>
      <w:rPr>
        <w:i/>
        <w:sz w:val="18"/>
      </w:rPr>
    </w:pPr>
    <w:proofErr w:type="spellStart"/>
    <w:r w:rsidRPr="00AA060B">
      <w:rPr>
        <w:i/>
        <w:snapToGrid w:val="0"/>
        <w:sz w:val="18"/>
      </w:rPr>
      <w:t>Ecomectin</w:t>
    </w:r>
    <w:proofErr w:type="spellEnd"/>
    <w:r w:rsidRPr="00AA060B">
      <w:rPr>
        <w:i/>
        <w:snapToGrid w:val="0"/>
        <w:sz w:val="18"/>
      </w:rPr>
      <w:t xml:space="preserve"> </w:t>
    </w:r>
    <w:proofErr w:type="spellStart"/>
    <w:r w:rsidRPr="00AA060B">
      <w:rPr>
        <w:i/>
        <w:snapToGrid w:val="0"/>
        <w:sz w:val="18"/>
      </w:rPr>
      <w:t>Vet</w:t>
    </w:r>
    <w:proofErr w:type="spellEnd"/>
    <w:r w:rsidRPr="00AA060B">
      <w:rPr>
        <w:i/>
        <w:snapToGrid w:val="0"/>
        <w:sz w:val="18"/>
      </w:rPr>
      <w:t>., oralt pulver 6 mg-g</w:t>
    </w:r>
    <w:r w:rsidR="004A62CC">
      <w:rPr>
        <w:i/>
        <w:snapToGrid w:val="0"/>
        <w:sz w:val="18"/>
      </w:rPr>
      <w:tab/>
      <w:t xml:space="preserve">Side </w:t>
    </w:r>
    <w:r w:rsidR="00666B01"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 w:rsidR="00666B01"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 w:rsidR="00666B01"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 w:rsidR="00666B01"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 w:rsidR="00666B01"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 w:rsidR="00666B01"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6E0981">
      <w:rPr>
        <w:i/>
        <w:noProof/>
        <w:snapToGrid w:val="0"/>
        <w:sz w:val="18"/>
      </w:rPr>
      <w:t>Dokument264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981" w:rsidRDefault="006E0981">
      <w:r>
        <w:separator/>
      </w:r>
    </w:p>
  </w:footnote>
  <w:footnote w:type="continuationSeparator" w:id="0">
    <w:p w:rsidR="006E0981" w:rsidRDefault="006E0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92B1D4F"/>
    <w:multiLevelType w:val="hybridMultilevel"/>
    <w:tmpl w:val="3C5AA878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81"/>
    <w:rsid w:val="0003527F"/>
    <w:rsid w:val="00065C7D"/>
    <w:rsid w:val="000C6CD4"/>
    <w:rsid w:val="001577E4"/>
    <w:rsid w:val="001858CA"/>
    <w:rsid w:val="001C4AEF"/>
    <w:rsid w:val="001D3CC5"/>
    <w:rsid w:val="00241CB8"/>
    <w:rsid w:val="00322BDE"/>
    <w:rsid w:val="00406EE7"/>
    <w:rsid w:val="00407013"/>
    <w:rsid w:val="00482D05"/>
    <w:rsid w:val="004A62CC"/>
    <w:rsid w:val="00565A74"/>
    <w:rsid w:val="005B0036"/>
    <w:rsid w:val="005F5831"/>
    <w:rsid w:val="00662012"/>
    <w:rsid w:val="00666B01"/>
    <w:rsid w:val="006B1539"/>
    <w:rsid w:val="006D4B41"/>
    <w:rsid w:val="006E0981"/>
    <w:rsid w:val="006F5621"/>
    <w:rsid w:val="007E2A00"/>
    <w:rsid w:val="008010F2"/>
    <w:rsid w:val="009202AE"/>
    <w:rsid w:val="00932676"/>
    <w:rsid w:val="009D66C6"/>
    <w:rsid w:val="00A96525"/>
    <w:rsid w:val="00AA060B"/>
    <w:rsid w:val="00AE29E5"/>
    <w:rsid w:val="00AE5757"/>
    <w:rsid w:val="00B25EB8"/>
    <w:rsid w:val="00BC4772"/>
    <w:rsid w:val="00BC634B"/>
    <w:rsid w:val="00BF2AE0"/>
    <w:rsid w:val="00C479BF"/>
    <w:rsid w:val="00D55E68"/>
    <w:rsid w:val="00D567AA"/>
    <w:rsid w:val="00DD6D71"/>
    <w:rsid w:val="00DF32BE"/>
    <w:rsid w:val="00E14F0A"/>
    <w:rsid w:val="00E30951"/>
    <w:rsid w:val="00EB5778"/>
    <w:rsid w:val="00EE5253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EE3DB"/>
  <w15:chartTrackingRefBased/>
  <w15:docId w15:val="{6A589F26-451E-463B-ABFC-6ECFA06E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paragraph" w:customStyle="1" w:styleId="table">
    <w:name w:val="table"/>
    <w:basedOn w:val="Normal"/>
    <w:rsid w:val="006E0981"/>
    <w:pPr>
      <w:spacing w:before="60"/>
    </w:pPr>
    <w:rPr>
      <w:rFonts w:ascii="Arial" w:hAnsi="Arial"/>
      <w:sz w:val="18"/>
    </w:rPr>
  </w:style>
  <w:style w:type="paragraph" w:styleId="Slutnotetekst">
    <w:name w:val="endnote text"/>
    <w:basedOn w:val="Normal"/>
    <w:link w:val="SlutnotetekstTegn"/>
    <w:unhideWhenUsed/>
    <w:rsid w:val="006E0981"/>
    <w:pPr>
      <w:tabs>
        <w:tab w:val="left" w:pos="567"/>
      </w:tabs>
    </w:pPr>
    <w:rPr>
      <w:sz w:val="22"/>
    </w:rPr>
  </w:style>
  <w:style w:type="character" w:customStyle="1" w:styleId="SlutnotetekstTegn">
    <w:name w:val="Slutnotetekst Tegn"/>
    <w:basedOn w:val="Standardskrifttypeiafsnit"/>
    <w:link w:val="Slutnotetekst"/>
    <w:rsid w:val="006E0981"/>
    <w:rPr>
      <w:sz w:val="22"/>
      <w:lang w:eastAsia="en-US"/>
    </w:rPr>
  </w:style>
  <w:style w:type="paragraph" w:styleId="Brdtekst">
    <w:name w:val="Body Text"/>
    <w:basedOn w:val="Normal"/>
    <w:link w:val="BrdtekstTegn"/>
    <w:uiPriority w:val="99"/>
    <w:semiHidden/>
    <w:unhideWhenUsed/>
    <w:rsid w:val="006E0981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6E0981"/>
    <w:rPr>
      <w:sz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Vet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2</TotalTime>
  <Pages>6</Pages>
  <Words>1180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</dc:creator>
  <cp:keywords/>
  <dc:description>2022054361_x000d_
Ændring af repræsentant adresse</dc:description>
  <cp:lastModifiedBy>Marianne Ott Jensen</cp:lastModifiedBy>
  <cp:revision>3</cp:revision>
  <dcterms:created xsi:type="dcterms:W3CDTF">2022-06-28T10:22:00Z</dcterms:created>
  <dcterms:modified xsi:type="dcterms:W3CDTF">2022-06-28T10:24:00Z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