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209" w:rsidRPr="006F5C7F" w:rsidRDefault="00D31209" w:rsidP="00D31209">
      <w:pPr>
        <w:rPr>
          <w:sz w:val="24"/>
          <w:szCs w:val="24"/>
        </w:rPr>
      </w:pPr>
      <w:r w:rsidRPr="006F5C7F">
        <w:rPr>
          <w:noProof/>
          <w:sz w:val="24"/>
          <w:szCs w:val="24"/>
          <w:lang w:eastAsia="da-DK"/>
        </w:rPr>
        <w:drawing>
          <wp:inline distT="0" distB="0" distL="0" distR="0" wp14:anchorId="100DAEA5" wp14:editId="77F1A0F1">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D31209" w:rsidRPr="006F5C7F" w:rsidRDefault="00D31209" w:rsidP="00D31209">
      <w:pPr>
        <w:rPr>
          <w:sz w:val="24"/>
          <w:szCs w:val="24"/>
        </w:rPr>
      </w:pPr>
    </w:p>
    <w:p w:rsidR="00D31209" w:rsidRPr="006F5C7F" w:rsidRDefault="00D31209" w:rsidP="00D31209">
      <w:pPr>
        <w:tabs>
          <w:tab w:val="right" w:pos="9356"/>
        </w:tabs>
        <w:rPr>
          <w:b/>
          <w:sz w:val="24"/>
          <w:szCs w:val="24"/>
        </w:rPr>
      </w:pPr>
      <w:r w:rsidRPr="006F5C7F">
        <w:rPr>
          <w:b/>
          <w:sz w:val="24"/>
          <w:szCs w:val="24"/>
        </w:rPr>
        <w:tab/>
      </w:r>
      <w:r w:rsidR="00E25CF2">
        <w:rPr>
          <w:b/>
          <w:sz w:val="24"/>
          <w:szCs w:val="24"/>
        </w:rPr>
        <w:t>21</w:t>
      </w:r>
      <w:r>
        <w:rPr>
          <w:b/>
          <w:sz w:val="24"/>
          <w:szCs w:val="24"/>
        </w:rPr>
        <w:t>.</w:t>
      </w:r>
      <w:r w:rsidR="00CF2B9B">
        <w:rPr>
          <w:b/>
          <w:sz w:val="24"/>
          <w:szCs w:val="24"/>
        </w:rPr>
        <w:t xml:space="preserve"> </w:t>
      </w:r>
      <w:r w:rsidR="00E25CF2">
        <w:rPr>
          <w:b/>
          <w:sz w:val="24"/>
          <w:szCs w:val="24"/>
        </w:rPr>
        <w:t>juni 2024</w:t>
      </w:r>
    </w:p>
    <w:p w:rsidR="00D31209" w:rsidRPr="006F5C7F" w:rsidRDefault="00D31209" w:rsidP="00D31209">
      <w:pPr>
        <w:rPr>
          <w:sz w:val="24"/>
          <w:szCs w:val="24"/>
        </w:rPr>
      </w:pPr>
    </w:p>
    <w:p w:rsidR="00D31209" w:rsidRPr="006F5C7F" w:rsidRDefault="00D31209" w:rsidP="00D31209">
      <w:pPr>
        <w:tabs>
          <w:tab w:val="left" w:pos="8222"/>
        </w:tabs>
        <w:jc w:val="center"/>
        <w:rPr>
          <w:b/>
          <w:sz w:val="24"/>
          <w:szCs w:val="24"/>
        </w:rPr>
      </w:pPr>
    </w:p>
    <w:p w:rsidR="00D31209" w:rsidRPr="006F5C7F" w:rsidRDefault="00D31209" w:rsidP="00D31209">
      <w:pPr>
        <w:tabs>
          <w:tab w:val="left" w:pos="8222"/>
        </w:tabs>
        <w:jc w:val="center"/>
        <w:rPr>
          <w:b/>
          <w:sz w:val="24"/>
          <w:szCs w:val="24"/>
        </w:rPr>
      </w:pPr>
      <w:r w:rsidRPr="006F5C7F">
        <w:rPr>
          <w:b/>
          <w:sz w:val="24"/>
          <w:szCs w:val="24"/>
        </w:rPr>
        <w:t>PRODUKTRESUMÉ</w:t>
      </w:r>
    </w:p>
    <w:p w:rsidR="00D31209" w:rsidRPr="006F5C7F" w:rsidRDefault="00D31209" w:rsidP="00D31209">
      <w:pPr>
        <w:tabs>
          <w:tab w:val="left" w:pos="8222"/>
        </w:tabs>
        <w:jc w:val="center"/>
        <w:rPr>
          <w:b/>
          <w:sz w:val="24"/>
          <w:szCs w:val="24"/>
        </w:rPr>
      </w:pPr>
    </w:p>
    <w:p w:rsidR="00D31209" w:rsidRPr="006F5C7F" w:rsidRDefault="00D31209" w:rsidP="00D31209">
      <w:pPr>
        <w:tabs>
          <w:tab w:val="left" w:pos="8222"/>
        </w:tabs>
        <w:jc w:val="center"/>
        <w:rPr>
          <w:b/>
          <w:sz w:val="24"/>
          <w:szCs w:val="24"/>
        </w:rPr>
      </w:pPr>
      <w:r w:rsidRPr="006F5C7F">
        <w:rPr>
          <w:b/>
          <w:sz w:val="24"/>
          <w:szCs w:val="24"/>
        </w:rPr>
        <w:t>for</w:t>
      </w:r>
    </w:p>
    <w:p w:rsidR="00D31209" w:rsidRPr="006F5C7F" w:rsidRDefault="00D31209" w:rsidP="00D31209">
      <w:pPr>
        <w:tabs>
          <w:tab w:val="left" w:pos="8222"/>
        </w:tabs>
        <w:jc w:val="center"/>
        <w:rPr>
          <w:b/>
          <w:sz w:val="24"/>
          <w:szCs w:val="24"/>
        </w:rPr>
      </w:pPr>
    </w:p>
    <w:p w:rsidR="00D31209" w:rsidRPr="006F5C7F" w:rsidRDefault="00D31209" w:rsidP="00D31209">
      <w:pPr>
        <w:tabs>
          <w:tab w:val="left" w:pos="8222"/>
        </w:tabs>
        <w:jc w:val="center"/>
        <w:rPr>
          <w:b/>
          <w:sz w:val="24"/>
          <w:szCs w:val="24"/>
        </w:rPr>
      </w:pPr>
      <w:proofErr w:type="spellStart"/>
      <w:r w:rsidRPr="006F5C7F">
        <w:rPr>
          <w:b/>
          <w:sz w:val="24"/>
          <w:szCs w:val="24"/>
        </w:rPr>
        <w:t>Ekyflogyl</w:t>
      </w:r>
      <w:proofErr w:type="spellEnd"/>
      <w:r w:rsidRPr="006F5C7F">
        <w:rPr>
          <w:b/>
          <w:sz w:val="24"/>
          <w:szCs w:val="24"/>
        </w:rPr>
        <w:t>, gel</w:t>
      </w:r>
    </w:p>
    <w:p w:rsidR="00D31209" w:rsidRPr="006F5C7F" w:rsidRDefault="00D31209" w:rsidP="00D31209">
      <w:pPr>
        <w:tabs>
          <w:tab w:val="left" w:pos="8222"/>
        </w:tabs>
        <w:jc w:val="both"/>
        <w:rPr>
          <w:sz w:val="24"/>
          <w:szCs w:val="24"/>
        </w:rPr>
      </w:pPr>
    </w:p>
    <w:p w:rsidR="00D31209" w:rsidRPr="006F5C7F" w:rsidRDefault="00D31209" w:rsidP="00D31209">
      <w:pPr>
        <w:tabs>
          <w:tab w:val="left" w:pos="8222"/>
        </w:tabs>
        <w:jc w:val="both"/>
        <w:rPr>
          <w:sz w:val="24"/>
          <w:szCs w:val="24"/>
        </w:rPr>
      </w:pPr>
    </w:p>
    <w:p w:rsidR="00D31209" w:rsidRPr="006F5C7F" w:rsidRDefault="00D31209" w:rsidP="00D31209">
      <w:pPr>
        <w:tabs>
          <w:tab w:val="left" w:pos="8222"/>
        </w:tabs>
        <w:ind w:left="851" w:hanging="851"/>
        <w:rPr>
          <w:b/>
          <w:sz w:val="24"/>
          <w:szCs w:val="24"/>
        </w:rPr>
      </w:pPr>
      <w:r w:rsidRPr="006F5C7F">
        <w:rPr>
          <w:b/>
          <w:sz w:val="24"/>
          <w:szCs w:val="24"/>
        </w:rPr>
        <w:t>0.</w:t>
      </w:r>
      <w:r w:rsidRPr="006F5C7F">
        <w:rPr>
          <w:b/>
          <w:sz w:val="24"/>
          <w:szCs w:val="24"/>
        </w:rPr>
        <w:tab/>
        <w:t>D.SP.NR.</w:t>
      </w:r>
    </w:p>
    <w:p w:rsidR="00D31209" w:rsidRPr="006F5C7F" w:rsidRDefault="00D31209" w:rsidP="00D31209">
      <w:pPr>
        <w:tabs>
          <w:tab w:val="left" w:pos="8222"/>
        </w:tabs>
        <w:ind w:left="851"/>
        <w:rPr>
          <w:sz w:val="24"/>
          <w:szCs w:val="24"/>
        </w:rPr>
      </w:pPr>
      <w:r w:rsidRPr="006F5C7F">
        <w:rPr>
          <w:sz w:val="24"/>
          <w:szCs w:val="24"/>
        </w:rPr>
        <w:t>31276</w:t>
      </w:r>
    </w:p>
    <w:p w:rsidR="00D31209" w:rsidRPr="006F5C7F" w:rsidRDefault="00D31209" w:rsidP="00D31209">
      <w:pPr>
        <w:tabs>
          <w:tab w:val="left" w:pos="8222"/>
        </w:tabs>
        <w:ind w:left="851"/>
        <w:rPr>
          <w:sz w:val="24"/>
          <w:szCs w:val="24"/>
        </w:rPr>
      </w:pPr>
    </w:p>
    <w:p w:rsidR="00D31209" w:rsidRPr="006F5C7F" w:rsidRDefault="00D31209" w:rsidP="00D31209">
      <w:pPr>
        <w:tabs>
          <w:tab w:val="left" w:pos="8222"/>
        </w:tabs>
        <w:ind w:left="851" w:hanging="851"/>
        <w:rPr>
          <w:b/>
          <w:sz w:val="24"/>
          <w:szCs w:val="24"/>
        </w:rPr>
      </w:pPr>
      <w:r w:rsidRPr="006F5C7F">
        <w:rPr>
          <w:b/>
          <w:sz w:val="24"/>
          <w:szCs w:val="24"/>
        </w:rPr>
        <w:t>1.</w:t>
      </w:r>
      <w:r w:rsidRPr="006F5C7F">
        <w:rPr>
          <w:b/>
          <w:sz w:val="24"/>
          <w:szCs w:val="24"/>
        </w:rPr>
        <w:tab/>
        <w:t>VETERINÆRLÆGEMIDLETS NAVN</w:t>
      </w:r>
    </w:p>
    <w:p w:rsidR="00D31209" w:rsidRDefault="00D31209" w:rsidP="00D31209">
      <w:pPr>
        <w:tabs>
          <w:tab w:val="left" w:pos="8222"/>
        </w:tabs>
        <w:ind w:left="851"/>
        <w:rPr>
          <w:sz w:val="24"/>
          <w:szCs w:val="24"/>
        </w:rPr>
      </w:pPr>
      <w:proofErr w:type="spellStart"/>
      <w:r w:rsidRPr="006F5C7F">
        <w:rPr>
          <w:sz w:val="24"/>
          <w:szCs w:val="24"/>
        </w:rPr>
        <w:t>Ekyflogyl</w:t>
      </w:r>
      <w:proofErr w:type="spellEnd"/>
    </w:p>
    <w:p w:rsidR="00E25CF2" w:rsidRDefault="00E25CF2" w:rsidP="00D31209">
      <w:pPr>
        <w:tabs>
          <w:tab w:val="left" w:pos="8222"/>
        </w:tabs>
        <w:ind w:left="851"/>
        <w:rPr>
          <w:sz w:val="24"/>
          <w:szCs w:val="24"/>
        </w:rPr>
      </w:pPr>
    </w:p>
    <w:p w:rsidR="00E25CF2" w:rsidRPr="00E25CF2" w:rsidRDefault="00E25CF2" w:rsidP="00D31209">
      <w:pPr>
        <w:tabs>
          <w:tab w:val="left" w:pos="8222"/>
        </w:tabs>
        <w:ind w:left="851"/>
        <w:rPr>
          <w:sz w:val="24"/>
          <w:szCs w:val="24"/>
        </w:rPr>
      </w:pPr>
      <w:r w:rsidRPr="00E25CF2">
        <w:rPr>
          <w:sz w:val="24"/>
          <w:szCs w:val="24"/>
        </w:rPr>
        <w:t>Lægemiddelform: gel</w:t>
      </w:r>
    </w:p>
    <w:p w:rsidR="00E25CF2" w:rsidRPr="00E25CF2" w:rsidRDefault="00E25CF2" w:rsidP="00D31209">
      <w:pPr>
        <w:tabs>
          <w:tab w:val="left" w:pos="8222"/>
        </w:tabs>
        <w:ind w:left="851"/>
        <w:rPr>
          <w:sz w:val="24"/>
          <w:szCs w:val="24"/>
        </w:rPr>
      </w:pPr>
      <w:r w:rsidRPr="00E25CF2">
        <w:rPr>
          <w:sz w:val="24"/>
          <w:szCs w:val="24"/>
        </w:rPr>
        <w:t>Styrke: 1,8 mg/ml + 8,7 mg/ml</w:t>
      </w:r>
    </w:p>
    <w:p w:rsidR="00D31209" w:rsidRPr="00E25CF2" w:rsidRDefault="00D31209" w:rsidP="00D31209">
      <w:pPr>
        <w:tabs>
          <w:tab w:val="left" w:pos="8222"/>
        </w:tabs>
        <w:ind w:left="851"/>
        <w:rPr>
          <w:sz w:val="24"/>
          <w:szCs w:val="24"/>
        </w:rPr>
      </w:pPr>
    </w:p>
    <w:p w:rsidR="00D31209" w:rsidRPr="00E25CF2" w:rsidRDefault="00D31209" w:rsidP="00D31209">
      <w:pPr>
        <w:tabs>
          <w:tab w:val="left" w:pos="8222"/>
        </w:tabs>
        <w:ind w:left="851" w:hanging="851"/>
        <w:rPr>
          <w:b/>
          <w:sz w:val="24"/>
          <w:szCs w:val="24"/>
        </w:rPr>
      </w:pPr>
      <w:r w:rsidRPr="00E25CF2">
        <w:rPr>
          <w:b/>
          <w:sz w:val="24"/>
          <w:szCs w:val="24"/>
        </w:rPr>
        <w:t>2.</w:t>
      </w:r>
      <w:r w:rsidRPr="00E25CF2">
        <w:rPr>
          <w:b/>
          <w:sz w:val="24"/>
          <w:szCs w:val="24"/>
        </w:rPr>
        <w:tab/>
        <w:t>KVALITATIV OG KVANTITATIV SAMMENSÆTNING</w:t>
      </w:r>
    </w:p>
    <w:p w:rsidR="00E25CF2" w:rsidRPr="00E25CF2" w:rsidRDefault="00E25CF2" w:rsidP="00E25CF2">
      <w:pPr>
        <w:rPr>
          <w:sz w:val="24"/>
          <w:szCs w:val="24"/>
        </w:rPr>
      </w:pPr>
    </w:p>
    <w:p w:rsidR="00E25CF2" w:rsidRPr="00E25CF2" w:rsidRDefault="00E25CF2" w:rsidP="00E25CF2">
      <w:pPr>
        <w:ind w:left="851"/>
        <w:rPr>
          <w:sz w:val="24"/>
          <w:szCs w:val="24"/>
        </w:rPr>
      </w:pPr>
      <w:r w:rsidRPr="00E25CF2">
        <w:rPr>
          <w:sz w:val="24"/>
          <w:szCs w:val="24"/>
        </w:rPr>
        <w:t>En ml indeholder</w:t>
      </w:r>
    </w:p>
    <w:p w:rsidR="00E25CF2" w:rsidRPr="00E25CF2" w:rsidRDefault="00E25CF2" w:rsidP="00E25CF2">
      <w:pPr>
        <w:ind w:left="851"/>
        <w:rPr>
          <w:sz w:val="24"/>
          <w:szCs w:val="24"/>
        </w:rPr>
      </w:pPr>
    </w:p>
    <w:p w:rsidR="00E25CF2" w:rsidRPr="00E25CF2" w:rsidRDefault="00E25CF2" w:rsidP="00E25CF2">
      <w:pPr>
        <w:ind w:left="851"/>
        <w:rPr>
          <w:b/>
          <w:sz w:val="24"/>
          <w:szCs w:val="24"/>
        </w:rPr>
      </w:pPr>
      <w:r w:rsidRPr="00E25CF2">
        <w:rPr>
          <w:b/>
          <w:sz w:val="24"/>
          <w:szCs w:val="24"/>
        </w:rPr>
        <w:t>Aktive stoffer:</w:t>
      </w:r>
    </w:p>
    <w:p w:rsidR="00E25CF2" w:rsidRPr="00E25CF2" w:rsidRDefault="00E25CF2" w:rsidP="00E25CF2">
      <w:pPr>
        <w:tabs>
          <w:tab w:val="decimal" w:pos="3119"/>
        </w:tabs>
        <w:ind w:left="851"/>
        <w:jc w:val="both"/>
        <w:rPr>
          <w:sz w:val="24"/>
          <w:szCs w:val="24"/>
        </w:rPr>
      </w:pPr>
    </w:p>
    <w:p w:rsidR="00E25CF2" w:rsidRPr="00E25CF2" w:rsidRDefault="00E25CF2" w:rsidP="00E25CF2">
      <w:pPr>
        <w:tabs>
          <w:tab w:val="decimal" w:pos="3119"/>
        </w:tabs>
        <w:ind w:left="851"/>
        <w:jc w:val="both"/>
        <w:rPr>
          <w:sz w:val="24"/>
          <w:szCs w:val="24"/>
        </w:rPr>
      </w:pPr>
      <w:proofErr w:type="spellStart"/>
      <w:r w:rsidRPr="00E25CF2">
        <w:rPr>
          <w:sz w:val="24"/>
          <w:szCs w:val="24"/>
        </w:rPr>
        <w:t>Prednisolon</w:t>
      </w:r>
      <w:proofErr w:type="spellEnd"/>
      <w:r w:rsidRPr="00E25CF2">
        <w:rPr>
          <w:sz w:val="24"/>
          <w:szCs w:val="24"/>
        </w:rPr>
        <w:t xml:space="preserve"> (i form af acetat)</w:t>
      </w:r>
      <w:r w:rsidRPr="00E25CF2">
        <w:rPr>
          <w:sz w:val="24"/>
          <w:szCs w:val="24"/>
        </w:rPr>
        <w:tab/>
      </w:r>
      <w:r w:rsidRPr="00E25CF2">
        <w:rPr>
          <w:sz w:val="24"/>
          <w:szCs w:val="24"/>
        </w:rPr>
        <w:tab/>
      </w:r>
      <w:r w:rsidRPr="00E25CF2">
        <w:rPr>
          <w:sz w:val="24"/>
          <w:szCs w:val="24"/>
        </w:rPr>
        <w:tab/>
        <w:t>1,8 mg</w:t>
      </w:r>
    </w:p>
    <w:p w:rsidR="00E25CF2" w:rsidRPr="00E25CF2" w:rsidRDefault="00E25CF2" w:rsidP="00E25CF2">
      <w:pPr>
        <w:tabs>
          <w:tab w:val="decimal" w:pos="3119"/>
        </w:tabs>
        <w:ind w:left="851"/>
        <w:jc w:val="both"/>
        <w:rPr>
          <w:sz w:val="24"/>
          <w:szCs w:val="24"/>
        </w:rPr>
      </w:pPr>
      <w:r w:rsidRPr="00E25CF2">
        <w:rPr>
          <w:sz w:val="24"/>
          <w:szCs w:val="24"/>
        </w:rPr>
        <w:t xml:space="preserve">(svarende til 2 mg </w:t>
      </w:r>
      <w:proofErr w:type="spellStart"/>
      <w:r w:rsidRPr="00E25CF2">
        <w:rPr>
          <w:sz w:val="24"/>
          <w:szCs w:val="24"/>
        </w:rPr>
        <w:t>prednisolonacetat</w:t>
      </w:r>
      <w:proofErr w:type="spellEnd"/>
      <w:r w:rsidRPr="00E25CF2">
        <w:rPr>
          <w:sz w:val="24"/>
          <w:szCs w:val="24"/>
        </w:rPr>
        <w:t>)</w:t>
      </w:r>
    </w:p>
    <w:p w:rsidR="00E25CF2" w:rsidRPr="00E25CF2" w:rsidRDefault="00E25CF2" w:rsidP="00E25CF2">
      <w:pPr>
        <w:tabs>
          <w:tab w:val="decimal" w:pos="3119"/>
        </w:tabs>
        <w:ind w:left="851"/>
        <w:jc w:val="both"/>
        <w:rPr>
          <w:sz w:val="24"/>
          <w:szCs w:val="24"/>
        </w:rPr>
      </w:pPr>
    </w:p>
    <w:p w:rsidR="00E25CF2" w:rsidRPr="00E25CF2" w:rsidRDefault="00E25CF2" w:rsidP="00E25CF2">
      <w:pPr>
        <w:tabs>
          <w:tab w:val="decimal" w:pos="3119"/>
        </w:tabs>
        <w:ind w:left="851"/>
        <w:jc w:val="both"/>
        <w:rPr>
          <w:sz w:val="24"/>
          <w:szCs w:val="24"/>
        </w:rPr>
      </w:pPr>
      <w:proofErr w:type="spellStart"/>
      <w:r w:rsidRPr="00E25CF2">
        <w:rPr>
          <w:sz w:val="24"/>
          <w:szCs w:val="24"/>
        </w:rPr>
        <w:t>Lidocain</w:t>
      </w:r>
      <w:proofErr w:type="spellEnd"/>
      <w:r w:rsidRPr="00E25CF2">
        <w:rPr>
          <w:sz w:val="24"/>
          <w:szCs w:val="24"/>
        </w:rPr>
        <w:t xml:space="preserve"> (i form af </w:t>
      </w:r>
      <w:proofErr w:type="spellStart"/>
      <w:r w:rsidRPr="00E25CF2">
        <w:rPr>
          <w:sz w:val="24"/>
          <w:szCs w:val="24"/>
        </w:rPr>
        <w:t>hydrochloridmonohydrat</w:t>
      </w:r>
      <w:proofErr w:type="spellEnd"/>
      <w:r w:rsidRPr="00E25CF2">
        <w:rPr>
          <w:sz w:val="24"/>
          <w:szCs w:val="24"/>
        </w:rPr>
        <w:t>)</w:t>
      </w:r>
      <w:r w:rsidRPr="00E25CF2">
        <w:rPr>
          <w:sz w:val="24"/>
          <w:szCs w:val="24"/>
        </w:rPr>
        <w:tab/>
        <w:t>8,7 mg</w:t>
      </w:r>
    </w:p>
    <w:p w:rsidR="00E25CF2" w:rsidRPr="00E25CF2" w:rsidRDefault="00E25CF2" w:rsidP="00E25CF2">
      <w:pPr>
        <w:ind w:left="851"/>
        <w:rPr>
          <w:sz w:val="24"/>
          <w:szCs w:val="24"/>
        </w:rPr>
      </w:pPr>
    </w:p>
    <w:p w:rsidR="00E25CF2" w:rsidRPr="00E25CF2" w:rsidRDefault="00E25CF2" w:rsidP="00E25CF2">
      <w:pPr>
        <w:ind w:left="851"/>
        <w:rPr>
          <w:sz w:val="24"/>
          <w:szCs w:val="24"/>
        </w:rPr>
      </w:pPr>
      <w:proofErr w:type="spellStart"/>
      <w:r w:rsidRPr="00E25CF2">
        <w:rPr>
          <w:b/>
          <w:sz w:val="24"/>
          <w:szCs w:val="24"/>
        </w:rPr>
        <w:t>Hjælpestofer</w:t>
      </w:r>
      <w:proofErr w:type="spellEnd"/>
      <w:r w:rsidRPr="00E25CF2">
        <w:rPr>
          <w:b/>
          <w:sz w:val="24"/>
          <w:szCs w:val="24"/>
        </w:rPr>
        <w:t>:</w:t>
      </w:r>
    </w:p>
    <w:p w:rsidR="00E25CF2" w:rsidRPr="00E25CF2" w:rsidRDefault="00E25CF2" w:rsidP="00E25CF2">
      <w:pPr>
        <w:ind w:left="851"/>
        <w:rPr>
          <w:sz w:val="24"/>
          <w:szCs w:val="24"/>
        </w:rPr>
      </w:pPr>
    </w:p>
    <w:tbl>
      <w:tblPr>
        <w:tblW w:w="9061"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4530"/>
      </w:tblGrid>
      <w:tr w:rsidR="00E25CF2" w:rsidRPr="00E25CF2" w:rsidTr="00E25CF2">
        <w:tc>
          <w:tcPr>
            <w:tcW w:w="4531" w:type="dxa"/>
            <w:shd w:val="clear" w:color="auto" w:fill="auto"/>
            <w:vAlign w:val="center"/>
          </w:tcPr>
          <w:p w:rsidR="00E25CF2" w:rsidRPr="00E25CF2" w:rsidRDefault="00E25CF2" w:rsidP="002958B7">
            <w:pPr>
              <w:spacing w:before="60" w:after="60"/>
              <w:rPr>
                <w:b/>
                <w:bCs/>
                <w:iCs/>
                <w:sz w:val="24"/>
                <w:szCs w:val="24"/>
              </w:rPr>
            </w:pPr>
            <w:r w:rsidRPr="00E25CF2">
              <w:rPr>
                <w:b/>
                <w:bCs/>
                <w:iCs/>
                <w:sz w:val="24"/>
                <w:szCs w:val="24"/>
              </w:rPr>
              <w:t>Kvalitativ sammensætning af hjælpestoffer og andre bestanddele</w:t>
            </w:r>
          </w:p>
        </w:tc>
        <w:tc>
          <w:tcPr>
            <w:tcW w:w="4530" w:type="dxa"/>
            <w:shd w:val="clear" w:color="auto" w:fill="auto"/>
            <w:vAlign w:val="center"/>
          </w:tcPr>
          <w:p w:rsidR="00E25CF2" w:rsidRPr="00E25CF2" w:rsidRDefault="00E25CF2" w:rsidP="002958B7">
            <w:pPr>
              <w:spacing w:before="60" w:after="60"/>
              <w:rPr>
                <w:b/>
                <w:bCs/>
                <w:iCs/>
                <w:sz w:val="24"/>
                <w:szCs w:val="24"/>
              </w:rPr>
            </w:pPr>
            <w:r w:rsidRPr="00E25CF2">
              <w:rPr>
                <w:b/>
                <w:bCs/>
                <w:iCs/>
                <w:sz w:val="24"/>
                <w:szCs w:val="24"/>
              </w:rPr>
              <w:t>Kvantitativ sammensætning, hvis oplysningen er vigtig for korrekt administration af veterinærlægemidlet</w:t>
            </w:r>
          </w:p>
        </w:tc>
      </w:tr>
      <w:tr w:rsidR="00E25CF2" w:rsidRPr="00E25CF2" w:rsidTr="00E25CF2">
        <w:tc>
          <w:tcPr>
            <w:tcW w:w="4531" w:type="dxa"/>
            <w:shd w:val="clear" w:color="auto" w:fill="auto"/>
            <w:vAlign w:val="center"/>
          </w:tcPr>
          <w:p w:rsidR="00E25CF2" w:rsidRPr="00E25CF2" w:rsidRDefault="00E25CF2" w:rsidP="002958B7">
            <w:pPr>
              <w:spacing w:before="60" w:after="60"/>
              <w:ind w:left="567" w:hanging="567"/>
              <w:rPr>
                <w:iCs/>
                <w:sz w:val="24"/>
                <w:szCs w:val="24"/>
              </w:rPr>
            </w:pPr>
            <w:proofErr w:type="spellStart"/>
            <w:r w:rsidRPr="00E25CF2">
              <w:rPr>
                <w:sz w:val="24"/>
                <w:szCs w:val="24"/>
              </w:rPr>
              <w:t>Dimethylsulfoxid</w:t>
            </w:r>
            <w:proofErr w:type="spellEnd"/>
          </w:p>
        </w:tc>
        <w:tc>
          <w:tcPr>
            <w:tcW w:w="4530" w:type="dxa"/>
            <w:shd w:val="clear" w:color="auto" w:fill="auto"/>
            <w:vAlign w:val="center"/>
          </w:tcPr>
          <w:p w:rsidR="00E25CF2" w:rsidRPr="00E25CF2" w:rsidRDefault="00E25CF2" w:rsidP="002958B7">
            <w:pPr>
              <w:spacing w:before="60" w:after="60"/>
              <w:rPr>
                <w:iCs/>
                <w:sz w:val="24"/>
                <w:szCs w:val="24"/>
              </w:rPr>
            </w:pPr>
            <w:r w:rsidRPr="00E25CF2">
              <w:rPr>
                <w:sz w:val="24"/>
                <w:szCs w:val="24"/>
              </w:rPr>
              <w:t>968 mg</w:t>
            </w:r>
          </w:p>
        </w:tc>
      </w:tr>
      <w:tr w:rsidR="00E25CF2" w:rsidRPr="00E25CF2" w:rsidTr="00E25CF2">
        <w:tc>
          <w:tcPr>
            <w:tcW w:w="4531" w:type="dxa"/>
            <w:shd w:val="clear" w:color="auto" w:fill="auto"/>
            <w:vAlign w:val="center"/>
          </w:tcPr>
          <w:p w:rsidR="00E25CF2" w:rsidRPr="00E25CF2" w:rsidRDefault="00E25CF2" w:rsidP="002958B7">
            <w:pPr>
              <w:rPr>
                <w:sz w:val="24"/>
                <w:szCs w:val="24"/>
              </w:rPr>
            </w:pPr>
            <w:proofErr w:type="spellStart"/>
            <w:r w:rsidRPr="00E25CF2">
              <w:rPr>
                <w:sz w:val="24"/>
                <w:szCs w:val="24"/>
              </w:rPr>
              <w:t>Hydroxyethylcellulose</w:t>
            </w:r>
            <w:proofErr w:type="spellEnd"/>
          </w:p>
        </w:tc>
        <w:tc>
          <w:tcPr>
            <w:tcW w:w="4530" w:type="dxa"/>
            <w:shd w:val="clear" w:color="auto" w:fill="auto"/>
            <w:vAlign w:val="center"/>
          </w:tcPr>
          <w:p w:rsidR="00E25CF2" w:rsidRPr="00E25CF2" w:rsidRDefault="00E25CF2" w:rsidP="002958B7">
            <w:pPr>
              <w:spacing w:before="60" w:after="60"/>
              <w:rPr>
                <w:iCs/>
                <w:sz w:val="24"/>
                <w:szCs w:val="24"/>
              </w:rPr>
            </w:pPr>
          </w:p>
        </w:tc>
      </w:tr>
      <w:tr w:rsidR="00E25CF2" w:rsidRPr="00E25CF2" w:rsidTr="00E25CF2">
        <w:tc>
          <w:tcPr>
            <w:tcW w:w="4531" w:type="dxa"/>
            <w:shd w:val="clear" w:color="auto" w:fill="auto"/>
            <w:vAlign w:val="center"/>
          </w:tcPr>
          <w:p w:rsidR="00E25CF2" w:rsidRPr="00E25CF2" w:rsidRDefault="00E25CF2" w:rsidP="002958B7">
            <w:pPr>
              <w:rPr>
                <w:sz w:val="24"/>
                <w:szCs w:val="24"/>
              </w:rPr>
            </w:pPr>
            <w:r w:rsidRPr="00E25CF2">
              <w:rPr>
                <w:sz w:val="24"/>
                <w:szCs w:val="24"/>
              </w:rPr>
              <w:t>Renset vand</w:t>
            </w:r>
          </w:p>
        </w:tc>
        <w:tc>
          <w:tcPr>
            <w:tcW w:w="4530" w:type="dxa"/>
            <w:shd w:val="clear" w:color="auto" w:fill="auto"/>
            <w:vAlign w:val="center"/>
          </w:tcPr>
          <w:p w:rsidR="00E25CF2" w:rsidRPr="00E25CF2" w:rsidRDefault="00E25CF2" w:rsidP="002958B7">
            <w:pPr>
              <w:spacing w:before="60" w:after="60"/>
              <w:rPr>
                <w:iCs/>
                <w:sz w:val="24"/>
                <w:szCs w:val="24"/>
              </w:rPr>
            </w:pPr>
          </w:p>
        </w:tc>
      </w:tr>
    </w:tbl>
    <w:p w:rsidR="00E25CF2" w:rsidRPr="00E25CF2" w:rsidRDefault="00E25CF2" w:rsidP="00E25CF2">
      <w:pPr>
        <w:rPr>
          <w:sz w:val="24"/>
          <w:szCs w:val="24"/>
        </w:rPr>
      </w:pPr>
    </w:p>
    <w:p w:rsidR="00E25CF2" w:rsidRPr="00E25CF2" w:rsidRDefault="00E25CF2" w:rsidP="00E25CF2">
      <w:pPr>
        <w:ind w:left="851"/>
        <w:rPr>
          <w:sz w:val="24"/>
          <w:szCs w:val="24"/>
        </w:rPr>
      </w:pPr>
      <w:r w:rsidRPr="00E25CF2">
        <w:rPr>
          <w:sz w:val="24"/>
          <w:szCs w:val="24"/>
        </w:rPr>
        <w:t>Klar viskøs gel.</w:t>
      </w:r>
    </w:p>
    <w:p w:rsidR="00566A00" w:rsidRPr="00E25CF2" w:rsidRDefault="00566A00" w:rsidP="00D31209">
      <w:pPr>
        <w:tabs>
          <w:tab w:val="left" w:pos="8222"/>
        </w:tabs>
        <w:ind w:left="851"/>
        <w:rPr>
          <w:sz w:val="24"/>
          <w:szCs w:val="24"/>
        </w:rPr>
      </w:pPr>
    </w:p>
    <w:p w:rsidR="00E25CF2" w:rsidRPr="00E25CF2" w:rsidRDefault="00E25CF2" w:rsidP="00E25CF2">
      <w:pPr>
        <w:pStyle w:val="Style1"/>
        <w:ind w:left="851" w:hanging="851"/>
        <w:rPr>
          <w:sz w:val="24"/>
          <w:szCs w:val="24"/>
        </w:rPr>
      </w:pPr>
      <w:r w:rsidRPr="00E25CF2">
        <w:rPr>
          <w:sz w:val="24"/>
          <w:szCs w:val="24"/>
        </w:rPr>
        <w:t>3.</w:t>
      </w:r>
      <w:r w:rsidRPr="00E25CF2">
        <w:rPr>
          <w:sz w:val="24"/>
          <w:szCs w:val="24"/>
        </w:rPr>
        <w:tab/>
        <w:t>KLINISKE OPLYSNINGER</w:t>
      </w:r>
    </w:p>
    <w:p w:rsidR="00E25CF2" w:rsidRPr="00E25CF2" w:rsidRDefault="00E25CF2" w:rsidP="00E25CF2">
      <w:pPr>
        <w:ind w:left="851" w:hanging="851"/>
        <w:rPr>
          <w:sz w:val="24"/>
          <w:szCs w:val="24"/>
        </w:rPr>
      </w:pPr>
    </w:p>
    <w:p w:rsidR="00E25CF2" w:rsidRPr="00E25CF2" w:rsidRDefault="00E25CF2" w:rsidP="00E25CF2">
      <w:pPr>
        <w:pStyle w:val="Style1"/>
        <w:ind w:left="851" w:hanging="851"/>
        <w:rPr>
          <w:sz w:val="24"/>
          <w:szCs w:val="24"/>
        </w:rPr>
      </w:pPr>
      <w:r w:rsidRPr="00E25CF2">
        <w:rPr>
          <w:sz w:val="24"/>
          <w:szCs w:val="24"/>
        </w:rPr>
        <w:t>3.1</w:t>
      </w:r>
      <w:r w:rsidRPr="00E25CF2">
        <w:rPr>
          <w:sz w:val="24"/>
          <w:szCs w:val="24"/>
        </w:rPr>
        <w:tab/>
        <w:t>Dyrearter, som lægemidlet er beregnet til</w:t>
      </w:r>
    </w:p>
    <w:p w:rsidR="00E25CF2" w:rsidRPr="00E25CF2" w:rsidRDefault="00E25CF2" w:rsidP="00E25CF2">
      <w:pPr>
        <w:ind w:left="851"/>
        <w:rPr>
          <w:sz w:val="24"/>
          <w:szCs w:val="24"/>
        </w:rPr>
      </w:pPr>
      <w:r w:rsidRPr="00E25CF2">
        <w:rPr>
          <w:sz w:val="24"/>
          <w:szCs w:val="24"/>
        </w:rPr>
        <w:lastRenderedPageBreak/>
        <w:t>Heste.</w:t>
      </w:r>
    </w:p>
    <w:p w:rsidR="00E25CF2" w:rsidRPr="00E25CF2" w:rsidRDefault="00E25CF2" w:rsidP="00E25CF2">
      <w:pPr>
        <w:rPr>
          <w:sz w:val="24"/>
          <w:szCs w:val="24"/>
        </w:rPr>
      </w:pPr>
    </w:p>
    <w:p w:rsidR="00E25CF2" w:rsidRPr="00E25CF2" w:rsidRDefault="00E25CF2" w:rsidP="00E25CF2">
      <w:pPr>
        <w:pStyle w:val="Style1"/>
        <w:ind w:left="851" w:hanging="851"/>
        <w:rPr>
          <w:sz w:val="24"/>
          <w:szCs w:val="24"/>
        </w:rPr>
      </w:pPr>
      <w:r w:rsidRPr="00E25CF2">
        <w:rPr>
          <w:sz w:val="24"/>
          <w:szCs w:val="24"/>
        </w:rPr>
        <w:t>3.2</w:t>
      </w:r>
      <w:r w:rsidRPr="00E25CF2">
        <w:rPr>
          <w:sz w:val="24"/>
          <w:szCs w:val="24"/>
        </w:rPr>
        <w:tab/>
        <w:t>Terapeutiske indikationer for hver dyreart, som lægemidlet er beregnet til</w:t>
      </w:r>
    </w:p>
    <w:p w:rsidR="00E25CF2" w:rsidRPr="00E25CF2" w:rsidRDefault="00E25CF2" w:rsidP="00E25CF2">
      <w:pPr>
        <w:ind w:left="851"/>
        <w:rPr>
          <w:sz w:val="24"/>
          <w:szCs w:val="24"/>
        </w:rPr>
      </w:pPr>
      <w:r w:rsidRPr="00E25CF2">
        <w:rPr>
          <w:sz w:val="24"/>
          <w:szCs w:val="24"/>
        </w:rPr>
        <w:t>Til lindring af smerter og inflammation i forbindelse med lokaliserede muskel- og knoglelidelser.</w:t>
      </w:r>
    </w:p>
    <w:p w:rsidR="00E25CF2" w:rsidRPr="00E25CF2" w:rsidRDefault="00E25CF2" w:rsidP="00E25CF2">
      <w:pPr>
        <w:rPr>
          <w:sz w:val="24"/>
          <w:szCs w:val="24"/>
        </w:rPr>
      </w:pPr>
    </w:p>
    <w:p w:rsidR="00E25CF2" w:rsidRPr="00E25CF2" w:rsidRDefault="00E25CF2" w:rsidP="00566A00">
      <w:pPr>
        <w:pStyle w:val="Style1"/>
        <w:ind w:left="851" w:hanging="851"/>
        <w:rPr>
          <w:sz w:val="24"/>
          <w:szCs w:val="24"/>
        </w:rPr>
      </w:pPr>
      <w:r w:rsidRPr="00E25CF2">
        <w:rPr>
          <w:sz w:val="24"/>
          <w:szCs w:val="24"/>
        </w:rPr>
        <w:t>3.3</w:t>
      </w:r>
      <w:r w:rsidRPr="00E25CF2">
        <w:rPr>
          <w:sz w:val="24"/>
          <w:szCs w:val="24"/>
        </w:rPr>
        <w:tab/>
        <w:t>Kontraindikationer</w:t>
      </w:r>
    </w:p>
    <w:p w:rsidR="00E25CF2" w:rsidRPr="00E25CF2" w:rsidRDefault="00E25CF2" w:rsidP="00566A00">
      <w:pPr>
        <w:ind w:left="851"/>
        <w:rPr>
          <w:sz w:val="24"/>
          <w:szCs w:val="24"/>
        </w:rPr>
      </w:pPr>
      <w:r w:rsidRPr="00E25CF2">
        <w:rPr>
          <w:sz w:val="24"/>
          <w:szCs w:val="24"/>
        </w:rPr>
        <w:t xml:space="preserve">Må ikke anvendes i tilfælde af overfølsomhed over for det aktive stof eller over for et eller flere af hjælpestofferne. Se punkt 3.7. Må ikke anvendes til heste med lever- eller nyrelidelse. Må ikke anvendes til heste med igangværende virus- eller svampeinfektioner eller hos immunsvækkede heste. </w:t>
      </w:r>
    </w:p>
    <w:p w:rsidR="00E25CF2" w:rsidRPr="00E25CF2" w:rsidRDefault="00E25CF2" w:rsidP="00E25CF2">
      <w:pPr>
        <w:rPr>
          <w:sz w:val="24"/>
          <w:szCs w:val="24"/>
        </w:rPr>
      </w:pPr>
    </w:p>
    <w:p w:rsidR="00E25CF2" w:rsidRPr="00E25CF2" w:rsidRDefault="00E25CF2" w:rsidP="00566A00">
      <w:pPr>
        <w:pStyle w:val="Style1"/>
        <w:ind w:left="851" w:hanging="851"/>
        <w:rPr>
          <w:sz w:val="24"/>
          <w:szCs w:val="24"/>
        </w:rPr>
      </w:pPr>
      <w:r w:rsidRPr="00E25CF2">
        <w:rPr>
          <w:sz w:val="24"/>
          <w:szCs w:val="24"/>
        </w:rPr>
        <w:t>3.4</w:t>
      </w:r>
      <w:r w:rsidRPr="00E25CF2">
        <w:rPr>
          <w:sz w:val="24"/>
          <w:szCs w:val="24"/>
        </w:rPr>
        <w:tab/>
        <w:t>Særlige advarsler</w:t>
      </w:r>
    </w:p>
    <w:p w:rsidR="00E25CF2" w:rsidRPr="00E25CF2" w:rsidRDefault="00E25CF2" w:rsidP="00566A00">
      <w:pPr>
        <w:ind w:left="851"/>
        <w:rPr>
          <w:sz w:val="24"/>
          <w:szCs w:val="24"/>
        </w:rPr>
      </w:pPr>
      <w:r w:rsidRPr="00E25CF2">
        <w:rPr>
          <w:sz w:val="24"/>
          <w:szCs w:val="24"/>
        </w:rPr>
        <w:t>Ingen.</w:t>
      </w:r>
    </w:p>
    <w:p w:rsidR="00E25CF2" w:rsidRPr="00E25CF2" w:rsidRDefault="00E25CF2" w:rsidP="00E25CF2">
      <w:pPr>
        <w:rPr>
          <w:sz w:val="24"/>
          <w:szCs w:val="24"/>
        </w:rPr>
      </w:pPr>
    </w:p>
    <w:p w:rsidR="00E25CF2" w:rsidRPr="00E25CF2" w:rsidRDefault="00E25CF2" w:rsidP="00566A00">
      <w:pPr>
        <w:pStyle w:val="Style1"/>
        <w:ind w:left="851" w:hanging="851"/>
        <w:rPr>
          <w:sz w:val="24"/>
          <w:szCs w:val="24"/>
        </w:rPr>
      </w:pPr>
      <w:r w:rsidRPr="00E25CF2">
        <w:rPr>
          <w:sz w:val="24"/>
          <w:szCs w:val="24"/>
        </w:rPr>
        <w:t>3.5</w:t>
      </w:r>
      <w:r w:rsidRPr="00E25CF2">
        <w:rPr>
          <w:sz w:val="24"/>
          <w:szCs w:val="24"/>
        </w:rPr>
        <w:tab/>
        <w:t>Særlige forholdsregler vedrørende brugen</w:t>
      </w:r>
    </w:p>
    <w:p w:rsidR="00E25CF2" w:rsidRPr="00E25CF2" w:rsidRDefault="00E25CF2" w:rsidP="00E25CF2">
      <w:pPr>
        <w:rPr>
          <w:sz w:val="24"/>
          <w:szCs w:val="24"/>
        </w:rPr>
      </w:pPr>
    </w:p>
    <w:p w:rsidR="00E25CF2" w:rsidRPr="00E25CF2" w:rsidRDefault="00E25CF2" w:rsidP="00566A00">
      <w:pPr>
        <w:ind w:left="851"/>
        <w:rPr>
          <w:sz w:val="24"/>
          <w:szCs w:val="24"/>
          <w:u w:val="single"/>
        </w:rPr>
      </w:pPr>
      <w:r w:rsidRPr="00E25CF2">
        <w:rPr>
          <w:sz w:val="24"/>
          <w:szCs w:val="24"/>
          <w:u w:val="single"/>
        </w:rPr>
        <w:t>Særlige forholdsregler vedrørende sikker brug hos de dyrearter, som lægemidlet er beregnet til:</w:t>
      </w:r>
    </w:p>
    <w:p w:rsidR="00566A00" w:rsidRDefault="00566A00" w:rsidP="00566A00">
      <w:pPr>
        <w:ind w:firstLine="851"/>
        <w:jc w:val="both"/>
        <w:rPr>
          <w:sz w:val="24"/>
          <w:szCs w:val="24"/>
        </w:rPr>
      </w:pPr>
    </w:p>
    <w:p w:rsidR="00E25CF2" w:rsidRPr="00E25CF2" w:rsidRDefault="00E25CF2" w:rsidP="00566A00">
      <w:pPr>
        <w:ind w:firstLine="851"/>
        <w:jc w:val="both"/>
        <w:rPr>
          <w:rFonts w:ascii="Arial" w:hAnsi="Arial" w:cs="Arial"/>
          <w:sz w:val="24"/>
          <w:szCs w:val="24"/>
        </w:rPr>
      </w:pPr>
      <w:r w:rsidRPr="00E25CF2">
        <w:rPr>
          <w:sz w:val="24"/>
          <w:szCs w:val="24"/>
        </w:rPr>
        <w:t>Veterinærlægemidlet bør ikke anvendes på irriteret eller beskadiget hud.</w:t>
      </w:r>
    </w:p>
    <w:p w:rsidR="00E25CF2" w:rsidRPr="00E25CF2" w:rsidRDefault="00E25CF2" w:rsidP="00566A00">
      <w:pPr>
        <w:ind w:left="851"/>
        <w:rPr>
          <w:sz w:val="24"/>
          <w:szCs w:val="24"/>
        </w:rPr>
      </w:pPr>
      <w:r w:rsidRPr="00E25CF2">
        <w:rPr>
          <w:sz w:val="24"/>
          <w:szCs w:val="24"/>
        </w:rPr>
        <w:t>Det skal undgås, at behandlede dyr eller dyr, der er i kontakt med behandlede dyr, indtager veterinærlægemidlet oralt.</w:t>
      </w:r>
    </w:p>
    <w:p w:rsidR="00E25CF2" w:rsidRPr="00E25CF2" w:rsidRDefault="00E25CF2" w:rsidP="00566A00">
      <w:pPr>
        <w:ind w:left="851"/>
        <w:rPr>
          <w:sz w:val="24"/>
          <w:szCs w:val="24"/>
        </w:rPr>
      </w:pPr>
    </w:p>
    <w:p w:rsidR="00E25CF2" w:rsidRPr="00E25CF2" w:rsidRDefault="00E25CF2" w:rsidP="00566A00">
      <w:pPr>
        <w:keepNext/>
        <w:keepLines/>
        <w:ind w:left="851"/>
        <w:rPr>
          <w:sz w:val="24"/>
          <w:szCs w:val="24"/>
          <w:u w:val="single"/>
        </w:rPr>
      </w:pPr>
      <w:r w:rsidRPr="00E25CF2">
        <w:rPr>
          <w:sz w:val="24"/>
          <w:szCs w:val="24"/>
          <w:u w:val="single"/>
        </w:rPr>
        <w:t>Særlige forsigtighedsregler for personer, der administrerer veterinærlægemidlet til dyr</w:t>
      </w:r>
      <w:r w:rsidR="00566A00">
        <w:rPr>
          <w:sz w:val="24"/>
          <w:szCs w:val="24"/>
          <w:u w:val="single"/>
        </w:rPr>
        <w:t>:</w:t>
      </w:r>
    </w:p>
    <w:p w:rsidR="00E25CF2" w:rsidRPr="00E25CF2" w:rsidRDefault="00E25CF2" w:rsidP="00566A00">
      <w:pPr>
        <w:ind w:left="851"/>
        <w:rPr>
          <w:sz w:val="24"/>
          <w:szCs w:val="24"/>
        </w:rPr>
      </w:pPr>
    </w:p>
    <w:p w:rsidR="00E25CF2" w:rsidRPr="00E25CF2" w:rsidRDefault="00E25CF2" w:rsidP="00566A00">
      <w:pPr>
        <w:ind w:left="851"/>
        <w:rPr>
          <w:sz w:val="24"/>
          <w:szCs w:val="24"/>
        </w:rPr>
      </w:pPr>
      <w:r w:rsidRPr="00E25CF2">
        <w:rPr>
          <w:sz w:val="24"/>
          <w:szCs w:val="24"/>
        </w:rPr>
        <w:t>-</w:t>
      </w:r>
      <w:r w:rsidRPr="00E25CF2">
        <w:rPr>
          <w:sz w:val="24"/>
          <w:szCs w:val="24"/>
        </w:rPr>
        <w:tab/>
        <w:t xml:space="preserve">Veterinærlægemidlet kan fremkalde allergiske reaktioner. Det bør ikke håndteres af personer med kendt overfølsomhed over for </w:t>
      </w:r>
      <w:proofErr w:type="spellStart"/>
      <w:r w:rsidRPr="00E25CF2">
        <w:rPr>
          <w:sz w:val="24"/>
          <w:szCs w:val="24"/>
        </w:rPr>
        <w:t>prednisolon</w:t>
      </w:r>
      <w:proofErr w:type="spellEnd"/>
      <w:r w:rsidRPr="00E25CF2">
        <w:rPr>
          <w:sz w:val="24"/>
          <w:szCs w:val="24"/>
        </w:rPr>
        <w:t xml:space="preserve">, </w:t>
      </w:r>
      <w:proofErr w:type="spellStart"/>
      <w:r w:rsidRPr="00E25CF2">
        <w:rPr>
          <w:sz w:val="24"/>
          <w:szCs w:val="24"/>
        </w:rPr>
        <w:t>lidocain</w:t>
      </w:r>
      <w:proofErr w:type="spellEnd"/>
      <w:r w:rsidRPr="00E25CF2">
        <w:rPr>
          <w:sz w:val="24"/>
          <w:szCs w:val="24"/>
        </w:rPr>
        <w:t>, andre lokalbedøvende midler eller et af hjælpestofferne.</w:t>
      </w:r>
    </w:p>
    <w:p w:rsidR="00E25CF2" w:rsidRPr="00E25CF2" w:rsidRDefault="00E25CF2" w:rsidP="00566A00">
      <w:pPr>
        <w:ind w:left="851"/>
        <w:rPr>
          <w:sz w:val="24"/>
          <w:szCs w:val="24"/>
        </w:rPr>
      </w:pPr>
      <w:r w:rsidRPr="00E25CF2">
        <w:rPr>
          <w:sz w:val="24"/>
          <w:szCs w:val="24"/>
        </w:rPr>
        <w:t>-</w:t>
      </w:r>
      <w:r w:rsidRPr="00E25CF2">
        <w:rPr>
          <w:sz w:val="24"/>
          <w:szCs w:val="24"/>
        </w:rPr>
        <w:tab/>
      </w:r>
      <w:proofErr w:type="spellStart"/>
      <w:r w:rsidRPr="00E25CF2">
        <w:rPr>
          <w:sz w:val="24"/>
          <w:szCs w:val="24"/>
        </w:rPr>
        <w:t>Prednisolon</w:t>
      </w:r>
      <w:proofErr w:type="spellEnd"/>
      <w:r w:rsidRPr="00E25CF2">
        <w:rPr>
          <w:sz w:val="24"/>
          <w:szCs w:val="24"/>
        </w:rPr>
        <w:t xml:space="preserve"> kan skade ufødte fostre. Gravide kvinder bør derfor ikke håndtere veterinærlægemidlet.</w:t>
      </w:r>
      <w:r w:rsidRPr="00E25CF2">
        <w:rPr>
          <w:sz w:val="24"/>
          <w:szCs w:val="24"/>
        </w:rPr>
        <w:tab/>
      </w:r>
    </w:p>
    <w:p w:rsidR="00E25CF2" w:rsidRPr="00E25CF2" w:rsidRDefault="00E25CF2" w:rsidP="00566A00">
      <w:pPr>
        <w:ind w:left="851"/>
        <w:rPr>
          <w:sz w:val="24"/>
          <w:szCs w:val="24"/>
        </w:rPr>
      </w:pPr>
      <w:r w:rsidRPr="00E25CF2">
        <w:rPr>
          <w:sz w:val="24"/>
          <w:szCs w:val="24"/>
        </w:rPr>
        <w:t>-</w:t>
      </w:r>
      <w:r w:rsidRPr="00E25CF2">
        <w:rPr>
          <w:sz w:val="24"/>
          <w:szCs w:val="24"/>
        </w:rPr>
        <w:tab/>
        <w:t xml:space="preserve">Veterinærlægemidlet kan være sundhedsskadeligt ved </w:t>
      </w:r>
      <w:proofErr w:type="spellStart"/>
      <w:r w:rsidRPr="00E25CF2">
        <w:rPr>
          <w:sz w:val="24"/>
          <w:szCs w:val="24"/>
        </w:rPr>
        <w:t>dermal</w:t>
      </w:r>
      <w:proofErr w:type="spellEnd"/>
      <w:r w:rsidRPr="00E25CF2">
        <w:rPr>
          <w:sz w:val="24"/>
          <w:szCs w:val="24"/>
        </w:rPr>
        <w:t xml:space="preserve"> eller oral eksponering. </w:t>
      </w:r>
      <w:proofErr w:type="spellStart"/>
      <w:r w:rsidRPr="00E25CF2">
        <w:rPr>
          <w:sz w:val="24"/>
          <w:szCs w:val="24"/>
        </w:rPr>
        <w:t>Lidocain</w:t>
      </w:r>
      <w:proofErr w:type="spellEnd"/>
      <w:r w:rsidRPr="00E25CF2">
        <w:rPr>
          <w:sz w:val="24"/>
          <w:szCs w:val="24"/>
        </w:rPr>
        <w:t xml:space="preserve"> kan danne genotoksiske metabolitter i mennesker. Et langsigtet toksikologisk forsøg hos rotter har afsløret, at disse metabolitter også kan inducere </w:t>
      </w:r>
      <w:proofErr w:type="spellStart"/>
      <w:r w:rsidRPr="00E25CF2">
        <w:rPr>
          <w:sz w:val="24"/>
          <w:szCs w:val="24"/>
        </w:rPr>
        <w:t>carcinogene</w:t>
      </w:r>
      <w:proofErr w:type="spellEnd"/>
      <w:r w:rsidRPr="00E25CF2">
        <w:rPr>
          <w:sz w:val="24"/>
          <w:szCs w:val="24"/>
        </w:rPr>
        <w:t xml:space="preserve"> virkninger i høj dosis. Veterinærlægemidlet virker også irriterende på huden (reaktionerne omfatter </w:t>
      </w:r>
      <w:proofErr w:type="spellStart"/>
      <w:r w:rsidRPr="00E25CF2">
        <w:rPr>
          <w:sz w:val="24"/>
          <w:szCs w:val="24"/>
        </w:rPr>
        <w:t>erytem</w:t>
      </w:r>
      <w:proofErr w:type="spellEnd"/>
      <w:r w:rsidRPr="00E25CF2">
        <w:rPr>
          <w:sz w:val="24"/>
          <w:szCs w:val="24"/>
        </w:rPr>
        <w:t xml:space="preserve"> og </w:t>
      </w:r>
      <w:proofErr w:type="spellStart"/>
      <w:r w:rsidRPr="00E25CF2">
        <w:rPr>
          <w:sz w:val="24"/>
          <w:szCs w:val="24"/>
        </w:rPr>
        <w:t>pruritus</w:t>
      </w:r>
      <w:proofErr w:type="spellEnd"/>
      <w:r w:rsidRPr="00E25CF2">
        <w:rPr>
          <w:sz w:val="24"/>
          <w:szCs w:val="24"/>
        </w:rPr>
        <w:t>) og øjnene.</w:t>
      </w:r>
    </w:p>
    <w:p w:rsidR="00E25CF2" w:rsidRPr="00E25CF2" w:rsidRDefault="00E25CF2" w:rsidP="00566A00">
      <w:pPr>
        <w:ind w:left="851"/>
        <w:rPr>
          <w:sz w:val="24"/>
          <w:szCs w:val="24"/>
        </w:rPr>
      </w:pPr>
      <w:r w:rsidRPr="00E25CF2">
        <w:rPr>
          <w:sz w:val="24"/>
          <w:szCs w:val="24"/>
        </w:rPr>
        <w:t>-</w:t>
      </w:r>
      <w:r w:rsidRPr="00E25CF2">
        <w:rPr>
          <w:sz w:val="24"/>
          <w:szCs w:val="24"/>
        </w:rPr>
        <w:tab/>
        <w:t>Undgå kontakt med huden, øjnene og munden, herunder hånd-til-mund- og hånd-til-øje-kontakt. Vask hænder efter brug. Hvis veterinærlægemidlet ved hændeligt uheld kommer i kontakt med huden eller øjnene, skylles grundigt med vand.</w:t>
      </w:r>
    </w:p>
    <w:p w:rsidR="00E25CF2" w:rsidRPr="00E25CF2" w:rsidRDefault="00E25CF2" w:rsidP="00566A00">
      <w:pPr>
        <w:ind w:left="851"/>
        <w:rPr>
          <w:sz w:val="24"/>
          <w:szCs w:val="24"/>
        </w:rPr>
      </w:pPr>
      <w:r w:rsidRPr="00E25CF2">
        <w:rPr>
          <w:sz w:val="24"/>
          <w:szCs w:val="24"/>
        </w:rPr>
        <w:t>-</w:t>
      </w:r>
      <w:r w:rsidRPr="00E25CF2">
        <w:rPr>
          <w:sz w:val="24"/>
          <w:szCs w:val="24"/>
        </w:rPr>
        <w:tab/>
        <w:t>Ved håndtering af veterinærlægemidlet eller berøring af det behandlede område skal der bæres personlige værnemidler bestående af vandtætte engangshandsker.</w:t>
      </w:r>
    </w:p>
    <w:p w:rsidR="00E25CF2" w:rsidRPr="00E25CF2" w:rsidRDefault="00E25CF2" w:rsidP="00566A00">
      <w:pPr>
        <w:ind w:left="851"/>
        <w:rPr>
          <w:sz w:val="24"/>
          <w:szCs w:val="24"/>
        </w:rPr>
      </w:pPr>
      <w:r w:rsidRPr="00E25CF2">
        <w:rPr>
          <w:sz w:val="24"/>
          <w:szCs w:val="24"/>
        </w:rPr>
        <w:t>-</w:t>
      </w:r>
      <w:r w:rsidRPr="00E25CF2">
        <w:rPr>
          <w:sz w:val="24"/>
          <w:szCs w:val="24"/>
        </w:rPr>
        <w:tab/>
        <w:t>Børn skal forhindres i at røre ved den behandlede hest i hele behandlingsperioden og i 12 dage efter behandlingens afslutning.</w:t>
      </w:r>
    </w:p>
    <w:p w:rsidR="00E25CF2" w:rsidRPr="00E25CF2" w:rsidRDefault="00E25CF2" w:rsidP="00566A00">
      <w:pPr>
        <w:ind w:left="851"/>
        <w:rPr>
          <w:sz w:val="24"/>
          <w:szCs w:val="24"/>
        </w:rPr>
      </w:pPr>
      <w:r w:rsidRPr="00E25CF2">
        <w:rPr>
          <w:sz w:val="24"/>
          <w:szCs w:val="24"/>
        </w:rPr>
        <w:t>-</w:t>
      </w:r>
      <w:r w:rsidRPr="00E25CF2">
        <w:rPr>
          <w:sz w:val="24"/>
          <w:szCs w:val="24"/>
        </w:rPr>
        <w:tab/>
        <w:t>Undgå at berøre det behandlede område. Hvis det er nødvendigt for at pleje hesten, skal der bæres vandtætte engangshandsker.</w:t>
      </w:r>
    </w:p>
    <w:p w:rsidR="00E25CF2" w:rsidRPr="00E25CF2" w:rsidRDefault="00E25CF2" w:rsidP="00566A00">
      <w:pPr>
        <w:ind w:left="851"/>
        <w:rPr>
          <w:sz w:val="24"/>
          <w:szCs w:val="24"/>
        </w:rPr>
      </w:pPr>
      <w:r w:rsidRPr="00E25CF2">
        <w:rPr>
          <w:sz w:val="24"/>
          <w:szCs w:val="24"/>
        </w:rPr>
        <w:t>-</w:t>
      </w:r>
      <w:r w:rsidRPr="00E25CF2">
        <w:rPr>
          <w:sz w:val="24"/>
          <w:szCs w:val="24"/>
        </w:rPr>
        <w:tab/>
        <w:t>I tilfælde af indtagelse ved hændeligt uheld eller vedvarende hud- eller øjenirritation skal der straks søges lægehjælp, og indlægssedlen eller etiketten bør vises til lægen.</w:t>
      </w:r>
    </w:p>
    <w:p w:rsidR="00E25CF2" w:rsidRPr="00E25CF2" w:rsidRDefault="00E25CF2" w:rsidP="00566A00">
      <w:pPr>
        <w:pStyle w:val="Brdtekst"/>
        <w:numPr>
          <w:ilvl w:val="0"/>
          <w:numId w:val="4"/>
        </w:numPr>
        <w:spacing w:after="120"/>
        <w:ind w:left="851" w:firstLine="0"/>
        <w:jc w:val="left"/>
        <w:rPr>
          <w:sz w:val="24"/>
          <w:szCs w:val="24"/>
        </w:rPr>
      </w:pPr>
      <w:r w:rsidRPr="00E25CF2">
        <w:rPr>
          <w:sz w:val="24"/>
          <w:szCs w:val="24"/>
        </w:rPr>
        <w:t>Tilbehør eller indretninger, der anvendes til at påføre veterinærlægemidlet, såsom en pensel, skal rengøres grundigt eller kasseres i henhold til de lokale retningslinjer.</w:t>
      </w:r>
    </w:p>
    <w:p w:rsidR="00E25CF2" w:rsidRPr="00E25CF2" w:rsidRDefault="00E25CF2" w:rsidP="00566A00">
      <w:pPr>
        <w:ind w:left="851"/>
        <w:rPr>
          <w:sz w:val="24"/>
          <w:szCs w:val="24"/>
        </w:rPr>
      </w:pPr>
      <w:r w:rsidRPr="00E25CF2">
        <w:rPr>
          <w:sz w:val="24"/>
          <w:szCs w:val="24"/>
        </w:rPr>
        <w:lastRenderedPageBreak/>
        <w:t>-</w:t>
      </w:r>
      <w:r w:rsidRPr="00E25CF2">
        <w:rPr>
          <w:sz w:val="24"/>
          <w:szCs w:val="24"/>
        </w:rPr>
        <w:tab/>
        <w:t>Opbevar flasken med doseringspumpen i den ydre æske på et sikkert sted, der er utilgængeligt og ude af syne for børn, indtil den skal anvendes. Indretningen skal låses efter hver brug (se nærmere beskrivelse i punkt 3.9).</w:t>
      </w:r>
    </w:p>
    <w:p w:rsidR="00E25CF2" w:rsidRPr="00E25CF2" w:rsidRDefault="00E25CF2" w:rsidP="00566A00">
      <w:pPr>
        <w:ind w:left="851"/>
        <w:rPr>
          <w:sz w:val="24"/>
          <w:szCs w:val="24"/>
        </w:rPr>
      </w:pPr>
    </w:p>
    <w:p w:rsidR="00E25CF2" w:rsidRPr="00E25CF2" w:rsidRDefault="00E25CF2" w:rsidP="00566A00">
      <w:pPr>
        <w:ind w:left="851"/>
        <w:rPr>
          <w:sz w:val="24"/>
          <w:szCs w:val="24"/>
          <w:u w:val="single"/>
        </w:rPr>
      </w:pPr>
      <w:r w:rsidRPr="00E25CF2">
        <w:rPr>
          <w:sz w:val="24"/>
          <w:szCs w:val="24"/>
          <w:u w:val="single"/>
        </w:rPr>
        <w:t>Særlige forholdsregler vedrørende beskyttelse af miljøet:</w:t>
      </w:r>
    </w:p>
    <w:p w:rsidR="00E25CF2" w:rsidRPr="00E25CF2" w:rsidRDefault="00E25CF2" w:rsidP="00566A00">
      <w:pPr>
        <w:ind w:left="851"/>
        <w:rPr>
          <w:sz w:val="24"/>
          <w:szCs w:val="24"/>
        </w:rPr>
      </w:pPr>
    </w:p>
    <w:p w:rsidR="00E25CF2" w:rsidRPr="00E25CF2" w:rsidRDefault="00E25CF2" w:rsidP="00566A00">
      <w:pPr>
        <w:ind w:left="851"/>
        <w:rPr>
          <w:sz w:val="24"/>
          <w:szCs w:val="24"/>
        </w:rPr>
      </w:pPr>
      <w:r w:rsidRPr="00E25CF2">
        <w:rPr>
          <w:sz w:val="24"/>
          <w:szCs w:val="24"/>
        </w:rPr>
        <w:t>Ikke relevant.</w:t>
      </w:r>
    </w:p>
    <w:p w:rsidR="00E25CF2" w:rsidRPr="00E25CF2" w:rsidRDefault="00E25CF2" w:rsidP="00566A00">
      <w:pPr>
        <w:rPr>
          <w:sz w:val="24"/>
          <w:szCs w:val="24"/>
        </w:rPr>
      </w:pPr>
    </w:p>
    <w:p w:rsidR="00E25CF2" w:rsidRPr="00E25CF2" w:rsidRDefault="00E25CF2" w:rsidP="00566A00">
      <w:pPr>
        <w:pStyle w:val="Style1"/>
        <w:ind w:left="851" w:hanging="851"/>
        <w:rPr>
          <w:sz w:val="24"/>
          <w:szCs w:val="24"/>
        </w:rPr>
      </w:pPr>
      <w:r w:rsidRPr="00E25CF2">
        <w:rPr>
          <w:sz w:val="24"/>
          <w:szCs w:val="24"/>
        </w:rPr>
        <w:t>3.6</w:t>
      </w:r>
      <w:r w:rsidRPr="00E25CF2">
        <w:rPr>
          <w:sz w:val="24"/>
          <w:szCs w:val="24"/>
        </w:rPr>
        <w:tab/>
        <w:t>Bivirkninger</w:t>
      </w:r>
    </w:p>
    <w:p w:rsidR="00E25CF2" w:rsidRPr="00E25CF2" w:rsidRDefault="00E25CF2" w:rsidP="00E25CF2">
      <w:pPr>
        <w:rPr>
          <w:sz w:val="24"/>
          <w:szCs w:val="24"/>
        </w:rPr>
      </w:pPr>
    </w:p>
    <w:tbl>
      <w:tblPr>
        <w:tblW w:w="471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4708"/>
      </w:tblGrid>
      <w:tr w:rsidR="00E25CF2" w:rsidRPr="00E25CF2" w:rsidTr="00566A00">
        <w:tc>
          <w:tcPr>
            <w:tcW w:w="2405" w:type="pct"/>
          </w:tcPr>
          <w:p w:rsidR="00E25CF2" w:rsidRPr="00E25CF2" w:rsidRDefault="00E25CF2" w:rsidP="002958B7">
            <w:pPr>
              <w:spacing w:before="60" w:after="60"/>
              <w:rPr>
                <w:sz w:val="24"/>
                <w:szCs w:val="24"/>
              </w:rPr>
            </w:pPr>
            <w:r w:rsidRPr="00E25CF2">
              <w:rPr>
                <w:sz w:val="24"/>
                <w:szCs w:val="24"/>
              </w:rPr>
              <w:t>Meget sjælden</w:t>
            </w:r>
          </w:p>
          <w:p w:rsidR="00E25CF2" w:rsidRPr="00E25CF2" w:rsidRDefault="00E25CF2" w:rsidP="002958B7">
            <w:pPr>
              <w:spacing w:before="60" w:after="60"/>
              <w:rPr>
                <w:sz w:val="24"/>
                <w:szCs w:val="24"/>
              </w:rPr>
            </w:pPr>
            <w:r w:rsidRPr="00E25CF2">
              <w:rPr>
                <w:sz w:val="24"/>
                <w:szCs w:val="24"/>
              </w:rPr>
              <w:t>(&lt; 1 dyr ud af 10.000 behandlede dyr, herunder enkeltstående indberetninger):</w:t>
            </w:r>
          </w:p>
        </w:tc>
        <w:tc>
          <w:tcPr>
            <w:tcW w:w="2595" w:type="pct"/>
            <w:hideMark/>
          </w:tcPr>
          <w:p w:rsidR="00E25CF2" w:rsidRPr="00E25CF2" w:rsidRDefault="00E25CF2" w:rsidP="002958B7">
            <w:pPr>
              <w:rPr>
                <w:sz w:val="24"/>
                <w:szCs w:val="24"/>
              </w:rPr>
            </w:pPr>
            <w:r w:rsidRPr="00E25CF2">
              <w:rPr>
                <w:sz w:val="24"/>
                <w:szCs w:val="24"/>
              </w:rPr>
              <w:t xml:space="preserve">Reaktioner på applikationsstedet (smerte, varme, hårtab, afskalning, forbrændingsmærker, hævelse).  </w:t>
            </w:r>
          </w:p>
          <w:p w:rsidR="00E25CF2" w:rsidRPr="00E25CF2" w:rsidRDefault="00E25CF2" w:rsidP="002958B7">
            <w:pPr>
              <w:spacing w:before="60" w:after="60"/>
              <w:rPr>
                <w:iCs/>
                <w:sz w:val="24"/>
                <w:szCs w:val="24"/>
              </w:rPr>
            </w:pPr>
          </w:p>
        </w:tc>
      </w:tr>
    </w:tbl>
    <w:p w:rsidR="00E25CF2" w:rsidRPr="00E25CF2" w:rsidRDefault="00E25CF2" w:rsidP="00566A00">
      <w:pPr>
        <w:ind w:left="851"/>
        <w:rPr>
          <w:sz w:val="24"/>
          <w:szCs w:val="24"/>
        </w:rPr>
      </w:pPr>
    </w:p>
    <w:p w:rsidR="00E25CF2" w:rsidRPr="00E25CF2" w:rsidRDefault="00E25CF2" w:rsidP="00566A00">
      <w:pPr>
        <w:ind w:left="851"/>
        <w:rPr>
          <w:sz w:val="24"/>
          <w:szCs w:val="24"/>
        </w:rPr>
      </w:pPr>
      <w:bookmarkStart w:id="0" w:name="_Hlk66891708"/>
      <w:r w:rsidRPr="00E25CF2">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p>
    <w:bookmarkEnd w:id="0"/>
    <w:p w:rsidR="00E25CF2" w:rsidRPr="00E25CF2" w:rsidRDefault="00E25CF2" w:rsidP="00566A00">
      <w:pPr>
        <w:ind w:left="851"/>
        <w:rPr>
          <w:sz w:val="24"/>
          <w:szCs w:val="24"/>
        </w:rPr>
      </w:pPr>
    </w:p>
    <w:p w:rsidR="00E25CF2" w:rsidRPr="00E25CF2" w:rsidRDefault="00E25CF2" w:rsidP="00566A00">
      <w:pPr>
        <w:pStyle w:val="Style1"/>
        <w:ind w:left="851" w:hanging="851"/>
        <w:rPr>
          <w:sz w:val="24"/>
          <w:szCs w:val="24"/>
        </w:rPr>
      </w:pPr>
      <w:r w:rsidRPr="00E25CF2">
        <w:rPr>
          <w:sz w:val="24"/>
          <w:szCs w:val="24"/>
        </w:rPr>
        <w:t>3.7</w:t>
      </w:r>
      <w:r w:rsidRPr="00E25CF2">
        <w:rPr>
          <w:sz w:val="24"/>
          <w:szCs w:val="24"/>
        </w:rPr>
        <w:tab/>
        <w:t>Anvendelse under drægtighed, laktation eller æglægning</w:t>
      </w:r>
    </w:p>
    <w:p w:rsidR="00E25CF2" w:rsidRPr="00E25CF2" w:rsidRDefault="00E25CF2" w:rsidP="00E25CF2">
      <w:pPr>
        <w:rPr>
          <w:sz w:val="24"/>
          <w:szCs w:val="24"/>
        </w:rPr>
      </w:pPr>
    </w:p>
    <w:p w:rsidR="00E25CF2" w:rsidRPr="00E25CF2" w:rsidRDefault="00E25CF2" w:rsidP="00566A00">
      <w:pPr>
        <w:ind w:left="851"/>
        <w:rPr>
          <w:sz w:val="24"/>
          <w:szCs w:val="24"/>
          <w:u w:val="single"/>
        </w:rPr>
      </w:pPr>
      <w:r w:rsidRPr="00E25CF2">
        <w:rPr>
          <w:sz w:val="24"/>
          <w:szCs w:val="24"/>
          <w:u w:val="single"/>
        </w:rPr>
        <w:t>Drægtighed og laktation:</w:t>
      </w:r>
    </w:p>
    <w:p w:rsidR="00E25CF2" w:rsidRPr="00E25CF2" w:rsidRDefault="00E25CF2" w:rsidP="00E25CF2">
      <w:pPr>
        <w:rPr>
          <w:sz w:val="24"/>
          <w:szCs w:val="24"/>
          <w:u w:val="single"/>
        </w:rPr>
      </w:pPr>
    </w:p>
    <w:p w:rsidR="00E25CF2" w:rsidRPr="00E25CF2" w:rsidRDefault="00E25CF2" w:rsidP="00566A00">
      <w:pPr>
        <w:ind w:left="851"/>
        <w:rPr>
          <w:sz w:val="24"/>
          <w:szCs w:val="24"/>
        </w:rPr>
      </w:pPr>
      <w:r w:rsidRPr="00E25CF2">
        <w:rPr>
          <w:sz w:val="24"/>
          <w:szCs w:val="24"/>
        </w:rPr>
        <w:t xml:space="preserve">Laboratorieundersøgelser af dyr har afsløret embryotoksiske virkninger af </w:t>
      </w:r>
      <w:proofErr w:type="spellStart"/>
      <w:r w:rsidRPr="00E25CF2">
        <w:rPr>
          <w:sz w:val="24"/>
          <w:szCs w:val="24"/>
        </w:rPr>
        <w:t>prednisolon</w:t>
      </w:r>
      <w:proofErr w:type="spellEnd"/>
      <w:r w:rsidRPr="00E25CF2">
        <w:rPr>
          <w:sz w:val="24"/>
          <w:szCs w:val="24"/>
        </w:rPr>
        <w:t>.</w:t>
      </w:r>
    </w:p>
    <w:p w:rsidR="00E25CF2" w:rsidRPr="00E25CF2" w:rsidRDefault="00E25CF2" w:rsidP="00566A00">
      <w:pPr>
        <w:ind w:left="851"/>
        <w:rPr>
          <w:sz w:val="24"/>
          <w:szCs w:val="24"/>
        </w:rPr>
      </w:pPr>
      <w:proofErr w:type="spellStart"/>
      <w:r w:rsidRPr="00E25CF2">
        <w:rPr>
          <w:sz w:val="24"/>
          <w:szCs w:val="24"/>
        </w:rPr>
        <w:t>Lidocain</w:t>
      </w:r>
      <w:proofErr w:type="spellEnd"/>
      <w:r w:rsidRPr="00E25CF2">
        <w:rPr>
          <w:sz w:val="24"/>
          <w:szCs w:val="24"/>
        </w:rPr>
        <w:t xml:space="preserve"> passerer placentabarrieren og kan forårsage nerve- og hjertelungevirkninger hos fosteret og nyfødte dyr. Veterinærlægemiddel sikkerhed hos de dyrearter, det er beregnet til, er ikke undersøgt under drægtighed og laktation. </w:t>
      </w:r>
    </w:p>
    <w:p w:rsidR="00E25CF2" w:rsidRPr="00E25CF2" w:rsidRDefault="00E25CF2" w:rsidP="00566A00">
      <w:pPr>
        <w:ind w:left="851"/>
        <w:rPr>
          <w:sz w:val="24"/>
          <w:szCs w:val="24"/>
        </w:rPr>
      </w:pPr>
      <w:r w:rsidRPr="00E25CF2">
        <w:rPr>
          <w:sz w:val="24"/>
          <w:szCs w:val="24"/>
        </w:rPr>
        <w:t>Veterinærlægemiddel må ikke anvendes hos drægtige eller diende hopper.</w:t>
      </w:r>
    </w:p>
    <w:p w:rsidR="00E25CF2" w:rsidRPr="00E25CF2" w:rsidRDefault="00E25CF2" w:rsidP="00566A00">
      <w:pPr>
        <w:ind w:left="851"/>
        <w:rPr>
          <w:sz w:val="24"/>
          <w:szCs w:val="24"/>
        </w:rPr>
      </w:pPr>
    </w:p>
    <w:p w:rsidR="00E25CF2" w:rsidRPr="00E25CF2" w:rsidRDefault="00E25CF2" w:rsidP="00566A00">
      <w:pPr>
        <w:pStyle w:val="Style1"/>
        <w:ind w:left="851" w:hanging="851"/>
        <w:rPr>
          <w:sz w:val="24"/>
          <w:szCs w:val="24"/>
        </w:rPr>
      </w:pPr>
      <w:r w:rsidRPr="00E25CF2">
        <w:rPr>
          <w:sz w:val="24"/>
          <w:szCs w:val="24"/>
        </w:rPr>
        <w:t>3.8</w:t>
      </w:r>
      <w:r w:rsidRPr="00E25CF2">
        <w:rPr>
          <w:sz w:val="24"/>
          <w:szCs w:val="24"/>
        </w:rPr>
        <w:tab/>
        <w:t>Interaktion med andre lægemidler og andre former for interaktion</w:t>
      </w:r>
    </w:p>
    <w:p w:rsidR="00E25CF2" w:rsidRPr="00E25CF2" w:rsidRDefault="00E25CF2" w:rsidP="00566A00">
      <w:pPr>
        <w:ind w:left="851"/>
        <w:rPr>
          <w:sz w:val="24"/>
          <w:szCs w:val="24"/>
        </w:rPr>
      </w:pPr>
      <w:r w:rsidRPr="00E25CF2">
        <w:rPr>
          <w:sz w:val="24"/>
          <w:szCs w:val="24"/>
        </w:rPr>
        <w:t xml:space="preserve">Må ikke anvendes sammen med andre veterinærlægemidler, navnlig topiske veterinærlægemidler, på det behandlede område. </w:t>
      </w:r>
    </w:p>
    <w:p w:rsidR="00E25CF2" w:rsidRPr="00E25CF2" w:rsidRDefault="00E25CF2" w:rsidP="00E25CF2">
      <w:pPr>
        <w:rPr>
          <w:sz w:val="24"/>
          <w:szCs w:val="24"/>
        </w:rPr>
      </w:pPr>
    </w:p>
    <w:p w:rsidR="00E25CF2" w:rsidRPr="00E25CF2" w:rsidRDefault="00E25CF2" w:rsidP="00566A00">
      <w:pPr>
        <w:pStyle w:val="Style1"/>
        <w:ind w:left="851" w:hanging="851"/>
        <w:rPr>
          <w:sz w:val="24"/>
          <w:szCs w:val="24"/>
        </w:rPr>
      </w:pPr>
      <w:r w:rsidRPr="00E25CF2">
        <w:rPr>
          <w:sz w:val="24"/>
          <w:szCs w:val="24"/>
        </w:rPr>
        <w:t>3.9</w:t>
      </w:r>
      <w:r w:rsidRPr="00E25CF2">
        <w:rPr>
          <w:sz w:val="24"/>
          <w:szCs w:val="24"/>
        </w:rPr>
        <w:tab/>
        <w:t>Administrationsveje og dosering</w:t>
      </w:r>
    </w:p>
    <w:p w:rsidR="00566A00" w:rsidRPr="00E25CF2" w:rsidRDefault="00E25CF2" w:rsidP="00566A00">
      <w:pPr>
        <w:ind w:left="851"/>
        <w:rPr>
          <w:sz w:val="24"/>
          <w:szCs w:val="24"/>
        </w:rPr>
      </w:pPr>
      <w:r w:rsidRPr="00E25CF2">
        <w:rPr>
          <w:sz w:val="24"/>
          <w:szCs w:val="24"/>
        </w:rPr>
        <w:t xml:space="preserve">Til </w:t>
      </w:r>
      <w:proofErr w:type="spellStart"/>
      <w:r w:rsidRPr="00E25CF2">
        <w:rPr>
          <w:sz w:val="24"/>
          <w:szCs w:val="24"/>
        </w:rPr>
        <w:t>kutan</w:t>
      </w:r>
      <w:proofErr w:type="spellEnd"/>
      <w:r w:rsidRPr="00E25CF2">
        <w:rPr>
          <w:sz w:val="24"/>
          <w:szCs w:val="24"/>
        </w:rPr>
        <w:t xml:space="preserve"> anvendelse. Påfør veterinærlægemidlet på et afgrænset område over den underliggende læsion med en lille pensel (en malerpensel eller lignende). Om nødvendigt kan der anlægges en ikke-komprimerende forbinding for at dække det behandlede område. Påfør 10 til 30 ml to gange dagligt, svarende til 6 til 18 aktiveringer af pumpedispenseren, alt efter læsionens art.</w:t>
      </w:r>
    </w:p>
    <w:p w:rsidR="00E25CF2" w:rsidRPr="00E25CF2" w:rsidRDefault="00E25CF2" w:rsidP="00566A00">
      <w:pPr>
        <w:ind w:left="851"/>
        <w:rPr>
          <w:sz w:val="24"/>
          <w:szCs w:val="24"/>
        </w:rPr>
      </w:pPr>
      <w:r w:rsidRPr="00E25CF2">
        <w:rPr>
          <w:noProof/>
          <w:sz w:val="24"/>
          <w:szCs w:val="24"/>
        </w:rPr>
        <w:drawing>
          <wp:inline distT="0" distB="0" distL="0" distR="0" wp14:anchorId="0BE560C7" wp14:editId="79BE6444">
            <wp:extent cx="2152650" cy="1666875"/>
            <wp:effectExtent l="0" t="0" r="0" b="9525"/>
            <wp:docPr id="1536687471" name="Image 2" descr="Une image contenant outil&#10;&#10;Description générée automatiquement avec une confiance moye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687471" name="Image 2" descr="Une image contenant outil&#10;&#10;Description générée automatiquement avec une confiance moyen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2650" cy="1666875"/>
                    </a:xfrm>
                    <a:prstGeom prst="rect">
                      <a:avLst/>
                    </a:prstGeom>
                    <a:noFill/>
                    <a:ln>
                      <a:noFill/>
                    </a:ln>
                  </pic:spPr>
                </pic:pic>
              </a:graphicData>
            </a:graphic>
          </wp:inline>
        </w:drawing>
      </w:r>
    </w:p>
    <w:p w:rsidR="00E25CF2" w:rsidRPr="00E25CF2" w:rsidRDefault="00E25CF2" w:rsidP="00566A00">
      <w:pPr>
        <w:ind w:left="851"/>
        <w:rPr>
          <w:sz w:val="24"/>
          <w:szCs w:val="24"/>
        </w:rPr>
      </w:pPr>
      <w:r w:rsidRPr="00E25CF2">
        <w:rPr>
          <w:sz w:val="24"/>
          <w:szCs w:val="24"/>
        </w:rPr>
        <w:lastRenderedPageBreak/>
        <w:t>Pumpen skal spædes to gange inden brug.</w:t>
      </w:r>
    </w:p>
    <w:p w:rsidR="00E25CF2" w:rsidRPr="00E25CF2" w:rsidRDefault="00E25CF2" w:rsidP="00566A00">
      <w:pPr>
        <w:ind w:left="851"/>
        <w:rPr>
          <w:sz w:val="24"/>
          <w:szCs w:val="24"/>
        </w:rPr>
      </w:pPr>
      <w:r w:rsidRPr="00E25CF2">
        <w:rPr>
          <w:sz w:val="24"/>
          <w:szCs w:val="24"/>
        </w:rPr>
        <w:t xml:space="preserve">Fortsæt behandlingen, indtil de kliniske tegn ophører, men undgå at bruge veterinærlægemidlet i mere end 12 dage. </w:t>
      </w:r>
    </w:p>
    <w:p w:rsidR="00E25CF2" w:rsidRPr="00E25CF2" w:rsidRDefault="00E25CF2" w:rsidP="00566A00">
      <w:pPr>
        <w:ind w:left="851"/>
        <w:rPr>
          <w:sz w:val="24"/>
          <w:szCs w:val="24"/>
        </w:rPr>
      </w:pPr>
      <w:r w:rsidRPr="00E25CF2">
        <w:rPr>
          <w:sz w:val="24"/>
          <w:szCs w:val="24"/>
        </w:rPr>
        <w:t>For at åbne indretningen drejes snap-låget som vist på toppen. Efter hver anvendelse lukkes indretningen ved at dreje snap-låget i modsatte retning.</w:t>
      </w:r>
    </w:p>
    <w:p w:rsidR="00E25CF2" w:rsidRPr="00E25CF2" w:rsidRDefault="00E25CF2" w:rsidP="00566A00">
      <w:pPr>
        <w:ind w:left="851"/>
        <w:rPr>
          <w:sz w:val="24"/>
          <w:szCs w:val="24"/>
          <w:lang w:val="en-US"/>
        </w:rPr>
      </w:pPr>
      <w:r w:rsidRPr="00E25CF2">
        <w:rPr>
          <w:noProof/>
          <w:sz w:val="24"/>
          <w:szCs w:val="24"/>
          <w:lang w:eastAsia="da-DK"/>
        </w:rPr>
        <w:drawing>
          <wp:inline distT="0" distB="0" distL="0" distR="0" wp14:anchorId="51D59C22" wp14:editId="0AD3A7EF">
            <wp:extent cx="2038350" cy="1746250"/>
            <wp:effectExtent l="0" t="0" r="0" b="635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rotWithShape="1">
                    <a:blip r:embed="rId9">
                      <a:extLst>
                        <a:ext uri="{28A0092B-C50C-407E-A947-70E740481C1C}">
                          <a14:useLocalDpi xmlns:a14="http://schemas.microsoft.com/office/drawing/2010/main" val="0"/>
                        </a:ext>
                      </a:extLst>
                    </a:blip>
                    <a:srcRect l="-3532" t="-10308" r="3532" b="10308"/>
                    <a:stretch/>
                  </pic:blipFill>
                  <pic:spPr bwMode="auto">
                    <a:xfrm>
                      <a:off x="0" y="0"/>
                      <a:ext cx="2038350" cy="1746250"/>
                    </a:xfrm>
                    <a:prstGeom prst="rect">
                      <a:avLst/>
                    </a:prstGeom>
                    <a:noFill/>
                    <a:ln>
                      <a:noFill/>
                    </a:ln>
                  </pic:spPr>
                </pic:pic>
              </a:graphicData>
            </a:graphic>
          </wp:inline>
        </w:drawing>
      </w:r>
    </w:p>
    <w:p w:rsidR="00E25CF2" w:rsidRPr="00E25CF2" w:rsidRDefault="00E25CF2" w:rsidP="00566A00">
      <w:pPr>
        <w:ind w:left="851"/>
        <w:rPr>
          <w:sz w:val="24"/>
          <w:szCs w:val="24"/>
        </w:rPr>
      </w:pPr>
      <w:r w:rsidRPr="00E25CF2">
        <w:rPr>
          <w:sz w:val="24"/>
          <w:szCs w:val="24"/>
        </w:rPr>
        <w:t xml:space="preserve">           Åbne                   Lukke</w:t>
      </w:r>
    </w:p>
    <w:p w:rsidR="00E25CF2" w:rsidRPr="00E25CF2" w:rsidRDefault="00E25CF2" w:rsidP="00566A00">
      <w:pPr>
        <w:ind w:left="851"/>
        <w:rPr>
          <w:sz w:val="24"/>
          <w:szCs w:val="24"/>
        </w:rPr>
      </w:pPr>
    </w:p>
    <w:p w:rsidR="00E25CF2" w:rsidRPr="00E25CF2" w:rsidRDefault="00E25CF2" w:rsidP="00566A00">
      <w:pPr>
        <w:pStyle w:val="Style1"/>
        <w:ind w:left="851" w:hanging="851"/>
        <w:rPr>
          <w:sz w:val="24"/>
          <w:szCs w:val="24"/>
        </w:rPr>
      </w:pPr>
      <w:r w:rsidRPr="00E25CF2">
        <w:rPr>
          <w:sz w:val="24"/>
          <w:szCs w:val="24"/>
        </w:rPr>
        <w:t>3.10</w:t>
      </w:r>
      <w:r w:rsidRPr="00E25CF2">
        <w:rPr>
          <w:sz w:val="24"/>
          <w:szCs w:val="24"/>
        </w:rPr>
        <w:tab/>
        <w:t>Symptomer på overdosering (og, hvis relevant, nødforanstaltninger og modgift)</w:t>
      </w:r>
    </w:p>
    <w:p w:rsidR="00E25CF2" w:rsidRPr="00E25CF2" w:rsidRDefault="00E25CF2" w:rsidP="00566A00">
      <w:pPr>
        <w:ind w:left="851"/>
        <w:rPr>
          <w:sz w:val="24"/>
          <w:szCs w:val="24"/>
        </w:rPr>
      </w:pPr>
      <w:r w:rsidRPr="00E25CF2">
        <w:rPr>
          <w:sz w:val="24"/>
          <w:szCs w:val="24"/>
        </w:rPr>
        <w:t>Der foreligger ingen oplysninger.</w:t>
      </w:r>
    </w:p>
    <w:p w:rsidR="00E25CF2" w:rsidRPr="00E25CF2" w:rsidRDefault="00E25CF2" w:rsidP="00E25CF2">
      <w:pPr>
        <w:rPr>
          <w:sz w:val="24"/>
          <w:szCs w:val="24"/>
        </w:rPr>
      </w:pPr>
    </w:p>
    <w:p w:rsidR="00E25CF2" w:rsidRPr="00E25CF2" w:rsidRDefault="00E25CF2" w:rsidP="00566A00">
      <w:pPr>
        <w:pStyle w:val="Style1"/>
        <w:ind w:left="851" w:hanging="851"/>
        <w:rPr>
          <w:sz w:val="24"/>
          <w:szCs w:val="24"/>
        </w:rPr>
      </w:pPr>
      <w:r w:rsidRPr="00E25CF2">
        <w:rPr>
          <w:sz w:val="24"/>
          <w:szCs w:val="24"/>
        </w:rPr>
        <w:t>3.11</w:t>
      </w:r>
      <w:r w:rsidRPr="00E25CF2">
        <w:rPr>
          <w:sz w:val="24"/>
          <w:szCs w:val="24"/>
        </w:rPr>
        <w:tab/>
        <w:t>Særlige begrænsninger og betingelser for anvendelse, herunder begrænsninger for anvendelsen af antimikrobielle og antiparasitære veterinærlægemidler for at begrænse risikoen for udvikling af resistens</w:t>
      </w:r>
    </w:p>
    <w:p w:rsidR="00E25CF2" w:rsidRPr="00E25CF2" w:rsidRDefault="00E25CF2" w:rsidP="00566A00">
      <w:pPr>
        <w:ind w:left="851"/>
        <w:rPr>
          <w:sz w:val="24"/>
          <w:szCs w:val="24"/>
        </w:rPr>
      </w:pPr>
      <w:r w:rsidRPr="00E25CF2">
        <w:rPr>
          <w:sz w:val="24"/>
          <w:szCs w:val="24"/>
        </w:rPr>
        <w:t>Ikke relevant.</w:t>
      </w:r>
    </w:p>
    <w:p w:rsidR="00E25CF2" w:rsidRPr="00E25CF2" w:rsidRDefault="00E25CF2" w:rsidP="00E25CF2">
      <w:pPr>
        <w:rPr>
          <w:sz w:val="24"/>
          <w:szCs w:val="24"/>
        </w:rPr>
      </w:pPr>
    </w:p>
    <w:p w:rsidR="00E25CF2" w:rsidRPr="00E25CF2" w:rsidRDefault="00E25CF2" w:rsidP="00566A00">
      <w:pPr>
        <w:pStyle w:val="Style1"/>
        <w:ind w:left="851" w:hanging="851"/>
        <w:rPr>
          <w:sz w:val="24"/>
          <w:szCs w:val="24"/>
        </w:rPr>
      </w:pPr>
      <w:r w:rsidRPr="00E25CF2">
        <w:rPr>
          <w:sz w:val="24"/>
          <w:szCs w:val="24"/>
        </w:rPr>
        <w:t>3.12</w:t>
      </w:r>
      <w:r w:rsidRPr="00E25CF2">
        <w:rPr>
          <w:sz w:val="24"/>
          <w:szCs w:val="24"/>
        </w:rPr>
        <w:tab/>
        <w:t>Tilbageholdelsestider</w:t>
      </w:r>
    </w:p>
    <w:p w:rsidR="00B31B21" w:rsidRPr="00E25CF2" w:rsidRDefault="00B31B21" w:rsidP="00B31B21">
      <w:pPr>
        <w:ind w:left="851"/>
        <w:rPr>
          <w:sz w:val="24"/>
          <w:szCs w:val="24"/>
        </w:rPr>
      </w:pPr>
      <w:r w:rsidRPr="00E25CF2">
        <w:rPr>
          <w:sz w:val="24"/>
          <w:szCs w:val="24"/>
        </w:rPr>
        <w:t>Slagtning: 10 dage</w:t>
      </w:r>
    </w:p>
    <w:p w:rsidR="00B31B21" w:rsidRPr="00E25CF2" w:rsidRDefault="00B31B21" w:rsidP="00B31B21">
      <w:pPr>
        <w:ind w:left="851"/>
        <w:rPr>
          <w:sz w:val="24"/>
          <w:szCs w:val="24"/>
        </w:rPr>
      </w:pPr>
      <w:r w:rsidRPr="00E25CF2">
        <w:rPr>
          <w:sz w:val="24"/>
          <w:szCs w:val="24"/>
        </w:rPr>
        <w:t xml:space="preserve">Må ikke anvendes til </w:t>
      </w:r>
      <w:r>
        <w:rPr>
          <w:sz w:val="24"/>
          <w:szCs w:val="24"/>
        </w:rPr>
        <w:t>heste</w:t>
      </w:r>
      <w:r w:rsidRPr="00E25CF2">
        <w:rPr>
          <w:sz w:val="24"/>
          <w:szCs w:val="24"/>
        </w:rPr>
        <w:t>, hvis mælk er bestemt til menneskeføde.</w:t>
      </w:r>
    </w:p>
    <w:p w:rsidR="00D31209" w:rsidRPr="006F5C7F" w:rsidRDefault="00D31209" w:rsidP="00566A00">
      <w:pPr>
        <w:tabs>
          <w:tab w:val="left" w:pos="851"/>
          <w:tab w:val="left" w:pos="8222"/>
        </w:tabs>
        <w:ind w:left="851"/>
        <w:rPr>
          <w:sz w:val="24"/>
          <w:szCs w:val="24"/>
        </w:rPr>
      </w:pPr>
      <w:bookmarkStart w:id="1" w:name="_GoBack"/>
      <w:bookmarkEnd w:id="1"/>
    </w:p>
    <w:p w:rsidR="00D31209" w:rsidRPr="00566A00" w:rsidRDefault="00D31209" w:rsidP="00D31209">
      <w:pPr>
        <w:tabs>
          <w:tab w:val="left" w:pos="851"/>
          <w:tab w:val="left" w:pos="8222"/>
        </w:tabs>
        <w:ind w:left="851"/>
        <w:rPr>
          <w:sz w:val="24"/>
          <w:szCs w:val="24"/>
        </w:rPr>
      </w:pPr>
    </w:p>
    <w:p w:rsidR="00566A00" w:rsidRPr="00566A00" w:rsidRDefault="00566A00" w:rsidP="00566A00">
      <w:pPr>
        <w:pStyle w:val="Style1"/>
        <w:ind w:left="851" w:hanging="851"/>
        <w:rPr>
          <w:sz w:val="24"/>
          <w:szCs w:val="24"/>
        </w:rPr>
      </w:pPr>
      <w:r w:rsidRPr="00566A00">
        <w:rPr>
          <w:sz w:val="24"/>
          <w:szCs w:val="24"/>
        </w:rPr>
        <w:t>4.</w:t>
      </w:r>
      <w:r w:rsidRPr="00566A00">
        <w:rPr>
          <w:sz w:val="24"/>
          <w:szCs w:val="24"/>
        </w:rPr>
        <w:tab/>
        <w:t>FARMAKOLOGISKE OPLYSNINGER</w:t>
      </w:r>
    </w:p>
    <w:p w:rsidR="00566A00" w:rsidRPr="00566A00" w:rsidRDefault="00566A00" w:rsidP="00566A00">
      <w:pPr>
        <w:ind w:left="851" w:hanging="851"/>
        <w:rPr>
          <w:sz w:val="24"/>
          <w:szCs w:val="24"/>
        </w:rPr>
      </w:pPr>
    </w:p>
    <w:p w:rsidR="00566A00" w:rsidRPr="00566A00" w:rsidRDefault="00566A00" w:rsidP="00566A00">
      <w:pPr>
        <w:pStyle w:val="Style1"/>
        <w:ind w:left="851" w:hanging="851"/>
        <w:rPr>
          <w:sz w:val="24"/>
          <w:szCs w:val="24"/>
        </w:rPr>
      </w:pPr>
      <w:r w:rsidRPr="00566A00">
        <w:rPr>
          <w:sz w:val="24"/>
          <w:szCs w:val="24"/>
        </w:rPr>
        <w:t>4.1</w:t>
      </w:r>
      <w:r w:rsidRPr="00566A00">
        <w:rPr>
          <w:sz w:val="24"/>
          <w:szCs w:val="24"/>
        </w:rPr>
        <w:tab/>
      </w:r>
      <w:proofErr w:type="spellStart"/>
      <w:r w:rsidRPr="00566A00">
        <w:rPr>
          <w:sz w:val="24"/>
          <w:szCs w:val="24"/>
        </w:rPr>
        <w:t>ATCvet</w:t>
      </w:r>
      <w:proofErr w:type="spellEnd"/>
      <w:r w:rsidRPr="00566A00">
        <w:rPr>
          <w:sz w:val="24"/>
          <w:szCs w:val="24"/>
        </w:rPr>
        <w:t xml:space="preserve">-kode: </w:t>
      </w:r>
      <w:r w:rsidRPr="00566A00">
        <w:rPr>
          <w:b w:val="0"/>
          <w:bCs/>
          <w:sz w:val="24"/>
          <w:szCs w:val="24"/>
        </w:rPr>
        <w:t>QM02AX99.</w:t>
      </w:r>
    </w:p>
    <w:p w:rsidR="00566A00" w:rsidRPr="00566A00" w:rsidRDefault="00566A00" w:rsidP="00566A00">
      <w:pPr>
        <w:ind w:left="851" w:hanging="851"/>
        <w:rPr>
          <w:sz w:val="24"/>
          <w:szCs w:val="24"/>
        </w:rPr>
      </w:pPr>
    </w:p>
    <w:p w:rsidR="00566A00" w:rsidRPr="00566A00" w:rsidRDefault="00566A00" w:rsidP="00566A00">
      <w:pPr>
        <w:pStyle w:val="Style1"/>
        <w:ind w:left="851" w:hanging="851"/>
        <w:rPr>
          <w:sz w:val="24"/>
          <w:szCs w:val="24"/>
        </w:rPr>
      </w:pPr>
      <w:r w:rsidRPr="00566A00">
        <w:rPr>
          <w:sz w:val="24"/>
          <w:szCs w:val="24"/>
        </w:rPr>
        <w:t>4.2</w:t>
      </w:r>
      <w:r w:rsidRPr="00566A00">
        <w:rPr>
          <w:sz w:val="24"/>
          <w:szCs w:val="24"/>
        </w:rPr>
        <w:tab/>
      </w:r>
      <w:proofErr w:type="spellStart"/>
      <w:r w:rsidRPr="00566A00">
        <w:rPr>
          <w:sz w:val="24"/>
          <w:szCs w:val="24"/>
        </w:rPr>
        <w:t>Farmakodynamiske</w:t>
      </w:r>
      <w:proofErr w:type="spellEnd"/>
      <w:r w:rsidRPr="00566A00">
        <w:rPr>
          <w:sz w:val="24"/>
          <w:szCs w:val="24"/>
        </w:rPr>
        <w:t xml:space="preserve"> oplysninger</w:t>
      </w:r>
    </w:p>
    <w:p w:rsidR="00566A00" w:rsidRPr="00566A00" w:rsidRDefault="00566A00" w:rsidP="00566A00">
      <w:pPr>
        <w:ind w:left="851"/>
        <w:rPr>
          <w:sz w:val="24"/>
          <w:szCs w:val="24"/>
        </w:rPr>
      </w:pPr>
      <w:proofErr w:type="spellStart"/>
      <w:r w:rsidRPr="00566A00">
        <w:rPr>
          <w:sz w:val="24"/>
          <w:szCs w:val="24"/>
        </w:rPr>
        <w:t>Prednisolon</w:t>
      </w:r>
      <w:proofErr w:type="spellEnd"/>
      <w:r w:rsidRPr="00566A00">
        <w:rPr>
          <w:sz w:val="24"/>
          <w:szCs w:val="24"/>
        </w:rPr>
        <w:t xml:space="preserve"> er et syntetisk </w:t>
      </w:r>
      <w:proofErr w:type="spellStart"/>
      <w:r w:rsidRPr="00566A00">
        <w:rPr>
          <w:sz w:val="24"/>
          <w:szCs w:val="24"/>
        </w:rPr>
        <w:t>glukokortikoid</w:t>
      </w:r>
      <w:proofErr w:type="spellEnd"/>
      <w:r w:rsidRPr="00566A00">
        <w:rPr>
          <w:sz w:val="24"/>
          <w:szCs w:val="24"/>
        </w:rPr>
        <w:t xml:space="preserve"> med anti-inflammatorisk virkning. Det har </w:t>
      </w:r>
      <w:proofErr w:type="spellStart"/>
      <w:r w:rsidRPr="00566A00">
        <w:rPr>
          <w:sz w:val="24"/>
          <w:szCs w:val="24"/>
        </w:rPr>
        <w:t>antiexsudative</w:t>
      </w:r>
      <w:proofErr w:type="spellEnd"/>
      <w:r w:rsidRPr="00566A00">
        <w:rPr>
          <w:sz w:val="24"/>
          <w:szCs w:val="24"/>
        </w:rPr>
        <w:t xml:space="preserve"> egenskaber og en </w:t>
      </w:r>
      <w:proofErr w:type="spellStart"/>
      <w:r w:rsidRPr="00566A00">
        <w:rPr>
          <w:sz w:val="24"/>
          <w:szCs w:val="24"/>
        </w:rPr>
        <w:t>antigranulomatøs</w:t>
      </w:r>
      <w:proofErr w:type="spellEnd"/>
      <w:r w:rsidRPr="00566A00">
        <w:rPr>
          <w:sz w:val="24"/>
          <w:szCs w:val="24"/>
        </w:rPr>
        <w:t xml:space="preserve"> virkning. Det reducerer den </w:t>
      </w:r>
      <w:proofErr w:type="spellStart"/>
      <w:r w:rsidRPr="00566A00">
        <w:rPr>
          <w:sz w:val="24"/>
          <w:szCs w:val="24"/>
        </w:rPr>
        <w:t>fibroblastiske</w:t>
      </w:r>
      <w:proofErr w:type="spellEnd"/>
      <w:r w:rsidRPr="00566A00">
        <w:rPr>
          <w:sz w:val="24"/>
          <w:szCs w:val="24"/>
        </w:rPr>
        <w:t xml:space="preserve"> reaktion ved at stabilisere cellemembranerne og forebygger celledestruktion og dermed inflammation af det behandlede område. Desuden forøger det den lokale </w:t>
      </w:r>
      <w:proofErr w:type="spellStart"/>
      <w:r w:rsidRPr="00566A00">
        <w:rPr>
          <w:sz w:val="24"/>
          <w:szCs w:val="24"/>
        </w:rPr>
        <w:t>vaskulære</w:t>
      </w:r>
      <w:proofErr w:type="spellEnd"/>
      <w:r w:rsidRPr="00566A00">
        <w:rPr>
          <w:sz w:val="24"/>
          <w:szCs w:val="24"/>
        </w:rPr>
        <w:t xml:space="preserve"> </w:t>
      </w:r>
      <w:proofErr w:type="spellStart"/>
      <w:r w:rsidRPr="00566A00">
        <w:rPr>
          <w:sz w:val="24"/>
          <w:szCs w:val="24"/>
        </w:rPr>
        <w:t>tonus</w:t>
      </w:r>
      <w:proofErr w:type="spellEnd"/>
      <w:r w:rsidRPr="00566A00">
        <w:rPr>
          <w:sz w:val="24"/>
          <w:szCs w:val="24"/>
        </w:rPr>
        <w:t xml:space="preserve"> og reducerer ødemer. Endelig forebygger det </w:t>
      </w:r>
      <w:proofErr w:type="spellStart"/>
      <w:r w:rsidRPr="00566A00">
        <w:rPr>
          <w:sz w:val="24"/>
          <w:szCs w:val="24"/>
        </w:rPr>
        <w:t>mucopolysaccharidernes</w:t>
      </w:r>
      <w:proofErr w:type="spellEnd"/>
      <w:r w:rsidRPr="00566A00">
        <w:rPr>
          <w:sz w:val="24"/>
          <w:szCs w:val="24"/>
        </w:rPr>
        <w:t xml:space="preserve"> </w:t>
      </w:r>
      <w:proofErr w:type="spellStart"/>
      <w:r w:rsidRPr="00566A00">
        <w:rPr>
          <w:sz w:val="24"/>
          <w:szCs w:val="24"/>
        </w:rPr>
        <w:t>depolymerisering</w:t>
      </w:r>
      <w:proofErr w:type="spellEnd"/>
      <w:r w:rsidRPr="00566A00">
        <w:rPr>
          <w:sz w:val="24"/>
          <w:szCs w:val="24"/>
        </w:rPr>
        <w:t>.</w:t>
      </w:r>
    </w:p>
    <w:p w:rsidR="00566A00" w:rsidRPr="00566A00" w:rsidRDefault="00566A00" w:rsidP="00566A00">
      <w:pPr>
        <w:ind w:left="851"/>
        <w:rPr>
          <w:sz w:val="24"/>
          <w:szCs w:val="24"/>
        </w:rPr>
      </w:pPr>
      <w:proofErr w:type="spellStart"/>
      <w:r w:rsidRPr="00566A00">
        <w:rPr>
          <w:sz w:val="24"/>
          <w:szCs w:val="24"/>
        </w:rPr>
        <w:t>Lidocain</w:t>
      </w:r>
      <w:proofErr w:type="spellEnd"/>
      <w:r w:rsidRPr="00566A00">
        <w:rPr>
          <w:sz w:val="24"/>
          <w:szCs w:val="24"/>
        </w:rPr>
        <w:t xml:space="preserve"> er et lokalbedøvende middel.</w:t>
      </w:r>
    </w:p>
    <w:p w:rsidR="00566A00" w:rsidRPr="00566A00" w:rsidRDefault="00566A00" w:rsidP="00566A00">
      <w:pPr>
        <w:ind w:left="851"/>
        <w:rPr>
          <w:sz w:val="24"/>
          <w:szCs w:val="24"/>
        </w:rPr>
      </w:pPr>
      <w:proofErr w:type="spellStart"/>
      <w:r w:rsidRPr="00566A00">
        <w:rPr>
          <w:sz w:val="24"/>
          <w:szCs w:val="24"/>
        </w:rPr>
        <w:t>Dimethylsulfoxid</w:t>
      </w:r>
      <w:proofErr w:type="spellEnd"/>
      <w:r w:rsidRPr="00566A00">
        <w:rPr>
          <w:sz w:val="24"/>
          <w:szCs w:val="24"/>
        </w:rPr>
        <w:t xml:space="preserve"> (DMSO) forbedrer de aktive bestanddeles </w:t>
      </w:r>
      <w:proofErr w:type="spellStart"/>
      <w:r w:rsidRPr="00566A00">
        <w:rPr>
          <w:sz w:val="24"/>
          <w:szCs w:val="24"/>
        </w:rPr>
        <w:t>transkutane</w:t>
      </w:r>
      <w:proofErr w:type="spellEnd"/>
      <w:r w:rsidRPr="00566A00">
        <w:rPr>
          <w:sz w:val="24"/>
          <w:szCs w:val="24"/>
        </w:rPr>
        <w:t xml:space="preserve"> penetration ved at forøge cellepermeabiliteten.</w:t>
      </w:r>
    </w:p>
    <w:p w:rsidR="00566A00" w:rsidRPr="00566A00" w:rsidRDefault="00566A00" w:rsidP="00566A00">
      <w:pPr>
        <w:pStyle w:val="Style1"/>
        <w:tabs>
          <w:tab w:val="clear" w:pos="0"/>
        </w:tabs>
        <w:ind w:left="851" w:firstLine="0"/>
        <w:rPr>
          <w:sz w:val="24"/>
          <w:szCs w:val="24"/>
        </w:rPr>
      </w:pPr>
    </w:p>
    <w:p w:rsidR="00566A00" w:rsidRPr="00566A00" w:rsidRDefault="00566A00" w:rsidP="00566A00">
      <w:pPr>
        <w:pStyle w:val="Style1"/>
        <w:ind w:left="851" w:hanging="851"/>
        <w:rPr>
          <w:sz w:val="24"/>
          <w:szCs w:val="24"/>
        </w:rPr>
      </w:pPr>
      <w:r w:rsidRPr="00566A00">
        <w:rPr>
          <w:sz w:val="24"/>
          <w:szCs w:val="24"/>
        </w:rPr>
        <w:t>4.3</w:t>
      </w:r>
      <w:r w:rsidRPr="00566A00">
        <w:rPr>
          <w:sz w:val="24"/>
          <w:szCs w:val="24"/>
        </w:rPr>
        <w:tab/>
      </w:r>
      <w:proofErr w:type="spellStart"/>
      <w:r w:rsidRPr="00566A00">
        <w:rPr>
          <w:sz w:val="24"/>
          <w:szCs w:val="24"/>
        </w:rPr>
        <w:t>Farmakokinetiske</w:t>
      </w:r>
      <w:proofErr w:type="spellEnd"/>
      <w:r w:rsidRPr="00566A00">
        <w:rPr>
          <w:sz w:val="24"/>
          <w:szCs w:val="24"/>
        </w:rPr>
        <w:t xml:space="preserve"> oplysninger</w:t>
      </w:r>
    </w:p>
    <w:p w:rsidR="00566A00" w:rsidRPr="00566A00" w:rsidRDefault="00566A00" w:rsidP="00566A00">
      <w:pPr>
        <w:ind w:left="851"/>
        <w:rPr>
          <w:sz w:val="24"/>
          <w:szCs w:val="24"/>
        </w:rPr>
      </w:pPr>
      <w:r w:rsidRPr="00566A00">
        <w:rPr>
          <w:sz w:val="24"/>
          <w:szCs w:val="24"/>
        </w:rPr>
        <w:t xml:space="preserve">Der foreligger ingen specifikke oplysninger vedrørende </w:t>
      </w:r>
      <w:proofErr w:type="spellStart"/>
      <w:r w:rsidRPr="00566A00">
        <w:rPr>
          <w:sz w:val="24"/>
          <w:szCs w:val="24"/>
        </w:rPr>
        <w:t>kutan</w:t>
      </w:r>
      <w:proofErr w:type="spellEnd"/>
      <w:r w:rsidRPr="00566A00">
        <w:rPr>
          <w:sz w:val="24"/>
          <w:szCs w:val="24"/>
        </w:rPr>
        <w:t xml:space="preserve"> påføring af kombinationen hos heste.</w:t>
      </w:r>
    </w:p>
    <w:p w:rsidR="00566A00" w:rsidRPr="00566A00" w:rsidRDefault="00566A00" w:rsidP="00566A00">
      <w:pPr>
        <w:ind w:left="851"/>
        <w:rPr>
          <w:sz w:val="24"/>
          <w:szCs w:val="24"/>
        </w:rPr>
      </w:pPr>
    </w:p>
    <w:p w:rsidR="00566A00" w:rsidRPr="00566A00" w:rsidRDefault="00566A00" w:rsidP="00566A00">
      <w:pPr>
        <w:ind w:left="851"/>
        <w:rPr>
          <w:sz w:val="24"/>
          <w:szCs w:val="24"/>
        </w:rPr>
      </w:pPr>
      <w:r w:rsidRPr="00566A00">
        <w:rPr>
          <w:sz w:val="24"/>
          <w:szCs w:val="24"/>
        </w:rPr>
        <w:t xml:space="preserve">Ved topisk påføring på intakt hud er </w:t>
      </w:r>
      <w:proofErr w:type="spellStart"/>
      <w:r w:rsidRPr="00566A00">
        <w:rPr>
          <w:sz w:val="24"/>
          <w:szCs w:val="24"/>
        </w:rPr>
        <w:t>lidocain</w:t>
      </w:r>
      <w:proofErr w:type="spellEnd"/>
      <w:r w:rsidRPr="00566A00">
        <w:rPr>
          <w:sz w:val="24"/>
          <w:szCs w:val="24"/>
        </w:rPr>
        <w:t xml:space="preserve"> genstand for begrænset og forsinket absorption. Der kan forventes en større absorption af </w:t>
      </w:r>
      <w:proofErr w:type="spellStart"/>
      <w:r w:rsidRPr="00566A00">
        <w:rPr>
          <w:sz w:val="24"/>
          <w:szCs w:val="24"/>
        </w:rPr>
        <w:t>lidocain</w:t>
      </w:r>
      <w:proofErr w:type="spellEnd"/>
      <w:r w:rsidRPr="00566A00">
        <w:rPr>
          <w:sz w:val="24"/>
          <w:szCs w:val="24"/>
        </w:rPr>
        <w:t xml:space="preserve"> i tilfælde af svækket </w:t>
      </w:r>
      <w:r w:rsidRPr="00566A00">
        <w:rPr>
          <w:sz w:val="24"/>
          <w:szCs w:val="24"/>
        </w:rPr>
        <w:lastRenderedPageBreak/>
        <w:t xml:space="preserve">hudbarrierefunktion. </w:t>
      </w:r>
      <w:proofErr w:type="spellStart"/>
      <w:r w:rsidRPr="00566A00">
        <w:rPr>
          <w:sz w:val="24"/>
          <w:szCs w:val="24"/>
        </w:rPr>
        <w:t>Lidocain</w:t>
      </w:r>
      <w:proofErr w:type="spellEnd"/>
      <w:r w:rsidRPr="00566A00">
        <w:rPr>
          <w:sz w:val="24"/>
          <w:szCs w:val="24"/>
        </w:rPr>
        <w:t xml:space="preserve"> cleares via levermetabolismen som aktive og inaktive metabolitter, der udskilles via nyrerne. Den afsluttende halveringstid er under 2 timer hos de fleste dyrearter.</w:t>
      </w:r>
    </w:p>
    <w:p w:rsidR="00566A00" w:rsidRPr="00566A00" w:rsidRDefault="00566A00" w:rsidP="00566A00">
      <w:pPr>
        <w:ind w:left="851"/>
        <w:rPr>
          <w:sz w:val="24"/>
          <w:szCs w:val="24"/>
        </w:rPr>
      </w:pPr>
    </w:p>
    <w:p w:rsidR="00566A00" w:rsidRPr="00566A00" w:rsidRDefault="00566A00" w:rsidP="00566A00">
      <w:pPr>
        <w:ind w:left="851"/>
        <w:rPr>
          <w:sz w:val="24"/>
          <w:szCs w:val="24"/>
        </w:rPr>
      </w:pPr>
      <w:r w:rsidRPr="00566A00">
        <w:rPr>
          <w:sz w:val="24"/>
          <w:szCs w:val="24"/>
        </w:rPr>
        <w:t xml:space="preserve">Ved topisk påføring på intakt hud er </w:t>
      </w:r>
      <w:proofErr w:type="spellStart"/>
      <w:r w:rsidRPr="00566A00">
        <w:rPr>
          <w:sz w:val="24"/>
          <w:szCs w:val="24"/>
        </w:rPr>
        <w:t>prednisolon</w:t>
      </w:r>
      <w:proofErr w:type="spellEnd"/>
      <w:r w:rsidRPr="00566A00">
        <w:rPr>
          <w:sz w:val="24"/>
          <w:szCs w:val="24"/>
        </w:rPr>
        <w:t xml:space="preserve"> genstand for begrænset og forsinket absorption. Der kan forventes en større absorption af </w:t>
      </w:r>
      <w:proofErr w:type="spellStart"/>
      <w:r w:rsidRPr="00566A00">
        <w:rPr>
          <w:sz w:val="24"/>
          <w:szCs w:val="24"/>
        </w:rPr>
        <w:t>prednisolon</w:t>
      </w:r>
      <w:proofErr w:type="spellEnd"/>
      <w:r w:rsidRPr="00566A00">
        <w:rPr>
          <w:sz w:val="24"/>
          <w:szCs w:val="24"/>
        </w:rPr>
        <w:t xml:space="preserve"> i tilfælde af svækket hudbarrierefunktion. Metabolismen finder sted både i og uden for leveren (herunder i nyrerne). Den afsluttende halveringstid hos heste er ca. 3 timer. Moderstoffet og metabolitterne udskilles i urinen.</w:t>
      </w:r>
    </w:p>
    <w:p w:rsidR="00566A00" w:rsidRPr="00566A00" w:rsidRDefault="00566A00" w:rsidP="00566A00">
      <w:pPr>
        <w:ind w:left="851"/>
        <w:rPr>
          <w:sz w:val="24"/>
          <w:szCs w:val="24"/>
        </w:rPr>
      </w:pPr>
    </w:p>
    <w:p w:rsidR="00566A00" w:rsidRPr="00566A00" w:rsidRDefault="00566A00" w:rsidP="00566A00">
      <w:pPr>
        <w:tabs>
          <w:tab w:val="left" w:pos="0"/>
        </w:tabs>
        <w:ind w:left="851"/>
        <w:rPr>
          <w:b/>
          <w:sz w:val="24"/>
          <w:szCs w:val="24"/>
        </w:rPr>
      </w:pPr>
      <w:r w:rsidRPr="00566A00">
        <w:rPr>
          <w:b/>
          <w:sz w:val="24"/>
          <w:szCs w:val="24"/>
        </w:rPr>
        <w:t>Miljøoplysninger</w:t>
      </w:r>
    </w:p>
    <w:p w:rsidR="00566A00" w:rsidRPr="00566A00" w:rsidRDefault="00566A00" w:rsidP="00566A00">
      <w:pPr>
        <w:tabs>
          <w:tab w:val="left" w:pos="0"/>
        </w:tabs>
        <w:ind w:left="851"/>
        <w:rPr>
          <w:sz w:val="24"/>
          <w:szCs w:val="24"/>
        </w:rPr>
      </w:pPr>
      <w:r w:rsidRPr="00566A00">
        <w:rPr>
          <w:sz w:val="24"/>
          <w:szCs w:val="24"/>
        </w:rPr>
        <w:t>Ingen.</w:t>
      </w:r>
    </w:p>
    <w:p w:rsidR="00D31209" w:rsidRPr="00B74C8E" w:rsidRDefault="00D31209" w:rsidP="00D31209">
      <w:pPr>
        <w:pStyle w:val="Sidehoved"/>
        <w:tabs>
          <w:tab w:val="clear" w:pos="4819"/>
          <w:tab w:val="left" w:pos="8222"/>
        </w:tabs>
        <w:ind w:left="851"/>
        <w:rPr>
          <w:szCs w:val="24"/>
        </w:rPr>
      </w:pPr>
    </w:p>
    <w:p w:rsidR="00D31209" w:rsidRPr="00B74C8E" w:rsidRDefault="00D31209" w:rsidP="00D31209">
      <w:pPr>
        <w:tabs>
          <w:tab w:val="left" w:pos="851"/>
          <w:tab w:val="left" w:pos="8222"/>
        </w:tabs>
        <w:ind w:left="851"/>
        <w:rPr>
          <w:sz w:val="24"/>
          <w:szCs w:val="24"/>
        </w:rPr>
      </w:pPr>
    </w:p>
    <w:p w:rsidR="00566A00" w:rsidRPr="00B74C8E" w:rsidRDefault="00566A00" w:rsidP="00B74C8E">
      <w:pPr>
        <w:pStyle w:val="Style1"/>
        <w:ind w:left="851" w:hanging="851"/>
        <w:rPr>
          <w:sz w:val="24"/>
          <w:szCs w:val="24"/>
        </w:rPr>
      </w:pPr>
      <w:r w:rsidRPr="00B74C8E">
        <w:rPr>
          <w:sz w:val="24"/>
          <w:szCs w:val="24"/>
        </w:rPr>
        <w:t>5.</w:t>
      </w:r>
      <w:r w:rsidRPr="00B74C8E">
        <w:rPr>
          <w:sz w:val="24"/>
          <w:szCs w:val="24"/>
        </w:rPr>
        <w:tab/>
        <w:t>FARMACEUTISKE OPLYSNINGER</w:t>
      </w:r>
    </w:p>
    <w:p w:rsidR="00566A00" w:rsidRPr="00B74C8E" w:rsidRDefault="00566A00" w:rsidP="00B74C8E">
      <w:pPr>
        <w:ind w:left="851" w:hanging="851"/>
        <w:rPr>
          <w:sz w:val="24"/>
          <w:szCs w:val="24"/>
        </w:rPr>
      </w:pPr>
    </w:p>
    <w:p w:rsidR="00566A00" w:rsidRPr="00B74C8E" w:rsidRDefault="00566A00" w:rsidP="00B74C8E">
      <w:pPr>
        <w:pStyle w:val="Style1"/>
        <w:ind w:left="851" w:hanging="851"/>
        <w:rPr>
          <w:sz w:val="24"/>
          <w:szCs w:val="24"/>
        </w:rPr>
      </w:pPr>
      <w:r w:rsidRPr="00B74C8E">
        <w:rPr>
          <w:sz w:val="24"/>
          <w:szCs w:val="24"/>
        </w:rPr>
        <w:t>5.1</w:t>
      </w:r>
      <w:r w:rsidRPr="00B74C8E">
        <w:rPr>
          <w:sz w:val="24"/>
          <w:szCs w:val="24"/>
        </w:rPr>
        <w:tab/>
        <w:t>Væsentlige uforligeligheder</w:t>
      </w:r>
    </w:p>
    <w:p w:rsidR="00566A00" w:rsidRPr="00B74C8E" w:rsidRDefault="00566A00" w:rsidP="00B74C8E">
      <w:pPr>
        <w:ind w:left="851"/>
        <w:rPr>
          <w:rFonts w:cs="Arial"/>
          <w:sz w:val="24"/>
          <w:szCs w:val="24"/>
        </w:rPr>
      </w:pPr>
      <w:r w:rsidRPr="00B74C8E">
        <w:rPr>
          <w:sz w:val="24"/>
          <w:szCs w:val="24"/>
        </w:rPr>
        <w:t>Da der ikke foreligger undersøgelser vedrørende eventuelle uforligeligheder, bør dette veterinærlægemiddel ikke blandes med andre veterinærlægemidler.</w:t>
      </w:r>
    </w:p>
    <w:p w:rsidR="00566A00" w:rsidRPr="00B74C8E" w:rsidRDefault="00566A00" w:rsidP="00566A00">
      <w:pPr>
        <w:rPr>
          <w:sz w:val="24"/>
          <w:szCs w:val="24"/>
        </w:rPr>
      </w:pPr>
    </w:p>
    <w:p w:rsidR="00566A00" w:rsidRPr="00B74C8E" w:rsidRDefault="00566A00" w:rsidP="00B74C8E">
      <w:pPr>
        <w:pStyle w:val="Style1"/>
        <w:ind w:left="851" w:hanging="851"/>
        <w:rPr>
          <w:sz w:val="24"/>
          <w:szCs w:val="24"/>
        </w:rPr>
      </w:pPr>
      <w:r w:rsidRPr="00B74C8E">
        <w:rPr>
          <w:sz w:val="24"/>
          <w:szCs w:val="24"/>
        </w:rPr>
        <w:t>5.2</w:t>
      </w:r>
      <w:r w:rsidRPr="00B74C8E">
        <w:rPr>
          <w:sz w:val="24"/>
          <w:szCs w:val="24"/>
        </w:rPr>
        <w:tab/>
        <w:t>Opbevaringstid</w:t>
      </w:r>
    </w:p>
    <w:p w:rsidR="00566A00" w:rsidRPr="00B74C8E" w:rsidRDefault="00566A00" w:rsidP="00B74C8E">
      <w:pPr>
        <w:ind w:left="851"/>
        <w:rPr>
          <w:sz w:val="24"/>
          <w:szCs w:val="24"/>
        </w:rPr>
      </w:pPr>
      <w:r w:rsidRPr="00B74C8E">
        <w:rPr>
          <w:sz w:val="24"/>
          <w:szCs w:val="24"/>
        </w:rPr>
        <w:t>Opbevaringstid for veterinærlægemidlet i salgspakning: 3 år.</w:t>
      </w:r>
    </w:p>
    <w:p w:rsidR="00566A00" w:rsidRPr="00B74C8E" w:rsidRDefault="00566A00" w:rsidP="00B74C8E">
      <w:pPr>
        <w:ind w:left="851"/>
        <w:rPr>
          <w:sz w:val="24"/>
          <w:szCs w:val="24"/>
        </w:rPr>
      </w:pPr>
      <w:r w:rsidRPr="00B74C8E">
        <w:rPr>
          <w:sz w:val="24"/>
          <w:szCs w:val="24"/>
        </w:rPr>
        <w:t>Opbevaringstid efter første åbning af den indre emballage: 30 dage.</w:t>
      </w:r>
    </w:p>
    <w:p w:rsidR="00566A00" w:rsidRPr="00B74C8E" w:rsidRDefault="00566A00" w:rsidP="00566A00">
      <w:pPr>
        <w:rPr>
          <w:sz w:val="24"/>
          <w:szCs w:val="24"/>
        </w:rPr>
      </w:pPr>
    </w:p>
    <w:p w:rsidR="00566A00" w:rsidRPr="00B74C8E" w:rsidRDefault="00566A00" w:rsidP="00B74C8E">
      <w:pPr>
        <w:pStyle w:val="Style1"/>
        <w:ind w:left="851" w:hanging="851"/>
        <w:rPr>
          <w:sz w:val="24"/>
          <w:szCs w:val="24"/>
        </w:rPr>
      </w:pPr>
      <w:r w:rsidRPr="00B74C8E">
        <w:rPr>
          <w:sz w:val="24"/>
          <w:szCs w:val="24"/>
        </w:rPr>
        <w:t>5.3</w:t>
      </w:r>
      <w:r w:rsidRPr="00B74C8E">
        <w:rPr>
          <w:sz w:val="24"/>
          <w:szCs w:val="24"/>
        </w:rPr>
        <w:tab/>
        <w:t>Særlige forholdsregler vedrørende opbevaring</w:t>
      </w:r>
    </w:p>
    <w:p w:rsidR="00566A00" w:rsidRPr="00B74C8E" w:rsidRDefault="00566A00" w:rsidP="00B74C8E">
      <w:pPr>
        <w:ind w:left="851"/>
        <w:rPr>
          <w:sz w:val="24"/>
          <w:szCs w:val="24"/>
        </w:rPr>
      </w:pPr>
      <w:r w:rsidRPr="00B74C8E">
        <w:rPr>
          <w:sz w:val="24"/>
          <w:szCs w:val="24"/>
        </w:rPr>
        <w:t>Må ikke opbevares over 30 °C</w:t>
      </w:r>
    </w:p>
    <w:p w:rsidR="00566A00" w:rsidRPr="00B74C8E" w:rsidRDefault="00566A00" w:rsidP="00B74C8E">
      <w:pPr>
        <w:ind w:left="851"/>
        <w:rPr>
          <w:sz w:val="24"/>
          <w:szCs w:val="24"/>
        </w:rPr>
      </w:pPr>
      <w:r w:rsidRPr="00B74C8E">
        <w:rPr>
          <w:sz w:val="24"/>
          <w:szCs w:val="24"/>
        </w:rPr>
        <w:t>Opbevares i den ydre æske for at beskytte mod lys.</w:t>
      </w:r>
    </w:p>
    <w:p w:rsidR="00566A00" w:rsidRPr="00B74C8E" w:rsidRDefault="00566A00" w:rsidP="00B74C8E">
      <w:pPr>
        <w:ind w:left="851"/>
        <w:rPr>
          <w:sz w:val="24"/>
          <w:szCs w:val="24"/>
        </w:rPr>
      </w:pPr>
    </w:p>
    <w:p w:rsidR="00566A00" w:rsidRPr="00B74C8E" w:rsidRDefault="00566A00" w:rsidP="00B74C8E">
      <w:pPr>
        <w:pStyle w:val="Style1"/>
        <w:ind w:left="851" w:hanging="851"/>
        <w:rPr>
          <w:sz w:val="24"/>
          <w:szCs w:val="24"/>
        </w:rPr>
      </w:pPr>
      <w:r w:rsidRPr="00B74C8E">
        <w:rPr>
          <w:sz w:val="24"/>
          <w:szCs w:val="24"/>
        </w:rPr>
        <w:t>5.4</w:t>
      </w:r>
      <w:r w:rsidRPr="00B74C8E">
        <w:rPr>
          <w:sz w:val="24"/>
          <w:szCs w:val="24"/>
        </w:rPr>
        <w:tab/>
        <w:t>Den indre emballages art og indhold</w:t>
      </w:r>
    </w:p>
    <w:p w:rsidR="00566A00" w:rsidRPr="00B74C8E" w:rsidRDefault="00566A00" w:rsidP="00B74C8E">
      <w:pPr>
        <w:ind w:left="851"/>
        <w:rPr>
          <w:sz w:val="24"/>
          <w:szCs w:val="24"/>
        </w:rPr>
      </w:pPr>
      <w:r w:rsidRPr="00B74C8E">
        <w:rPr>
          <w:sz w:val="24"/>
          <w:szCs w:val="24"/>
        </w:rPr>
        <w:t xml:space="preserve">Brun glasflaske af type III med doseringspumpe af </w:t>
      </w:r>
      <w:proofErr w:type="spellStart"/>
      <w:r w:rsidRPr="00B74C8E">
        <w:rPr>
          <w:sz w:val="24"/>
          <w:szCs w:val="24"/>
        </w:rPr>
        <w:t>højdensitetspolyethylen</w:t>
      </w:r>
      <w:proofErr w:type="spellEnd"/>
      <w:r w:rsidRPr="00B74C8E">
        <w:rPr>
          <w:sz w:val="24"/>
          <w:szCs w:val="24"/>
        </w:rPr>
        <w:t xml:space="preserve">/polypropylen og stigrør af </w:t>
      </w:r>
      <w:proofErr w:type="spellStart"/>
      <w:r w:rsidRPr="00B74C8E">
        <w:rPr>
          <w:sz w:val="24"/>
          <w:szCs w:val="24"/>
        </w:rPr>
        <w:t>lavdensitetspolyethylen</w:t>
      </w:r>
      <w:proofErr w:type="spellEnd"/>
      <w:r w:rsidRPr="00B74C8E">
        <w:rPr>
          <w:sz w:val="24"/>
          <w:szCs w:val="24"/>
        </w:rPr>
        <w:t xml:space="preserve"> og polypropylen.</w:t>
      </w:r>
    </w:p>
    <w:p w:rsidR="00566A00" w:rsidRPr="00B74C8E" w:rsidRDefault="00566A00" w:rsidP="00B74C8E">
      <w:pPr>
        <w:ind w:left="851"/>
        <w:rPr>
          <w:sz w:val="24"/>
          <w:szCs w:val="24"/>
        </w:rPr>
      </w:pPr>
      <w:r w:rsidRPr="00B74C8E">
        <w:rPr>
          <w:sz w:val="24"/>
          <w:szCs w:val="24"/>
        </w:rPr>
        <w:t>Skruelåg af polypropylen.</w:t>
      </w:r>
    </w:p>
    <w:p w:rsidR="00566A00" w:rsidRPr="00B74C8E" w:rsidRDefault="00566A00" w:rsidP="00B74C8E">
      <w:pPr>
        <w:ind w:left="851"/>
        <w:rPr>
          <w:sz w:val="24"/>
          <w:szCs w:val="24"/>
        </w:rPr>
      </w:pPr>
      <w:r w:rsidRPr="00B74C8E">
        <w:rPr>
          <w:sz w:val="24"/>
          <w:szCs w:val="24"/>
        </w:rPr>
        <w:t>Æske med 1 flaske a 125 ml.</w:t>
      </w:r>
    </w:p>
    <w:p w:rsidR="00566A00" w:rsidRPr="00B74C8E" w:rsidRDefault="00566A00" w:rsidP="00566A00">
      <w:pPr>
        <w:rPr>
          <w:sz w:val="24"/>
          <w:szCs w:val="24"/>
        </w:rPr>
      </w:pPr>
    </w:p>
    <w:p w:rsidR="00566A00" w:rsidRPr="00B74C8E" w:rsidRDefault="00566A00" w:rsidP="00B74C8E">
      <w:pPr>
        <w:pStyle w:val="Style1"/>
        <w:ind w:left="851" w:hanging="851"/>
        <w:rPr>
          <w:sz w:val="24"/>
          <w:szCs w:val="24"/>
        </w:rPr>
      </w:pPr>
      <w:r w:rsidRPr="00B74C8E">
        <w:rPr>
          <w:sz w:val="24"/>
          <w:szCs w:val="24"/>
        </w:rPr>
        <w:t>5.5</w:t>
      </w:r>
      <w:r w:rsidRPr="00B74C8E">
        <w:rPr>
          <w:sz w:val="24"/>
          <w:szCs w:val="24"/>
        </w:rPr>
        <w:tab/>
        <w:t>Særlige forholdsregler vedrørende bortskaffelse af ubrugte veterinærlægemidler eller affaldsmaterialer fra brugen heraf</w:t>
      </w:r>
    </w:p>
    <w:p w:rsidR="00566A00" w:rsidRPr="00B74C8E" w:rsidRDefault="00566A00" w:rsidP="00B74C8E">
      <w:pPr>
        <w:ind w:left="851"/>
        <w:rPr>
          <w:sz w:val="24"/>
          <w:szCs w:val="24"/>
        </w:rPr>
      </w:pPr>
      <w:r w:rsidRPr="00B74C8E">
        <w:rPr>
          <w:sz w:val="24"/>
          <w:szCs w:val="24"/>
        </w:rPr>
        <w:t>Lægemidler må ikke bortskaffes sammen med spildevand eller husholdningsaffald.</w:t>
      </w:r>
    </w:p>
    <w:p w:rsidR="00566A00" w:rsidRPr="00B74C8E" w:rsidRDefault="00566A00" w:rsidP="00B74C8E">
      <w:pPr>
        <w:ind w:left="851"/>
        <w:rPr>
          <w:sz w:val="24"/>
          <w:szCs w:val="24"/>
        </w:rPr>
      </w:pPr>
    </w:p>
    <w:p w:rsidR="00566A00" w:rsidRPr="00B74C8E" w:rsidRDefault="00566A00" w:rsidP="00B74C8E">
      <w:pPr>
        <w:ind w:left="851" w:right="-143"/>
        <w:rPr>
          <w:sz w:val="24"/>
          <w:szCs w:val="24"/>
        </w:rPr>
      </w:pPr>
      <w:r w:rsidRPr="00B74C8E">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D31209" w:rsidRPr="006F5C7F" w:rsidRDefault="00D31209" w:rsidP="00D31209">
      <w:pPr>
        <w:tabs>
          <w:tab w:val="left" w:pos="8222"/>
        </w:tabs>
        <w:ind w:left="851"/>
        <w:rPr>
          <w:sz w:val="24"/>
          <w:szCs w:val="24"/>
        </w:rPr>
      </w:pPr>
    </w:p>
    <w:p w:rsidR="00D31209" w:rsidRPr="006F5C7F" w:rsidRDefault="00D31209" w:rsidP="00D31209">
      <w:pPr>
        <w:tabs>
          <w:tab w:val="left" w:pos="851"/>
          <w:tab w:val="left" w:pos="8222"/>
        </w:tabs>
        <w:ind w:left="851"/>
        <w:rPr>
          <w:sz w:val="24"/>
          <w:szCs w:val="24"/>
        </w:rPr>
      </w:pPr>
    </w:p>
    <w:p w:rsidR="00D31209" w:rsidRPr="00B74C8E" w:rsidRDefault="00D31209" w:rsidP="00B74C8E">
      <w:pPr>
        <w:pStyle w:val="Style1"/>
        <w:ind w:left="851" w:hanging="851"/>
        <w:rPr>
          <w:sz w:val="24"/>
          <w:szCs w:val="24"/>
        </w:rPr>
      </w:pPr>
      <w:r w:rsidRPr="00B74C8E">
        <w:rPr>
          <w:sz w:val="24"/>
          <w:szCs w:val="24"/>
        </w:rPr>
        <w:t>6.</w:t>
      </w:r>
      <w:r w:rsidRPr="00B74C8E">
        <w:rPr>
          <w:sz w:val="24"/>
          <w:szCs w:val="24"/>
        </w:rPr>
        <w:tab/>
      </w:r>
      <w:r w:rsidR="00B74C8E" w:rsidRPr="00B74C8E">
        <w:rPr>
          <w:sz w:val="24"/>
          <w:szCs w:val="24"/>
        </w:rPr>
        <w:t>NAVN PÅ INDEHAVEREN AF MARKEDSFØRINGSTILLADELSEN</w:t>
      </w:r>
    </w:p>
    <w:p w:rsidR="00D31209" w:rsidRPr="000E7BEE" w:rsidRDefault="00D31209" w:rsidP="00B74C8E">
      <w:pPr>
        <w:ind w:firstLine="851"/>
        <w:rPr>
          <w:sz w:val="24"/>
          <w:szCs w:val="24"/>
        </w:rPr>
      </w:pPr>
      <w:proofErr w:type="spellStart"/>
      <w:r w:rsidRPr="000E7BEE">
        <w:rPr>
          <w:sz w:val="24"/>
          <w:szCs w:val="24"/>
        </w:rPr>
        <w:t>A</w:t>
      </w:r>
      <w:r>
        <w:rPr>
          <w:sz w:val="24"/>
          <w:szCs w:val="24"/>
        </w:rPr>
        <w:t>udevard</w:t>
      </w:r>
      <w:proofErr w:type="spellEnd"/>
    </w:p>
    <w:p w:rsidR="009F0F73" w:rsidRDefault="009F0F73" w:rsidP="00D31209">
      <w:pPr>
        <w:ind w:left="851"/>
        <w:rPr>
          <w:sz w:val="24"/>
          <w:szCs w:val="24"/>
        </w:rPr>
      </w:pPr>
      <w:r w:rsidRPr="009F0F73">
        <w:rPr>
          <w:sz w:val="24"/>
          <w:szCs w:val="24"/>
        </w:rPr>
        <w:t xml:space="preserve">37-39 </w:t>
      </w:r>
      <w:proofErr w:type="spellStart"/>
      <w:r w:rsidRPr="009F0F73">
        <w:rPr>
          <w:sz w:val="24"/>
          <w:szCs w:val="24"/>
        </w:rPr>
        <w:t>rue</w:t>
      </w:r>
      <w:proofErr w:type="spellEnd"/>
      <w:r w:rsidRPr="009F0F73">
        <w:rPr>
          <w:sz w:val="24"/>
          <w:szCs w:val="24"/>
        </w:rPr>
        <w:t xml:space="preserve"> de </w:t>
      </w:r>
      <w:proofErr w:type="spellStart"/>
      <w:r w:rsidRPr="009F0F73">
        <w:rPr>
          <w:sz w:val="24"/>
          <w:szCs w:val="24"/>
        </w:rPr>
        <w:t>Neuilly</w:t>
      </w:r>
      <w:proofErr w:type="spellEnd"/>
    </w:p>
    <w:p w:rsidR="00D31209" w:rsidRPr="000E7BEE" w:rsidRDefault="00D31209" w:rsidP="00D31209">
      <w:pPr>
        <w:ind w:left="851"/>
        <w:rPr>
          <w:sz w:val="24"/>
          <w:szCs w:val="24"/>
        </w:rPr>
      </w:pPr>
      <w:r>
        <w:rPr>
          <w:sz w:val="24"/>
          <w:szCs w:val="24"/>
        </w:rPr>
        <w:t xml:space="preserve">92110 </w:t>
      </w:r>
      <w:proofErr w:type="spellStart"/>
      <w:r>
        <w:rPr>
          <w:sz w:val="24"/>
          <w:szCs w:val="24"/>
        </w:rPr>
        <w:t>Clichy</w:t>
      </w:r>
      <w:proofErr w:type="spellEnd"/>
    </w:p>
    <w:p w:rsidR="00D31209" w:rsidRPr="000E7BEE" w:rsidRDefault="00D31209" w:rsidP="00D31209">
      <w:pPr>
        <w:ind w:left="851"/>
        <w:rPr>
          <w:sz w:val="24"/>
          <w:szCs w:val="24"/>
        </w:rPr>
      </w:pPr>
      <w:r w:rsidRPr="000E7BEE">
        <w:rPr>
          <w:sz w:val="24"/>
          <w:szCs w:val="24"/>
        </w:rPr>
        <w:t>Frankrig</w:t>
      </w:r>
    </w:p>
    <w:p w:rsidR="00D31209" w:rsidRPr="006F5C7F" w:rsidRDefault="00D31209" w:rsidP="00D31209">
      <w:pPr>
        <w:tabs>
          <w:tab w:val="left" w:pos="851"/>
          <w:tab w:val="left" w:pos="8222"/>
        </w:tabs>
        <w:ind w:left="851"/>
        <w:rPr>
          <w:sz w:val="24"/>
          <w:szCs w:val="24"/>
        </w:rPr>
      </w:pPr>
    </w:p>
    <w:p w:rsidR="00D31209" w:rsidRPr="006F5C7F" w:rsidRDefault="00B74C8E" w:rsidP="00D31209">
      <w:pPr>
        <w:tabs>
          <w:tab w:val="left" w:pos="8222"/>
        </w:tabs>
        <w:ind w:left="851" w:hanging="851"/>
        <w:rPr>
          <w:b/>
          <w:sz w:val="24"/>
          <w:szCs w:val="24"/>
        </w:rPr>
      </w:pPr>
      <w:r>
        <w:rPr>
          <w:b/>
          <w:sz w:val="24"/>
          <w:szCs w:val="24"/>
        </w:rPr>
        <w:t>7</w:t>
      </w:r>
      <w:r w:rsidR="00D31209" w:rsidRPr="006F5C7F">
        <w:rPr>
          <w:b/>
          <w:sz w:val="24"/>
          <w:szCs w:val="24"/>
        </w:rPr>
        <w:t>.</w:t>
      </w:r>
      <w:r w:rsidR="00D31209" w:rsidRPr="006F5C7F">
        <w:rPr>
          <w:b/>
          <w:sz w:val="24"/>
          <w:szCs w:val="24"/>
        </w:rPr>
        <w:tab/>
        <w:t>MARKEDSFØRINGSTILLADELSESNUMMER (</w:t>
      </w:r>
      <w:r>
        <w:rPr>
          <w:b/>
          <w:sz w:val="24"/>
          <w:szCs w:val="24"/>
        </w:rPr>
        <w:t>-</w:t>
      </w:r>
      <w:r w:rsidR="00D31209" w:rsidRPr="006F5C7F">
        <w:rPr>
          <w:b/>
          <w:sz w:val="24"/>
          <w:szCs w:val="24"/>
        </w:rPr>
        <w:t>NUMRE)</w:t>
      </w:r>
    </w:p>
    <w:p w:rsidR="00D31209" w:rsidRPr="006F5C7F" w:rsidRDefault="00D31209" w:rsidP="00D31209">
      <w:pPr>
        <w:tabs>
          <w:tab w:val="left" w:pos="851"/>
          <w:tab w:val="left" w:pos="8222"/>
        </w:tabs>
        <w:ind w:left="851"/>
        <w:rPr>
          <w:sz w:val="24"/>
          <w:szCs w:val="24"/>
        </w:rPr>
      </w:pPr>
      <w:r>
        <w:rPr>
          <w:sz w:val="24"/>
          <w:szCs w:val="24"/>
        </w:rPr>
        <w:t>61449</w:t>
      </w:r>
    </w:p>
    <w:p w:rsidR="00D31209" w:rsidRPr="006F5C7F" w:rsidRDefault="00D31209" w:rsidP="00D31209">
      <w:pPr>
        <w:tabs>
          <w:tab w:val="left" w:pos="851"/>
          <w:tab w:val="left" w:pos="8222"/>
        </w:tabs>
        <w:ind w:left="851"/>
        <w:rPr>
          <w:sz w:val="24"/>
          <w:szCs w:val="24"/>
        </w:rPr>
      </w:pPr>
    </w:p>
    <w:p w:rsidR="00D31209" w:rsidRPr="006F5C7F" w:rsidRDefault="00B74C8E" w:rsidP="00D31209">
      <w:pPr>
        <w:tabs>
          <w:tab w:val="left" w:pos="851"/>
          <w:tab w:val="left" w:pos="8222"/>
        </w:tabs>
        <w:rPr>
          <w:b/>
          <w:sz w:val="24"/>
          <w:szCs w:val="24"/>
        </w:rPr>
      </w:pPr>
      <w:r>
        <w:rPr>
          <w:b/>
          <w:sz w:val="24"/>
          <w:szCs w:val="24"/>
        </w:rPr>
        <w:t>8</w:t>
      </w:r>
      <w:r w:rsidR="00D31209" w:rsidRPr="006F5C7F">
        <w:rPr>
          <w:b/>
          <w:sz w:val="24"/>
          <w:szCs w:val="24"/>
        </w:rPr>
        <w:t>.</w:t>
      </w:r>
      <w:r w:rsidR="00D31209" w:rsidRPr="006F5C7F">
        <w:rPr>
          <w:b/>
          <w:sz w:val="24"/>
          <w:szCs w:val="24"/>
        </w:rPr>
        <w:tab/>
        <w:t>DATO FOR FØRSTE TILLADELSE</w:t>
      </w:r>
    </w:p>
    <w:p w:rsidR="00D31209" w:rsidRDefault="00B74C8E" w:rsidP="00D31209">
      <w:pPr>
        <w:tabs>
          <w:tab w:val="left" w:pos="851"/>
          <w:tab w:val="left" w:pos="8222"/>
        </w:tabs>
        <w:ind w:left="851"/>
        <w:rPr>
          <w:sz w:val="24"/>
          <w:szCs w:val="24"/>
        </w:rPr>
      </w:pPr>
      <w:r w:rsidRPr="00B74C8E">
        <w:rPr>
          <w:sz w:val="24"/>
          <w:szCs w:val="24"/>
        </w:rPr>
        <w:t>09/09/2019</w:t>
      </w:r>
    </w:p>
    <w:p w:rsidR="00B74C8E" w:rsidRPr="006F5C7F" w:rsidRDefault="00B74C8E" w:rsidP="00D31209">
      <w:pPr>
        <w:tabs>
          <w:tab w:val="left" w:pos="851"/>
          <w:tab w:val="left" w:pos="8222"/>
        </w:tabs>
        <w:ind w:left="851"/>
        <w:rPr>
          <w:sz w:val="24"/>
          <w:szCs w:val="24"/>
        </w:rPr>
      </w:pPr>
    </w:p>
    <w:p w:rsidR="00D31209" w:rsidRPr="006F5C7F" w:rsidRDefault="00B74C8E" w:rsidP="00D31209">
      <w:pPr>
        <w:tabs>
          <w:tab w:val="left" w:pos="851"/>
          <w:tab w:val="left" w:pos="8222"/>
        </w:tabs>
        <w:ind w:left="851" w:hanging="851"/>
        <w:rPr>
          <w:b/>
          <w:sz w:val="24"/>
          <w:szCs w:val="24"/>
        </w:rPr>
      </w:pPr>
      <w:r>
        <w:rPr>
          <w:b/>
          <w:sz w:val="24"/>
          <w:szCs w:val="24"/>
        </w:rPr>
        <w:t>9</w:t>
      </w:r>
      <w:r w:rsidR="00D31209" w:rsidRPr="006F5C7F">
        <w:rPr>
          <w:b/>
          <w:sz w:val="24"/>
          <w:szCs w:val="24"/>
        </w:rPr>
        <w:t>.</w:t>
      </w:r>
      <w:r w:rsidR="00D31209" w:rsidRPr="006F5C7F">
        <w:rPr>
          <w:b/>
          <w:sz w:val="24"/>
          <w:szCs w:val="24"/>
        </w:rPr>
        <w:tab/>
      </w:r>
      <w:r w:rsidRPr="00B74C8E">
        <w:rPr>
          <w:b/>
          <w:sz w:val="24"/>
          <w:szCs w:val="24"/>
        </w:rPr>
        <w:t>DATO FOR SENESTE ÆNDRING AF PRODUKTRESUMÉET</w:t>
      </w:r>
    </w:p>
    <w:p w:rsidR="00D31209" w:rsidRPr="00B74C8E" w:rsidRDefault="00E25CF2" w:rsidP="00D31209">
      <w:pPr>
        <w:tabs>
          <w:tab w:val="left" w:pos="851"/>
          <w:tab w:val="left" w:pos="8222"/>
        </w:tabs>
        <w:ind w:left="851"/>
        <w:rPr>
          <w:sz w:val="24"/>
          <w:szCs w:val="24"/>
        </w:rPr>
      </w:pPr>
      <w:r w:rsidRPr="00B74C8E">
        <w:rPr>
          <w:sz w:val="24"/>
          <w:szCs w:val="24"/>
        </w:rPr>
        <w:t>21. juni 2024</w:t>
      </w:r>
    </w:p>
    <w:p w:rsidR="00B74C8E" w:rsidRPr="00B74C8E" w:rsidRDefault="00B74C8E" w:rsidP="00D31209">
      <w:pPr>
        <w:tabs>
          <w:tab w:val="left" w:pos="851"/>
          <w:tab w:val="left" w:pos="8222"/>
        </w:tabs>
        <w:ind w:left="851"/>
        <w:rPr>
          <w:sz w:val="24"/>
          <w:szCs w:val="24"/>
        </w:rPr>
      </w:pPr>
    </w:p>
    <w:p w:rsidR="00B74C8E" w:rsidRPr="00B74C8E" w:rsidRDefault="00B74C8E" w:rsidP="00B74C8E">
      <w:pPr>
        <w:pStyle w:val="Style1"/>
        <w:ind w:left="851" w:hanging="851"/>
        <w:rPr>
          <w:sz w:val="24"/>
          <w:szCs w:val="24"/>
        </w:rPr>
      </w:pPr>
      <w:r w:rsidRPr="00B74C8E">
        <w:rPr>
          <w:sz w:val="24"/>
          <w:szCs w:val="24"/>
        </w:rPr>
        <w:t>10.</w:t>
      </w:r>
      <w:r w:rsidRPr="00B74C8E">
        <w:rPr>
          <w:sz w:val="24"/>
          <w:szCs w:val="24"/>
        </w:rPr>
        <w:tab/>
        <w:t>KLASSIFICERING AF VETERINÆRLÆGEMIDLER</w:t>
      </w:r>
    </w:p>
    <w:p w:rsidR="00B74C8E" w:rsidRDefault="00B74C8E" w:rsidP="00B74C8E">
      <w:pPr>
        <w:numPr>
          <w:ilvl w:val="12"/>
          <w:numId w:val="0"/>
        </w:numPr>
        <w:ind w:left="851"/>
        <w:rPr>
          <w:sz w:val="24"/>
          <w:szCs w:val="24"/>
        </w:rPr>
      </w:pPr>
      <w:r w:rsidRPr="00B74C8E">
        <w:rPr>
          <w:sz w:val="24"/>
          <w:szCs w:val="24"/>
        </w:rPr>
        <w:t>BP.</w:t>
      </w:r>
    </w:p>
    <w:p w:rsidR="00B74C8E" w:rsidRPr="00B74C8E" w:rsidRDefault="00B74C8E" w:rsidP="00B74C8E">
      <w:pPr>
        <w:numPr>
          <w:ilvl w:val="12"/>
          <w:numId w:val="0"/>
        </w:numPr>
        <w:ind w:left="851"/>
        <w:rPr>
          <w:sz w:val="24"/>
          <w:szCs w:val="24"/>
        </w:rPr>
      </w:pPr>
    </w:p>
    <w:p w:rsidR="00B74C8E" w:rsidRPr="00B74C8E" w:rsidRDefault="00B74C8E" w:rsidP="00B74C8E">
      <w:pPr>
        <w:ind w:left="851" w:right="-318"/>
        <w:rPr>
          <w:sz w:val="24"/>
          <w:szCs w:val="24"/>
        </w:rPr>
      </w:pPr>
      <w:bookmarkStart w:id="2" w:name="_Hlk73467306"/>
      <w:r w:rsidRPr="00B74C8E">
        <w:rPr>
          <w:sz w:val="24"/>
          <w:szCs w:val="24"/>
        </w:rPr>
        <w:t>Der findes detaljerede oplysninger om dette veterinærlægemiddel i EU-lægemiddeldatabasen.</w:t>
      </w:r>
    </w:p>
    <w:bookmarkEnd w:id="2"/>
    <w:p w:rsidR="0003527F" w:rsidRPr="00B74C8E" w:rsidRDefault="0003527F" w:rsidP="00B74C8E">
      <w:pPr>
        <w:tabs>
          <w:tab w:val="left" w:pos="851"/>
          <w:tab w:val="left" w:pos="8222"/>
        </w:tabs>
        <w:ind w:left="851"/>
        <w:rPr>
          <w:sz w:val="24"/>
          <w:szCs w:val="24"/>
        </w:rPr>
      </w:pPr>
    </w:p>
    <w:sectPr w:rsidR="0003527F" w:rsidRPr="00B74C8E" w:rsidSect="00C479BF">
      <w:headerReference w:type="default"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1209" w:rsidRDefault="00D31209">
      <w:r>
        <w:separator/>
      </w:r>
    </w:p>
  </w:endnote>
  <w:endnote w:type="continuationSeparator" w:id="0">
    <w:p w:rsidR="00D31209" w:rsidRDefault="00D31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FD07DF">
    <w:pPr>
      <w:pStyle w:val="Sidefod"/>
      <w:tabs>
        <w:tab w:val="clear" w:pos="4819"/>
        <w:tab w:val="left" w:pos="8647"/>
      </w:tabs>
      <w:rPr>
        <w:i/>
        <w:sz w:val="18"/>
      </w:rPr>
    </w:pPr>
    <w:proofErr w:type="spellStart"/>
    <w:r w:rsidRPr="00FD07DF">
      <w:rPr>
        <w:i/>
        <w:snapToGrid w:val="0"/>
        <w:sz w:val="18"/>
      </w:rPr>
      <w:t>Ekyflogyl</w:t>
    </w:r>
    <w:proofErr w:type="spellEnd"/>
    <w:r w:rsidRPr="00FD07DF">
      <w:rPr>
        <w:i/>
        <w:snapToGrid w:val="0"/>
        <w:sz w:val="18"/>
      </w:rPr>
      <w:t>, gel 1,8+8,7 mg-ml</w:t>
    </w:r>
    <w:r w:rsidR="004A62CC">
      <w:rPr>
        <w:i/>
        <w:snapToGrid w:val="0"/>
        <w:sz w:val="18"/>
      </w:rPr>
      <w:tab/>
      <w:t xml:space="preserve">Side </w:t>
    </w:r>
    <w:r w:rsidR="00666B01">
      <w:rPr>
        <w:i/>
        <w:snapToGrid w:val="0"/>
        <w:sz w:val="18"/>
      </w:rPr>
      <w:fldChar w:fldCharType="begin"/>
    </w:r>
    <w:r w:rsidR="004A62CC">
      <w:rPr>
        <w:i/>
        <w:snapToGrid w:val="0"/>
        <w:sz w:val="18"/>
      </w:rPr>
      <w:instrText xml:space="preserve"> PAGE </w:instrText>
    </w:r>
    <w:r w:rsidR="00666B01">
      <w:rPr>
        <w:i/>
        <w:snapToGrid w:val="0"/>
        <w:sz w:val="18"/>
      </w:rPr>
      <w:fldChar w:fldCharType="separate"/>
    </w:r>
    <w:r w:rsidR="00565A74">
      <w:rPr>
        <w:i/>
        <w:noProof/>
        <w:snapToGrid w:val="0"/>
        <w:sz w:val="18"/>
      </w:rPr>
      <w:t>3</w:t>
    </w:r>
    <w:r w:rsidR="00666B01">
      <w:rPr>
        <w:i/>
        <w:snapToGrid w:val="0"/>
        <w:sz w:val="18"/>
      </w:rPr>
      <w:fldChar w:fldCharType="end"/>
    </w:r>
    <w:r w:rsidR="004A62CC">
      <w:rPr>
        <w:i/>
        <w:snapToGrid w:val="0"/>
        <w:sz w:val="18"/>
      </w:rPr>
      <w:t xml:space="preserve"> af </w:t>
    </w:r>
    <w:r w:rsidR="00666B01">
      <w:rPr>
        <w:i/>
        <w:snapToGrid w:val="0"/>
        <w:sz w:val="18"/>
      </w:rPr>
      <w:fldChar w:fldCharType="begin"/>
    </w:r>
    <w:r w:rsidR="004A62CC">
      <w:rPr>
        <w:i/>
        <w:snapToGrid w:val="0"/>
        <w:sz w:val="18"/>
      </w:rPr>
      <w:instrText xml:space="preserve"> NUMPAGES </w:instrText>
    </w:r>
    <w:r w:rsidR="00666B01">
      <w:rPr>
        <w:i/>
        <w:snapToGrid w:val="0"/>
        <w:sz w:val="18"/>
      </w:rPr>
      <w:fldChar w:fldCharType="separate"/>
    </w:r>
    <w:r w:rsidR="00565A74">
      <w:rPr>
        <w:i/>
        <w:noProof/>
        <w:snapToGrid w:val="0"/>
        <w:sz w:val="18"/>
      </w:rPr>
      <w:t>3</w:t>
    </w:r>
    <w:r w:rsidR="00666B01">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31209">
      <w:rPr>
        <w:i/>
        <w:noProof/>
        <w:snapToGrid w:val="0"/>
        <w:sz w:val="18"/>
      </w:rPr>
      <w:t>Dokument278</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1209" w:rsidRDefault="00D31209">
      <w:r>
        <w:separator/>
      </w:r>
    </w:p>
  </w:footnote>
  <w:footnote w:type="continuationSeparator" w:id="0">
    <w:p w:rsidR="00D31209" w:rsidRDefault="00D31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7E2C2D05"/>
    <w:multiLevelType w:val="hybridMultilevel"/>
    <w:tmpl w:val="89A29A8E"/>
    <w:lvl w:ilvl="0" w:tplc="FFFFFFFF">
      <w:numFmt w:val="bullet"/>
      <w:lvlText w:val="-"/>
      <w:lvlJc w:val="left"/>
      <w:pPr>
        <w:ind w:left="720" w:hanging="360"/>
      </w:pPr>
      <w:rPr>
        <w:rFonts w:ascii="Arial" w:eastAsia="Times New Roman" w:hAnsi="Arial" w:cs="Aria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209"/>
    <w:rsid w:val="0003527F"/>
    <w:rsid w:val="00065C7D"/>
    <w:rsid w:val="000C6CD4"/>
    <w:rsid w:val="001577E4"/>
    <w:rsid w:val="001858CA"/>
    <w:rsid w:val="001C4AEF"/>
    <w:rsid w:val="001D3CC5"/>
    <w:rsid w:val="00322BDE"/>
    <w:rsid w:val="00406EE7"/>
    <w:rsid w:val="00407013"/>
    <w:rsid w:val="004A62CC"/>
    <w:rsid w:val="004D097B"/>
    <w:rsid w:val="00565A74"/>
    <w:rsid w:val="00566A00"/>
    <w:rsid w:val="005B0036"/>
    <w:rsid w:val="005F5831"/>
    <w:rsid w:val="00662012"/>
    <w:rsid w:val="00666B01"/>
    <w:rsid w:val="006B1539"/>
    <w:rsid w:val="006D4B41"/>
    <w:rsid w:val="006F5621"/>
    <w:rsid w:val="007E2A00"/>
    <w:rsid w:val="008010F2"/>
    <w:rsid w:val="00812B1F"/>
    <w:rsid w:val="009202AE"/>
    <w:rsid w:val="00932676"/>
    <w:rsid w:val="009D66C6"/>
    <w:rsid w:val="009F0F73"/>
    <w:rsid w:val="00A96525"/>
    <w:rsid w:val="00AA1A23"/>
    <w:rsid w:val="00AE29E5"/>
    <w:rsid w:val="00AE5757"/>
    <w:rsid w:val="00B25EB8"/>
    <w:rsid w:val="00B31B21"/>
    <w:rsid w:val="00B5149A"/>
    <w:rsid w:val="00B74C8E"/>
    <w:rsid w:val="00B85CB5"/>
    <w:rsid w:val="00BC634B"/>
    <w:rsid w:val="00BF2AE0"/>
    <w:rsid w:val="00C479BF"/>
    <w:rsid w:val="00CF2B9B"/>
    <w:rsid w:val="00D31209"/>
    <w:rsid w:val="00D567AA"/>
    <w:rsid w:val="00DD6D71"/>
    <w:rsid w:val="00DF32BE"/>
    <w:rsid w:val="00E14F0A"/>
    <w:rsid w:val="00E25CF2"/>
    <w:rsid w:val="00EB5778"/>
    <w:rsid w:val="00EE5253"/>
    <w:rsid w:val="00F80C90"/>
    <w:rsid w:val="00FA66E4"/>
    <w:rsid w:val="00FD07DF"/>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888B9C2-85CA-4ABF-B676-005A2B6AD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uiPriority w:val="99"/>
    <w:qFormat/>
    <w:rsid w:val="00DF32BE"/>
    <w:rPr>
      <w:sz w:val="16"/>
      <w:szCs w:val="16"/>
    </w:rPr>
  </w:style>
  <w:style w:type="paragraph" w:styleId="Kommentartekst">
    <w:name w:val="annotation text"/>
    <w:aliases w:val="Kommentarer"/>
    <w:basedOn w:val="Normal"/>
    <w:link w:val="KommentartekstTegn"/>
    <w:uiPriority w:val="99"/>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qFormat/>
    <w:rsid w:val="00FA66E4"/>
  </w:style>
  <w:style w:type="character" w:customStyle="1" w:styleId="SidehovedTegn">
    <w:name w:val="Sidehoved Tegn"/>
    <w:link w:val="Sidehoved"/>
    <w:rsid w:val="00FA66E4"/>
    <w:rPr>
      <w:sz w:val="24"/>
    </w:rPr>
  </w:style>
  <w:style w:type="paragraph" w:styleId="Brdtekst">
    <w:name w:val="Body Text"/>
    <w:basedOn w:val="Normal"/>
    <w:link w:val="BrdtekstTegn"/>
    <w:rsid w:val="00E25CF2"/>
    <w:pPr>
      <w:jc w:val="both"/>
    </w:pPr>
    <w:rPr>
      <w:sz w:val="22"/>
    </w:rPr>
  </w:style>
  <w:style w:type="character" w:customStyle="1" w:styleId="BrdtekstTegn">
    <w:name w:val="Brødtekst Tegn"/>
    <w:basedOn w:val="Standardskrifttypeiafsnit"/>
    <w:link w:val="Brdtekst"/>
    <w:rsid w:val="00E25CF2"/>
    <w:rPr>
      <w:sz w:val="22"/>
      <w:lang w:eastAsia="en-US"/>
    </w:rPr>
  </w:style>
  <w:style w:type="paragraph" w:customStyle="1" w:styleId="Style1">
    <w:name w:val="Style1"/>
    <w:basedOn w:val="Normal"/>
    <w:qFormat/>
    <w:rsid w:val="00E25CF2"/>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6</Pages>
  <Words>1197</Words>
  <Characters>8088</Characters>
  <Application>Microsoft Office Word</Application>
  <DocSecurity>0</DocSecurity>
  <Lines>67</Lines>
  <Paragraphs>18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9267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Becker</dc:creator>
  <cp:keywords/>
  <dc:description>2023085099_x000d_
Opdatering til QRD9.</dc:description>
  <cp:lastModifiedBy>Iman El Kadiri</cp:lastModifiedBy>
  <cp:revision>5</cp:revision>
  <dcterms:created xsi:type="dcterms:W3CDTF">2024-06-19T13:03:00Z</dcterms:created>
  <dcterms:modified xsi:type="dcterms:W3CDTF">2024-06-21T12:02:00Z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