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B9BF" w14:textId="77777777" w:rsidR="005B0036" w:rsidRPr="008F49E1" w:rsidRDefault="005B0036" w:rsidP="005B0036">
      <w:pPr>
        <w:rPr>
          <w:sz w:val="24"/>
          <w:szCs w:val="24"/>
        </w:rPr>
      </w:pPr>
      <w:r w:rsidRPr="005B0036">
        <w:rPr>
          <w:noProof/>
          <w:sz w:val="24"/>
          <w:szCs w:val="24"/>
          <w:lang w:eastAsia="da-DK"/>
        </w:rPr>
        <w:drawing>
          <wp:inline distT="0" distB="0" distL="0" distR="0" wp14:anchorId="4538FCA3" wp14:editId="3640CF9C">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BBC4275" w14:textId="77777777" w:rsidR="00C479BF" w:rsidRPr="00C20AF7" w:rsidRDefault="00C479BF" w:rsidP="005B0036">
      <w:pPr>
        <w:rPr>
          <w:sz w:val="24"/>
          <w:szCs w:val="24"/>
        </w:rPr>
      </w:pPr>
    </w:p>
    <w:p w14:paraId="104E64BD" w14:textId="052305E8" w:rsidR="005B0036" w:rsidRPr="00406EE7" w:rsidRDefault="005B0036" w:rsidP="005B0036">
      <w:pPr>
        <w:tabs>
          <w:tab w:val="right" w:pos="9356"/>
        </w:tabs>
        <w:rPr>
          <w:b/>
          <w:sz w:val="24"/>
          <w:szCs w:val="24"/>
        </w:rPr>
      </w:pPr>
      <w:r>
        <w:rPr>
          <w:b/>
          <w:sz w:val="24"/>
          <w:szCs w:val="24"/>
        </w:rPr>
        <w:tab/>
      </w:r>
      <w:r w:rsidR="00B132E1">
        <w:rPr>
          <w:b/>
          <w:sz w:val="24"/>
          <w:szCs w:val="24"/>
        </w:rPr>
        <w:t>9</w:t>
      </w:r>
      <w:r w:rsidR="00013D45">
        <w:rPr>
          <w:b/>
          <w:sz w:val="24"/>
          <w:szCs w:val="24"/>
        </w:rPr>
        <w:t xml:space="preserve">. </w:t>
      </w:r>
      <w:r w:rsidR="00B132E1">
        <w:rPr>
          <w:b/>
          <w:sz w:val="24"/>
          <w:szCs w:val="24"/>
        </w:rPr>
        <w:t>juni</w:t>
      </w:r>
      <w:r w:rsidR="00013D45">
        <w:rPr>
          <w:b/>
          <w:sz w:val="24"/>
          <w:szCs w:val="24"/>
        </w:rPr>
        <w:t xml:space="preserve"> 202</w:t>
      </w:r>
      <w:r w:rsidR="00B132E1">
        <w:rPr>
          <w:b/>
          <w:sz w:val="24"/>
          <w:szCs w:val="24"/>
        </w:rPr>
        <w:t>6</w:t>
      </w:r>
    </w:p>
    <w:p w14:paraId="2A7B5F28" w14:textId="77777777" w:rsidR="005B0036" w:rsidRPr="00406EE7" w:rsidRDefault="005B0036" w:rsidP="005B0036">
      <w:pPr>
        <w:rPr>
          <w:sz w:val="24"/>
          <w:szCs w:val="24"/>
        </w:rPr>
      </w:pPr>
    </w:p>
    <w:p w14:paraId="59FE59B8" w14:textId="3C4357A5" w:rsidR="005B0036" w:rsidRDefault="005B0036" w:rsidP="005B0036">
      <w:pPr>
        <w:rPr>
          <w:sz w:val="24"/>
          <w:szCs w:val="24"/>
        </w:rPr>
      </w:pPr>
    </w:p>
    <w:p w14:paraId="2E6B9B9C" w14:textId="77777777" w:rsidR="00C75AF6" w:rsidRPr="00406EE7" w:rsidRDefault="00C75AF6" w:rsidP="005B0036">
      <w:pPr>
        <w:rPr>
          <w:sz w:val="24"/>
          <w:szCs w:val="24"/>
        </w:rPr>
      </w:pPr>
    </w:p>
    <w:p w14:paraId="4A4557FF" w14:textId="77777777" w:rsidR="005B0036" w:rsidRPr="00406EE7" w:rsidRDefault="005B0036" w:rsidP="005B0036">
      <w:pPr>
        <w:tabs>
          <w:tab w:val="left" w:pos="8222"/>
        </w:tabs>
        <w:jc w:val="center"/>
        <w:rPr>
          <w:b/>
          <w:sz w:val="24"/>
          <w:szCs w:val="24"/>
        </w:rPr>
      </w:pPr>
      <w:r w:rsidRPr="00406EE7">
        <w:rPr>
          <w:b/>
          <w:sz w:val="24"/>
          <w:szCs w:val="24"/>
        </w:rPr>
        <w:t>PRODUKTRESUMÉ</w:t>
      </w:r>
    </w:p>
    <w:p w14:paraId="614D9E23" w14:textId="77777777" w:rsidR="005B0036" w:rsidRPr="00406EE7" w:rsidRDefault="005B0036" w:rsidP="005B0036">
      <w:pPr>
        <w:tabs>
          <w:tab w:val="left" w:pos="8222"/>
        </w:tabs>
        <w:jc w:val="center"/>
        <w:rPr>
          <w:b/>
          <w:sz w:val="24"/>
          <w:szCs w:val="24"/>
        </w:rPr>
      </w:pPr>
    </w:p>
    <w:p w14:paraId="79B89002" w14:textId="77777777" w:rsidR="005B0036" w:rsidRPr="00406EE7" w:rsidRDefault="005B0036" w:rsidP="005B0036">
      <w:pPr>
        <w:tabs>
          <w:tab w:val="left" w:pos="8222"/>
        </w:tabs>
        <w:jc w:val="center"/>
        <w:rPr>
          <w:b/>
          <w:sz w:val="24"/>
          <w:szCs w:val="24"/>
        </w:rPr>
      </w:pPr>
      <w:r w:rsidRPr="00406EE7">
        <w:rPr>
          <w:b/>
          <w:sz w:val="24"/>
          <w:szCs w:val="24"/>
        </w:rPr>
        <w:t>for</w:t>
      </w:r>
    </w:p>
    <w:p w14:paraId="3879A120" w14:textId="77777777" w:rsidR="005B0036" w:rsidRPr="00406EE7" w:rsidRDefault="005B0036" w:rsidP="005B0036">
      <w:pPr>
        <w:tabs>
          <w:tab w:val="left" w:pos="8222"/>
        </w:tabs>
        <w:jc w:val="center"/>
        <w:rPr>
          <w:b/>
          <w:sz w:val="24"/>
          <w:szCs w:val="24"/>
        </w:rPr>
      </w:pPr>
    </w:p>
    <w:p w14:paraId="2D2720F8" w14:textId="608A3391" w:rsidR="005B0036" w:rsidRPr="00565A74" w:rsidRDefault="0009595A" w:rsidP="005B0036">
      <w:pPr>
        <w:tabs>
          <w:tab w:val="left" w:pos="8222"/>
        </w:tabs>
        <w:jc w:val="center"/>
        <w:rPr>
          <w:b/>
          <w:sz w:val="24"/>
          <w:szCs w:val="24"/>
        </w:rPr>
      </w:pPr>
      <w:r>
        <w:rPr>
          <w:b/>
          <w:sz w:val="24"/>
          <w:szCs w:val="24"/>
        </w:rPr>
        <w:t xml:space="preserve">Enrocat </w:t>
      </w:r>
      <w:r w:rsidR="00B132E1">
        <w:rPr>
          <w:b/>
          <w:sz w:val="24"/>
          <w:szCs w:val="24"/>
        </w:rPr>
        <w:t>vet</w:t>
      </w:r>
      <w:r w:rsidR="00786138">
        <w:rPr>
          <w:b/>
          <w:sz w:val="24"/>
          <w:szCs w:val="24"/>
        </w:rPr>
        <w:t>, oral suspension</w:t>
      </w:r>
    </w:p>
    <w:p w14:paraId="5128837D" w14:textId="77777777" w:rsidR="005B0036" w:rsidRPr="00406EE7" w:rsidRDefault="005B0036" w:rsidP="005B0036">
      <w:pPr>
        <w:tabs>
          <w:tab w:val="left" w:pos="8222"/>
        </w:tabs>
        <w:jc w:val="both"/>
        <w:rPr>
          <w:sz w:val="24"/>
          <w:szCs w:val="24"/>
        </w:rPr>
      </w:pPr>
    </w:p>
    <w:p w14:paraId="1A49317F" w14:textId="77777777" w:rsidR="005B0036" w:rsidRPr="00C75AF6" w:rsidRDefault="005B0036" w:rsidP="00C75AF6">
      <w:pPr>
        <w:rPr>
          <w:sz w:val="24"/>
          <w:szCs w:val="24"/>
        </w:rPr>
      </w:pPr>
    </w:p>
    <w:p w14:paraId="04FC9BDF" w14:textId="77777777" w:rsidR="005B0036" w:rsidRPr="00C75AF6" w:rsidRDefault="005B0036" w:rsidP="00C75AF6">
      <w:pPr>
        <w:ind w:left="851" w:hanging="851"/>
        <w:rPr>
          <w:b/>
          <w:sz w:val="24"/>
          <w:szCs w:val="24"/>
        </w:rPr>
      </w:pPr>
      <w:r w:rsidRPr="00C75AF6">
        <w:rPr>
          <w:b/>
          <w:sz w:val="24"/>
          <w:szCs w:val="24"/>
        </w:rPr>
        <w:t>0.</w:t>
      </w:r>
      <w:r w:rsidRPr="00C75AF6">
        <w:rPr>
          <w:b/>
          <w:sz w:val="24"/>
          <w:szCs w:val="24"/>
        </w:rPr>
        <w:tab/>
        <w:t>D.SP.NR.</w:t>
      </w:r>
    </w:p>
    <w:p w14:paraId="69F47F78" w14:textId="49279811" w:rsidR="005B0036" w:rsidRPr="00C75AF6" w:rsidRDefault="00786138" w:rsidP="00C75AF6">
      <w:pPr>
        <w:ind w:left="851"/>
        <w:rPr>
          <w:sz w:val="24"/>
          <w:szCs w:val="24"/>
        </w:rPr>
      </w:pPr>
      <w:r w:rsidRPr="00C75AF6">
        <w:rPr>
          <w:sz w:val="24"/>
          <w:szCs w:val="24"/>
        </w:rPr>
        <w:t>31055</w:t>
      </w:r>
    </w:p>
    <w:p w14:paraId="63CB070B" w14:textId="77777777" w:rsidR="005B0036" w:rsidRPr="00C75AF6" w:rsidRDefault="005B0036" w:rsidP="00C75AF6">
      <w:pPr>
        <w:ind w:left="851"/>
        <w:rPr>
          <w:sz w:val="24"/>
          <w:szCs w:val="24"/>
        </w:rPr>
      </w:pPr>
    </w:p>
    <w:p w14:paraId="7EDA12C6" w14:textId="77777777" w:rsidR="005B0036" w:rsidRPr="00C75AF6" w:rsidRDefault="005B0036" w:rsidP="00C75AF6">
      <w:pPr>
        <w:ind w:left="851" w:hanging="851"/>
        <w:rPr>
          <w:b/>
          <w:sz w:val="24"/>
          <w:szCs w:val="24"/>
        </w:rPr>
      </w:pPr>
      <w:r w:rsidRPr="00C75AF6">
        <w:rPr>
          <w:b/>
          <w:sz w:val="24"/>
          <w:szCs w:val="24"/>
        </w:rPr>
        <w:t>1.</w:t>
      </w:r>
      <w:r w:rsidRPr="00C75AF6">
        <w:rPr>
          <w:b/>
          <w:sz w:val="24"/>
          <w:szCs w:val="24"/>
        </w:rPr>
        <w:tab/>
        <w:t>VETERINÆRLÆGEMIDLETS NAVN</w:t>
      </w:r>
    </w:p>
    <w:p w14:paraId="0F0F37B5" w14:textId="79AEEA2C" w:rsidR="005B0036" w:rsidRPr="00C75AF6" w:rsidRDefault="00B132E1" w:rsidP="00C75AF6">
      <w:pPr>
        <w:ind w:left="851"/>
        <w:rPr>
          <w:sz w:val="24"/>
          <w:szCs w:val="24"/>
        </w:rPr>
      </w:pPr>
      <w:r>
        <w:rPr>
          <w:sz w:val="24"/>
          <w:szCs w:val="24"/>
        </w:rPr>
        <w:t>Enrocat vet</w:t>
      </w:r>
    </w:p>
    <w:p w14:paraId="55D8E54E" w14:textId="77777777" w:rsidR="005B0036" w:rsidRPr="00C75AF6" w:rsidRDefault="005B0036" w:rsidP="00C75AF6">
      <w:pPr>
        <w:ind w:left="851"/>
        <w:rPr>
          <w:sz w:val="24"/>
          <w:szCs w:val="24"/>
        </w:rPr>
      </w:pPr>
    </w:p>
    <w:p w14:paraId="7CE1D745" w14:textId="77777777" w:rsidR="005B0036" w:rsidRPr="00C75AF6" w:rsidRDefault="005B0036" w:rsidP="00C75AF6">
      <w:pPr>
        <w:ind w:left="851" w:hanging="851"/>
        <w:rPr>
          <w:b/>
          <w:sz w:val="24"/>
          <w:szCs w:val="24"/>
        </w:rPr>
      </w:pPr>
      <w:r w:rsidRPr="00C75AF6">
        <w:rPr>
          <w:b/>
          <w:sz w:val="24"/>
          <w:szCs w:val="24"/>
        </w:rPr>
        <w:t>2.</w:t>
      </w:r>
      <w:r w:rsidRPr="00C75AF6">
        <w:rPr>
          <w:b/>
          <w:sz w:val="24"/>
          <w:szCs w:val="24"/>
        </w:rPr>
        <w:tab/>
        <w:t>KVALITATIV OG KVANTITATIV SAMMENSÆTNING</w:t>
      </w:r>
    </w:p>
    <w:p w14:paraId="4C52B45A" w14:textId="77777777" w:rsidR="00A53FF8" w:rsidRPr="00C75AF6" w:rsidRDefault="00A53FF8" w:rsidP="00C75AF6">
      <w:pPr>
        <w:ind w:left="851"/>
        <w:rPr>
          <w:sz w:val="24"/>
          <w:szCs w:val="24"/>
        </w:rPr>
      </w:pPr>
      <w:r w:rsidRPr="00C75AF6">
        <w:rPr>
          <w:sz w:val="24"/>
          <w:szCs w:val="24"/>
        </w:rPr>
        <w:t>Hver ml indeholder:</w:t>
      </w:r>
    </w:p>
    <w:p w14:paraId="1BDDCC38" w14:textId="77777777" w:rsidR="00A53FF8" w:rsidRPr="00C75AF6" w:rsidRDefault="00A53FF8" w:rsidP="00C75AF6">
      <w:pPr>
        <w:ind w:left="851"/>
        <w:rPr>
          <w:sz w:val="24"/>
          <w:szCs w:val="24"/>
        </w:rPr>
      </w:pPr>
    </w:p>
    <w:p w14:paraId="26F04CEC" w14:textId="77777777" w:rsidR="00A53FF8" w:rsidRPr="00C75AF6" w:rsidRDefault="00A53FF8" w:rsidP="00C75AF6">
      <w:pPr>
        <w:ind w:left="851"/>
        <w:outlineLvl w:val="0"/>
        <w:rPr>
          <w:b/>
          <w:sz w:val="24"/>
          <w:szCs w:val="24"/>
        </w:rPr>
      </w:pPr>
      <w:r w:rsidRPr="00C75AF6">
        <w:rPr>
          <w:b/>
          <w:sz w:val="24"/>
          <w:szCs w:val="24"/>
        </w:rPr>
        <w:t>Aktivt stof:</w:t>
      </w:r>
    </w:p>
    <w:p w14:paraId="6BC3C5A2" w14:textId="77777777" w:rsidR="00A53FF8" w:rsidRPr="00C75AF6" w:rsidRDefault="00A53FF8" w:rsidP="009F6345">
      <w:pPr>
        <w:tabs>
          <w:tab w:val="left" w:pos="3402"/>
        </w:tabs>
        <w:ind w:left="851"/>
        <w:rPr>
          <w:sz w:val="24"/>
          <w:szCs w:val="24"/>
        </w:rPr>
      </w:pPr>
      <w:r w:rsidRPr="00C75AF6">
        <w:rPr>
          <w:sz w:val="24"/>
          <w:szCs w:val="24"/>
        </w:rPr>
        <w:t>Enrofloxacin</w:t>
      </w:r>
      <w:r w:rsidRPr="00C75AF6">
        <w:rPr>
          <w:sz w:val="24"/>
          <w:szCs w:val="24"/>
        </w:rPr>
        <w:tab/>
        <w:t>25 mg</w:t>
      </w:r>
    </w:p>
    <w:p w14:paraId="5081D821" w14:textId="77777777" w:rsidR="00A53FF8" w:rsidRPr="00C75AF6" w:rsidRDefault="00A53FF8" w:rsidP="009F6345">
      <w:pPr>
        <w:tabs>
          <w:tab w:val="left" w:pos="3402"/>
        </w:tabs>
        <w:ind w:left="851"/>
        <w:rPr>
          <w:sz w:val="24"/>
          <w:szCs w:val="24"/>
        </w:rPr>
      </w:pPr>
    </w:p>
    <w:p w14:paraId="204D42A1" w14:textId="77777777" w:rsidR="00A53FF8" w:rsidRPr="00C75AF6" w:rsidRDefault="00A53FF8" w:rsidP="009F6345">
      <w:pPr>
        <w:tabs>
          <w:tab w:val="left" w:pos="3402"/>
        </w:tabs>
        <w:ind w:left="851"/>
        <w:outlineLvl w:val="0"/>
        <w:rPr>
          <w:b/>
          <w:sz w:val="24"/>
          <w:szCs w:val="24"/>
        </w:rPr>
      </w:pPr>
      <w:r w:rsidRPr="00C75AF6">
        <w:rPr>
          <w:b/>
          <w:sz w:val="24"/>
          <w:szCs w:val="24"/>
        </w:rPr>
        <w:t>Hjælpestoffer:</w:t>
      </w:r>
    </w:p>
    <w:p w14:paraId="4F01EFC2" w14:textId="77777777" w:rsidR="00A53FF8" w:rsidRPr="00C75AF6" w:rsidRDefault="00A53FF8" w:rsidP="009F6345">
      <w:pPr>
        <w:tabs>
          <w:tab w:val="left" w:pos="3402"/>
        </w:tabs>
        <w:ind w:left="851"/>
        <w:rPr>
          <w:sz w:val="24"/>
          <w:szCs w:val="24"/>
        </w:rPr>
      </w:pPr>
      <w:r w:rsidRPr="00C75AF6">
        <w:rPr>
          <w:sz w:val="24"/>
          <w:szCs w:val="24"/>
        </w:rPr>
        <w:t>Sorbinsyre (E200)</w:t>
      </w:r>
      <w:r w:rsidRPr="00C75AF6">
        <w:rPr>
          <w:sz w:val="24"/>
          <w:szCs w:val="24"/>
        </w:rPr>
        <w:tab/>
        <w:t>1 mg</w:t>
      </w:r>
    </w:p>
    <w:p w14:paraId="1857B414" w14:textId="77777777" w:rsidR="00A53FF8" w:rsidRPr="00C75AF6" w:rsidRDefault="00A53FF8" w:rsidP="00C75AF6">
      <w:pPr>
        <w:ind w:left="851"/>
        <w:rPr>
          <w:sz w:val="24"/>
          <w:szCs w:val="24"/>
        </w:rPr>
      </w:pPr>
    </w:p>
    <w:p w14:paraId="77A42B7E" w14:textId="77777777" w:rsidR="00A53FF8" w:rsidRPr="00C75AF6" w:rsidRDefault="00A53FF8" w:rsidP="00C75AF6">
      <w:pPr>
        <w:ind w:left="851"/>
        <w:outlineLvl w:val="0"/>
        <w:rPr>
          <w:sz w:val="24"/>
          <w:szCs w:val="24"/>
        </w:rPr>
      </w:pPr>
      <w:r w:rsidRPr="00C75AF6">
        <w:rPr>
          <w:sz w:val="24"/>
          <w:szCs w:val="24"/>
        </w:rPr>
        <w:t>Alle hjælpestoffer er anført under pkt. 6.1.</w:t>
      </w:r>
    </w:p>
    <w:p w14:paraId="1AF8D948" w14:textId="77777777" w:rsidR="005B0036" w:rsidRPr="00C75AF6" w:rsidRDefault="005B0036" w:rsidP="00C75AF6">
      <w:pPr>
        <w:ind w:left="851"/>
        <w:rPr>
          <w:sz w:val="24"/>
          <w:szCs w:val="24"/>
        </w:rPr>
      </w:pPr>
    </w:p>
    <w:p w14:paraId="57B46776" w14:textId="77777777" w:rsidR="005B0036" w:rsidRPr="00C75AF6" w:rsidRDefault="005B0036" w:rsidP="00C75AF6">
      <w:pPr>
        <w:ind w:left="851" w:hanging="851"/>
        <w:rPr>
          <w:b/>
          <w:sz w:val="24"/>
          <w:szCs w:val="24"/>
        </w:rPr>
      </w:pPr>
      <w:r w:rsidRPr="00C75AF6">
        <w:rPr>
          <w:b/>
          <w:sz w:val="24"/>
          <w:szCs w:val="24"/>
        </w:rPr>
        <w:t>3.</w:t>
      </w:r>
      <w:r w:rsidRPr="00C75AF6">
        <w:rPr>
          <w:b/>
          <w:sz w:val="24"/>
          <w:szCs w:val="24"/>
        </w:rPr>
        <w:tab/>
        <w:t>LÆGEMIDDELFORM</w:t>
      </w:r>
    </w:p>
    <w:p w14:paraId="57F3B18E" w14:textId="78FE7DC5" w:rsidR="00A53FF8" w:rsidRPr="00C75AF6" w:rsidRDefault="00A53FF8" w:rsidP="00C75AF6">
      <w:pPr>
        <w:ind w:left="851"/>
        <w:outlineLvl w:val="0"/>
        <w:rPr>
          <w:sz w:val="24"/>
          <w:szCs w:val="24"/>
        </w:rPr>
      </w:pPr>
      <w:r w:rsidRPr="00C75AF6">
        <w:rPr>
          <w:sz w:val="24"/>
          <w:szCs w:val="24"/>
        </w:rPr>
        <w:t>Oral suspension</w:t>
      </w:r>
    </w:p>
    <w:p w14:paraId="3AEF88F3" w14:textId="77777777" w:rsidR="00A53FF8" w:rsidRPr="00C75AF6" w:rsidRDefault="00A53FF8" w:rsidP="00C75AF6">
      <w:pPr>
        <w:ind w:left="851"/>
        <w:outlineLvl w:val="0"/>
        <w:rPr>
          <w:sz w:val="24"/>
          <w:szCs w:val="24"/>
        </w:rPr>
      </w:pPr>
      <w:r w:rsidRPr="00C75AF6">
        <w:rPr>
          <w:sz w:val="24"/>
          <w:szCs w:val="24"/>
        </w:rPr>
        <w:t xml:space="preserve">Hvid til lysegul suspension. </w:t>
      </w:r>
    </w:p>
    <w:p w14:paraId="64C005AC" w14:textId="77777777" w:rsidR="005B0036" w:rsidRPr="00C75AF6" w:rsidRDefault="005B0036" w:rsidP="00C75AF6">
      <w:pPr>
        <w:ind w:left="851"/>
        <w:rPr>
          <w:sz w:val="24"/>
          <w:szCs w:val="24"/>
        </w:rPr>
      </w:pPr>
    </w:p>
    <w:p w14:paraId="35A68122" w14:textId="77777777" w:rsidR="005B0036" w:rsidRPr="00C75AF6" w:rsidRDefault="005B0036" w:rsidP="00C75AF6">
      <w:pPr>
        <w:ind w:left="851"/>
        <w:rPr>
          <w:sz w:val="24"/>
          <w:szCs w:val="24"/>
        </w:rPr>
      </w:pPr>
    </w:p>
    <w:p w14:paraId="4FB4D389" w14:textId="77777777" w:rsidR="005B0036" w:rsidRPr="00C75AF6" w:rsidRDefault="005B0036" w:rsidP="00C75AF6">
      <w:pPr>
        <w:ind w:left="851" w:hanging="851"/>
        <w:rPr>
          <w:b/>
          <w:sz w:val="24"/>
          <w:szCs w:val="24"/>
        </w:rPr>
      </w:pPr>
      <w:r w:rsidRPr="00C75AF6">
        <w:rPr>
          <w:b/>
          <w:sz w:val="24"/>
          <w:szCs w:val="24"/>
        </w:rPr>
        <w:t>4.</w:t>
      </w:r>
      <w:r w:rsidRPr="00C75AF6">
        <w:rPr>
          <w:b/>
          <w:sz w:val="24"/>
          <w:szCs w:val="24"/>
        </w:rPr>
        <w:tab/>
        <w:t>KLINISKE OPLYSNINGER</w:t>
      </w:r>
    </w:p>
    <w:p w14:paraId="672414F8" w14:textId="77777777" w:rsidR="005B0036" w:rsidRPr="00C75AF6" w:rsidRDefault="005B0036" w:rsidP="00C75AF6">
      <w:pPr>
        <w:ind w:left="851"/>
        <w:rPr>
          <w:sz w:val="24"/>
          <w:szCs w:val="24"/>
        </w:rPr>
      </w:pPr>
    </w:p>
    <w:p w14:paraId="6E456501" w14:textId="77777777" w:rsidR="005B0036" w:rsidRPr="00C75AF6" w:rsidRDefault="005B0036" w:rsidP="00C75AF6">
      <w:pPr>
        <w:ind w:left="851" w:hanging="851"/>
        <w:rPr>
          <w:b/>
          <w:sz w:val="24"/>
          <w:szCs w:val="24"/>
          <w:u w:val="single"/>
        </w:rPr>
      </w:pPr>
      <w:r w:rsidRPr="00C75AF6">
        <w:rPr>
          <w:b/>
          <w:sz w:val="24"/>
          <w:szCs w:val="24"/>
        </w:rPr>
        <w:t>4.1</w:t>
      </w:r>
      <w:r w:rsidRPr="00C75AF6">
        <w:rPr>
          <w:b/>
          <w:sz w:val="24"/>
          <w:szCs w:val="24"/>
        </w:rPr>
        <w:tab/>
        <w:t>Dyrearter</w:t>
      </w:r>
    </w:p>
    <w:p w14:paraId="4B25F368" w14:textId="77777777" w:rsidR="00A53FF8" w:rsidRPr="00C75AF6" w:rsidRDefault="00A53FF8" w:rsidP="00C75AF6">
      <w:pPr>
        <w:ind w:left="851"/>
        <w:outlineLvl w:val="0"/>
        <w:rPr>
          <w:sz w:val="24"/>
          <w:szCs w:val="24"/>
        </w:rPr>
      </w:pPr>
      <w:r w:rsidRPr="00C75AF6">
        <w:rPr>
          <w:sz w:val="24"/>
          <w:szCs w:val="24"/>
        </w:rPr>
        <w:t>Kat.</w:t>
      </w:r>
    </w:p>
    <w:p w14:paraId="095EF842" w14:textId="77777777" w:rsidR="005B0036" w:rsidRPr="00C75AF6" w:rsidRDefault="005B0036" w:rsidP="00C75AF6">
      <w:pPr>
        <w:ind w:left="851"/>
        <w:rPr>
          <w:sz w:val="24"/>
          <w:szCs w:val="24"/>
        </w:rPr>
      </w:pPr>
    </w:p>
    <w:p w14:paraId="1B66A9C3" w14:textId="77777777" w:rsidR="005B0036" w:rsidRPr="00C75AF6" w:rsidRDefault="005B0036" w:rsidP="00C75AF6">
      <w:pPr>
        <w:pStyle w:val="Sidehoved"/>
        <w:tabs>
          <w:tab w:val="clear" w:pos="4819"/>
          <w:tab w:val="clear" w:pos="9638"/>
        </w:tabs>
        <w:ind w:left="851" w:hanging="851"/>
        <w:rPr>
          <w:b/>
          <w:szCs w:val="24"/>
        </w:rPr>
      </w:pPr>
      <w:r w:rsidRPr="00C75AF6">
        <w:rPr>
          <w:b/>
          <w:szCs w:val="24"/>
        </w:rPr>
        <w:t>4.2</w:t>
      </w:r>
      <w:r w:rsidRPr="00C75AF6">
        <w:rPr>
          <w:b/>
          <w:szCs w:val="24"/>
        </w:rPr>
        <w:tab/>
        <w:t>Terapeutiske indikationer</w:t>
      </w:r>
    </w:p>
    <w:p w14:paraId="0B92DB51" w14:textId="143418E4" w:rsidR="00A53FF8" w:rsidRPr="00C75AF6" w:rsidRDefault="00A53FF8" w:rsidP="00C75AF6">
      <w:pPr>
        <w:ind w:left="851"/>
        <w:rPr>
          <w:i/>
          <w:sz w:val="24"/>
          <w:szCs w:val="24"/>
        </w:rPr>
      </w:pPr>
      <w:r w:rsidRPr="00C75AF6">
        <w:rPr>
          <w:sz w:val="24"/>
          <w:szCs w:val="24"/>
        </w:rPr>
        <w:t>Til behandling af enkelt-</w:t>
      </w:r>
      <w:r w:rsidR="005B30CC">
        <w:rPr>
          <w:sz w:val="24"/>
          <w:szCs w:val="24"/>
        </w:rPr>
        <w:t xml:space="preserve"> </w:t>
      </w:r>
      <w:r w:rsidRPr="00C75AF6">
        <w:rPr>
          <w:sz w:val="24"/>
          <w:szCs w:val="24"/>
        </w:rPr>
        <w:t>eller blandede bakterieinfektioner i luftveje, fordøjelses-</w:t>
      </w:r>
      <w:r w:rsidR="005B30CC">
        <w:rPr>
          <w:sz w:val="24"/>
          <w:szCs w:val="24"/>
        </w:rPr>
        <w:t xml:space="preserve"> </w:t>
      </w:r>
      <w:r w:rsidRPr="00C75AF6">
        <w:rPr>
          <w:sz w:val="24"/>
          <w:szCs w:val="24"/>
        </w:rPr>
        <w:t>og urinveje, mellemørebetændelse, hud-</w:t>
      </w:r>
      <w:r w:rsidR="005B30CC">
        <w:rPr>
          <w:sz w:val="24"/>
          <w:szCs w:val="24"/>
        </w:rPr>
        <w:t xml:space="preserve"> </w:t>
      </w:r>
      <w:r w:rsidRPr="00C75AF6">
        <w:rPr>
          <w:sz w:val="24"/>
          <w:szCs w:val="24"/>
        </w:rPr>
        <w:t xml:space="preserve">og sårinfektioner forårsaget af følgende enrofloxacin-følsomme g-positive og gramnegative bakterier: </w:t>
      </w:r>
      <w:r w:rsidRPr="00C75AF6">
        <w:rPr>
          <w:i/>
          <w:sz w:val="24"/>
          <w:szCs w:val="24"/>
        </w:rPr>
        <w:t xml:space="preserve">Staphylococcus </w:t>
      </w:r>
      <w:r w:rsidRPr="00C75AF6">
        <w:rPr>
          <w:sz w:val="24"/>
          <w:szCs w:val="24"/>
        </w:rPr>
        <w:t xml:space="preserve">spp., </w:t>
      </w:r>
      <w:r w:rsidRPr="00C75AF6">
        <w:rPr>
          <w:i/>
          <w:sz w:val="24"/>
          <w:szCs w:val="24"/>
        </w:rPr>
        <w:t>Escherichia coli, Haemophilus</w:t>
      </w:r>
      <w:r w:rsidRPr="00C75AF6">
        <w:rPr>
          <w:sz w:val="24"/>
          <w:szCs w:val="24"/>
        </w:rPr>
        <w:t xml:space="preserve"> spp</w:t>
      </w:r>
      <w:r w:rsidRPr="00C75AF6">
        <w:rPr>
          <w:i/>
          <w:sz w:val="24"/>
          <w:szCs w:val="24"/>
        </w:rPr>
        <w:t>.</w:t>
      </w:r>
      <w:r w:rsidRPr="00C75AF6">
        <w:rPr>
          <w:sz w:val="24"/>
          <w:szCs w:val="24"/>
        </w:rPr>
        <w:t>,</w:t>
      </w:r>
      <w:r w:rsidRPr="00C75AF6">
        <w:rPr>
          <w:i/>
          <w:sz w:val="24"/>
          <w:szCs w:val="24"/>
        </w:rPr>
        <w:t xml:space="preserve"> </w:t>
      </w:r>
      <w:r w:rsidRPr="00C75AF6">
        <w:rPr>
          <w:sz w:val="24"/>
          <w:szCs w:val="24"/>
        </w:rPr>
        <w:t xml:space="preserve">og </w:t>
      </w:r>
      <w:r w:rsidRPr="00C75AF6">
        <w:rPr>
          <w:i/>
          <w:sz w:val="24"/>
          <w:szCs w:val="24"/>
        </w:rPr>
        <w:t xml:space="preserve">Pasteurella </w:t>
      </w:r>
      <w:r w:rsidRPr="00C75AF6">
        <w:rPr>
          <w:sz w:val="24"/>
          <w:szCs w:val="24"/>
        </w:rPr>
        <w:t xml:space="preserve">spp. </w:t>
      </w:r>
    </w:p>
    <w:p w14:paraId="17A18344" w14:textId="77777777" w:rsidR="005B0036" w:rsidRPr="00C75AF6" w:rsidRDefault="005B0036" w:rsidP="00C75AF6">
      <w:pPr>
        <w:pStyle w:val="Sidehoved"/>
        <w:tabs>
          <w:tab w:val="clear" w:pos="4819"/>
          <w:tab w:val="clear" w:pos="9638"/>
        </w:tabs>
        <w:ind w:left="851"/>
        <w:rPr>
          <w:szCs w:val="24"/>
        </w:rPr>
      </w:pPr>
    </w:p>
    <w:p w14:paraId="2A357975" w14:textId="77777777" w:rsidR="005B0036" w:rsidRPr="00C75AF6" w:rsidRDefault="005B0036" w:rsidP="00C75AF6">
      <w:pPr>
        <w:pStyle w:val="Sidehoved"/>
        <w:tabs>
          <w:tab w:val="clear" w:pos="4819"/>
          <w:tab w:val="clear" w:pos="9638"/>
        </w:tabs>
        <w:ind w:left="851" w:hanging="851"/>
        <w:rPr>
          <w:b/>
          <w:szCs w:val="24"/>
        </w:rPr>
      </w:pPr>
      <w:r w:rsidRPr="00C75AF6">
        <w:rPr>
          <w:b/>
          <w:szCs w:val="24"/>
        </w:rPr>
        <w:t>4.3</w:t>
      </w:r>
      <w:r w:rsidRPr="00C75AF6">
        <w:rPr>
          <w:b/>
          <w:szCs w:val="24"/>
        </w:rPr>
        <w:tab/>
        <w:t>Kontraindikationer</w:t>
      </w:r>
    </w:p>
    <w:p w14:paraId="2E99365B" w14:textId="77777777" w:rsidR="00A53FF8" w:rsidRPr="00C75AF6" w:rsidRDefault="00A53FF8" w:rsidP="00C75AF6">
      <w:pPr>
        <w:ind w:left="851"/>
        <w:rPr>
          <w:sz w:val="24"/>
          <w:szCs w:val="24"/>
        </w:rPr>
      </w:pPr>
      <w:r w:rsidRPr="00C75AF6">
        <w:rPr>
          <w:sz w:val="24"/>
          <w:szCs w:val="24"/>
        </w:rPr>
        <w:t>Må ikke anvendes til dyr med eksisterende nedsat bruskvækst.</w:t>
      </w:r>
    </w:p>
    <w:p w14:paraId="46C70CBD" w14:textId="77777777" w:rsidR="00A53FF8" w:rsidRPr="00C75AF6" w:rsidRDefault="00A53FF8" w:rsidP="00C75AF6">
      <w:pPr>
        <w:ind w:left="851"/>
        <w:rPr>
          <w:bCs/>
          <w:sz w:val="24"/>
          <w:szCs w:val="24"/>
        </w:rPr>
      </w:pPr>
      <w:r w:rsidRPr="00C75AF6">
        <w:rPr>
          <w:sz w:val="24"/>
          <w:szCs w:val="24"/>
        </w:rPr>
        <w:lastRenderedPageBreak/>
        <w:t>Bør ikke anvendes til dyr med tidligere krampeanfald</w:t>
      </w:r>
      <w:r w:rsidRPr="00C75AF6">
        <w:rPr>
          <w:bCs/>
          <w:i/>
          <w:sz w:val="24"/>
          <w:szCs w:val="24"/>
        </w:rPr>
        <w:t>,</w:t>
      </w:r>
      <w:r w:rsidRPr="00C75AF6">
        <w:rPr>
          <w:sz w:val="24"/>
          <w:szCs w:val="24"/>
        </w:rPr>
        <w:t xml:space="preserve"> da enrofloxacin kan medføre CNS-stimulation.</w:t>
      </w:r>
    </w:p>
    <w:p w14:paraId="5D40820E" w14:textId="77777777" w:rsidR="00A53FF8" w:rsidRPr="00C75AF6" w:rsidRDefault="00A53FF8" w:rsidP="00C75AF6">
      <w:pPr>
        <w:ind w:left="851"/>
        <w:rPr>
          <w:sz w:val="24"/>
          <w:szCs w:val="24"/>
        </w:rPr>
      </w:pPr>
      <w:r w:rsidRPr="00C75AF6">
        <w:rPr>
          <w:sz w:val="24"/>
          <w:szCs w:val="24"/>
        </w:rPr>
        <w:t>Bør ikke anvendes til dyr med kendt overfølsomhed over for fluorquinoloner eller et eller flere af hjælpestofferne.</w:t>
      </w:r>
    </w:p>
    <w:p w14:paraId="0ECA334C" w14:textId="77777777" w:rsidR="00A53FF8" w:rsidRPr="00C75AF6" w:rsidRDefault="00A53FF8" w:rsidP="00C75AF6">
      <w:pPr>
        <w:ind w:left="851"/>
        <w:rPr>
          <w:sz w:val="24"/>
          <w:szCs w:val="24"/>
        </w:rPr>
      </w:pPr>
      <w:r w:rsidRPr="00C75AF6">
        <w:rPr>
          <w:sz w:val="24"/>
          <w:szCs w:val="24"/>
        </w:rPr>
        <w:t>Må ikke anvendes til dyr under 8 uger.</w:t>
      </w:r>
    </w:p>
    <w:p w14:paraId="5AC1B681" w14:textId="77777777" w:rsidR="005B0036" w:rsidRPr="00C75AF6" w:rsidRDefault="005B0036" w:rsidP="00C75AF6">
      <w:pPr>
        <w:pStyle w:val="Sidehoved"/>
        <w:tabs>
          <w:tab w:val="clear" w:pos="4819"/>
          <w:tab w:val="clear" w:pos="9638"/>
        </w:tabs>
        <w:ind w:left="851"/>
        <w:rPr>
          <w:szCs w:val="24"/>
        </w:rPr>
      </w:pPr>
    </w:p>
    <w:p w14:paraId="54835ED6" w14:textId="77777777" w:rsidR="005B0036" w:rsidRPr="00C75AF6" w:rsidRDefault="005B0036" w:rsidP="00C75AF6">
      <w:pPr>
        <w:ind w:left="851" w:hanging="851"/>
        <w:rPr>
          <w:b/>
          <w:sz w:val="24"/>
          <w:szCs w:val="24"/>
        </w:rPr>
      </w:pPr>
      <w:r w:rsidRPr="00C75AF6">
        <w:rPr>
          <w:b/>
          <w:sz w:val="24"/>
          <w:szCs w:val="24"/>
        </w:rPr>
        <w:t>4.4</w:t>
      </w:r>
      <w:r w:rsidRPr="00C75AF6">
        <w:rPr>
          <w:b/>
          <w:sz w:val="24"/>
          <w:szCs w:val="24"/>
        </w:rPr>
        <w:tab/>
        <w:t>Særlige advarsler</w:t>
      </w:r>
    </w:p>
    <w:p w14:paraId="5CA56940" w14:textId="77777777" w:rsidR="00A53FF8" w:rsidRPr="00C75AF6" w:rsidRDefault="00A53FF8" w:rsidP="00C75AF6">
      <w:pPr>
        <w:ind w:left="851"/>
        <w:rPr>
          <w:sz w:val="24"/>
          <w:szCs w:val="24"/>
        </w:rPr>
      </w:pPr>
      <w:r w:rsidRPr="00C75AF6">
        <w:rPr>
          <w:sz w:val="24"/>
          <w:szCs w:val="24"/>
        </w:rPr>
        <w:t xml:space="preserve">Ingen. </w:t>
      </w:r>
    </w:p>
    <w:p w14:paraId="1D68C3BF" w14:textId="77777777" w:rsidR="005B0036" w:rsidRPr="00C75AF6" w:rsidRDefault="005B0036" w:rsidP="00C75AF6">
      <w:pPr>
        <w:pStyle w:val="Sidehoved"/>
        <w:tabs>
          <w:tab w:val="clear" w:pos="4819"/>
          <w:tab w:val="clear" w:pos="9638"/>
        </w:tabs>
        <w:ind w:left="851"/>
        <w:rPr>
          <w:szCs w:val="24"/>
        </w:rPr>
      </w:pPr>
    </w:p>
    <w:p w14:paraId="572A2C2F" w14:textId="77777777" w:rsidR="005B0036" w:rsidRPr="00C75AF6" w:rsidRDefault="005B0036" w:rsidP="00CC2C3E">
      <w:pPr>
        <w:ind w:left="851" w:hanging="851"/>
        <w:rPr>
          <w:b/>
          <w:sz w:val="24"/>
          <w:szCs w:val="24"/>
        </w:rPr>
      </w:pPr>
      <w:r w:rsidRPr="00C75AF6">
        <w:rPr>
          <w:b/>
          <w:sz w:val="24"/>
          <w:szCs w:val="24"/>
        </w:rPr>
        <w:t>4.5</w:t>
      </w:r>
      <w:r w:rsidRPr="00C75AF6">
        <w:rPr>
          <w:b/>
          <w:sz w:val="24"/>
          <w:szCs w:val="24"/>
        </w:rPr>
        <w:tab/>
        <w:t>Særlige forsigtighedsregler vedrørende brugen</w:t>
      </w:r>
    </w:p>
    <w:p w14:paraId="07EDF0F4" w14:textId="77777777" w:rsidR="005B0036" w:rsidRPr="00C75AF6" w:rsidRDefault="005B0036" w:rsidP="00C75AF6">
      <w:pPr>
        <w:ind w:left="851"/>
        <w:rPr>
          <w:sz w:val="24"/>
          <w:szCs w:val="24"/>
        </w:rPr>
      </w:pPr>
    </w:p>
    <w:p w14:paraId="4E416701" w14:textId="77777777" w:rsidR="005B0036" w:rsidRPr="00C75AF6" w:rsidRDefault="005B0036" w:rsidP="00C75AF6">
      <w:pPr>
        <w:ind w:left="851"/>
        <w:rPr>
          <w:b/>
          <w:sz w:val="24"/>
          <w:szCs w:val="24"/>
        </w:rPr>
      </w:pPr>
      <w:r w:rsidRPr="00C75AF6">
        <w:rPr>
          <w:b/>
          <w:sz w:val="24"/>
          <w:szCs w:val="24"/>
        </w:rPr>
        <w:t>Særlige forsigtighedsregler for dyret</w:t>
      </w:r>
    </w:p>
    <w:p w14:paraId="484F3EEE" w14:textId="77777777" w:rsidR="00A53FF8" w:rsidRPr="00C75AF6" w:rsidRDefault="00A53FF8" w:rsidP="00C75AF6">
      <w:pPr>
        <w:ind w:left="851"/>
        <w:rPr>
          <w:sz w:val="24"/>
          <w:szCs w:val="24"/>
        </w:rPr>
      </w:pPr>
      <w:r w:rsidRPr="00C75AF6">
        <w:rPr>
          <w:sz w:val="24"/>
          <w:szCs w:val="24"/>
        </w:rPr>
        <w:t>Fluoroquinoloner bør forbeholdes behandling af kliniske tilstande, der har responderet dårligt eller forventes at respondere dårligt på andre klasser af antimikrobielle stoffer.</w:t>
      </w:r>
    </w:p>
    <w:p w14:paraId="232E1E28" w14:textId="77777777" w:rsidR="00A53FF8" w:rsidRPr="00C75AF6" w:rsidRDefault="00A53FF8" w:rsidP="00C75AF6">
      <w:pPr>
        <w:ind w:left="851"/>
        <w:rPr>
          <w:sz w:val="24"/>
          <w:szCs w:val="24"/>
        </w:rPr>
      </w:pPr>
      <w:r w:rsidRPr="00C75AF6">
        <w:rPr>
          <w:sz w:val="24"/>
          <w:szCs w:val="24"/>
        </w:rPr>
        <w:t xml:space="preserve">Fluoroquinoloner bør så vidt muligt kun anvendes på basis af følsomhedstest. </w:t>
      </w:r>
    </w:p>
    <w:p w14:paraId="3B47BB60" w14:textId="716999A4" w:rsidR="00A53FF8" w:rsidRPr="00C75AF6" w:rsidRDefault="00A53FF8" w:rsidP="00C75AF6">
      <w:pPr>
        <w:ind w:left="851"/>
        <w:rPr>
          <w:sz w:val="24"/>
          <w:szCs w:val="24"/>
        </w:rPr>
      </w:pPr>
      <w:r w:rsidRPr="00C75AF6">
        <w:rPr>
          <w:sz w:val="24"/>
          <w:szCs w:val="24"/>
        </w:rPr>
        <w:t>Anden brug af præparatet end hvad der angives i produktresum</w:t>
      </w:r>
      <w:r w:rsidR="006844B6">
        <w:rPr>
          <w:sz w:val="24"/>
          <w:szCs w:val="24"/>
        </w:rPr>
        <w:t>é</w:t>
      </w:r>
      <w:r w:rsidRPr="00C75AF6">
        <w:rPr>
          <w:sz w:val="24"/>
          <w:szCs w:val="24"/>
        </w:rPr>
        <w:t xml:space="preserve">ets anvisninger, kan øge forekomsten af bakterier, der er resistente mod fluoroquinoloner, og det kan reducere virkningen af behandling med andre quinoloner, på grund af muligheden for krydsresistens. </w:t>
      </w:r>
    </w:p>
    <w:p w14:paraId="49EC195B" w14:textId="77777777" w:rsidR="00A53FF8" w:rsidRPr="00C75AF6" w:rsidRDefault="00A53FF8" w:rsidP="00C75AF6">
      <w:pPr>
        <w:ind w:left="851"/>
        <w:rPr>
          <w:sz w:val="24"/>
          <w:szCs w:val="24"/>
        </w:rPr>
      </w:pPr>
      <w:r w:rsidRPr="00C75AF6">
        <w:rPr>
          <w:sz w:val="24"/>
          <w:szCs w:val="24"/>
        </w:rPr>
        <w:t xml:space="preserve">Der bør tages hensyn til officielle og lokale antimikrobielle politikker, når præparatet anvendes. </w:t>
      </w:r>
    </w:p>
    <w:p w14:paraId="01959CD7" w14:textId="77777777" w:rsidR="00A53FF8" w:rsidRPr="00C75AF6" w:rsidRDefault="00A53FF8" w:rsidP="00C75AF6">
      <w:pPr>
        <w:ind w:left="851"/>
        <w:rPr>
          <w:sz w:val="24"/>
          <w:szCs w:val="24"/>
        </w:rPr>
      </w:pPr>
      <w:r w:rsidRPr="00C75AF6">
        <w:rPr>
          <w:sz w:val="24"/>
          <w:szCs w:val="24"/>
        </w:rPr>
        <w:t xml:space="preserve">I tilfælde af pyodermi skal mulig underliggende primær sygdom identificeres og behandles. </w:t>
      </w:r>
    </w:p>
    <w:p w14:paraId="63AEA358" w14:textId="77777777" w:rsidR="00A53FF8" w:rsidRPr="00C75AF6" w:rsidRDefault="00A53FF8" w:rsidP="00C75AF6">
      <w:pPr>
        <w:ind w:left="851"/>
        <w:rPr>
          <w:sz w:val="24"/>
          <w:szCs w:val="24"/>
        </w:rPr>
      </w:pPr>
      <w:r w:rsidRPr="00C75AF6">
        <w:rPr>
          <w:sz w:val="24"/>
          <w:szCs w:val="24"/>
        </w:rPr>
        <w:t xml:space="preserve">Enrofloxacin udskilles delvist via nyrerne; som med alle fluoroquinoloner, kan udskillelse derfor blive forsinket hos dyr med eksisterende nyreskade. </w:t>
      </w:r>
    </w:p>
    <w:p w14:paraId="3DBD4C80" w14:textId="77777777" w:rsidR="00A53FF8" w:rsidRPr="00C75AF6" w:rsidRDefault="00A53FF8" w:rsidP="00C75AF6">
      <w:pPr>
        <w:ind w:left="851"/>
        <w:rPr>
          <w:sz w:val="24"/>
          <w:szCs w:val="24"/>
        </w:rPr>
      </w:pPr>
      <w:r w:rsidRPr="00C75AF6">
        <w:rPr>
          <w:sz w:val="24"/>
          <w:szCs w:val="24"/>
        </w:rPr>
        <w:t xml:space="preserve">Præparatet bør anvendes med forsigtighed til dyr med svært nedsat nyre- eller leverfunktion. </w:t>
      </w:r>
    </w:p>
    <w:p w14:paraId="222C8E2A" w14:textId="77777777" w:rsidR="00A53FF8" w:rsidRPr="00C75AF6" w:rsidRDefault="00A53FF8" w:rsidP="00C75AF6">
      <w:pPr>
        <w:ind w:left="851"/>
        <w:rPr>
          <w:sz w:val="24"/>
          <w:szCs w:val="24"/>
        </w:rPr>
      </w:pPr>
      <w:r w:rsidRPr="00C75AF6">
        <w:rPr>
          <w:sz w:val="24"/>
          <w:szCs w:val="24"/>
        </w:rPr>
        <w:t>Retinotoksiske virkninger, herunder blindhed, kan forekomme, når den anbefalede dosis overskrides.</w:t>
      </w:r>
    </w:p>
    <w:p w14:paraId="2256958F" w14:textId="77777777" w:rsidR="00A53FF8" w:rsidRPr="00C75AF6" w:rsidRDefault="00A53FF8" w:rsidP="00C75AF6">
      <w:pPr>
        <w:ind w:left="851"/>
        <w:rPr>
          <w:sz w:val="24"/>
          <w:szCs w:val="24"/>
        </w:rPr>
      </w:pPr>
      <w:r w:rsidRPr="00C75AF6">
        <w:rPr>
          <w:sz w:val="24"/>
          <w:szCs w:val="24"/>
        </w:rPr>
        <w:t xml:space="preserve">Brug ikke i tilfælde af kendt resistens over for quinoloner </w:t>
      </w:r>
      <w:bookmarkStart w:id="0" w:name="_Hlk26255179"/>
      <w:r w:rsidRPr="00C75AF6">
        <w:rPr>
          <w:sz w:val="24"/>
          <w:szCs w:val="24"/>
        </w:rPr>
        <w:t xml:space="preserve">eller </w:t>
      </w:r>
      <w:bookmarkEnd w:id="0"/>
      <w:r w:rsidRPr="00C75AF6">
        <w:rPr>
          <w:sz w:val="24"/>
          <w:szCs w:val="24"/>
        </w:rPr>
        <w:t xml:space="preserve">fluoroquinoloner på grund af næsten total krydsresistens </w:t>
      </w:r>
      <w:bookmarkStart w:id="1" w:name="_Hlk26255195"/>
      <w:r w:rsidRPr="00C75AF6">
        <w:rPr>
          <w:sz w:val="24"/>
          <w:szCs w:val="24"/>
        </w:rPr>
        <w:t>over for førstnævnte og komplet krydsresistens over for sidstnævnte</w:t>
      </w:r>
      <w:bookmarkEnd w:id="1"/>
      <w:r w:rsidRPr="00C75AF6">
        <w:rPr>
          <w:sz w:val="24"/>
          <w:szCs w:val="24"/>
        </w:rPr>
        <w:t>.</w:t>
      </w:r>
    </w:p>
    <w:p w14:paraId="70327B8F" w14:textId="77777777" w:rsidR="005B0036" w:rsidRPr="00C75AF6" w:rsidRDefault="005B0036" w:rsidP="00C75AF6">
      <w:pPr>
        <w:ind w:left="851"/>
        <w:rPr>
          <w:sz w:val="24"/>
          <w:szCs w:val="24"/>
        </w:rPr>
      </w:pPr>
    </w:p>
    <w:p w14:paraId="5BBB1CB3" w14:textId="77777777" w:rsidR="005B0036" w:rsidRPr="00C75AF6" w:rsidRDefault="005B0036" w:rsidP="00C75AF6">
      <w:pPr>
        <w:ind w:left="851"/>
        <w:rPr>
          <w:b/>
          <w:sz w:val="24"/>
          <w:szCs w:val="24"/>
        </w:rPr>
      </w:pPr>
      <w:r w:rsidRPr="00C75AF6">
        <w:rPr>
          <w:b/>
          <w:sz w:val="24"/>
          <w:szCs w:val="24"/>
        </w:rPr>
        <w:t>Særlige forsigtighedsregler for personer, der administrerer lægemidlet</w:t>
      </w:r>
    </w:p>
    <w:p w14:paraId="6D81A6B0" w14:textId="77777777" w:rsidR="00A53FF8" w:rsidRPr="00C75AF6" w:rsidRDefault="00A53FF8" w:rsidP="00C75AF6">
      <w:pPr>
        <w:numPr>
          <w:ilvl w:val="0"/>
          <w:numId w:val="4"/>
        </w:numPr>
        <w:ind w:left="1276" w:hanging="425"/>
        <w:rPr>
          <w:sz w:val="24"/>
          <w:szCs w:val="24"/>
        </w:rPr>
      </w:pPr>
      <w:r w:rsidRPr="00C75AF6">
        <w:rPr>
          <w:sz w:val="24"/>
          <w:szCs w:val="24"/>
        </w:rPr>
        <w:t>Enrofloxacin og sorbinsyre kan forårsage overfølsomhed (allergiske reaktioner). Personer med kendt overfølsomhed over for eller over for et eller flere af hjælpestofferne bør undgå kontakt med veterinærlægemidlet.</w:t>
      </w:r>
    </w:p>
    <w:p w14:paraId="21E4A60D" w14:textId="77777777" w:rsidR="00A53FF8" w:rsidRPr="00C75AF6" w:rsidRDefault="00A53FF8" w:rsidP="00C75AF6">
      <w:pPr>
        <w:numPr>
          <w:ilvl w:val="0"/>
          <w:numId w:val="4"/>
        </w:numPr>
        <w:ind w:left="1276" w:hanging="425"/>
        <w:rPr>
          <w:sz w:val="24"/>
          <w:szCs w:val="24"/>
        </w:rPr>
      </w:pPr>
      <w:r w:rsidRPr="00C75AF6">
        <w:rPr>
          <w:sz w:val="24"/>
          <w:szCs w:val="24"/>
        </w:rPr>
        <w:t>Veterinærlægemidlet kan være hud- og øjenirriterende.</w:t>
      </w:r>
    </w:p>
    <w:p w14:paraId="5BC2FACA" w14:textId="77777777" w:rsidR="00A53FF8" w:rsidRPr="00C75AF6" w:rsidRDefault="00A53FF8" w:rsidP="00C75AF6">
      <w:pPr>
        <w:numPr>
          <w:ilvl w:val="0"/>
          <w:numId w:val="4"/>
        </w:numPr>
        <w:ind w:left="1276" w:hanging="425"/>
        <w:rPr>
          <w:sz w:val="24"/>
          <w:szCs w:val="24"/>
        </w:rPr>
      </w:pPr>
      <w:r w:rsidRPr="00C75AF6">
        <w:rPr>
          <w:sz w:val="24"/>
          <w:szCs w:val="24"/>
        </w:rPr>
        <w:t xml:space="preserve">Undgå hudkontakt og øjenkontakt med præparatet. I tilfælde af utilsigtet hudkontakt og/eller øjenkontakt skylles der straks med vand. </w:t>
      </w:r>
    </w:p>
    <w:p w14:paraId="621C0ED1" w14:textId="77777777" w:rsidR="00A53FF8" w:rsidRPr="00C75AF6" w:rsidRDefault="00A53FF8" w:rsidP="00C75AF6">
      <w:pPr>
        <w:numPr>
          <w:ilvl w:val="0"/>
          <w:numId w:val="4"/>
        </w:numPr>
        <w:ind w:left="1276" w:hanging="425"/>
        <w:rPr>
          <w:sz w:val="24"/>
          <w:szCs w:val="24"/>
        </w:rPr>
      </w:pPr>
      <w:r w:rsidRPr="00C75AF6">
        <w:rPr>
          <w:sz w:val="24"/>
          <w:szCs w:val="24"/>
        </w:rPr>
        <w:t>Spis, drik eller ryg ikke under håndtering af præparatet.</w:t>
      </w:r>
    </w:p>
    <w:p w14:paraId="6971564B" w14:textId="77777777" w:rsidR="00A53FF8" w:rsidRPr="00C75AF6" w:rsidRDefault="00A53FF8" w:rsidP="00C75AF6">
      <w:pPr>
        <w:numPr>
          <w:ilvl w:val="0"/>
          <w:numId w:val="4"/>
        </w:numPr>
        <w:ind w:left="1276" w:hanging="425"/>
        <w:rPr>
          <w:sz w:val="24"/>
          <w:szCs w:val="24"/>
        </w:rPr>
      </w:pPr>
      <w:r w:rsidRPr="00C75AF6">
        <w:rPr>
          <w:sz w:val="24"/>
          <w:szCs w:val="24"/>
        </w:rPr>
        <w:t>Enrofloxacin kan forårsage mave-tarmvirkninger såsom mavesmerter og diarré, hvis indtages. For at undgå utilsigtet indtagelse, især af et barn, må en sprøjte, der indeholder opløsningen, opbevares utilgængeligt for børn. Den brugte sprøjte skal opbevares sammen med præparatet i den originale karton. I tilfælde af indtagelse ved hændeligt uheld skal der straks søges lægehjælp, og indlægssedlen eller etiketten bør vises til lægen.</w:t>
      </w:r>
    </w:p>
    <w:p w14:paraId="3C086A71" w14:textId="77777777" w:rsidR="00A53FF8" w:rsidRPr="00C75AF6" w:rsidRDefault="00A53FF8" w:rsidP="00C75AF6">
      <w:pPr>
        <w:numPr>
          <w:ilvl w:val="0"/>
          <w:numId w:val="4"/>
        </w:numPr>
        <w:ind w:left="1276" w:hanging="425"/>
        <w:rPr>
          <w:sz w:val="24"/>
          <w:szCs w:val="24"/>
        </w:rPr>
      </w:pPr>
      <w:r w:rsidRPr="00C75AF6">
        <w:rPr>
          <w:sz w:val="24"/>
          <w:szCs w:val="24"/>
        </w:rPr>
        <w:t>Vask hænder efter brug.</w:t>
      </w:r>
    </w:p>
    <w:p w14:paraId="6DB9A005" w14:textId="77777777" w:rsidR="005B0036" w:rsidRPr="00C75AF6" w:rsidRDefault="005B0036" w:rsidP="00C75AF6">
      <w:pPr>
        <w:ind w:left="851"/>
        <w:rPr>
          <w:sz w:val="24"/>
          <w:szCs w:val="24"/>
        </w:rPr>
      </w:pPr>
    </w:p>
    <w:p w14:paraId="053CCE0A" w14:textId="77777777" w:rsidR="005B0036" w:rsidRPr="00C75AF6" w:rsidRDefault="005B0036" w:rsidP="00C75AF6">
      <w:pPr>
        <w:ind w:left="851"/>
        <w:rPr>
          <w:b/>
          <w:sz w:val="24"/>
          <w:szCs w:val="24"/>
        </w:rPr>
      </w:pPr>
      <w:r w:rsidRPr="00C75AF6">
        <w:rPr>
          <w:b/>
          <w:sz w:val="24"/>
          <w:szCs w:val="24"/>
        </w:rPr>
        <w:t>Andre forsigtighedsregler</w:t>
      </w:r>
    </w:p>
    <w:p w14:paraId="08B9109B" w14:textId="4CFE7BFC" w:rsidR="005B0036" w:rsidRPr="00C75AF6" w:rsidRDefault="00A53FF8" w:rsidP="00C75AF6">
      <w:pPr>
        <w:ind w:left="851"/>
        <w:rPr>
          <w:sz w:val="24"/>
          <w:szCs w:val="24"/>
        </w:rPr>
      </w:pPr>
      <w:r w:rsidRPr="00C75AF6">
        <w:rPr>
          <w:sz w:val="24"/>
          <w:szCs w:val="24"/>
        </w:rPr>
        <w:t>-</w:t>
      </w:r>
    </w:p>
    <w:p w14:paraId="3EBEBBE9" w14:textId="77777777" w:rsidR="005B0036" w:rsidRPr="00C75AF6" w:rsidRDefault="005B0036" w:rsidP="00C75AF6">
      <w:pPr>
        <w:ind w:left="851"/>
        <w:rPr>
          <w:sz w:val="24"/>
          <w:szCs w:val="24"/>
        </w:rPr>
      </w:pPr>
    </w:p>
    <w:p w14:paraId="363BBCED" w14:textId="77777777" w:rsidR="005B0036" w:rsidRPr="00C75AF6" w:rsidRDefault="005B0036" w:rsidP="00C86BE4">
      <w:pPr>
        <w:ind w:left="851" w:hanging="851"/>
        <w:rPr>
          <w:b/>
          <w:sz w:val="24"/>
          <w:szCs w:val="24"/>
        </w:rPr>
      </w:pPr>
      <w:r w:rsidRPr="00C75AF6">
        <w:rPr>
          <w:b/>
          <w:sz w:val="24"/>
          <w:szCs w:val="24"/>
        </w:rPr>
        <w:t>4.6</w:t>
      </w:r>
      <w:r w:rsidRPr="00C75AF6">
        <w:rPr>
          <w:b/>
          <w:sz w:val="24"/>
          <w:szCs w:val="24"/>
        </w:rPr>
        <w:tab/>
        <w:t>Bivirkninger</w:t>
      </w:r>
    </w:p>
    <w:p w14:paraId="269CD77C" w14:textId="77777777" w:rsidR="00A53FF8" w:rsidRPr="00C75AF6" w:rsidRDefault="00A53FF8" w:rsidP="00C75AF6">
      <w:pPr>
        <w:ind w:left="851"/>
        <w:rPr>
          <w:sz w:val="24"/>
          <w:szCs w:val="24"/>
        </w:rPr>
      </w:pPr>
      <w:r w:rsidRPr="00C75AF6">
        <w:rPr>
          <w:sz w:val="24"/>
          <w:szCs w:val="24"/>
        </w:rPr>
        <w:t xml:space="preserve">I meget sjældne tilfælde kan milde og forbigående gastrointestinale lidelser som hypersalivation, opkastning eller diarre observeres. Der kan derfor forekomme anoreksi. </w:t>
      </w:r>
    </w:p>
    <w:p w14:paraId="6A03858A" w14:textId="77777777" w:rsidR="00A53FF8" w:rsidRPr="00C75AF6" w:rsidRDefault="00A53FF8" w:rsidP="00C75AF6">
      <w:pPr>
        <w:ind w:left="851"/>
        <w:rPr>
          <w:sz w:val="24"/>
          <w:szCs w:val="24"/>
        </w:rPr>
      </w:pPr>
      <w:r w:rsidRPr="00C75AF6">
        <w:rPr>
          <w:sz w:val="24"/>
          <w:szCs w:val="24"/>
        </w:rPr>
        <w:t xml:space="preserve">Overfølsomhedsreaktioner kan forekomme. </w:t>
      </w:r>
    </w:p>
    <w:p w14:paraId="2426E2A4" w14:textId="77777777" w:rsidR="00A53FF8" w:rsidRPr="00C75AF6" w:rsidRDefault="00A53FF8" w:rsidP="00C75AF6">
      <w:pPr>
        <w:ind w:left="851"/>
        <w:rPr>
          <w:sz w:val="24"/>
          <w:szCs w:val="24"/>
        </w:rPr>
      </w:pPr>
      <w:r w:rsidRPr="00C75AF6">
        <w:rPr>
          <w:sz w:val="24"/>
          <w:szCs w:val="24"/>
        </w:rPr>
        <w:t xml:space="preserve">I meget sjældne tilfælde kan der også forekomme neurologiske tegn (kramper, tremor, ataksi, ekscitation) og anafylaktiske reaktioner. </w:t>
      </w:r>
    </w:p>
    <w:p w14:paraId="02D16973" w14:textId="77777777" w:rsidR="00A53FF8" w:rsidRPr="00C75AF6" w:rsidRDefault="00A53FF8" w:rsidP="00C75AF6">
      <w:pPr>
        <w:ind w:left="851"/>
        <w:rPr>
          <w:sz w:val="24"/>
          <w:szCs w:val="24"/>
        </w:rPr>
      </w:pPr>
    </w:p>
    <w:p w14:paraId="36C71946" w14:textId="77777777" w:rsidR="00A53FF8" w:rsidRPr="00C75AF6" w:rsidRDefault="00A53FF8" w:rsidP="00C75AF6">
      <w:pPr>
        <w:ind w:left="851"/>
        <w:rPr>
          <w:sz w:val="24"/>
          <w:szCs w:val="24"/>
        </w:rPr>
      </w:pPr>
      <w:r w:rsidRPr="00C75AF6">
        <w:rPr>
          <w:sz w:val="24"/>
          <w:szCs w:val="24"/>
        </w:rPr>
        <w:t>Hyppigheden af bivirkninger er defineret som:</w:t>
      </w:r>
    </w:p>
    <w:p w14:paraId="0F216AA0" w14:textId="1BA717D6" w:rsidR="00A53FF8" w:rsidRPr="00C86BE4" w:rsidRDefault="00A53FF8" w:rsidP="00C86BE4">
      <w:pPr>
        <w:pStyle w:val="Listeafsnit"/>
        <w:numPr>
          <w:ilvl w:val="0"/>
          <w:numId w:val="6"/>
        </w:numPr>
        <w:ind w:left="1276" w:hanging="425"/>
        <w:rPr>
          <w:sz w:val="24"/>
          <w:szCs w:val="24"/>
        </w:rPr>
      </w:pPr>
      <w:r w:rsidRPr="00C86BE4">
        <w:rPr>
          <w:sz w:val="24"/>
          <w:szCs w:val="24"/>
        </w:rPr>
        <w:t>Meget almindelig (flere end 1 ud af 10 behandlede dyr, der viser bivirkninger i løbet af en behandling)</w:t>
      </w:r>
    </w:p>
    <w:p w14:paraId="10043E97" w14:textId="30D9B563" w:rsidR="00A53FF8" w:rsidRPr="00C86BE4" w:rsidRDefault="00A53FF8" w:rsidP="00C86BE4">
      <w:pPr>
        <w:pStyle w:val="Listeafsnit"/>
        <w:numPr>
          <w:ilvl w:val="0"/>
          <w:numId w:val="6"/>
        </w:numPr>
        <w:ind w:left="1276" w:hanging="425"/>
        <w:rPr>
          <w:sz w:val="24"/>
          <w:szCs w:val="24"/>
        </w:rPr>
      </w:pPr>
      <w:r w:rsidRPr="00C86BE4">
        <w:rPr>
          <w:sz w:val="24"/>
          <w:szCs w:val="24"/>
        </w:rPr>
        <w:t>Almindelig (flere end 1, men færre end 10 dyr af 100 behandlede dyr)</w:t>
      </w:r>
    </w:p>
    <w:p w14:paraId="0DE1DEC1" w14:textId="6A08B757" w:rsidR="00A53FF8" w:rsidRPr="00C86BE4" w:rsidRDefault="00A53FF8" w:rsidP="00C86BE4">
      <w:pPr>
        <w:pStyle w:val="Listeafsnit"/>
        <w:numPr>
          <w:ilvl w:val="0"/>
          <w:numId w:val="6"/>
        </w:numPr>
        <w:ind w:left="1276" w:hanging="425"/>
        <w:rPr>
          <w:sz w:val="24"/>
          <w:szCs w:val="24"/>
        </w:rPr>
      </w:pPr>
      <w:r w:rsidRPr="00C86BE4">
        <w:rPr>
          <w:sz w:val="24"/>
          <w:szCs w:val="24"/>
        </w:rPr>
        <w:t>Ikke almindelig (flere end 1, men færre end 10 dyr ud af 1.000 behandlede dyr)</w:t>
      </w:r>
    </w:p>
    <w:p w14:paraId="2D2B58EC" w14:textId="60E59022" w:rsidR="00A53FF8" w:rsidRPr="00C86BE4" w:rsidRDefault="00A53FF8" w:rsidP="00C86BE4">
      <w:pPr>
        <w:pStyle w:val="Listeafsnit"/>
        <w:numPr>
          <w:ilvl w:val="0"/>
          <w:numId w:val="6"/>
        </w:numPr>
        <w:ind w:left="1276" w:hanging="425"/>
        <w:rPr>
          <w:sz w:val="24"/>
          <w:szCs w:val="24"/>
        </w:rPr>
      </w:pPr>
      <w:r w:rsidRPr="00C86BE4">
        <w:rPr>
          <w:sz w:val="24"/>
          <w:szCs w:val="24"/>
        </w:rPr>
        <w:t>Sjælden (flere end 1, men færre end 10 dyr ud af 10.000 behandlede dyr)</w:t>
      </w:r>
    </w:p>
    <w:p w14:paraId="72FF2229" w14:textId="6FA1CF09" w:rsidR="00A53FF8" w:rsidRPr="00C86BE4" w:rsidRDefault="00A53FF8" w:rsidP="00C86BE4">
      <w:pPr>
        <w:pStyle w:val="Listeafsnit"/>
        <w:numPr>
          <w:ilvl w:val="0"/>
          <w:numId w:val="6"/>
        </w:numPr>
        <w:ind w:left="1276" w:hanging="425"/>
        <w:rPr>
          <w:sz w:val="24"/>
          <w:szCs w:val="24"/>
        </w:rPr>
      </w:pPr>
      <w:r w:rsidRPr="00C86BE4">
        <w:rPr>
          <w:sz w:val="24"/>
          <w:szCs w:val="24"/>
        </w:rPr>
        <w:t>Meget sjælden (færre end 1 dyr ud af 10.000 behandlede dyr, herunder isolerede rapporter).</w:t>
      </w:r>
    </w:p>
    <w:p w14:paraId="1A632376" w14:textId="77777777" w:rsidR="005B0036" w:rsidRPr="00C75AF6" w:rsidRDefault="005B0036" w:rsidP="00C75AF6">
      <w:pPr>
        <w:ind w:left="851"/>
        <w:rPr>
          <w:sz w:val="24"/>
          <w:szCs w:val="24"/>
        </w:rPr>
      </w:pPr>
    </w:p>
    <w:p w14:paraId="68541692" w14:textId="77777777" w:rsidR="005B0036" w:rsidRPr="00C75AF6" w:rsidRDefault="005B0036" w:rsidP="00C86BE4">
      <w:pPr>
        <w:ind w:left="851" w:hanging="851"/>
        <w:rPr>
          <w:b/>
          <w:sz w:val="24"/>
          <w:szCs w:val="24"/>
        </w:rPr>
      </w:pPr>
      <w:r w:rsidRPr="00C75AF6">
        <w:rPr>
          <w:b/>
          <w:sz w:val="24"/>
          <w:szCs w:val="24"/>
        </w:rPr>
        <w:t>4.7</w:t>
      </w:r>
      <w:r w:rsidRPr="00C75AF6">
        <w:rPr>
          <w:b/>
          <w:sz w:val="24"/>
          <w:szCs w:val="24"/>
        </w:rPr>
        <w:tab/>
        <w:t>Drægtighed, diegivning eller æglægning</w:t>
      </w:r>
    </w:p>
    <w:p w14:paraId="29541230" w14:textId="6892F7A5" w:rsidR="00DC38C4" w:rsidRPr="00C75AF6" w:rsidRDefault="00DC38C4" w:rsidP="00C75AF6">
      <w:pPr>
        <w:ind w:left="851"/>
        <w:rPr>
          <w:sz w:val="24"/>
          <w:szCs w:val="24"/>
        </w:rPr>
      </w:pPr>
      <w:r w:rsidRPr="00C75AF6">
        <w:rPr>
          <w:sz w:val="24"/>
          <w:szCs w:val="24"/>
        </w:rPr>
        <w:t xml:space="preserve">Laboratorieundersøgelser på rotter og chinchillaer har ikke vist tegn på teratogene, foetotoksiske eller maternotoksiske virkninger. Da sikkerheden ikke er blevet vurderet hos drægtige katte, og enrofloxacin passerer i modermælken, anbefales enrofloxacin ikke til anvendelse under graviditet og amning  </w:t>
      </w:r>
    </w:p>
    <w:p w14:paraId="070D1D04" w14:textId="77777777" w:rsidR="005B0036" w:rsidRPr="00C75AF6" w:rsidRDefault="005B0036" w:rsidP="00C75AF6">
      <w:pPr>
        <w:ind w:left="851"/>
        <w:rPr>
          <w:sz w:val="24"/>
          <w:szCs w:val="24"/>
        </w:rPr>
      </w:pPr>
    </w:p>
    <w:p w14:paraId="1D1EE2D2" w14:textId="77777777" w:rsidR="005B0036" w:rsidRPr="00C75AF6" w:rsidRDefault="005B0036" w:rsidP="00C86BE4">
      <w:pPr>
        <w:ind w:left="851" w:hanging="851"/>
        <w:rPr>
          <w:b/>
          <w:sz w:val="24"/>
          <w:szCs w:val="24"/>
        </w:rPr>
      </w:pPr>
      <w:r w:rsidRPr="00C75AF6">
        <w:rPr>
          <w:b/>
          <w:sz w:val="24"/>
          <w:szCs w:val="24"/>
        </w:rPr>
        <w:t>4.8</w:t>
      </w:r>
      <w:r w:rsidRPr="00C75AF6">
        <w:rPr>
          <w:b/>
          <w:sz w:val="24"/>
          <w:szCs w:val="24"/>
        </w:rPr>
        <w:tab/>
        <w:t>Interaktion med andre lægemidler og andre former for interaktion</w:t>
      </w:r>
    </w:p>
    <w:p w14:paraId="48CAB5FE" w14:textId="77777777" w:rsidR="00DC38C4" w:rsidRPr="00C75AF6" w:rsidRDefault="00DC38C4" w:rsidP="00C75AF6">
      <w:pPr>
        <w:ind w:left="851"/>
        <w:rPr>
          <w:sz w:val="24"/>
          <w:szCs w:val="24"/>
        </w:rPr>
      </w:pPr>
      <w:r w:rsidRPr="00C75AF6">
        <w:rPr>
          <w:sz w:val="24"/>
          <w:szCs w:val="24"/>
        </w:rPr>
        <w:t xml:space="preserve">En kombination af veterinærlægemidlet og chloramphenicol, makrolidantibiotika eller tetracykliner kan fremkalde antagonistiske virkninger. </w:t>
      </w:r>
    </w:p>
    <w:p w14:paraId="23B49B3B" w14:textId="77777777" w:rsidR="00DC38C4" w:rsidRPr="00C75AF6" w:rsidRDefault="00DC38C4" w:rsidP="00C75AF6">
      <w:pPr>
        <w:ind w:left="851"/>
        <w:rPr>
          <w:sz w:val="24"/>
          <w:szCs w:val="24"/>
        </w:rPr>
      </w:pPr>
      <w:r w:rsidRPr="00C75AF6">
        <w:rPr>
          <w:sz w:val="24"/>
          <w:szCs w:val="24"/>
        </w:rPr>
        <w:t>Samtidig administration af stoffer, der indeholder magnesium eller aluminium, kan reducere absorptionen af enrofloxacin. Disse lægemidler bør indgives to timer fra hinanden.</w:t>
      </w:r>
    </w:p>
    <w:p w14:paraId="62B3E49F" w14:textId="77777777" w:rsidR="00DC38C4" w:rsidRPr="00C75AF6" w:rsidRDefault="00DC38C4" w:rsidP="00C75AF6">
      <w:pPr>
        <w:ind w:left="851"/>
        <w:rPr>
          <w:sz w:val="24"/>
          <w:szCs w:val="24"/>
        </w:rPr>
      </w:pPr>
      <w:r w:rsidRPr="00C75AF6">
        <w:rPr>
          <w:sz w:val="24"/>
          <w:szCs w:val="24"/>
        </w:rPr>
        <w:t xml:space="preserve">Samtidig administration af theophyllin kræver omhyggelig monitorering, da serumniveauerne af theophyllin kan stige. </w:t>
      </w:r>
    </w:p>
    <w:p w14:paraId="2A569ED3" w14:textId="77777777" w:rsidR="00DC38C4" w:rsidRPr="00C75AF6" w:rsidRDefault="00DC38C4" w:rsidP="00C75AF6">
      <w:pPr>
        <w:ind w:left="851"/>
        <w:rPr>
          <w:sz w:val="24"/>
          <w:szCs w:val="24"/>
        </w:rPr>
      </w:pPr>
      <w:r w:rsidRPr="00C75AF6">
        <w:rPr>
          <w:sz w:val="24"/>
          <w:szCs w:val="24"/>
        </w:rPr>
        <w:t>Samtidig brug af digoxin bør undgås, da fluoroquinoloner kan øge biotilgængeligheden af digoxin.</w:t>
      </w:r>
    </w:p>
    <w:p w14:paraId="5817D02E" w14:textId="77777777" w:rsidR="00DC38C4" w:rsidRPr="00C75AF6" w:rsidRDefault="00DC38C4" w:rsidP="00C75AF6">
      <w:pPr>
        <w:ind w:left="851"/>
        <w:rPr>
          <w:sz w:val="24"/>
          <w:szCs w:val="24"/>
        </w:rPr>
      </w:pPr>
      <w:bookmarkStart w:id="2" w:name="_Hlk516830554"/>
      <w:r w:rsidRPr="00C75AF6">
        <w:rPr>
          <w:sz w:val="24"/>
          <w:szCs w:val="24"/>
        </w:rPr>
        <w:t>Samtidig administration af fluorquinoloner kan øge virkningen af orale antikoagulantia.</w:t>
      </w:r>
    </w:p>
    <w:p w14:paraId="249A5226" w14:textId="77777777" w:rsidR="00DC38C4" w:rsidRPr="00C75AF6" w:rsidRDefault="00DC38C4" w:rsidP="00C75AF6">
      <w:pPr>
        <w:ind w:left="851"/>
        <w:rPr>
          <w:sz w:val="24"/>
          <w:szCs w:val="24"/>
        </w:rPr>
      </w:pPr>
      <w:r w:rsidRPr="00C75AF6">
        <w:rPr>
          <w:sz w:val="24"/>
          <w:szCs w:val="24"/>
        </w:rPr>
        <w:t>Samtidig administration af fluoroquinoloner i kombination med non-steroide antiinflammatoriske lægemidler (NSAID) hos dyr kan føre til kramper på grund af potentielle farmakodynamiske interaktioner i CNS.</w:t>
      </w:r>
    </w:p>
    <w:bookmarkEnd w:id="2"/>
    <w:p w14:paraId="4F4E42B0" w14:textId="77777777" w:rsidR="00DC38C4" w:rsidRPr="00C75AF6" w:rsidRDefault="00DC38C4" w:rsidP="00C75AF6">
      <w:pPr>
        <w:ind w:left="851"/>
        <w:rPr>
          <w:sz w:val="24"/>
          <w:szCs w:val="24"/>
        </w:rPr>
      </w:pPr>
      <w:r w:rsidRPr="00C75AF6">
        <w:rPr>
          <w:sz w:val="24"/>
          <w:szCs w:val="24"/>
        </w:rPr>
        <w:t>Hos dyr, der underkastes rehydrering, skal overdreven alkalinitet i urinen undgås.</w:t>
      </w:r>
    </w:p>
    <w:p w14:paraId="50DC5FEF" w14:textId="77777777" w:rsidR="005B0036" w:rsidRPr="00C75AF6" w:rsidRDefault="005B0036" w:rsidP="00C75AF6">
      <w:pPr>
        <w:ind w:left="851"/>
        <w:rPr>
          <w:sz w:val="24"/>
          <w:szCs w:val="24"/>
        </w:rPr>
      </w:pPr>
    </w:p>
    <w:p w14:paraId="31593C20" w14:textId="77777777" w:rsidR="005B0036" w:rsidRPr="00C75AF6" w:rsidRDefault="005B0036" w:rsidP="00C86BE4">
      <w:pPr>
        <w:ind w:left="851" w:hanging="851"/>
        <w:rPr>
          <w:b/>
          <w:sz w:val="24"/>
          <w:szCs w:val="24"/>
        </w:rPr>
      </w:pPr>
      <w:r w:rsidRPr="00C75AF6">
        <w:rPr>
          <w:b/>
          <w:sz w:val="24"/>
          <w:szCs w:val="24"/>
        </w:rPr>
        <w:t>4.9</w:t>
      </w:r>
      <w:r w:rsidRPr="00C75AF6">
        <w:rPr>
          <w:b/>
          <w:sz w:val="24"/>
          <w:szCs w:val="24"/>
        </w:rPr>
        <w:tab/>
        <w:t>Dosering og indgivelsesmåde</w:t>
      </w:r>
    </w:p>
    <w:p w14:paraId="7C57D897" w14:textId="77777777" w:rsidR="00DC38C4" w:rsidRPr="00C75AF6" w:rsidRDefault="00DC38C4" w:rsidP="005B30CC">
      <w:pPr>
        <w:ind w:left="851"/>
        <w:rPr>
          <w:sz w:val="24"/>
          <w:szCs w:val="24"/>
        </w:rPr>
      </w:pPr>
      <w:r w:rsidRPr="00C75AF6">
        <w:rPr>
          <w:sz w:val="24"/>
          <w:szCs w:val="24"/>
        </w:rPr>
        <w:t>Oral anvendelse.</w:t>
      </w:r>
    </w:p>
    <w:p w14:paraId="511D23FF" w14:textId="77777777" w:rsidR="00DC38C4" w:rsidRPr="00C75AF6" w:rsidRDefault="00DC38C4" w:rsidP="005B30CC">
      <w:pPr>
        <w:autoSpaceDE w:val="0"/>
        <w:autoSpaceDN w:val="0"/>
        <w:adjustRightInd w:val="0"/>
        <w:ind w:left="851"/>
        <w:rPr>
          <w:sz w:val="24"/>
          <w:szCs w:val="24"/>
        </w:rPr>
      </w:pPr>
      <w:r w:rsidRPr="00C75AF6">
        <w:rPr>
          <w:sz w:val="24"/>
          <w:szCs w:val="24"/>
        </w:rPr>
        <w:t>Produktet skal indgives direkte bagest på tungen og ikke i dyrets foder.</w:t>
      </w:r>
    </w:p>
    <w:p w14:paraId="65FAD350" w14:textId="77777777" w:rsidR="00DC38C4" w:rsidRPr="00C75AF6" w:rsidRDefault="00DC38C4" w:rsidP="005B30CC">
      <w:pPr>
        <w:ind w:left="851"/>
        <w:rPr>
          <w:sz w:val="24"/>
          <w:szCs w:val="24"/>
        </w:rPr>
      </w:pPr>
      <w:r w:rsidRPr="00C75AF6">
        <w:rPr>
          <w:sz w:val="24"/>
          <w:szCs w:val="24"/>
        </w:rPr>
        <w:t>Doseringen er 5 mg enrofloxacin pr. kg legemsvægt en gang daglig i 5 på hinanden følgende dage. Dette svarer til 0,2 ml af veterinærlægemidlet pr. kg legemsvægt en gang daglig i 5 på hinanden følgende dage.</w:t>
      </w:r>
    </w:p>
    <w:p w14:paraId="6289908F" w14:textId="77777777" w:rsidR="00DC38C4" w:rsidRPr="00C75AF6" w:rsidRDefault="00DC38C4" w:rsidP="005B30CC">
      <w:pPr>
        <w:ind w:left="851"/>
        <w:outlineLvl w:val="0"/>
        <w:rPr>
          <w:sz w:val="24"/>
          <w:szCs w:val="24"/>
        </w:rPr>
      </w:pPr>
      <w:r w:rsidRPr="00C75AF6">
        <w:rPr>
          <w:sz w:val="24"/>
          <w:szCs w:val="24"/>
        </w:rPr>
        <w:t>Ved kroniske og alvorlige sygdomme kan behandlingsvarigheden forlænges op til 10 dage.</w:t>
      </w:r>
    </w:p>
    <w:p w14:paraId="527B9863" w14:textId="77777777" w:rsidR="00DC38C4" w:rsidRPr="00C75AF6" w:rsidRDefault="00DC38C4" w:rsidP="005B30CC">
      <w:pPr>
        <w:ind w:left="851"/>
        <w:rPr>
          <w:sz w:val="24"/>
          <w:szCs w:val="24"/>
        </w:rPr>
      </w:pPr>
      <w:r w:rsidRPr="00C75AF6">
        <w:rPr>
          <w:sz w:val="24"/>
          <w:szCs w:val="24"/>
        </w:rPr>
        <w:t>Behandlingen bør tages op til fornyet overvejelse, hvis der ikke ses nogen forbedring af tilstanden efter 3 dages behandling.</w:t>
      </w:r>
    </w:p>
    <w:p w14:paraId="6A91F105" w14:textId="77777777" w:rsidR="00DC38C4" w:rsidRPr="00C75AF6" w:rsidRDefault="00DC38C4" w:rsidP="005B30CC">
      <w:pPr>
        <w:ind w:left="851"/>
        <w:rPr>
          <w:sz w:val="24"/>
          <w:szCs w:val="24"/>
        </w:rPr>
      </w:pPr>
      <w:r w:rsidRPr="00C75AF6">
        <w:rPr>
          <w:sz w:val="24"/>
          <w:szCs w:val="24"/>
        </w:rPr>
        <w:t>For at sikre korrekt dosering bør legemsvægten bestemmes så nøjagtigt som muligt for at undgå over - eller underdosering.</w:t>
      </w:r>
    </w:p>
    <w:p w14:paraId="7BD82B99" w14:textId="77777777" w:rsidR="00DC38C4" w:rsidRPr="00C75AF6" w:rsidRDefault="00DC38C4" w:rsidP="005B30CC">
      <w:pPr>
        <w:ind w:left="851"/>
        <w:outlineLvl w:val="0"/>
        <w:rPr>
          <w:sz w:val="24"/>
          <w:szCs w:val="24"/>
        </w:rPr>
      </w:pPr>
      <w:r w:rsidRPr="00C75AF6">
        <w:rPr>
          <w:sz w:val="24"/>
          <w:szCs w:val="24"/>
        </w:rPr>
        <w:t>Overskrid ikke den anbefalede dosis.</w:t>
      </w:r>
    </w:p>
    <w:p w14:paraId="34943B91" w14:textId="77777777" w:rsidR="00DC38C4" w:rsidRPr="00C75AF6" w:rsidRDefault="00DC38C4" w:rsidP="00C86BE4">
      <w:pPr>
        <w:ind w:left="851"/>
        <w:outlineLvl w:val="0"/>
        <w:rPr>
          <w:sz w:val="24"/>
          <w:szCs w:val="24"/>
        </w:rPr>
      </w:pPr>
    </w:p>
    <w:p w14:paraId="35BDEA44" w14:textId="77777777" w:rsidR="00DC38C4" w:rsidRPr="00C75AF6" w:rsidRDefault="00DC38C4" w:rsidP="00C86BE4">
      <w:pPr>
        <w:ind w:left="851"/>
        <w:outlineLvl w:val="0"/>
        <w:rPr>
          <w:sz w:val="24"/>
          <w:szCs w:val="24"/>
        </w:rPr>
      </w:pPr>
      <w:r w:rsidRPr="00C75AF6">
        <w:rPr>
          <w:sz w:val="24"/>
          <w:szCs w:val="24"/>
        </w:rPr>
        <w:t>Figur 1 Administration af veterinærpræparatet</w:t>
      </w:r>
    </w:p>
    <w:p w14:paraId="51D0FC35" w14:textId="77777777" w:rsidR="00DC38C4" w:rsidRPr="00C75AF6" w:rsidRDefault="00DC38C4" w:rsidP="00C86BE4">
      <w:pPr>
        <w:ind w:left="851"/>
        <w:rPr>
          <w:sz w:val="24"/>
          <w:szCs w:val="24"/>
          <w:lang w:val="en-IE"/>
        </w:rPr>
      </w:pPr>
    </w:p>
    <w:p w14:paraId="59685E5C" w14:textId="66530CF0" w:rsidR="00DC38C4" w:rsidRPr="00C75AF6" w:rsidRDefault="00DC38C4" w:rsidP="00C75AF6">
      <w:pPr>
        <w:ind w:left="851"/>
        <w:rPr>
          <w:sz w:val="24"/>
          <w:szCs w:val="24"/>
        </w:rPr>
      </w:pPr>
      <w:r w:rsidRPr="00C75AF6">
        <w:rPr>
          <w:noProof/>
          <w:sz w:val="24"/>
          <w:szCs w:val="24"/>
          <w:lang w:val="es-ES" w:eastAsia="es-ES" w:bidi="ks-Deva"/>
        </w:rPr>
        <w:drawing>
          <wp:inline distT="0" distB="0" distL="0" distR="0" wp14:anchorId="217F16C8" wp14:editId="7D79E66D">
            <wp:extent cx="1364615" cy="1351280"/>
            <wp:effectExtent l="0" t="0" r="6985" b="127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l="11211" t="37766" r="52238" b="16695"/>
                    <a:stretch>
                      <a:fillRect/>
                    </a:stretch>
                  </pic:blipFill>
                  <pic:spPr bwMode="auto">
                    <a:xfrm>
                      <a:off x="0" y="0"/>
                      <a:ext cx="1364615" cy="1351280"/>
                    </a:xfrm>
                    <a:prstGeom prst="rect">
                      <a:avLst/>
                    </a:prstGeom>
                    <a:noFill/>
                    <a:ln>
                      <a:noFill/>
                    </a:ln>
                  </pic:spPr>
                </pic:pic>
              </a:graphicData>
            </a:graphic>
          </wp:inline>
        </w:drawing>
      </w:r>
      <w:r w:rsidRPr="00C75AF6">
        <w:rPr>
          <w:sz w:val="24"/>
          <w:szCs w:val="24"/>
        </w:rPr>
        <w:t xml:space="preserve">           </w:t>
      </w:r>
      <w:r w:rsidRPr="00C75AF6">
        <w:rPr>
          <w:noProof/>
          <w:sz w:val="24"/>
          <w:szCs w:val="24"/>
          <w:lang w:val="es-ES" w:eastAsia="es-ES" w:bidi="ks-Deva"/>
        </w:rPr>
        <w:drawing>
          <wp:inline distT="0" distB="0" distL="0" distR="0" wp14:anchorId="2399BDFD" wp14:editId="3E1434F7">
            <wp:extent cx="1364615" cy="1371600"/>
            <wp:effectExtent l="0" t="0" r="698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l="20351" t="52689" r="42854" b="989"/>
                    <a:stretch>
                      <a:fillRect/>
                    </a:stretch>
                  </pic:blipFill>
                  <pic:spPr bwMode="auto">
                    <a:xfrm>
                      <a:off x="0" y="0"/>
                      <a:ext cx="1364615" cy="1371600"/>
                    </a:xfrm>
                    <a:prstGeom prst="rect">
                      <a:avLst/>
                    </a:prstGeom>
                    <a:noFill/>
                    <a:ln>
                      <a:noFill/>
                    </a:ln>
                  </pic:spPr>
                </pic:pic>
              </a:graphicData>
            </a:graphic>
          </wp:inline>
        </w:drawing>
      </w:r>
      <w:r w:rsidRPr="00C75AF6">
        <w:rPr>
          <w:sz w:val="24"/>
          <w:szCs w:val="24"/>
        </w:rPr>
        <w:t xml:space="preserve">         </w:t>
      </w:r>
      <w:r w:rsidRPr="00C75AF6">
        <w:rPr>
          <w:noProof/>
          <w:sz w:val="24"/>
          <w:szCs w:val="24"/>
          <w:lang w:val="es-ES" w:eastAsia="es-ES" w:bidi="ks-Deva"/>
        </w:rPr>
        <w:drawing>
          <wp:inline distT="0" distB="0" distL="0" distR="0" wp14:anchorId="5C1A69C0" wp14:editId="133D244E">
            <wp:extent cx="1378585" cy="137858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l="30350" t="26497" r="32748" b="27354"/>
                    <a:stretch>
                      <a:fillRect/>
                    </a:stretch>
                  </pic:blipFill>
                  <pic:spPr bwMode="auto">
                    <a:xfrm>
                      <a:off x="0" y="0"/>
                      <a:ext cx="1378585" cy="1378585"/>
                    </a:xfrm>
                    <a:prstGeom prst="rect">
                      <a:avLst/>
                    </a:prstGeom>
                    <a:noFill/>
                    <a:ln>
                      <a:noFill/>
                    </a:ln>
                  </pic:spPr>
                </pic:pic>
              </a:graphicData>
            </a:graphic>
          </wp:inline>
        </w:drawing>
      </w:r>
    </w:p>
    <w:p w14:paraId="13F8D8D9" w14:textId="77777777" w:rsidR="00DC38C4" w:rsidRPr="00C75AF6" w:rsidRDefault="00DC38C4" w:rsidP="00C75AF6">
      <w:pPr>
        <w:ind w:left="851"/>
        <w:rPr>
          <w:sz w:val="24"/>
          <w:szCs w:val="24"/>
          <w:lang w:val="en-IE"/>
        </w:rPr>
      </w:pPr>
    </w:p>
    <w:tbl>
      <w:tblPr>
        <w:tblW w:w="7515" w:type="dxa"/>
        <w:tblInd w:w="993" w:type="dxa"/>
        <w:tblLayout w:type="fixed"/>
        <w:tblCellMar>
          <w:left w:w="70" w:type="dxa"/>
          <w:right w:w="70" w:type="dxa"/>
        </w:tblCellMar>
        <w:tblLook w:val="04A0" w:firstRow="1" w:lastRow="0" w:firstColumn="1" w:lastColumn="0" w:noHBand="0" w:noVBand="1"/>
      </w:tblPr>
      <w:tblGrid>
        <w:gridCol w:w="2123"/>
        <w:gridCol w:w="709"/>
        <w:gridCol w:w="2129"/>
        <w:gridCol w:w="568"/>
        <w:gridCol w:w="1986"/>
      </w:tblGrid>
      <w:tr w:rsidR="00DC38C4" w:rsidRPr="00C75AF6" w14:paraId="37504011" w14:textId="77777777" w:rsidTr="00255C22">
        <w:tc>
          <w:tcPr>
            <w:tcW w:w="2123" w:type="dxa"/>
            <w:hideMark/>
          </w:tcPr>
          <w:p w14:paraId="4CA3C61D" w14:textId="77777777" w:rsidR="00DC38C4" w:rsidRPr="00C75AF6" w:rsidRDefault="00DC38C4" w:rsidP="00C75AF6">
            <w:pPr>
              <w:ind w:left="70"/>
              <w:rPr>
                <w:sz w:val="24"/>
                <w:szCs w:val="24"/>
              </w:rPr>
            </w:pPr>
            <w:r w:rsidRPr="00C75AF6">
              <w:rPr>
                <w:sz w:val="24"/>
                <w:szCs w:val="24"/>
              </w:rPr>
              <w:t>Omrystes godt i 15 sekunder før brug</w:t>
            </w:r>
          </w:p>
        </w:tc>
        <w:tc>
          <w:tcPr>
            <w:tcW w:w="709" w:type="dxa"/>
          </w:tcPr>
          <w:p w14:paraId="41F412BD" w14:textId="77777777" w:rsidR="00DC38C4" w:rsidRPr="00C75AF6" w:rsidRDefault="00DC38C4" w:rsidP="00C75AF6">
            <w:pPr>
              <w:ind w:left="70"/>
              <w:rPr>
                <w:sz w:val="24"/>
                <w:szCs w:val="24"/>
              </w:rPr>
            </w:pPr>
          </w:p>
        </w:tc>
        <w:tc>
          <w:tcPr>
            <w:tcW w:w="2129" w:type="dxa"/>
            <w:hideMark/>
          </w:tcPr>
          <w:p w14:paraId="4B7FAC15" w14:textId="77777777" w:rsidR="00DC38C4" w:rsidRPr="00C75AF6" w:rsidRDefault="00DC38C4" w:rsidP="00C75AF6">
            <w:pPr>
              <w:ind w:left="70"/>
              <w:rPr>
                <w:sz w:val="24"/>
                <w:szCs w:val="24"/>
              </w:rPr>
            </w:pPr>
            <w:r w:rsidRPr="00C75AF6">
              <w:rPr>
                <w:sz w:val="24"/>
                <w:szCs w:val="24"/>
              </w:rPr>
              <w:t>Træk den relevante dosis ud i sprøjten</w:t>
            </w:r>
          </w:p>
        </w:tc>
        <w:tc>
          <w:tcPr>
            <w:tcW w:w="568" w:type="dxa"/>
          </w:tcPr>
          <w:p w14:paraId="7BF99025" w14:textId="77777777" w:rsidR="00DC38C4" w:rsidRPr="00C75AF6" w:rsidRDefault="00DC38C4" w:rsidP="00C75AF6">
            <w:pPr>
              <w:ind w:left="70"/>
              <w:rPr>
                <w:sz w:val="24"/>
                <w:szCs w:val="24"/>
              </w:rPr>
            </w:pPr>
          </w:p>
        </w:tc>
        <w:tc>
          <w:tcPr>
            <w:tcW w:w="1986" w:type="dxa"/>
            <w:hideMark/>
          </w:tcPr>
          <w:p w14:paraId="301BD893" w14:textId="6E6961F8" w:rsidR="00DC38C4" w:rsidRPr="00C75AF6" w:rsidRDefault="00DC38C4" w:rsidP="00C75AF6">
            <w:pPr>
              <w:ind w:left="70"/>
              <w:rPr>
                <w:sz w:val="24"/>
                <w:szCs w:val="24"/>
              </w:rPr>
            </w:pPr>
            <w:r w:rsidRPr="00C75AF6">
              <w:rPr>
                <w:sz w:val="24"/>
                <w:szCs w:val="24"/>
              </w:rPr>
              <w:t>Administreres direkte bagest på tungen</w:t>
            </w:r>
          </w:p>
        </w:tc>
      </w:tr>
    </w:tbl>
    <w:p w14:paraId="1CB69CA7" w14:textId="77777777" w:rsidR="00DC38C4" w:rsidRPr="00C75AF6" w:rsidRDefault="00DC38C4" w:rsidP="00C75AF6">
      <w:pPr>
        <w:ind w:left="851"/>
        <w:rPr>
          <w:sz w:val="24"/>
          <w:szCs w:val="24"/>
        </w:rPr>
      </w:pPr>
    </w:p>
    <w:p w14:paraId="24A4694B" w14:textId="77777777" w:rsidR="00DC38C4" w:rsidRPr="00C75AF6" w:rsidRDefault="00DC38C4" w:rsidP="00C75AF6">
      <w:pPr>
        <w:ind w:left="851"/>
        <w:rPr>
          <w:sz w:val="24"/>
          <w:szCs w:val="24"/>
        </w:rPr>
      </w:pPr>
      <w:r w:rsidRPr="00C75AF6">
        <w:rPr>
          <w:sz w:val="24"/>
          <w:szCs w:val="24"/>
        </w:rPr>
        <w:t>For at undgå krydskontaminering bør den samme sprøjte ikke anvendes til forskellige dyr. En sprøjte bør derfor kun anvendes til et enkelt dyr. Efter administration skal sprøjten rengøres med postevand og opbevares i kartonæsken sammen med veterinærlægemidlet.</w:t>
      </w:r>
    </w:p>
    <w:p w14:paraId="526825AE" w14:textId="24FE7E37" w:rsidR="00DC38C4" w:rsidRPr="00C75AF6" w:rsidRDefault="00DC38C4" w:rsidP="00C75AF6">
      <w:pPr>
        <w:ind w:left="851"/>
        <w:rPr>
          <w:sz w:val="24"/>
          <w:szCs w:val="24"/>
        </w:rPr>
      </w:pPr>
      <w:r w:rsidRPr="00C75AF6">
        <w:rPr>
          <w:sz w:val="24"/>
          <w:szCs w:val="24"/>
        </w:rPr>
        <w:t>En 3 ml sprøjte med 0,1 ml inddelinger leveres sammen med hver pakning af veterinærlægemidlet.</w:t>
      </w:r>
    </w:p>
    <w:p w14:paraId="727BBE3F" w14:textId="77777777" w:rsidR="005B0036" w:rsidRPr="00C75AF6" w:rsidRDefault="005B0036" w:rsidP="00C75AF6">
      <w:pPr>
        <w:ind w:left="851"/>
        <w:rPr>
          <w:sz w:val="24"/>
          <w:szCs w:val="24"/>
        </w:rPr>
      </w:pPr>
    </w:p>
    <w:p w14:paraId="103E670F" w14:textId="77777777" w:rsidR="005B0036" w:rsidRPr="00C75AF6" w:rsidRDefault="005B0036" w:rsidP="00330BDF">
      <w:pPr>
        <w:ind w:left="851" w:hanging="851"/>
        <w:rPr>
          <w:b/>
          <w:sz w:val="24"/>
          <w:szCs w:val="24"/>
        </w:rPr>
      </w:pPr>
      <w:r w:rsidRPr="00C75AF6">
        <w:rPr>
          <w:b/>
          <w:sz w:val="24"/>
          <w:szCs w:val="24"/>
        </w:rPr>
        <w:t>4.10</w:t>
      </w:r>
      <w:r w:rsidRPr="00C75AF6">
        <w:rPr>
          <w:b/>
          <w:sz w:val="24"/>
          <w:szCs w:val="24"/>
        </w:rPr>
        <w:tab/>
        <w:t>Overdosering</w:t>
      </w:r>
    </w:p>
    <w:p w14:paraId="21F5511C" w14:textId="589B5C64" w:rsidR="00DC38C4" w:rsidRPr="00C75AF6" w:rsidRDefault="00DC38C4" w:rsidP="00C75AF6">
      <w:pPr>
        <w:autoSpaceDE w:val="0"/>
        <w:autoSpaceDN w:val="0"/>
        <w:adjustRightInd w:val="0"/>
        <w:ind w:left="851"/>
        <w:rPr>
          <w:sz w:val="24"/>
          <w:szCs w:val="24"/>
        </w:rPr>
      </w:pPr>
      <w:bookmarkStart w:id="3" w:name="_Hlk516830582"/>
      <w:r w:rsidRPr="00C75AF6">
        <w:rPr>
          <w:sz w:val="24"/>
          <w:szCs w:val="24"/>
        </w:rPr>
        <w:t>Overskrid ikke den anbefalede dosis. I tilfælde af overdosering kan fordøjelsesbesvær (opkastning, diarre eller hypersalivation) eller CNS forandringer (mydriasis, ataksi)</w:t>
      </w:r>
      <w:r w:rsidR="00330BDF">
        <w:rPr>
          <w:sz w:val="24"/>
          <w:szCs w:val="24"/>
        </w:rPr>
        <w:t xml:space="preserve"> </w:t>
      </w:r>
      <w:r w:rsidRPr="00C75AF6">
        <w:rPr>
          <w:sz w:val="24"/>
          <w:szCs w:val="24"/>
        </w:rPr>
        <w:t>forekomme. I alvorlige tilfælde kan det blive nødvendigt at afbryde behandlingen.</w:t>
      </w:r>
    </w:p>
    <w:p w14:paraId="5B355EB6" w14:textId="77777777" w:rsidR="00DC38C4" w:rsidRPr="00C75AF6" w:rsidRDefault="00DC38C4" w:rsidP="00C75AF6">
      <w:pPr>
        <w:autoSpaceDE w:val="0"/>
        <w:autoSpaceDN w:val="0"/>
        <w:adjustRightInd w:val="0"/>
        <w:ind w:left="851"/>
        <w:rPr>
          <w:sz w:val="24"/>
          <w:szCs w:val="24"/>
        </w:rPr>
      </w:pPr>
    </w:p>
    <w:p w14:paraId="297F4728" w14:textId="77777777" w:rsidR="00DC38C4" w:rsidRPr="00C75AF6" w:rsidRDefault="00DC38C4" w:rsidP="00C75AF6">
      <w:pPr>
        <w:autoSpaceDE w:val="0"/>
        <w:autoSpaceDN w:val="0"/>
        <w:adjustRightInd w:val="0"/>
        <w:ind w:left="851"/>
        <w:rPr>
          <w:sz w:val="24"/>
          <w:szCs w:val="24"/>
        </w:rPr>
      </w:pPr>
      <w:r w:rsidRPr="00C75AF6">
        <w:rPr>
          <w:sz w:val="24"/>
          <w:szCs w:val="24"/>
        </w:rPr>
        <w:t>Det har vist sig at katte kan få øjenskader efter at have fået doser, der er højere end anbefalet. Ved doser på 20 mg/kg legemsvægt/dag eller højere kan de toksiske virkninger på nethinden føre til irreversibel blindhed hos katten.</w:t>
      </w:r>
    </w:p>
    <w:p w14:paraId="12D9979C" w14:textId="77777777" w:rsidR="00DC38C4" w:rsidRPr="00C75AF6" w:rsidRDefault="00DC38C4" w:rsidP="00C75AF6">
      <w:pPr>
        <w:autoSpaceDE w:val="0"/>
        <w:autoSpaceDN w:val="0"/>
        <w:adjustRightInd w:val="0"/>
        <w:ind w:left="851"/>
        <w:rPr>
          <w:sz w:val="24"/>
          <w:szCs w:val="24"/>
        </w:rPr>
      </w:pPr>
      <w:bookmarkStart w:id="4" w:name="_Hlk22283388"/>
      <w:r w:rsidRPr="00C75AF6">
        <w:rPr>
          <w:sz w:val="24"/>
          <w:szCs w:val="24"/>
        </w:rPr>
        <w:t>Det anbefales at give antacida indeholdende magnesium eller aluminium for at reducere absorptionen af peroralt indtaget.</w:t>
      </w:r>
      <w:bookmarkEnd w:id="3"/>
      <w:bookmarkEnd w:id="4"/>
    </w:p>
    <w:p w14:paraId="531B6433" w14:textId="77777777" w:rsidR="005B0036" w:rsidRPr="00C75AF6" w:rsidRDefault="005B0036" w:rsidP="00C75AF6">
      <w:pPr>
        <w:ind w:left="851"/>
        <w:rPr>
          <w:sz w:val="24"/>
          <w:szCs w:val="24"/>
        </w:rPr>
      </w:pPr>
    </w:p>
    <w:p w14:paraId="5CDFE58C" w14:textId="77777777" w:rsidR="005B0036" w:rsidRPr="00C75AF6" w:rsidRDefault="005B0036" w:rsidP="00330BDF">
      <w:pPr>
        <w:ind w:left="851" w:hanging="851"/>
        <w:rPr>
          <w:b/>
          <w:sz w:val="24"/>
          <w:szCs w:val="24"/>
        </w:rPr>
      </w:pPr>
      <w:r w:rsidRPr="00C75AF6">
        <w:rPr>
          <w:b/>
          <w:sz w:val="24"/>
          <w:szCs w:val="24"/>
        </w:rPr>
        <w:t>4.11</w:t>
      </w:r>
      <w:r w:rsidRPr="00C75AF6">
        <w:rPr>
          <w:b/>
          <w:sz w:val="24"/>
          <w:szCs w:val="24"/>
        </w:rPr>
        <w:tab/>
        <w:t>Tilbageholdelsestid</w:t>
      </w:r>
    </w:p>
    <w:p w14:paraId="70642879" w14:textId="77777777" w:rsidR="00DC38C4" w:rsidRPr="00C75AF6" w:rsidRDefault="00DC38C4" w:rsidP="00C75AF6">
      <w:pPr>
        <w:ind w:left="851"/>
        <w:outlineLvl w:val="0"/>
        <w:rPr>
          <w:sz w:val="24"/>
          <w:szCs w:val="24"/>
        </w:rPr>
      </w:pPr>
      <w:r w:rsidRPr="00C75AF6">
        <w:rPr>
          <w:sz w:val="24"/>
          <w:szCs w:val="24"/>
        </w:rPr>
        <w:t>Ikke relevant.</w:t>
      </w:r>
    </w:p>
    <w:p w14:paraId="106C02B1" w14:textId="77777777" w:rsidR="005B0036" w:rsidRPr="00C75AF6" w:rsidRDefault="005B0036" w:rsidP="00C75AF6">
      <w:pPr>
        <w:pStyle w:val="Sidehoved"/>
        <w:tabs>
          <w:tab w:val="clear" w:pos="4819"/>
          <w:tab w:val="clear" w:pos="9638"/>
        </w:tabs>
        <w:ind w:left="851"/>
        <w:rPr>
          <w:szCs w:val="24"/>
        </w:rPr>
      </w:pPr>
    </w:p>
    <w:p w14:paraId="1AAFFB59" w14:textId="77777777" w:rsidR="005B0036" w:rsidRPr="00C75AF6" w:rsidRDefault="005B0036" w:rsidP="00C75AF6">
      <w:pPr>
        <w:ind w:left="851"/>
        <w:rPr>
          <w:sz w:val="24"/>
          <w:szCs w:val="24"/>
        </w:rPr>
      </w:pPr>
    </w:p>
    <w:p w14:paraId="6C4A3DE7" w14:textId="0565E1A1" w:rsidR="005B0036" w:rsidRPr="001425CD" w:rsidRDefault="005B0036" w:rsidP="00C75AF6">
      <w:pPr>
        <w:ind w:left="851" w:hanging="851"/>
        <w:rPr>
          <w:b/>
          <w:sz w:val="24"/>
          <w:szCs w:val="24"/>
        </w:rPr>
      </w:pPr>
      <w:r w:rsidRPr="001425CD">
        <w:rPr>
          <w:b/>
          <w:sz w:val="24"/>
          <w:szCs w:val="24"/>
        </w:rPr>
        <w:t>5.</w:t>
      </w:r>
      <w:r w:rsidRPr="001425CD">
        <w:rPr>
          <w:b/>
          <w:sz w:val="24"/>
          <w:szCs w:val="24"/>
        </w:rPr>
        <w:tab/>
        <w:t>FARMAKOLOGISKE EGENSKABER</w:t>
      </w:r>
    </w:p>
    <w:p w14:paraId="7735A613" w14:textId="77777777" w:rsidR="005B0036" w:rsidRPr="001425CD" w:rsidRDefault="005B0036" w:rsidP="00C75AF6">
      <w:pPr>
        <w:ind w:left="851"/>
        <w:rPr>
          <w:sz w:val="24"/>
          <w:szCs w:val="24"/>
        </w:rPr>
      </w:pPr>
    </w:p>
    <w:p w14:paraId="2A73F02B" w14:textId="77777777" w:rsidR="00DC38C4" w:rsidRPr="001425CD" w:rsidRDefault="00DC38C4" w:rsidP="00C75AF6">
      <w:pPr>
        <w:ind w:left="851"/>
        <w:rPr>
          <w:sz w:val="24"/>
          <w:szCs w:val="24"/>
        </w:rPr>
      </w:pPr>
      <w:r w:rsidRPr="001425CD">
        <w:rPr>
          <w:sz w:val="24"/>
          <w:szCs w:val="24"/>
        </w:rPr>
        <w:t>Farmakoterapeutisk gruppe: Antibakterielle til systemisk brug, fluoroquinoloner</w:t>
      </w:r>
    </w:p>
    <w:p w14:paraId="3CD16DAD" w14:textId="37E53299" w:rsidR="00DC38C4" w:rsidRPr="001425CD" w:rsidRDefault="00DC38C4" w:rsidP="00C75AF6">
      <w:pPr>
        <w:ind w:left="851"/>
        <w:rPr>
          <w:sz w:val="24"/>
          <w:szCs w:val="24"/>
        </w:rPr>
      </w:pPr>
      <w:r w:rsidRPr="001425CD">
        <w:rPr>
          <w:sz w:val="24"/>
          <w:szCs w:val="24"/>
        </w:rPr>
        <w:t>ATCvet-kode: QJ</w:t>
      </w:r>
      <w:r w:rsidR="001425CD">
        <w:rPr>
          <w:sz w:val="24"/>
          <w:szCs w:val="24"/>
        </w:rPr>
        <w:t xml:space="preserve"> </w:t>
      </w:r>
      <w:r w:rsidRPr="001425CD">
        <w:rPr>
          <w:sz w:val="24"/>
          <w:szCs w:val="24"/>
        </w:rPr>
        <w:t>01</w:t>
      </w:r>
      <w:r w:rsidR="001425CD">
        <w:rPr>
          <w:sz w:val="24"/>
          <w:szCs w:val="24"/>
        </w:rPr>
        <w:t xml:space="preserve"> </w:t>
      </w:r>
      <w:r w:rsidRPr="001425CD">
        <w:rPr>
          <w:sz w:val="24"/>
          <w:szCs w:val="24"/>
        </w:rPr>
        <w:t>MA</w:t>
      </w:r>
      <w:r w:rsidR="001425CD">
        <w:rPr>
          <w:sz w:val="24"/>
          <w:szCs w:val="24"/>
        </w:rPr>
        <w:t xml:space="preserve"> </w:t>
      </w:r>
      <w:r w:rsidRPr="001425CD">
        <w:rPr>
          <w:sz w:val="24"/>
          <w:szCs w:val="24"/>
        </w:rPr>
        <w:t>90</w:t>
      </w:r>
    </w:p>
    <w:p w14:paraId="56EA1D3F" w14:textId="77777777" w:rsidR="005B0036" w:rsidRPr="001425CD" w:rsidRDefault="005B0036" w:rsidP="00C75AF6">
      <w:pPr>
        <w:ind w:left="851"/>
        <w:rPr>
          <w:sz w:val="24"/>
          <w:szCs w:val="24"/>
        </w:rPr>
      </w:pPr>
    </w:p>
    <w:p w14:paraId="6E70E16F" w14:textId="308DA259" w:rsidR="005B0036" w:rsidRPr="001425CD" w:rsidRDefault="005B0036" w:rsidP="00330BDF">
      <w:pPr>
        <w:ind w:left="851" w:hanging="851"/>
        <w:rPr>
          <w:b/>
          <w:sz w:val="24"/>
          <w:szCs w:val="24"/>
        </w:rPr>
      </w:pPr>
      <w:r w:rsidRPr="001425CD">
        <w:rPr>
          <w:b/>
          <w:sz w:val="24"/>
          <w:szCs w:val="24"/>
        </w:rPr>
        <w:t>5.1</w:t>
      </w:r>
      <w:r w:rsidRPr="001425CD">
        <w:rPr>
          <w:b/>
          <w:sz w:val="24"/>
          <w:szCs w:val="24"/>
        </w:rPr>
        <w:tab/>
        <w:t>Farmakodynamiske egenskaber</w:t>
      </w:r>
    </w:p>
    <w:p w14:paraId="784EC46D" w14:textId="77777777" w:rsidR="001425CD" w:rsidRDefault="001425CD" w:rsidP="00C75AF6">
      <w:pPr>
        <w:ind w:left="851"/>
        <w:rPr>
          <w:sz w:val="24"/>
          <w:szCs w:val="24"/>
          <w:u w:val="single"/>
        </w:rPr>
      </w:pPr>
    </w:p>
    <w:p w14:paraId="1EE3EBF1" w14:textId="4E06DCBB" w:rsidR="00DC38C4" w:rsidRPr="001425CD" w:rsidRDefault="00DC38C4" w:rsidP="00C75AF6">
      <w:pPr>
        <w:ind w:left="851"/>
        <w:rPr>
          <w:sz w:val="24"/>
          <w:szCs w:val="24"/>
          <w:u w:val="single"/>
        </w:rPr>
      </w:pPr>
      <w:r w:rsidRPr="001425CD">
        <w:rPr>
          <w:sz w:val="24"/>
          <w:szCs w:val="24"/>
          <w:u w:val="single"/>
        </w:rPr>
        <w:t>Virkningsmekanisme</w:t>
      </w:r>
    </w:p>
    <w:p w14:paraId="28DF49CE" w14:textId="77777777" w:rsidR="00DC38C4" w:rsidRPr="00C75AF6" w:rsidRDefault="00DC38C4" w:rsidP="00C75AF6">
      <w:pPr>
        <w:ind w:left="851"/>
        <w:rPr>
          <w:sz w:val="24"/>
          <w:szCs w:val="24"/>
        </w:rPr>
      </w:pPr>
      <w:r w:rsidRPr="001425CD">
        <w:rPr>
          <w:sz w:val="24"/>
          <w:szCs w:val="24"/>
        </w:rPr>
        <w:t>To enzymer, der er essentielle i DNA-replikation og transkription, DNA-gyrase og topoisomerase IV, er blevet identificeret som de molekylære</w:t>
      </w:r>
      <w:r w:rsidRPr="00C75AF6">
        <w:rPr>
          <w:sz w:val="24"/>
          <w:szCs w:val="24"/>
        </w:rPr>
        <w:t xml:space="preserve"> mål for fluoroquinoloner. Målinhibering skyldes ikke-kovalent binding af fluorquinolonmolekyler til disse enzymer. Replikationsgaffler og translationskomplekser kan ikke gå ud over sådanne enzym-DNA-fluoroquinolon-komplekser, og inhibering af DNA- og mRNA-syntese udløser hændelser, der resulterer i et hurtigt, lægemiddelkoncentrationsafhængigt dræbning af patogene bakterier. Enrofloxacins virkningsmåde er bakteriedræbende, og bakteriedræbende aktivitet er koncentrationsafhængig. </w:t>
      </w:r>
    </w:p>
    <w:p w14:paraId="191F21BB" w14:textId="77777777" w:rsidR="00DC38C4" w:rsidRPr="00C75AF6" w:rsidRDefault="00DC38C4" w:rsidP="00C75AF6">
      <w:pPr>
        <w:autoSpaceDE w:val="0"/>
        <w:autoSpaceDN w:val="0"/>
        <w:adjustRightInd w:val="0"/>
        <w:ind w:left="851"/>
        <w:rPr>
          <w:i/>
          <w:sz w:val="24"/>
          <w:szCs w:val="24"/>
        </w:rPr>
      </w:pPr>
    </w:p>
    <w:p w14:paraId="5A5DB7C2" w14:textId="77777777" w:rsidR="00DC38C4" w:rsidRPr="00C75AF6" w:rsidRDefault="00DC38C4" w:rsidP="00C75AF6">
      <w:pPr>
        <w:autoSpaceDE w:val="0"/>
        <w:autoSpaceDN w:val="0"/>
        <w:adjustRightInd w:val="0"/>
        <w:ind w:left="851"/>
        <w:rPr>
          <w:sz w:val="24"/>
          <w:szCs w:val="24"/>
          <w:u w:val="single"/>
        </w:rPr>
      </w:pPr>
      <w:r w:rsidRPr="00C75AF6">
        <w:rPr>
          <w:sz w:val="24"/>
          <w:szCs w:val="24"/>
          <w:u w:val="single"/>
        </w:rPr>
        <w:t>Antibakterielt spektrum</w:t>
      </w:r>
    </w:p>
    <w:p w14:paraId="585F697D" w14:textId="6ED2EEAF" w:rsidR="00DC38C4" w:rsidRPr="00C75AF6" w:rsidRDefault="00DC38C4" w:rsidP="00C75AF6">
      <w:pPr>
        <w:ind w:left="851"/>
        <w:rPr>
          <w:sz w:val="24"/>
          <w:szCs w:val="24"/>
        </w:rPr>
      </w:pPr>
      <w:r w:rsidRPr="00C75AF6">
        <w:rPr>
          <w:sz w:val="24"/>
          <w:szCs w:val="24"/>
        </w:rPr>
        <w:t xml:space="preserve">Enrofloxacin har antimikrobiel aktivitet mod følgende enrofloxacinsensitive Gram-positive og Gram-negative bakterier: </w:t>
      </w:r>
      <w:r w:rsidRPr="00C75AF6">
        <w:rPr>
          <w:i/>
          <w:sz w:val="24"/>
          <w:szCs w:val="24"/>
        </w:rPr>
        <w:t xml:space="preserve">Staphylococcus </w:t>
      </w:r>
      <w:r w:rsidRPr="00C75AF6">
        <w:rPr>
          <w:sz w:val="24"/>
          <w:szCs w:val="24"/>
        </w:rPr>
        <w:t xml:space="preserve">spp., </w:t>
      </w:r>
      <w:r w:rsidRPr="00C75AF6">
        <w:rPr>
          <w:i/>
          <w:sz w:val="24"/>
          <w:szCs w:val="24"/>
        </w:rPr>
        <w:t>Escherichia coli, Haemophilus</w:t>
      </w:r>
      <w:r w:rsidRPr="00C75AF6">
        <w:rPr>
          <w:sz w:val="24"/>
          <w:szCs w:val="24"/>
        </w:rPr>
        <w:t xml:space="preserve"> spp</w:t>
      </w:r>
      <w:r w:rsidRPr="00C75AF6">
        <w:rPr>
          <w:i/>
          <w:sz w:val="24"/>
          <w:szCs w:val="24"/>
        </w:rPr>
        <w:t>.</w:t>
      </w:r>
      <w:r w:rsidRPr="00C75AF6">
        <w:rPr>
          <w:sz w:val="24"/>
          <w:szCs w:val="24"/>
        </w:rPr>
        <w:t>, og</w:t>
      </w:r>
      <w:r w:rsidRPr="00C75AF6">
        <w:rPr>
          <w:i/>
          <w:sz w:val="24"/>
          <w:szCs w:val="24"/>
        </w:rPr>
        <w:t xml:space="preserve"> Pasteurella </w:t>
      </w:r>
      <w:r w:rsidRPr="00C75AF6">
        <w:rPr>
          <w:sz w:val="24"/>
          <w:szCs w:val="24"/>
        </w:rPr>
        <w:t xml:space="preserve">spp. </w:t>
      </w:r>
    </w:p>
    <w:p w14:paraId="5F5EBC58" w14:textId="77777777" w:rsidR="00DC38C4" w:rsidRPr="00C75AF6" w:rsidRDefault="00DC38C4" w:rsidP="00C75AF6">
      <w:pPr>
        <w:ind w:left="851"/>
        <w:rPr>
          <w:sz w:val="24"/>
          <w:szCs w:val="24"/>
        </w:rPr>
      </w:pPr>
    </w:p>
    <w:p w14:paraId="506C774D" w14:textId="77777777" w:rsidR="00DC38C4" w:rsidRPr="00C75AF6" w:rsidRDefault="00DC38C4" w:rsidP="00C75AF6">
      <w:pPr>
        <w:ind w:left="851"/>
        <w:rPr>
          <w:sz w:val="24"/>
          <w:szCs w:val="24"/>
          <w:u w:val="single"/>
        </w:rPr>
      </w:pPr>
      <w:r w:rsidRPr="00C75AF6">
        <w:rPr>
          <w:sz w:val="24"/>
          <w:szCs w:val="24"/>
          <w:u w:val="single"/>
        </w:rPr>
        <w:t>Resistenstyper og -mekanismer</w:t>
      </w:r>
    </w:p>
    <w:p w14:paraId="6C299E0F" w14:textId="77777777" w:rsidR="00DC38C4" w:rsidRPr="00C75AF6" w:rsidRDefault="00DC38C4" w:rsidP="00C75AF6">
      <w:pPr>
        <w:pStyle w:val="Sidehoved"/>
        <w:tabs>
          <w:tab w:val="clear" w:pos="4819"/>
          <w:tab w:val="clear" w:pos="9638"/>
        </w:tabs>
        <w:ind w:left="851"/>
        <w:rPr>
          <w:szCs w:val="24"/>
        </w:rPr>
      </w:pPr>
      <w:r w:rsidRPr="00C75AF6">
        <w:rPr>
          <w:szCs w:val="24"/>
        </w:rPr>
        <w:t>Det er blevet rapporteret, at resistens over for fluoroquinoloner er opstået fra fem kilder: (i) punkt mutationer i de gener, der koder for DNA-gyrase og/eller topoisomerase IV, der fører til ændringer af den pågældende enzym, (ii) ændringer af stof permeabilitet i Gram-negative bakterier, (iii) efflux mekanismer, (iv) plasmid medieret modstand og (v) gyrase, der beskytter proteiner. Alle mekanismer fører til en nedsat følsomhed af bakterierne for fluorquinoloner. Krydsresistens inden for antimikrobielle fluorquinoloner er almindelig. Det kliniske Institut og Laboratoriestandardinstituttet (CLSI) har opstillet veterinære breakpoints for at muliggøre internationalt harmoniseret vurdering af MIC (Minimumshæmmende koncentration) data.</w:t>
      </w:r>
    </w:p>
    <w:p w14:paraId="13A1A488" w14:textId="77777777" w:rsidR="00DC38C4" w:rsidRPr="00C75AF6" w:rsidRDefault="00DC38C4" w:rsidP="00C75AF6">
      <w:pPr>
        <w:pStyle w:val="Sidehoved"/>
        <w:tabs>
          <w:tab w:val="clear" w:pos="4819"/>
          <w:tab w:val="clear" w:pos="9638"/>
        </w:tabs>
        <w:ind w:left="851"/>
        <w:rPr>
          <w:szCs w:val="24"/>
        </w:rPr>
      </w:pPr>
      <w:r w:rsidRPr="00C75AF6">
        <w:rPr>
          <w:szCs w:val="24"/>
        </w:rPr>
        <w:t>For katte har CLSI etableret enrofloxacin-breakpoints S: ≤ 0,5 µg/ml, I: 1-2 µg/ml og R: ≥ 4 μg/ml ved hud-og bløddelsinfektioner</w:t>
      </w:r>
      <w:r w:rsidRPr="00C75AF6">
        <w:rPr>
          <w:i/>
          <w:szCs w:val="24"/>
        </w:rPr>
        <w:t>.</w:t>
      </w:r>
      <w:r w:rsidRPr="00C75AF6">
        <w:rPr>
          <w:szCs w:val="24"/>
        </w:rPr>
        <w:t xml:space="preserve">  </w:t>
      </w:r>
    </w:p>
    <w:p w14:paraId="46D6CDFB" w14:textId="77777777" w:rsidR="005B0036" w:rsidRPr="00C75AF6" w:rsidRDefault="005B0036" w:rsidP="00C75AF6">
      <w:pPr>
        <w:ind w:left="851"/>
        <w:rPr>
          <w:sz w:val="24"/>
          <w:szCs w:val="24"/>
        </w:rPr>
      </w:pPr>
    </w:p>
    <w:p w14:paraId="39A8E349" w14:textId="77777777" w:rsidR="005B0036" w:rsidRPr="00C75AF6" w:rsidRDefault="005B0036" w:rsidP="00330BDF">
      <w:pPr>
        <w:ind w:left="851" w:hanging="851"/>
        <w:rPr>
          <w:b/>
          <w:sz w:val="24"/>
          <w:szCs w:val="24"/>
        </w:rPr>
      </w:pPr>
      <w:r w:rsidRPr="001425CD">
        <w:rPr>
          <w:b/>
          <w:sz w:val="24"/>
          <w:szCs w:val="24"/>
        </w:rPr>
        <w:t>5.2</w:t>
      </w:r>
      <w:r w:rsidRPr="001425CD">
        <w:rPr>
          <w:b/>
          <w:sz w:val="24"/>
          <w:szCs w:val="24"/>
        </w:rPr>
        <w:tab/>
        <w:t>Farmakokinetiske egenskaber</w:t>
      </w:r>
    </w:p>
    <w:p w14:paraId="0CB0D05E" w14:textId="301A5D6E" w:rsidR="00DC38C4" w:rsidRPr="00C75AF6" w:rsidRDefault="00DC38C4" w:rsidP="00C75AF6">
      <w:pPr>
        <w:ind w:left="851"/>
        <w:rPr>
          <w:sz w:val="24"/>
          <w:szCs w:val="24"/>
        </w:rPr>
      </w:pPr>
      <w:r w:rsidRPr="00C75AF6">
        <w:rPr>
          <w:sz w:val="24"/>
          <w:szCs w:val="24"/>
        </w:rPr>
        <w:t>Enrofloxacin viser samlet set en høj oral tilgængelighed på &gt;80</w:t>
      </w:r>
      <w:r w:rsidR="001425CD">
        <w:rPr>
          <w:sz w:val="24"/>
          <w:szCs w:val="24"/>
        </w:rPr>
        <w:t xml:space="preserve"> %</w:t>
      </w:r>
      <w:r w:rsidRPr="00C75AF6">
        <w:rPr>
          <w:sz w:val="24"/>
          <w:szCs w:val="24"/>
        </w:rPr>
        <w:t>.</w:t>
      </w:r>
    </w:p>
    <w:p w14:paraId="7636592C" w14:textId="77777777" w:rsidR="00DC38C4" w:rsidRPr="00C75AF6" w:rsidRDefault="00DC38C4" w:rsidP="00C75AF6">
      <w:pPr>
        <w:ind w:left="851"/>
        <w:rPr>
          <w:sz w:val="24"/>
          <w:szCs w:val="24"/>
        </w:rPr>
      </w:pPr>
    </w:p>
    <w:p w14:paraId="1E07E193" w14:textId="77777777" w:rsidR="00DC38C4" w:rsidRPr="00C75AF6" w:rsidRDefault="00DC38C4" w:rsidP="00C75AF6">
      <w:pPr>
        <w:ind w:left="851"/>
        <w:rPr>
          <w:sz w:val="24"/>
          <w:szCs w:val="24"/>
        </w:rPr>
      </w:pPr>
      <w:r w:rsidRPr="00C75AF6">
        <w:rPr>
          <w:sz w:val="24"/>
          <w:szCs w:val="24"/>
        </w:rPr>
        <w:t>Efter oral administration opnås den maksimale koncentration af aktivt stof efter cirka en time.</w:t>
      </w:r>
    </w:p>
    <w:p w14:paraId="2F659028" w14:textId="77777777" w:rsidR="00DC38C4" w:rsidRPr="00C75AF6" w:rsidRDefault="00DC38C4" w:rsidP="00C75AF6">
      <w:pPr>
        <w:ind w:left="851"/>
        <w:rPr>
          <w:sz w:val="24"/>
          <w:szCs w:val="24"/>
        </w:rPr>
      </w:pPr>
    </w:p>
    <w:p w14:paraId="66581A82" w14:textId="6BB3E853" w:rsidR="00DC38C4" w:rsidRPr="00C75AF6" w:rsidRDefault="00DC38C4" w:rsidP="00C75AF6">
      <w:pPr>
        <w:ind w:left="851"/>
        <w:rPr>
          <w:sz w:val="24"/>
          <w:szCs w:val="24"/>
        </w:rPr>
      </w:pPr>
      <w:r w:rsidRPr="00C75AF6">
        <w:rPr>
          <w:sz w:val="24"/>
          <w:szCs w:val="24"/>
        </w:rPr>
        <w:t>Fluoroquinoloner fordeles i vid udstrækning til kropsvæsker og væv med højere koncentrationer end dem, der findes i plasma. Desuden er de bredt fordelt i hud, knogler og sæd og når frem til de forreste og bageste øjenkamre; de krydser placenta og hjernebarrieren. De akkumuleres også i fagocytter (alveolære makrofager, neutrofile). Proteinbinding af enrofloxacin i serum er 40</w:t>
      </w:r>
      <w:r w:rsidR="001425CD">
        <w:rPr>
          <w:sz w:val="24"/>
          <w:szCs w:val="24"/>
        </w:rPr>
        <w:t xml:space="preserve"> %</w:t>
      </w:r>
      <w:r w:rsidRPr="00C75AF6">
        <w:rPr>
          <w:sz w:val="24"/>
          <w:szCs w:val="24"/>
        </w:rPr>
        <w:t xml:space="preserve">. </w:t>
      </w:r>
    </w:p>
    <w:p w14:paraId="5CFDCE1B" w14:textId="77777777" w:rsidR="00DC38C4" w:rsidRPr="00C75AF6" w:rsidRDefault="00DC38C4" w:rsidP="00C75AF6">
      <w:pPr>
        <w:ind w:left="851"/>
        <w:rPr>
          <w:sz w:val="24"/>
          <w:szCs w:val="24"/>
        </w:rPr>
      </w:pPr>
    </w:p>
    <w:p w14:paraId="0FD8DCB2" w14:textId="34F447A2" w:rsidR="00DC38C4" w:rsidRPr="00C75AF6" w:rsidRDefault="00DC38C4" w:rsidP="00C75AF6">
      <w:pPr>
        <w:ind w:left="851"/>
        <w:rPr>
          <w:sz w:val="24"/>
          <w:szCs w:val="24"/>
        </w:rPr>
      </w:pPr>
      <w:r w:rsidRPr="00C75AF6">
        <w:rPr>
          <w:sz w:val="24"/>
          <w:szCs w:val="24"/>
        </w:rPr>
        <w:t>Metabolismen varierer mellem arter, og den er omkring 50-60</w:t>
      </w:r>
      <w:r w:rsidR="001425CD">
        <w:rPr>
          <w:sz w:val="24"/>
          <w:szCs w:val="24"/>
        </w:rPr>
        <w:t xml:space="preserve"> %</w:t>
      </w:r>
      <w:r w:rsidRPr="00C75AF6">
        <w:rPr>
          <w:sz w:val="24"/>
          <w:szCs w:val="24"/>
        </w:rPr>
        <w:t xml:space="preserve">. Biotransformation af enrofloxacin på leverniveau giver anledning til en aktiv metabolit, der er ciprofloxacin. </w:t>
      </w:r>
    </w:p>
    <w:p w14:paraId="0D9747F2" w14:textId="77777777" w:rsidR="00DC38C4" w:rsidRPr="00C75AF6" w:rsidRDefault="00DC38C4" w:rsidP="00C75AF6">
      <w:pPr>
        <w:ind w:left="851"/>
        <w:rPr>
          <w:sz w:val="24"/>
          <w:szCs w:val="24"/>
        </w:rPr>
      </w:pPr>
    </w:p>
    <w:p w14:paraId="7FAFD9FD" w14:textId="77777777" w:rsidR="00DC38C4" w:rsidRPr="00C75AF6" w:rsidRDefault="00DC38C4" w:rsidP="00C75AF6">
      <w:pPr>
        <w:ind w:left="851"/>
        <w:rPr>
          <w:sz w:val="24"/>
          <w:szCs w:val="24"/>
        </w:rPr>
      </w:pPr>
      <w:r w:rsidRPr="00C75AF6">
        <w:rPr>
          <w:sz w:val="24"/>
          <w:szCs w:val="24"/>
        </w:rPr>
        <w:t>Udskillelse sker via galde og nyrer, idet sidstnævnte er hovedvejen. Renal udskillelse sker ved glomerulær filtration og også ved aktiv tubulær sekretion gennem organiske anionpumper.</w:t>
      </w:r>
    </w:p>
    <w:p w14:paraId="4C651E2C" w14:textId="77777777" w:rsidR="005B0036" w:rsidRPr="00C75AF6" w:rsidRDefault="005B0036" w:rsidP="00C75AF6">
      <w:pPr>
        <w:ind w:left="851"/>
        <w:rPr>
          <w:sz w:val="24"/>
          <w:szCs w:val="24"/>
        </w:rPr>
      </w:pPr>
    </w:p>
    <w:p w14:paraId="5E43593F" w14:textId="77777777" w:rsidR="005B0036" w:rsidRPr="00C75AF6" w:rsidRDefault="005B0036" w:rsidP="00330BDF">
      <w:pPr>
        <w:ind w:left="851" w:hanging="851"/>
        <w:rPr>
          <w:b/>
          <w:sz w:val="24"/>
          <w:szCs w:val="24"/>
        </w:rPr>
      </w:pPr>
      <w:r w:rsidRPr="00C75AF6">
        <w:rPr>
          <w:b/>
          <w:sz w:val="24"/>
          <w:szCs w:val="24"/>
        </w:rPr>
        <w:t>5.3</w:t>
      </w:r>
      <w:r w:rsidRPr="00C75AF6">
        <w:rPr>
          <w:b/>
          <w:sz w:val="24"/>
          <w:szCs w:val="24"/>
        </w:rPr>
        <w:tab/>
        <w:t>Miljømæssige forhold</w:t>
      </w:r>
    </w:p>
    <w:p w14:paraId="58C3A8DE" w14:textId="0AB7A977" w:rsidR="005B0036" w:rsidRPr="00C75AF6" w:rsidRDefault="00DC38C4" w:rsidP="00C75AF6">
      <w:pPr>
        <w:ind w:left="851"/>
        <w:rPr>
          <w:sz w:val="24"/>
          <w:szCs w:val="24"/>
        </w:rPr>
      </w:pPr>
      <w:r w:rsidRPr="00C75AF6">
        <w:rPr>
          <w:sz w:val="24"/>
          <w:szCs w:val="24"/>
        </w:rPr>
        <w:t>-</w:t>
      </w:r>
    </w:p>
    <w:p w14:paraId="65322476" w14:textId="77777777" w:rsidR="005B0036" w:rsidRPr="00C75AF6" w:rsidRDefault="005B0036" w:rsidP="00C75AF6">
      <w:pPr>
        <w:ind w:left="851"/>
        <w:rPr>
          <w:sz w:val="24"/>
          <w:szCs w:val="24"/>
        </w:rPr>
      </w:pPr>
    </w:p>
    <w:p w14:paraId="4FADBE93" w14:textId="77777777" w:rsidR="005B0036" w:rsidRPr="00C75AF6" w:rsidRDefault="005B0036" w:rsidP="00C75AF6">
      <w:pPr>
        <w:ind w:left="851"/>
        <w:rPr>
          <w:sz w:val="24"/>
          <w:szCs w:val="24"/>
        </w:rPr>
      </w:pPr>
    </w:p>
    <w:p w14:paraId="5774E2F8" w14:textId="77777777" w:rsidR="005B0036" w:rsidRPr="00C75AF6" w:rsidRDefault="005B0036" w:rsidP="00C75AF6">
      <w:pPr>
        <w:ind w:left="851" w:hanging="851"/>
        <w:rPr>
          <w:b/>
          <w:sz w:val="24"/>
          <w:szCs w:val="24"/>
        </w:rPr>
      </w:pPr>
      <w:r w:rsidRPr="00C75AF6">
        <w:rPr>
          <w:b/>
          <w:sz w:val="24"/>
          <w:szCs w:val="24"/>
        </w:rPr>
        <w:t>6.</w:t>
      </w:r>
      <w:r w:rsidRPr="00C75AF6">
        <w:rPr>
          <w:b/>
          <w:sz w:val="24"/>
          <w:szCs w:val="24"/>
        </w:rPr>
        <w:tab/>
        <w:t>FARMACEUTISKE OPLYSNINGER</w:t>
      </w:r>
    </w:p>
    <w:p w14:paraId="3A342E91" w14:textId="77777777" w:rsidR="005B0036" w:rsidRPr="00C75AF6" w:rsidRDefault="005B0036" w:rsidP="00C75AF6">
      <w:pPr>
        <w:ind w:left="851"/>
        <w:rPr>
          <w:sz w:val="24"/>
          <w:szCs w:val="24"/>
        </w:rPr>
      </w:pPr>
    </w:p>
    <w:p w14:paraId="7EEB4EC8" w14:textId="77777777" w:rsidR="005B0036" w:rsidRPr="00C75AF6" w:rsidRDefault="005B0036" w:rsidP="00C75AF6">
      <w:pPr>
        <w:ind w:left="851" w:hanging="851"/>
        <w:rPr>
          <w:b/>
          <w:sz w:val="24"/>
          <w:szCs w:val="24"/>
        </w:rPr>
      </w:pPr>
      <w:r w:rsidRPr="00C75AF6">
        <w:rPr>
          <w:b/>
          <w:sz w:val="24"/>
          <w:szCs w:val="24"/>
        </w:rPr>
        <w:t>6.1</w:t>
      </w:r>
      <w:r w:rsidRPr="00C75AF6">
        <w:rPr>
          <w:b/>
          <w:sz w:val="24"/>
          <w:szCs w:val="24"/>
        </w:rPr>
        <w:tab/>
        <w:t>Hjælpestoffer</w:t>
      </w:r>
    </w:p>
    <w:p w14:paraId="62D05FFD" w14:textId="77777777" w:rsidR="00DC38C4" w:rsidRPr="00C75AF6" w:rsidRDefault="00DC38C4" w:rsidP="00C75AF6">
      <w:pPr>
        <w:ind w:left="851"/>
        <w:rPr>
          <w:sz w:val="24"/>
          <w:szCs w:val="24"/>
        </w:rPr>
      </w:pPr>
      <w:r w:rsidRPr="00C75AF6">
        <w:rPr>
          <w:sz w:val="24"/>
          <w:szCs w:val="24"/>
        </w:rPr>
        <w:t>Sorbinsyre (E200)</w:t>
      </w:r>
    </w:p>
    <w:p w14:paraId="6EFF6B50" w14:textId="77777777" w:rsidR="00DC38C4" w:rsidRPr="00C75AF6" w:rsidRDefault="00DC38C4" w:rsidP="00C75AF6">
      <w:pPr>
        <w:ind w:left="851"/>
        <w:rPr>
          <w:sz w:val="24"/>
          <w:szCs w:val="24"/>
        </w:rPr>
      </w:pPr>
      <w:r w:rsidRPr="00C75AF6">
        <w:rPr>
          <w:sz w:val="24"/>
          <w:szCs w:val="24"/>
        </w:rPr>
        <w:t>Carmellose natrium</w:t>
      </w:r>
    </w:p>
    <w:p w14:paraId="57C4C64F" w14:textId="77777777" w:rsidR="00DC38C4" w:rsidRPr="00C75AF6" w:rsidRDefault="00DC38C4" w:rsidP="00C75AF6">
      <w:pPr>
        <w:ind w:left="851"/>
        <w:rPr>
          <w:sz w:val="24"/>
          <w:szCs w:val="24"/>
        </w:rPr>
      </w:pPr>
      <w:r w:rsidRPr="00C75AF6">
        <w:rPr>
          <w:sz w:val="24"/>
          <w:szCs w:val="24"/>
        </w:rPr>
        <w:t>Xanthangummi</w:t>
      </w:r>
    </w:p>
    <w:p w14:paraId="32F8B46B" w14:textId="77777777" w:rsidR="00DC38C4" w:rsidRPr="00C75AF6" w:rsidRDefault="00DC38C4" w:rsidP="00C75AF6">
      <w:pPr>
        <w:ind w:left="851"/>
        <w:rPr>
          <w:sz w:val="24"/>
          <w:szCs w:val="24"/>
        </w:rPr>
      </w:pPr>
      <w:r w:rsidRPr="00C75AF6">
        <w:rPr>
          <w:sz w:val="24"/>
          <w:szCs w:val="24"/>
        </w:rPr>
        <w:t>Polysorbat 80</w:t>
      </w:r>
    </w:p>
    <w:p w14:paraId="0A2E400C" w14:textId="77777777" w:rsidR="00DC38C4" w:rsidRPr="00C75AF6" w:rsidRDefault="00DC38C4" w:rsidP="00C75AF6">
      <w:pPr>
        <w:ind w:left="851"/>
        <w:rPr>
          <w:sz w:val="24"/>
          <w:szCs w:val="24"/>
        </w:rPr>
      </w:pPr>
      <w:r w:rsidRPr="00C75AF6">
        <w:rPr>
          <w:sz w:val="24"/>
          <w:szCs w:val="24"/>
        </w:rPr>
        <w:t>Oksekødsmag</w:t>
      </w:r>
    </w:p>
    <w:p w14:paraId="2B5BB14D" w14:textId="77777777" w:rsidR="00DC38C4" w:rsidRPr="00C75AF6" w:rsidRDefault="00DC38C4" w:rsidP="00C75AF6">
      <w:pPr>
        <w:ind w:left="851"/>
        <w:rPr>
          <w:sz w:val="24"/>
          <w:szCs w:val="24"/>
        </w:rPr>
      </w:pPr>
      <w:r w:rsidRPr="00C75AF6">
        <w:rPr>
          <w:sz w:val="24"/>
          <w:szCs w:val="24"/>
        </w:rPr>
        <w:t>Renset vand</w:t>
      </w:r>
    </w:p>
    <w:p w14:paraId="6CBF165B" w14:textId="77777777" w:rsidR="005B0036" w:rsidRPr="00C75AF6" w:rsidRDefault="005B0036" w:rsidP="00C75AF6">
      <w:pPr>
        <w:ind w:left="851"/>
        <w:rPr>
          <w:sz w:val="24"/>
          <w:szCs w:val="24"/>
        </w:rPr>
      </w:pPr>
    </w:p>
    <w:p w14:paraId="79C98B9A" w14:textId="77777777" w:rsidR="005B0036" w:rsidRPr="00C75AF6" w:rsidRDefault="005B0036" w:rsidP="00C75AF6">
      <w:pPr>
        <w:ind w:left="851" w:hanging="851"/>
        <w:rPr>
          <w:b/>
          <w:sz w:val="24"/>
          <w:szCs w:val="24"/>
        </w:rPr>
      </w:pPr>
      <w:r w:rsidRPr="00C75AF6">
        <w:rPr>
          <w:b/>
          <w:sz w:val="24"/>
          <w:szCs w:val="24"/>
        </w:rPr>
        <w:t>6.2</w:t>
      </w:r>
      <w:r w:rsidRPr="00C75AF6">
        <w:rPr>
          <w:b/>
          <w:sz w:val="24"/>
          <w:szCs w:val="24"/>
        </w:rPr>
        <w:tab/>
        <w:t>Uforligeligheder</w:t>
      </w:r>
    </w:p>
    <w:p w14:paraId="5B8C0A57" w14:textId="77777777" w:rsidR="00DC38C4" w:rsidRPr="00C75AF6" w:rsidRDefault="00DC38C4" w:rsidP="00C75AF6">
      <w:pPr>
        <w:ind w:left="851"/>
        <w:rPr>
          <w:sz w:val="24"/>
          <w:szCs w:val="24"/>
        </w:rPr>
      </w:pPr>
      <w:r w:rsidRPr="00C75AF6">
        <w:rPr>
          <w:sz w:val="24"/>
          <w:szCs w:val="24"/>
        </w:rPr>
        <w:t>Da der ikke foreligger undersøgelser vedrørende eventuelle uforligeligheder, bør dette præparat ikke blandes med andre præparater.</w:t>
      </w:r>
    </w:p>
    <w:p w14:paraId="73B7D6E4" w14:textId="77777777" w:rsidR="005B0036" w:rsidRPr="00C75AF6" w:rsidRDefault="005B0036" w:rsidP="00C75AF6">
      <w:pPr>
        <w:ind w:left="851"/>
        <w:rPr>
          <w:sz w:val="24"/>
          <w:szCs w:val="24"/>
        </w:rPr>
      </w:pPr>
    </w:p>
    <w:p w14:paraId="6EBBE2F5" w14:textId="77777777" w:rsidR="005B0036" w:rsidRPr="00C75AF6" w:rsidRDefault="005B0036" w:rsidP="00C75AF6">
      <w:pPr>
        <w:ind w:left="851" w:hanging="851"/>
        <w:rPr>
          <w:b/>
          <w:sz w:val="24"/>
          <w:szCs w:val="24"/>
        </w:rPr>
      </w:pPr>
      <w:r w:rsidRPr="00C75AF6">
        <w:rPr>
          <w:b/>
          <w:sz w:val="24"/>
          <w:szCs w:val="24"/>
        </w:rPr>
        <w:t>6.3</w:t>
      </w:r>
      <w:r w:rsidRPr="00C75AF6">
        <w:rPr>
          <w:b/>
          <w:sz w:val="24"/>
          <w:szCs w:val="24"/>
        </w:rPr>
        <w:tab/>
        <w:t>Opbevaringstid</w:t>
      </w:r>
    </w:p>
    <w:p w14:paraId="24979547" w14:textId="77777777" w:rsidR="00DC38C4" w:rsidRPr="00C75AF6" w:rsidRDefault="00DC38C4" w:rsidP="00C75AF6">
      <w:pPr>
        <w:ind w:left="851"/>
        <w:outlineLvl w:val="0"/>
        <w:rPr>
          <w:sz w:val="24"/>
          <w:szCs w:val="24"/>
        </w:rPr>
      </w:pPr>
      <w:r w:rsidRPr="00C75AF6">
        <w:rPr>
          <w:sz w:val="24"/>
          <w:szCs w:val="24"/>
        </w:rPr>
        <w:t>I salgspakning: 2 år.</w:t>
      </w:r>
    </w:p>
    <w:p w14:paraId="66469A0F" w14:textId="3682AEC4" w:rsidR="00DC38C4" w:rsidRPr="00C75AF6" w:rsidRDefault="00DC38C4" w:rsidP="00C75AF6">
      <w:pPr>
        <w:ind w:left="851"/>
        <w:outlineLvl w:val="0"/>
        <w:rPr>
          <w:sz w:val="24"/>
          <w:szCs w:val="24"/>
        </w:rPr>
      </w:pPr>
      <w:r w:rsidRPr="00C75AF6">
        <w:rPr>
          <w:sz w:val="24"/>
          <w:szCs w:val="24"/>
        </w:rPr>
        <w:t>E</w:t>
      </w:r>
      <w:r w:rsidR="00330BDF">
        <w:rPr>
          <w:sz w:val="24"/>
          <w:szCs w:val="24"/>
        </w:rPr>
        <w:t>f</w:t>
      </w:r>
      <w:r w:rsidRPr="00C75AF6">
        <w:rPr>
          <w:sz w:val="24"/>
          <w:szCs w:val="24"/>
        </w:rPr>
        <w:t>ter første åbning af den indre emballage: 1 måned.</w:t>
      </w:r>
    </w:p>
    <w:p w14:paraId="231FAAD4" w14:textId="77777777" w:rsidR="005B0036" w:rsidRPr="00C75AF6" w:rsidRDefault="005B0036" w:rsidP="00C75AF6">
      <w:pPr>
        <w:ind w:left="851"/>
        <w:rPr>
          <w:sz w:val="24"/>
          <w:szCs w:val="24"/>
        </w:rPr>
      </w:pPr>
    </w:p>
    <w:p w14:paraId="10E95BFD" w14:textId="77777777" w:rsidR="005B0036" w:rsidRPr="00C75AF6" w:rsidRDefault="005B0036" w:rsidP="00C75AF6">
      <w:pPr>
        <w:ind w:left="851" w:hanging="851"/>
        <w:rPr>
          <w:b/>
          <w:sz w:val="24"/>
          <w:szCs w:val="24"/>
        </w:rPr>
      </w:pPr>
      <w:r w:rsidRPr="00C75AF6">
        <w:rPr>
          <w:b/>
          <w:sz w:val="24"/>
          <w:szCs w:val="24"/>
        </w:rPr>
        <w:t>6.4</w:t>
      </w:r>
      <w:r w:rsidRPr="00C75AF6">
        <w:rPr>
          <w:b/>
          <w:sz w:val="24"/>
          <w:szCs w:val="24"/>
        </w:rPr>
        <w:tab/>
        <w:t>Særlige opbevaringsforhold</w:t>
      </w:r>
    </w:p>
    <w:p w14:paraId="4C7C76A4" w14:textId="77777777" w:rsidR="00DC38C4" w:rsidRPr="00C75AF6" w:rsidRDefault="00DC38C4" w:rsidP="00C75AF6">
      <w:pPr>
        <w:ind w:left="851"/>
        <w:rPr>
          <w:sz w:val="24"/>
          <w:szCs w:val="24"/>
        </w:rPr>
      </w:pPr>
      <w:r w:rsidRPr="00C75AF6">
        <w:rPr>
          <w:sz w:val="24"/>
          <w:szCs w:val="24"/>
        </w:rPr>
        <w:t xml:space="preserve">Dette veterinærlægemiddel kræver ingen særlige forholdsregler vedrørende opbevaringen. </w:t>
      </w:r>
    </w:p>
    <w:p w14:paraId="741764ED" w14:textId="77777777" w:rsidR="005B0036" w:rsidRPr="00C75AF6" w:rsidRDefault="005B0036" w:rsidP="00C75AF6">
      <w:pPr>
        <w:ind w:left="851"/>
        <w:rPr>
          <w:sz w:val="24"/>
          <w:szCs w:val="24"/>
        </w:rPr>
      </w:pPr>
    </w:p>
    <w:p w14:paraId="4087DAB3" w14:textId="77777777" w:rsidR="005B0036" w:rsidRPr="00C75AF6" w:rsidRDefault="005B0036" w:rsidP="00C75AF6">
      <w:pPr>
        <w:ind w:left="851" w:hanging="851"/>
        <w:rPr>
          <w:b/>
          <w:sz w:val="24"/>
          <w:szCs w:val="24"/>
        </w:rPr>
      </w:pPr>
      <w:r w:rsidRPr="00C75AF6">
        <w:rPr>
          <w:b/>
          <w:sz w:val="24"/>
          <w:szCs w:val="24"/>
        </w:rPr>
        <w:t>6.5</w:t>
      </w:r>
      <w:r w:rsidRPr="00C75AF6">
        <w:rPr>
          <w:b/>
          <w:sz w:val="24"/>
          <w:szCs w:val="24"/>
        </w:rPr>
        <w:tab/>
        <w:t>Emballage</w:t>
      </w:r>
    </w:p>
    <w:p w14:paraId="1674CCF4" w14:textId="77777777" w:rsidR="00DC38C4" w:rsidRPr="00C75AF6" w:rsidRDefault="00DC38C4" w:rsidP="00C75AF6">
      <w:pPr>
        <w:ind w:left="851"/>
        <w:rPr>
          <w:sz w:val="24"/>
          <w:szCs w:val="24"/>
          <w:lang w:eastAsia="da-DK"/>
        </w:rPr>
      </w:pPr>
      <w:bookmarkStart w:id="5" w:name="_Hlk22282087"/>
      <w:r w:rsidRPr="00C75AF6">
        <w:rPr>
          <w:sz w:val="24"/>
          <w:szCs w:val="24"/>
        </w:rPr>
        <w:t xml:space="preserve">Flaske (HDPE) forseglet med prop (LDPE) og et børnesikret låg (PP). Oral doseringssprøjte (PP/HDPE) er vedlagt. </w:t>
      </w:r>
    </w:p>
    <w:bookmarkEnd w:id="5"/>
    <w:p w14:paraId="605FF277" w14:textId="77777777" w:rsidR="00DC38C4" w:rsidRPr="00C75AF6" w:rsidRDefault="00DC38C4" w:rsidP="00C75AF6">
      <w:pPr>
        <w:ind w:left="851"/>
        <w:outlineLvl w:val="0"/>
        <w:rPr>
          <w:sz w:val="24"/>
          <w:szCs w:val="24"/>
        </w:rPr>
      </w:pPr>
    </w:p>
    <w:p w14:paraId="5BE5A073" w14:textId="77777777" w:rsidR="00DC38C4" w:rsidRPr="00C75AF6" w:rsidRDefault="00DC38C4" w:rsidP="00C75AF6">
      <w:pPr>
        <w:ind w:left="851"/>
        <w:outlineLvl w:val="0"/>
        <w:rPr>
          <w:sz w:val="24"/>
          <w:szCs w:val="24"/>
          <w:u w:val="single"/>
        </w:rPr>
      </w:pPr>
      <w:r w:rsidRPr="00C75AF6">
        <w:rPr>
          <w:sz w:val="24"/>
          <w:szCs w:val="24"/>
          <w:u w:val="single"/>
        </w:rPr>
        <w:t xml:space="preserve">Pakningsstørrelser: </w:t>
      </w:r>
    </w:p>
    <w:p w14:paraId="13493C70" w14:textId="77777777" w:rsidR="00DC38C4" w:rsidRPr="00C75AF6" w:rsidRDefault="00DC38C4" w:rsidP="00C75AF6">
      <w:pPr>
        <w:ind w:left="851"/>
        <w:outlineLvl w:val="0"/>
        <w:rPr>
          <w:sz w:val="24"/>
          <w:szCs w:val="24"/>
        </w:rPr>
      </w:pPr>
      <w:bookmarkStart w:id="6" w:name="_Hlk22283407"/>
      <w:r w:rsidRPr="00C75AF6">
        <w:rPr>
          <w:sz w:val="24"/>
          <w:szCs w:val="24"/>
        </w:rPr>
        <w:t>Papæske med 1 flaske med 8,5 ml og en 3 ml oral sprøjte</w:t>
      </w:r>
    </w:p>
    <w:bookmarkEnd w:id="6"/>
    <w:p w14:paraId="767156B3" w14:textId="77777777" w:rsidR="005B0036" w:rsidRPr="00C75AF6" w:rsidRDefault="005B0036" w:rsidP="00C75AF6">
      <w:pPr>
        <w:ind w:left="851"/>
        <w:rPr>
          <w:sz w:val="24"/>
          <w:szCs w:val="24"/>
        </w:rPr>
      </w:pPr>
    </w:p>
    <w:p w14:paraId="75180D7B" w14:textId="77777777" w:rsidR="005B0036" w:rsidRPr="00C75AF6" w:rsidRDefault="005B0036" w:rsidP="00C75AF6">
      <w:pPr>
        <w:ind w:left="851" w:hanging="851"/>
        <w:rPr>
          <w:b/>
          <w:sz w:val="24"/>
          <w:szCs w:val="24"/>
        </w:rPr>
      </w:pPr>
      <w:r w:rsidRPr="00C75AF6">
        <w:rPr>
          <w:b/>
          <w:sz w:val="24"/>
          <w:szCs w:val="24"/>
        </w:rPr>
        <w:t>6.6</w:t>
      </w:r>
      <w:r w:rsidRPr="00C75AF6">
        <w:rPr>
          <w:b/>
          <w:sz w:val="24"/>
          <w:szCs w:val="24"/>
        </w:rPr>
        <w:tab/>
        <w:t>Særlige forholdsregler ved bortskaffelse af rester af lægemidlet eller affald</w:t>
      </w:r>
    </w:p>
    <w:p w14:paraId="44FE489B" w14:textId="77777777" w:rsidR="00DC38C4" w:rsidRPr="00C75AF6" w:rsidRDefault="00DC38C4" w:rsidP="00C75AF6">
      <w:pPr>
        <w:ind w:left="851"/>
        <w:rPr>
          <w:sz w:val="24"/>
          <w:szCs w:val="24"/>
        </w:rPr>
      </w:pPr>
      <w:r w:rsidRPr="00C75AF6">
        <w:rPr>
          <w:sz w:val="24"/>
          <w:szCs w:val="24"/>
        </w:rPr>
        <w:t>Ikke anvendte veterinærlægemidler, samt affald heraf bør destrueres i henhold til lokale retningslinjer.</w:t>
      </w:r>
    </w:p>
    <w:p w14:paraId="02B9D49D" w14:textId="77777777" w:rsidR="005B0036" w:rsidRPr="00C75AF6" w:rsidRDefault="005B0036" w:rsidP="00C75AF6">
      <w:pPr>
        <w:ind w:left="851"/>
        <w:rPr>
          <w:sz w:val="24"/>
          <w:szCs w:val="24"/>
        </w:rPr>
      </w:pPr>
    </w:p>
    <w:p w14:paraId="2E1E4960" w14:textId="77777777" w:rsidR="005B0036" w:rsidRPr="00C75AF6" w:rsidRDefault="005B0036" w:rsidP="00C75AF6">
      <w:pPr>
        <w:ind w:left="851" w:hanging="851"/>
        <w:rPr>
          <w:b/>
          <w:sz w:val="24"/>
          <w:szCs w:val="24"/>
        </w:rPr>
      </w:pPr>
      <w:r w:rsidRPr="00C75AF6">
        <w:rPr>
          <w:b/>
          <w:sz w:val="24"/>
          <w:szCs w:val="24"/>
        </w:rPr>
        <w:t>7.</w:t>
      </w:r>
      <w:r w:rsidRPr="00C75AF6">
        <w:rPr>
          <w:b/>
          <w:sz w:val="24"/>
          <w:szCs w:val="24"/>
        </w:rPr>
        <w:tab/>
        <w:t>INDEHAVER AF MARKEDSFØRINGSTILLADELSEN</w:t>
      </w:r>
    </w:p>
    <w:p w14:paraId="24C367BE" w14:textId="77777777" w:rsidR="00DC38C4" w:rsidRPr="00C75AF6" w:rsidRDefault="00DC38C4" w:rsidP="00C75AF6">
      <w:pPr>
        <w:ind w:left="851"/>
        <w:rPr>
          <w:sz w:val="24"/>
          <w:szCs w:val="24"/>
        </w:rPr>
      </w:pPr>
      <w:r w:rsidRPr="00C75AF6">
        <w:rPr>
          <w:sz w:val="24"/>
          <w:szCs w:val="24"/>
        </w:rPr>
        <w:t>LIVISTO Int’l, S.L.</w:t>
      </w:r>
    </w:p>
    <w:p w14:paraId="776F9CAB" w14:textId="77777777" w:rsidR="00DC38C4" w:rsidRPr="00C75AF6" w:rsidRDefault="00DC38C4" w:rsidP="00C75AF6">
      <w:pPr>
        <w:ind w:left="851"/>
        <w:rPr>
          <w:sz w:val="24"/>
          <w:szCs w:val="24"/>
        </w:rPr>
      </w:pPr>
      <w:r w:rsidRPr="00C75AF6">
        <w:rPr>
          <w:sz w:val="24"/>
          <w:szCs w:val="24"/>
        </w:rPr>
        <w:t>Av. Universitat Autònoma, 29</w:t>
      </w:r>
    </w:p>
    <w:p w14:paraId="0B3CCC57" w14:textId="77777777" w:rsidR="001425CD" w:rsidRDefault="00DC38C4" w:rsidP="00C75AF6">
      <w:pPr>
        <w:ind w:left="851"/>
        <w:rPr>
          <w:sz w:val="24"/>
          <w:szCs w:val="24"/>
        </w:rPr>
      </w:pPr>
      <w:r w:rsidRPr="00C75AF6">
        <w:rPr>
          <w:sz w:val="24"/>
          <w:szCs w:val="24"/>
        </w:rPr>
        <w:t>08290 Cerdanyola del Vallès</w:t>
      </w:r>
      <w:r w:rsidR="001425CD">
        <w:rPr>
          <w:sz w:val="24"/>
          <w:szCs w:val="24"/>
        </w:rPr>
        <w:t xml:space="preserve"> </w:t>
      </w:r>
      <w:r w:rsidRPr="00C75AF6">
        <w:rPr>
          <w:sz w:val="24"/>
          <w:szCs w:val="24"/>
        </w:rPr>
        <w:t xml:space="preserve">(Barcelona) </w:t>
      </w:r>
    </w:p>
    <w:p w14:paraId="40C68AE8" w14:textId="558C87A6" w:rsidR="00DC38C4" w:rsidRPr="00C75AF6" w:rsidRDefault="00DC38C4" w:rsidP="00C75AF6">
      <w:pPr>
        <w:ind w:left="851"/>
        <w:rPr>
          <w:sz w:val="24"/>
          <w:szCs w:val="24"/>
        </w:rPr>
      </w:pPr>
      <w:r w:rsidRPr="00C75AF6">
        <w:rPr>
          <w:sz w:val="24"/>
          <w:szCs w:val="24"/>
        </w:rPr>
        <w:t>Spanien</w:t>
      </w:r>
    </w:p>
    <w:p w14:paraId="085969E2" w14:textId="77777777" w:rsidR="005B0036" w:rsidRPr="00C75AF6" w:rsidRDefault="005B0036" w:rsidP="00C75AF6">
      <w:pPr>
        <w:ind w:left="851"/>
        <w:rPr>
          <w:sz w:val="24"/>
          <w:szCs w:val="24"/>
        </w:rPr>
      </w:pPr>
    </w:p>
    <w:p w14:paraId="693FB1DB" w14:textId="77777777" w:rsidR="005B0036" w:rsidRPr="00C75AF6" w:rsidRDefault="005B0036" w:rsidP="00C75AF6">
      <w:pPr>
        <w:ind w:left="851" w:hanging="851"/>
        <w:rPr>
          <w:b/>
          <w:sz w:val="24"/>
          <w:szCs w:val="24"/>
        </w:rPr>
      </w:pPr>
      <w:r w:rsidRPr="00C75AF6">
        <w:rPr>
          <w:b/>
          <w:sz w:val="24"/>
          <w:szCs w:val="24"/>
        </w:rPr>
        <w:t>8.</w:t>
      </w:r>
      <w:r w:rsidRPr="00C75AF6">
        <w:rPr>
          <w:b/>
          <w:sz w:val="24"/>
          <w:szCs w:val="24"/>
        </w:rPr>
        <w:tab/>
        <w:t>MARKEDSFØRINGSTILLADELSESNUMMER (NUMRE)</w:t>
      </w:r>
    </w:p>
    <w:p w14:paraId="4B970596" w14:textId="1F79060B" w:rsidR="005B0036" w:rsidRPr="00C75AF6" w:rsidRDefault="00C253AF" w:rsidP="00C75AF6">
      <w:pPr>
        <w:ind w:left="851"/>
        <w:rPr>
          <w:sz w:val="24"/>
          <w:szCs w:val="24"/>
        </w:rPr>
      </w:pPr>
      <w:r w:rsidRPr="00C75AF6">
        <w:rPr>
          <w:sz w:val="24"/>
          <w:szCs w:val="24"/>
        </w:rPr>
        <w:t>60672</w:t>
      </w:r>
    </w:p>
    <w:p w14:paraId="7BBE1BF6" w14:textId="77777777" w:rsidR="005B0036" w:rsidRPr="00C75AF6" w:rsidRDefault="005B0036" w:rsidP="00C75AF6">
      <w:pPr>
        <w:ind w:left="851"/>
        <w:rPr>
          <w:sz w:val="24"/>
          <w:szCs w:val="24"/>
        </w:rPr>
      </w:pPr>
    </w:p>
    <w:p w14:paraId="4743AFB7" w14:textId="77777777" w:rsidR="005B0036" w:rsidRPr="00C75AF6" w:rsidRDefault="005B0036" w:rsidP="00330BDF">
      <w:pPr>
        <w:ind w:left="851" w:hanging="851"/>
        <w:rPr>
          <w:b/>
          <w:sz w:val="24"/>
          <w:szCs w:val="24"/>
        </w:rPr>
      </w:pPr>
      <w:r w:rsidRPr="00C75AF6">
        <w:rPr>
          <w:b/>
          <w:sz w:val="24"/>
          <w:szCs w:val="24"/>
        </w:rPr>
        <w:t>9.</w:t>
      </w:r>
      <w:r w:rsidRPr="00C75AF6">
        <w:rPr>
          <w:b/>
          <w:sz w:val="24"/>
          <w:szCs w:val="24"/>
        </w:rPr>
        <w:tab/>
        <w:t>DATO FOR FØRSTE MARKEDSFØRINGSTILLADELSE</w:t>
      </w:r>
    </w:p>
    <w:p w14:paraId="0AB8E95C" w14:textId="04349DFE" w:rsidR="005B0036" w:rsidRPr="00C75AF6" w:rsidRDefault="00013D45" w:rsidP="00C75AF6">
      <w:pPr>
        <w:ind w:left="851"/>
        <w:rPr>
          <w:sz w:val="24"/>
          <w:szCs w:val="24"/>
        </w:rPr>
      </w:pPr>
      <w:r>
        <w:rPr>
          <w:sz w:val="24"/>
          <w:szCs w:val="24"/>
        </w:rPr>
        <w:t>15. marts 2022</w:t>
      </w:r>
    </w:p>
    <w:p w14:paraId="72DD14C8" w14:textId="77777777" w:rsidR="005B0036" w:rsidRPr="00C75AF6" w:rsidRDefault="005B0036" w:rsidP="00C75AF6">
      <w:pPr>
        <w:ind w:left="851"/>
        <w:rPr>
          <w:sz w:val="24"/>
          <w:szCs w:val="24"/>
        </w:rPr>
      </w:pPr>
    </w:p>
    <w:p w14:paraId="26733CDC" w14:textId="77777777" w:rsidR="005B0036" w:rsidRPr="00C75AF6" w:rsidRDefault="005B0036" w:rsidP="00C75AF6">
      <w:pPr>
        <w:ind w:left="851" w:hanging="851"/>
        <w:rPr>
          <w:b/>
          <w:sz w:val="24"/>
          <w:szCs w:val="24"/>
        </w:rPr>
      </w:pPr>
      <w:r w:rsidRPr="00C75AF6">
        <w:rPr>
          <w:b/>
          <w:sz w:val="24"/>
          <w:szCs w:val="24"/>
        </w:rPr>
        <w:t>10.</w:t>
      </w:r>
      <w:r w:rsidRPr="00C75AF6">
        <w:rPr>
          <w:b/>
          <w:sz w:val="24"/>
          <w:szCs w:val="24"/>
        </w:rPr>
        <w:tab/>
        <w:t>DATO FOR ÆNDRING AF TEKSTEN</w:t>
      </w:r>
    </w:p>
    <w:p w14:paraId="2DF295AC" w14:textId="4E864B4B" w:rsidR="005B0036" w:rsidRPr="00C75AF6" w:rsidRDefault="00B132E1" w:rsidP="00C75AF6">
      <w:pPr>
        <w:ind w:left="851"/>
        <w:rPr>
          <w:sz w:val="24"/>
          <w:szCs w:val="24"/>
        </w:rPr>
      </w:pPr>
      <w:r>
        <w:rPr>
          <w:sz w:val="24"/>
          <w:szCs w:val="24"/>
        </w:rPr>
        <w:t>9. juni 2026</w:t>
      </w:r>
    </w:p>
    <w:p w14:paraId="4E64A17A" w14:textId="77777777" w:rsidR="005B0036" w:rsidRPr="00C75AF6" w:rsidRDefault="005B0036" w:rsidP="00C75AF6">
      <w:pPr>
        <w:ind w:left="851"/>
        <w:rPr>
          <w:sz w:val="24"/>
          <w:szCs w:val="24"/>
        </w:rPr>
      </w:pPr>
    </w:p>
    <w:p w14:paraId="0593B5CB" w14:textId="77777777" w:rsidR="005B0036" w:rsidRPr="00C75AF6" w:rsidRDefault="005B0036" w:rsidP="00330BDF">
      <w:pPr>
        <w:ind w:left="851" w:hanging="851"/>
        <w:rPr>
          <w:b/>
          <w:sz w:val="24"/>
          <w:szCs w:val="24"/>
        </w:rPr>
      </w:pPr>
      <w:r w:rsidRPr="00C75AF6">
        <w:rPr>
          <w:b/>
          <w:sz w:val="24"/>
          <w:szCs w:val="24"/>
        </w:rPr>
        <w:t>11.</w:t>
      </w:r>
      <w:r w:rsidRPr="00C75AF6">
        <w:rPr>
          <w:b/>
          <w:sz w:val="24"/>
          <w:szCs w:val="24"/>
        </w:rPr>
        <w:tab/>
        <w:t>UDLEVERINGSBESTEMMELSE</w:t>
      </w:r>
    </w:p>
    <w:p w14:paraId="56E5B40B" w14:textId="3678C475" w:rsidR="0003527F" w:rsidRPr="00C75AF6" w:rsidRDefault="00C253AF" w:rsidP="00330BDF">
      <w:pPr>
        <w:pStyle w:val="Sidehoved"/>
        <w:tabs>
          <w:tab w:val="clear" w:pos="4819"/>
          <w:tab w:val="clear" w:pos="9638"/>
        </w:tabs>
        <w:ind w:left="851"/>
        <w:rPr>
          <w:szCs w:val="24"/>
        </w:rPr>
      </w:pPr>
      <w:r w:rsidRPr="00C75AF6">
        <w:rPr>
          <w:szCs w:val="24"/>
        </w:rPr>
        <w:t>B</w:t>
      </w:r>
    </w:p>
    <w:sectPr w:rsidR="0003527F" w:rsidRPr="00C75AF6" w:rsidSect="00C479BF">
      <w:headerReference w:type="default"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D2A4" w14:textId="77777777" w:rsidR="00622971" w:rsidRDefault="00622971">
      <w:r>
        <w:separator/>
      </w:r>
    </w:p>
  </w:endnote>
  <w:endnote w:type="continuationSeparator" w:id="0">
    <w:p w14:paraId="220699D4" w14:textId="77777777" w:rsidR="00622971" w:rsidRDefault="0062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5877" w14:textId="77777777" w:rsidR="004A62CC" w:rsidRDefault="004A62CC">
    <w:pPr>
      <w:pStyle w:val="Sidefod"/>
      <w:pBdr>
        <w:bottom w:val="single" w:sz="6" w:space="1" w:color="auto"/>
      </w:pBdr>
      <w:tabs>
        <w:tab w:val="clear" w:pos="4819"/>
        <w:tab w:val="left" w:pos="8647"/>
      </w:tabs>
      <w:rPr>
        <w:i/>
        <w:snapToGrid w:val="0"/>
        <w:sz w:val="18"/>
      </w:rPr>
    </w:pPr>
  </w:p>
  <w:p w14:paraId="08C59025" w14:textId="77777777" w:rsidR="004A62CC" w:rsidRDefault="004A62CC">
    <w:pPr>
      <w:pStyle w:val="Sidefod"/>
      <w:tabs>
        <w:tab w:val="clear" w:pos="4819"/>
        <w:tab w:val="left" w:pos="8647"/>
      </w:tabs>
      <w:rPr>
        <w:i/>
        <w:snapToGrid w:val="0"/>
        <w:sz w:val="18"/>
      </w:rPr>
    </w:pPr>
  </w:p>
  <w:p w14:paraId="1E3796C9" w14:textId="1E7222D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B132E1">
      <w:rPr>
        <w:i/>
        <w:noProof/>
        <w:snapToGrid w:val="0"/>
        <w:sz w:val="18"/>
      </w:rPr>
      <w:t>Enrocat vet</w:t>
    </w:r>
    <w:r w:rsidR="006844B6">
      <w:rPr>
        <w:i/>
        <w:noProof/>
        <w:snapToGrid w:val="0"/>
        <w:sz w:val="18"/>
      </w:rPr>
      <w:t>, oral suspension 25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DF4C" w14:textId="77777777" w:rsidR="004A62CC" w:rsidRDefault="004A62CC">
    <w:pPr>
      <w:pStyle w:val="Sidefod"/>
      <w:pBdr>
        <w:bottom w:val="single" w:sz="6" w:space="1" w:color="auto"/>
      </w:pBdr>
      <w:tabs>
        <w:tab w:val="clear" w:pos="4819"/>
        <w:tab w:val="left" w:pos="8647"/>
      </w:tabs>
      <w:rPr>
        <w:i/>
        <w:snapToGrid w:val="0"/>
        <w:sz w:val="18"/>
      </w:rPr>
    </w:pPr>
  </w:p>
  <w:p w14:paraId="246B49BE" w14:textId="77777777" w:rsidR="004A62CC" w:rsidRDefault="004A62CC">
    <w:pPr>
      <w:pStyle w:val="Sidefod"/>
      <w:tabs>
        <w:tab w:val="clear" w:pos="4819"/>
        <w:tab w:val="left" w:pos="8647"/>
      </w:tabs>
      <w:rPr>
        <w:i/>
        <w:snapToGrid w:val="0"/>
        <w:sz w:val="18"/>
      </w:rPr>
    </w:pPr>
  </w:p>
  <w:p w14:paraId="42F8BD6A" w14:textId="586560D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B132E1">
      <w:rPr>
        <w:i/>
        <w:noProof/>
        <w:snapToGrid w:val="0"/>
        <w:sz w:val="18"/>
      </w:rPr>
      <w:t>Enrocat vet</w:t>
    </w:r>
    <w:r w:rsidR="006844B6">
      <w:rPr>
        <w:i/>
        <w:noProof/>
        <w:snapToGrid w:val="0"/>
        <w:sz w:val="18"/>
      </w:rPr>
      <w:t>, oral suspension 25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4794" w14:textId="77777777" w:rsidR="00622971" w:rsidRDefault="00622971">
      <w:r>
        <w:separator/>
      </w:r>
    </w:p>
  </w:footnote>
  <w:footnote w:type="continuationSeparator" w:id="0">
    <w:p w14:paraId="7C76FEE7" w14:textId="77777777" w:rsidR="00622971" w:rsidRDefault="0062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FDA1"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B0E9"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756C0"/>
    <w:multiLevelType w:val="hybridMultilevel"/>
    <w:tmpl w:val="7898D000"/>
    <w:lvl w:ilvl="0" w:tplc="C73CC45A">
      <w:start w:val="5"/>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77D7F99"/>
    <w:multiLevelType w:val="hybridMultilevel"/>
    <w:tmpl w:val="E0DE5FD8"/>
    <w:lvl w:ilvl="0" w:tplc="C73CC45A">
      <w:start w:val="5"/>
      <w:numFmt w:val="bullet"/>
      <w:lvlText w:val="-"/>
      <w:lvlJc w:val="left"/>
      <w:pPr>
        <w:ind w:left="1571" w:hanging="360"/>
      </w:pPr>
      <w:rPr>
        <w:rFonts w:ascii="Arial" w:eastAsia="Calibri" w:hAnsi="Arial" w:cs="Aria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498929369">
    <w:abstractNumId w:val="3"/>
  </w:num>
  <w:num w:numId="2" w16cid:durableId="431821592">
    <w:abstractNumId w:val="1"/>
  </w:num>
  <w:num w:numId="3" w16cid:durableId="584924852">
    <w:abstractNumId w:val="2"/>
  </w:num>
  <w:num w:numId="4" w16cid:durableId="497429723">
    <w:abstractNumId w:val="0"/>
  </w:num>
  <w:num w:numId="5" w16cid:durableId="1432437952">
    <w:abstractNumId w:val="0"/>
  </w:num>
  <w:num w:numId="6" w16cid:durableId="56361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71"/>
    <w:rsid w:val="00013D45"/>
    <w:rsid w:val="0003527F"/>
    <w:rsid w:val="00065C7D"/>
    <w:rsid w:val="0009595A"/>
    <w:rsid w:val="000C6CD4"/>
    <w:rsid w:val="000E3201"/>
    <w:rsid w:val="001425CD"/>
    <w:rsid w:val="001577E4"/>
    <w:rsid w:val="001858CA"/>
    <w:rsid w:val="001C4AEF"/>
    <w:rsid w:val="001D3CC5"/>
    <w:rsid w:val="00255C22"/>
    <w:rsid w:val="00322BDE"/>
    <w:rsid w:val="00330BDF"/>
    <w:rsid w:val="00406EE7"/>
    <w:rsid w:val="00407013"/>
    <w:rsid w:val="004A62CC"/>
    <w:rsid w:val="00565A74"/>
    <w:rsid w:val="005B0036"/>
    <w:rsid w:val="005B30CC"/>
    <w:rsid w:val="005F5831"/>
    <w:rsid w:val="00622971"/>
    <w:rsid w:val="00662012"/>
    <w:rsid w:val="00666B01"/>
    <w:rsid w:val="006844B6"/>
    <w:rsid w:val="006B1539"/>
    <w:rsid w:val="006F5621"/>
    <w:rsid w:val="00786138"/>
    <w:rsid w:val="007E2A00"/>
    <w:rsid w:val="008010F2"/>
    <w:rsid w:val="009202AE"/>
    <w:rsid w:val="009A7130"/>
    <w:rsid w:val="009D66C6"/>
    <w:rsid w:val="009F6345"/>
    <w:rsid w:val="00A53FF8"/>
    <w:rsid w:val="00A96525"/>
    <w:rsid w:val="00AE29E5"/>
    <w:rsid w:val="00AE5757"/>
    <w:rsid w:val="00B132E1"/>
    <w:rsid w:val="00B25EB8"/>
    <w:rsid w:val="00BC634B"/>
    <w:rsid w:val="00BF2AE0"/>
    <w:rsid w:val="00C253AF"/>
    <w:rsid w:val="00C479BF"/>
    <w:rsid w:val="00C75AF6"/>
    <w:rsid w:val="00C86BE4"/>
    <w:rsid w:val="00C9502E"/>
    <w:rsid w:val="00CC2C3E"/>
    <w:rsid w:val="00CC323B"/>
    <w:rsid w:val="00DC38C4"/>
    <w:rsid w:val="00DD6D71"/>
    <w:rsid w:val="00DF32BE"/>
    <w:rsid w:val="00E14F0A"/>
    <w:rsid w:val="00EB5778"/>
    <w:rsid w:val="00EE5253"/>
    <w:rsid w:val="00F9624D"/>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D7BF1"/>
  <w15:chartTrackingRefBased/>
  <w15:docId w15:val="{C3590C4E-B50F-40D5-9719-50648747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uiPriority w:val="99"/>
    <w:semiHidden/>
    <w:rsid w:val="00DF32BE"/>
    <w:rPr>
      <w:sz w:val="16"/>
      <w:szCs w:val="16"/>
    </w:rPr>
  </w:style>
  <w:style w:type="paragraph" w:styleId="Kommentartekst">
    <w:name w:val="annotation text"/>
    <w:basedOn w:val="Normal"/>
    <w:link w:val="KommentartekstTegn"/>
    <w:uiPriority w:val="99"/>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C8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86">
      <w:bodyDiv w:val="1"/>
      <w:marLeft w:val="0"/>
      <w:marRight w:val="0"/>
      <w:marTop w:val="0"/>
      <w:marBottom w:val="0"/>
      <w:divBdr>
        <w:top w:val="none" w:sz="0" w:space="0" w:color="auto"/>
        <w:left w:val="none" w:sz="0" w:space="0" w:color="auto"/>
        <w:bottom w:val="none" w:sz="0" w:space="0" w:color="auto"/>
        <w:right w:val="none" w:sz="0" w:space="0" w:color="auto"/>
      </w:divBdr>
    </w:div>
    <w:div w:id="22488232">
      <w:bodyDiv w:val="1"/>
      <w:marLeft w:val="0"/>
      <w:marRight w:val="0"/>
      <w:marTop w:val="0"/>
      <w:marBottom w:val="0"/>
      <w:divBdr>
        <w:top w:val="none" w:sz="0" w:space="0" w:color="auto"/>
        <w:left w:val="none" w:sz="0" w:space="0" w:color="auto"/>
        <w:bottom w:val="none" w:sz="0" w:space="0" w:color="auto"/>
        <w:right w:val="none" w:sz="0" w:space="0" w:color="auto"/>
      </w:divBdr>
    </w:div>
    <w:div w:id="26756928">
      <w:bodyDiv w:val="1"/>
      <w:marLeft w:val="0"/>
      <w:marRight w:val="0"/>
      <w:marTop w:val="0"/>
      <w:marBottom w:val="0"/>
      <w:divBdr>
        <w:top w:val="none" w:sz="0" w:space="0" w:color="auto"/>
        <w:left w:val="none" w:sz="0" w:space="0" w:color="auto"/>
        <w:bottom w:val="none" w:sz="0" w:space="0" w:color="auto"/>
        <w:right w:val="none" w:sz="0" w:space="0" w:color="auto"/>
      </w:divBdr>
    </w:div>
    <w:div w:id="40132682">
      <w:bodyDiv w:val="1"/>
      <w:marLeft w:val="0"/>
      <w:marRight w:val="0"/>
      <w:marTop w:val="0"/>
      <w:marBottom w:val="0"/>
      <w:divBdr>
        <w:top w:val="none" w:sz="0" w:space="0" w:color="auto"/>
        <w:left w:val="none" w:sz="0" w:space="0" w:color="auto"/>
        <w:bottom w:val="none" w:sz="0" w:space="0" w:color="auto"/>
        <w:right w:val="none" w:sz="0" w:space="0" w:color="auto"/>
      </w:divBdr>
    </w:div>
    <w:div w:id="53312862">
      <w:bodyDiv w:val="1"/>
      <w:marLeft w:val="0"/>
      <w:marRight w:val="0"/>
      <w:marTop w:val="0"/>
      <w:marBottom w:val="0"/>
      <w:divBdr>
        <w:top w:val="none" w:sz="0" w:space="0" w:color="auto"/>
        <w:left w:val="none" w:sz="0" w:space="0" w:color="auto"/>
        <w:bottom w:val="none" w:sz="0" w:space="0" w:color="auto"/>
        <w:right w:val="none" w:sz="0" w:space="0" w:color="auto"/>
      </w:divBdr>
    </w:div>
    <w:div w:id="103504042">
      <w:bodyDiv w:val="1"/>
      <w:marLeft w:val="0"/>
      <w:marRight w:val="0"/>
      <w:marTop w:val="0"/>
      <w:marBottom w:val="0"/>
      <w:divBdr>
        <w:top w:val="none" w:sz="0" w:space="0" w:color="auto"/>
        <w:left w:val="none" w:sz="0" w:space="0" w:color="auto"/>
        <w:bottom w:val="none" w:sz="0" w:space="0" w:color="auto"/>
        <w:right w:val="none" w:sz="0" w:space="0" w:color="auto"/>
      </w:divBdr>
    </w:div>
    <w:div w:id="117799602">
      <w:bodyDiv w:val="1"/>
      <w:marLeft w:val="0"/>
      <w:marRight w:val="0"/>
      <w:marTop w:val="0"/>
      <w:marBottom w:val="0"/>
      <w:divBdr>
        <w:top w:val="none" w:sz="0" w:space="0" w:color="auto"/>
        <w:left w:val="none" w:sz="0" w:space="0" w:color="auto"/>
        <w:bottom w:val="none" w:sz="0" w:space="0" w:color="auto"/>
        <w:right w:val="none" w:sz="0" w:space="0" w:color="auto"/>
      </w:divBdr>
    </w:div>
    <w:div w:id="120419688">
      <w:bodyDiv w:val="1"/>
      <w:marLeft w:val="0"/>
      <w:marRight w:val="0"/>
      <w:marTop w:val="0"/>
      <w:marBottom w:val="0"/>
      <w:divBdr>
        <w:top w:val="none" w:sz="0" w:space="0" w:color="auto"/>
        <w:left w:val="none" w:sz="0" w:space="0" w:color="auto"/>
        <w:bottom w:val="none" w:sz="0" w:space="0" w:color="auto"/>
        <w:right w:val="none" w:sz="0" w:space="0" w:color="auto"/>
      </w:divBdr>
    </w:div>
    <w:div w:id="133987675">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341512270">
      <w:bodyDiv w:val="1"/>
      <w:marLeft w:val="0"/>
      <w:marRight w:val="0"/>
      <w:marTop w:val="0"/>
      <w:marBottom w:val="0"/>
      <w:divBdr>
        <w:top w:val="none" w:sz="0" w:space="0" w:color="auto"/>
        <w:left w:val="none" w:sz="0" w:space="0" w:color="auto"/>
        <w:bottom w:val="none" w:sz="0" w:space="0" w:color="auto"/>
        <w:right w:val="none" w:sz="0" w:space="0" w:color="auto"/>
      </w:divBdr>
    </w:div>
    <w:div w:id="387386349">
      <w:bodyDiv w:val="1"/>
      <w:marLeft w:val="0"/>
      <w:marRight w:val="0"/>
      <w:marTop w:val="0"/>
      <w:marBottom w:val="0"/>
      <w:divBdr>
        <w:top w:val="none" w:sz="0" w:space="0" w:color="auto"/>
        <w:left w:val="none" w:sz="0" w:space="0" w:color="auto"/>
        <w:bottom w:val="none" w:sz="0" w:space="0" w:color="auto"/>
        <w:right w:val="none" w:sz="0" w:space="0" w:color="auto"/>
      </w:divBdr>
    </w:div>
    <w:div w:id="418210803">
      <w:bodyDiv w:val="1"/>
      <w:marLeft w:val="0"/>
      <w:marRight w:val="0"/>
      <w:marTop w:val="0"/>
      <w:marBottom w:val="0"/>
      <w:divBdr>
        <w:top w:val="none" w:sz="0" w:space="0" w:color="auto"/>
        <w:left w:val="none" w:sz="0" w:space="0" w:color="auto"/>
        <w:bottom w:val="none" w:sz="0" w:space="0" w:color="auto"/>
        <w:right w:val="none" w:sz="0" w:space="0" w:color="auto"/>
      </w:divBdr>
    </w:div>
    <w:div w:id="643853159">
      <w:bodyDiv w:val="1"/>
      <w:marLeft w:val="0"/>
      <w:marRight w:val="0"/>
      <w:marTop w:val="0"/>
      <w:marBottom w:val="0"/>
      <w:divBdr>
        <w:top w:val="none" w:sz="0" w:space="0" w:color="auto"/>
        <w:left w:val="none" w:sz="0" w:space="0" w:color="auto"/>
        <w:bottom w:val="none" w:sz="0" w:space="0" w:color="auto"/>
        <w:right w:val="none" w:sz="0" w:space="0" w:color="auto"/>
      </w:divBdr>
    </w:div>
    <w:div w:id="788399022">
      <w:bodyDiv w:val="1"/>
      <w:marLeft w:val="0"/>
      <w:marRight w:val="0"/>
      <w:marTop w:val="0"/>
      <w:marBottom w:val="0"/>
      <w:divBdr>
        <w:top w:val="none" w:sz="0" w:space="0" w:color="auto"/>
        <w:left w:val="none" w:sz="0" w:space="0" w:color="auto"/>
        <w:bottom w:val="none" w:sz="0" w:space="0" w:color="auto"/>
        <w:right w:val="none" w:sz="0" w:space="0" w:color="auto"/>
      </w:divBdr>
    </w:div>
    <w:div w:id="1253776634">
      <w:bodyDiv w:val="1"/>
      <w:marLeft w:val="0"/>
      <w:marRight w:val="0"/>
      <w:marTop w:val="0"/>
      <w:marBottom w:val="0"/>
      <w:divBdr>
        <w:top w:val="none" w:sz="0" w:space="0" w:color="auto"/>
        <w:left w:val="none" w:sz="0" w:space="0" w:color="auto"/>
        <w:bottom w:val="none" w:sz="0" w:space="0" w:color="auto"/>
        <w:right w:val="none" w:sz="0" w:space="0" w:color="auto"/>
      </w:divBdr>
    </w:div>
    <w:div w:id="1323698948">
      <w:bodyDiv w:val="1"/>
      <w:marLeft w:val="0"/>
      <w:marRight w:val="0"/>
      <w:marTop w:val="0"/>
      <w:marBottom w:val="0"/>
      <w:divBdr>
        <w:top w:val="none" w:sz="0" w:space="0" w:color="auto"/>
        <w:left w:val="none" w:sz="0" w:space="0" w:color="auto"/>
        <w:bottom w:val="none" w:sz="0" w:space="0" w:color="auto"/>
        <w:right w:val="none" w:sz="0" w:space="0" w:color="auto"/>
      </w:divBdr>
    </w:div>
    <w:div w:id="1368262522">
      <w:bodyDiv w:val="1"/>
      <w:marLeft w:val="0"/>
      <w:marRight w:val="0"/>
      <w:marTop w:val="0"/>
      <w:marBottom w:val="0"/>
      <w:divBdr>
        <w:top w:val="none" w:sz="0" w:space="0" w:color="auto"/>
        <w:left w:val="none" w:sz="0" w:space="0" w:color="auto"/>
        <w:bottom w:val="none" w:sz="0" w:space="0" w:color="auto"/>
        <w:right w:val="none" w:sz="0" w:space="0" w:color="auto"/>
      </w:divBdr>
    </w:div>
    <w:div w:id="1399013207">
      <w:bodyDiv w:val="1"/>
      <w:marLeft w:val="0"/>
      <w:marRight w:val="0"/>
      <w:marTop w:val="0"/>
      <w:marBottom w:val="0"/>
      <w:divBdr>
        <w:top w:val="none" w:sz="0" w:space="0" w:color="auto"/>
        <w:left w:val="none" w:sz="0" w:space="0" w:color="auto"/>
        <w:bottom w:val="none" w:sz="0" w:space="0" w:color="auto"/>
        <w:right w:val="none" w:sz="0" w:space="0" w:color="auto"/>
      </w:divBdr>
    </w:div>
    <w:div w:id="1500459270">
      <w:bodyDiv w:val="1"/>
      <w:marLeft w:val="0"/>
      <w:marRight w:val="0"/>
      <w:marTop w:val="0"/>
      <w:marBottom w:val="0"/>
      <w:divBdr>
        <w:top w:val="none" w:sz="0" w:space="0" w:color="auto"/>
        <w:left w:val="none" w:sz="0" w:space="0" w:color="auto"/>
        <w:bottom w:val="none" w:sz="0" w:space="0" w:color="auto"/>
        <w:right w:val="none" w:sz="0" w:space="0" w:color="auto"/>
      </w:divBdr>
    </w:div>
    <w:div w:id="1609502756">
      <w:bodyDiv w:val="1"/>
      <w:marLeft w:val="0"/>
      <w:marRight w:val="0"/>
      <w:marTop w:val="0"/>
      <w:marBottom w:val="0"/>
      <w:divBdr>
        <w:top w:val="none" w:sz="0" w:space="0" w:color="auto"/>
        <w:left w:val="none" w:sz="0" w:space="0" w:color="auto"/>
        <w:bottom w:val="none" w:sz="0" w:space="0" w:color="auto"/>
        <w:right w:val="none" w:sz="0" w:space="0" w:color="auto"/>
      </w:divBdr>
    </w:div>
    <w:div w:id="1795632576">
      <w:bodyDiv w:val="1"/>
      <w:marLeft w:val="0"/>
      <w:marRight w:val="0"/>
      <w:marTop w:val="0"/>
      <w:marBottom w:val="0"/>
      <w:divBdr>
        <w:top w:val="none" w:sz="0" w:space="0" w:color="auto"/>
        <w:left w:val="none" w:sz="0" w:space="0" w:color="auto"/>
        <w:bottom w:val="none" w:sz="0" w:space="0" w:color="auto"/>
        <w:right w:val="none" w:sz="0" w:space="0" w:color="auto"/>
      </w:divBdr>
    </w:div>
    <w:div w:id="1921862911">
      <w:bodyDiv w:val="1"/>
      <w:marLeft w:val="0"/>
      <w:marRight w:val="0"/>
      <w:marTop w:val="0"/>
      <w:marBottom w:val="0"/>
      <w:divBdr>
        <w:top w:val="none" w:sz="0" w:space="0" w:color="auto"/>
        <w:left w:val="none" w:sz="0" w:space="0" w:color="auto"/>
        <w:bottom w:val="none" w:sz="0" w:space="0" w:color="auto"/>
        <w:right w:val="none" w:sz="0" w:space="0" w:color="auto"/>
      </w:divBdr>
    </w:div>
    <w:div w:id="1937906774">
      <w:bodyDiv w:val="1"/>
      <w:marLeft w:val="0"/>
      <w:marRight w:val="0"/>
      <w:marTop w:val="0"/>
      <w:marBottom w:val="0"/>
      <w:divBdr>
        <w:top w:val="none" w:sz="0" w:space="0" w:color="auto"/>
        <w:left w:val="none" w:sz="0" w:space="0" w:color="auto"/>
        <w:bottom w:val="none" w:sz="0" w:space="0" w:color="auto"/>
        <w:right w:val="none" w:sz="0" w:space="0" w:color="auto"/>
      </w:divBdr>
    </w:div>
    <w:div w:id="204289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1548</Words>
  <Characters>10140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Marianne Ott Jensen</dc:creator>
  <cp:keywords/>
  <dc:description>2026060742_x000d_
Ændring af præapratnavn fra Enrocat Flavour</dc:description>
  <cp:lastModifiedBy>Marianne Ott Jensen</cp:lastModifiedBy>
  <cp:revision>3</cp:revision>
  <dcterms:created xsi:type="dcterms:W3CDTF">2026-06-09T10:32:00Z</dcterms:created>
  <dcterms:modified xsi:type="dcterms:W3CDTF">2026-06-09T10:35:00Z</dcterms:modified>
</cp:coreProperties>
</file>