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A66E4" w:rsidRPr="00406EE7" w:rsidRDefault="009D4E9B" w:rsidP="00FA66E4">
      <w:pPr>
        <w:tabs>
          <w:tab w:val="left" w:pos="6804"/>
        </w:tabs>
        <w:rPr>
          <w:b/>
          <w:sz w:val="24"/>
          <w:szCs w:val="24"/>
        </w:rPr>
      </w:pPr>
      <w:r>
        <w:fldChar w:fldCharType="begin"/>
      </w:r>
      <w:r>
        <w:instrText xml:space="preserve"> INCLUDEPICTURE  "cid:image004.jpg@01D117E9.E5553340"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9pt;height:54.35pt">
            <v:imagedata r:id="rId7" r:href="rId8"/>
          </v:shape>
        </w:pict>
      </w:r>
      <w:r>
        <w:fldChar w:fldCharType="end"/>
      </w:r>
    </w:p>
    <w:p w:rsidR="00FA66E4" w:rsidRPr="00406EE7" w:rsidRDefault="009D4E9B" w:rsidP="00FA66E4">
      <w:pPr>
        <w:tabs>
          <w:tab w:val="left" w:pos="6804"/>
        </w:tabs>
        <w:jc w:val="right"/>
        <w:rPr>
          <w:b/>
          <w:sz w:val="24"/>
          <w:szCs w:val="24"/>
        </w:rPr>
      </w:pPr>
      <w:r>
        <w:rPr>
          <w:b/>
          <w:sz w:val="24"/>
          <w:szCs w:val="24"/>
        </w:rPr>
        <w:t>8. juli 2016</w:t>
      </w:r>
    </w:p>
    <w:p w:rsidR="00FA66E4" w:rsidRPr="00406EE7" w:rsidRDefault="00FA66E4" w:rsidP="00FA66E4">
      <w:pPr>
        <w:tabs>
          <w:tab w:val="left" w:pos="8222"/>
        </w:tabs>
        <w:rPr>
          <w:sz w:val="24"/>
          <w:szCs w:val="24"/>
        </w:rPr>
      </w:pPr>
    </w:p>
    <w:p w:rsidR="00FA66E4" w:rsidRPr="00406EE7" w:rsidRDefault="00FA66E4" w:rsidP="00FA66E4">
      <w:pPr>
        <w:tabs>
          <w:tab w:val="left" w:pos="8222"/>
        </w:tabs>
        <w:rPr>
          <w:sz w:val="24"/>
          <w:szCs w:val="24"/>
        </w:rPr>
      </w:pPr>
    </w:p>
    <w:p w:rsidR="00FA66E4" w:rsidRPr="00406EE7" w:rsidRDefault="00FA66E4" w:rsidP="00FA66E4">
      <w:pPr>
        <w:tabs>
          <w:tab w:val="left" w:pos="8222"/>
        </w:tabs>
        <w:jc w:val="center"/>
        <w:rPr>
          <w:b/>
          <w:sz w:val="24"/>
          <w:szCs w:val="24"/>
        </w:rPr>
      </w:pPr>
      <w:r w:rsidRPr="00406EE7">
        <w:rPr>
          <w:b/>
          <w:sz w:val="24"/>
          <w:szCs w:val="24"/>
        </w:rPr>
        <w:t>PRODUKTRESUMÉ</w:t>
      </w:r>
    </w:p>
    <w:p w:rsidR="00FA66E4" w:rsidRPr="00406EE7" w:rsidRDefault="00FA66E4" w:rsidP="00FA66E4">
      <w:pPr>
        <w:tabs>
          <w:tab w:val="left" w:pos="8222"/>
        </w:tabs>
        <w:jc w:val="center"/>
        <w:rPr>
          <w:b/>
          <w:sz w:val="24"/>
          <w:szCs w:val="24"/>
        </w:rPr>
      </w:pPr>
    </w:p>
    <w:p w:rsidR="00FA66E4" w:rsidRPr="00406EE7" w:rsidRDefault="00FA66E4" w:rsidP="00FA66E4">
      <w:pPr>
        <w:tabs>
          <w:tab w:val="left" w:pos="8222"/>
        </w:tabs>
        <w:jc w:val="center"/>
        <w:rPr>
          <w:b/>
          <w:sz w:val="24"/>
          <w:szCs w:val="24"/>
        </w:rPr>
      </w:pPr>
      <w:r w:rsidRPr="00406EE7">
        <w:rPr>
          <w:b/>
          <w:sz w:val="24"/>
          <w:szCs w:val="24"/>
        </w:rPr>
        <w:t>for</w:t>
      </w:r>
    </w:p>
    <w:p w:rsidR="00FA66E4" w:rsidRPr="00406EE7" w:rsidRDefault="00FA66E4" w:rsidP="00FA66E4">
      <w:pPr>
        <w:tabs>
          <w:tab w:val="left" w:pos="8222"/>
        </w:tabs>
        <w:jc w:val="center"/>
        <w:rPr>
          <w:b/>
          <w:sz w:val="24"/>
          <w:szCs w:val="24"/>
        </w:rPr>
      </w:pPr>
    </w:p>
    <w:p w:rsidR="00FA66E4" w:rsidRPr="00406EE7" w:rsidRDefault="009F5C43" w:rsidP="00FA66E4">
      <w:pPr>
        <w:tabs>
          <w:tab w:val="left" w:pos="8222"/>
        </w:tabs>
        <w:jc w:val="center"/>
        <w:rPr>
          <w:b/>
          <w:sz w:val="24"/>
          <w:szCs w:val="24"/>
        </w:rPr>
      </w:pPr>
      <w:r>
        <w:rPr>
          <w:b/>
          <w:sz w:val="24"/>
          <w:szCs w:val="24"/>
        </w:rPr>
        <w:t>Epirepress, tabletter 15 mg</w:t>
      </w:r>
    </w:p>
    <w:p w:rsidR="00FA66E4" w:rsidRPr="00406EE7" w:rsidRDefault="00FA66E4" w:rsidP="00FA66E4">
      <w:pPr>
        <w:tabs>
          <w:tab w:val="left" w:pos="8222"/>
        </w:tabs>
        <w:jc w:val="both"/>
        <w:rPr>
          <w:sz w:val="24"/>
          <w:szCs w:val="24"/>
        </w:rPr>
      </w:pPr>
    </w:p>
    <w:p w:rsidR="00FA66E4" w:rsidRPr="00885151" w:rsidRDefault="00FA66E4" w:rsidP="00885151">
      <w:pPr>
        <w:ind w:left="851" w:hanging="851"/>
        <w:jc w:val="both"/>
        <w:rPr>
          <w:sz w:val="24"/>
          <w:szCs w:val="24"/>
        </w:rPr>
      </w:pPr>
    </w:p>
    <w:p w:rsidR="00FA66E4" w:rsidRPr="00885151" w:rsidRDefault="00FA66E4" w:rsidP="00885151">
      <w:pPr>
        <w:ind w:left="851" w:hanging="851"/>
        <w:rPr>
          <w:b/>
          <w:sz w:val="24"/>
          <w:szCs w:val="24"/>
        </w:rPr>
      </w:pPr>
      <w:r w:rsidRPr="00885151">
        <w:rPr>
          <w:b/>
          <w:sz w:val="24"/>
          <w:szCs w:val="24"/>
        </w:rPr>
        <w:t>0.</w:t>
      </w:r>
      <w:r w:rsidRPr="00885151">
        <w:rPr>
          <w:b/>
          <w:sz w:val="24"/>
          <w:szCs w:val="24"/>
        </w:rPr>
        <w:tab/>
        <w:t>D.SP.NR</w:t>
      </w:r>
      <w:r w:rsidR="00406EE7" w:rsidRPr="00885151">
        <w:rPr>
          <w:b/>
          <w:sz w:val="24"/>
          <w:szCs w:val="24"/>
        </w:rPr>
        <w:t>.</w:t>
      </w:r>
    </w:p>
    <w:p w:rsidR="00FA66E4" w:rsidRPr="00885151" w:rsidRDefault="00885151" w:rsidP="00885151">
      <w:pPr>
        <w:ind w:left="851" w:hanging="851"/>
        <w:rPr>
          <w:sz w:val="24"/>
          <w:szCs w:val="24"/>
        </w:rPr>
      </w:pPr>
      <w:r>
        <w:rPr>
          <w:sz w:val="24"/>
          <w:szCs w:val="24"/>
        </w:rPr>
        <w:tab/>
      </w:r>
      <w:r w:rsidR="009F5C43" w:rsidRPr="00885151">
        <w:rPr>
          <w:sz w:val="24"/>
          <w:szCs w:val="24"/>
        </w:rPr>
        <w:t>28636</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1.</w:t>
      </w:r>
      <w:r w:rsidRPr="00885151">
        <w:rPr>
          <w:b/>
          <w:sz w:val="24"/>
          <w:szCs w:val="24"/>
        </w:rPr>
        <w:tab/>
        <w:t>VETERINÆRLÆGEMIDLETS NAVN</w:t>
      </w:r>
    </w:p>
    <w:p w:rsidR="00FA66E4" w:rsidRPr="00885151" w:rsidRDefault="00885151" w:rsidP="00885151">
      <w:pPr>
        <w:ind w:left="851" w:hanging="851"/>
        <w:rPr>
          <w:sz w:val="24"/>
          <w:szCs w:val="24"/>
        </w:rPr>
      </w:pPr>
      <w:r>
        <w:rPr>
          <w:sz w:val="24"/>
          <w:szCs w:val="24"/>
        </w:rPr>
        <w:tab/>
      </w:r>
      <w:r w:rsidR="009F5C43" w:rsidRPr="00885151">
        <w:rPr>
          <w:sz w:val="24"/>
          <w:szCs w:val="24"/>
        </w:rPr>
        <w:t>Epirepress</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2.</w:t>
      </w:r>
      <w:r w:rsidRPr="00885151">
        <w:rPr>
          <w:b/>
          <w:sz w:val="24"/>
          <w:szCs w:val="24"/>
        </w:rPr>
        <w:tab/>
        <w:t>KVALITATIV OG KVANTITATIV SAMMENSÆTNING</w:t>
      </w: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Én tablet indeholder:</w:t>
      </w:r>
    </w:p>
    <w:p w:rsidR="009F5C43" w:rsidRPr="00885151" w:rsidRDefault="009F5C43" w:rsidP="00885151">
      <w:pPr>
        <w:ind w:left="851" w:hanging="851"/>
        <w:rPr>
          <w:sz w:val="24"/>
          <w:szCs w:val="24"/>
        </w:rPr>
      </w:pPr>
    </w:p>
    <w:p w:rsidR="009F5C43" w:rsidRPr="00885151" w:rsidRDefault="00885151" w:rsidP="00885151">
      <w:pPr>
        <w:ind w:left="851" w:hanging="851"/>
        <w:outlineLvl w:val="0"/>
        <w:rPr>
          <w:b/>
          <w:sz w:val="24"/>
          <w:szCs w:val="24"/>
        </w:rPr>
      </w:pPr>
      <w:r>
        <w:rPr>
          <w:b/>
          <w:sz w:val="24"/>
          <w:szCs w:val="24"/>
        </w:rPr>
        <w:tab/>
      </w:r>
      <w:r w:rsidR="009F5C43" w:rsidRPr="00885151">
        <w:rPr>
          <w:b/>
          <w:sz w:val="24"/>
          <w:szCs w:val="24"/>
        </w:rPr>
        <w:t>Aktivt stof:</w:t>
      </w: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Phenobarbital 15 mg</w:t>
      </w:r>
    </w:p>
    <w:p w:rsidR="009F5C43" w:rsidRPr="00885151" w:rsidRDefault="009F5C43" w:rsidP="00885151">
      <w:pPr>
        <w:ind w:left="851" w:hanging="851"/>
        <w:rPr>
          <w:i/>
          <w:sz w:val="24"/>
          <w:szCs w:val="24"/>
        </w:rPr>
      </w:pPr>
    </w:p>
    <w:p w:rsidR="009F5C43" w:rsidRPr="00885151" w:rsidRDefault="00885151" w:rsidP="00885151">
      <w:pPr>
        <w:ind w:left="851" w:hanging="851"/>
        <w:outlineLvl w:val="0"/>
        <w:rPr>
          <w:b/>
          <w:sz w:val="24"/>
          <w:szCs w:val="24"/>
        </w:rPr>
      </w:pPr>
      <w:r>
        <w:rPr>
          <w:b/>
          <w:sz w:val="24"/>
          <w:szCs w:val="24"/>
        </w:rPr>
        <w:tab/>
      </w:r>
      <w:r w:rsidR="009F5C43" w:rsidRPr="00885151">
        <w:rPr>
          <w:b/>
          <w:sz w:val="24"/>
          <w:szCs w:val="24"/>
        </w:rPr>
        <w:t>Hjælpestoffer:</w:t>
      </w: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Alle hjælpestoffer er anført under pkt. 6.1.</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3.</w:t>
      </w:r>
      <w:r w:rsidRPr="00885151">
        <w:rPr>
          <w:b/>
          <w:sz w:val="24"/>
          <w:szCs w:val="24"/>
        </w:rPr>
        <w:tab/>
        <w:t>LÆGEMIDDELFORM</w:t>
      </w: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Tablet</w:t>
      </w:r>
      <w:r w:rsidR="00A73E13">
        <w:rPr>
          <w:sz w:val="24"/>
          <w:szCs w:val="24"/>
        </w:rPr>
        <w:t>ter.</w:t>
      </w:r>
    </w:p>
    <w:p w:rsidR="009F5C43" w:rsidRPr="00885151" w:rsidRDefault="009F5C43" w:rsidP="00885151">
      <w:pPr>
        <w:ind w:left="851" w:hanging="851"/>
        <w:rPr>
          <w:sz w:val="24"/>
          <w:szCs w:val="24"/>
        </w:rPr>
      </w:pPr>
    </w:p>
    <w:p w:rsidR="009F5C43" w:rsidRPr="00885151" w:rsidRDefault="00885151" w:rsidP="00885151">
      <w:pPr>
        <w:ind w:left="851" w:hanging="851"/>
        <w:rPr>
          <w:sz w:val="24"/>
          <w:szCs w:val="24"/>
        </w:rPr>
      </w:pPr>
      <w:r>
        <w:rPr>
          <w:sz w:val="24"/>
          <w:szCs w:val="24"/>
        </w:rPr>
        <w:tab/>
      </w:r>
      <w:r w:rsidR="009F5C43" w:rsidRPr="00885151">
        <w:rPr>
          <w:sz w:val="24"/>
          <w:szCs w:val="24"/>
        </w:rPr>
        <w:t xml:space="preserve">Hvide, runde, let kuppelformede tabletter, diameter </w:t>
      </w:r>
      <w:smartTag w:uri="urn:schemas-microsoft-com:office:smarttags" w:element="metricconverter">
        <w:smartTagPr>
          <w:attr w:name="ProductID" w:val="5,7 mm"/>
        </w:smartTagPr>
        <w:r w:rsidR="009F5C43" w:rsidRPr="00885151">
          <w:rPr>
            <w:sz w:val="24"/>
            <w:szCs w:val="24"/>
          </w:rPr>
          <w:t>5,7 mm</w:t>
        </w:r>
      </w:smartTag>
      <w:r w:rsidR="009F5C43" w:rsidRPr="00885151">
        <w:rPr>
          <w:sz w:val="24"/>
          <w:szCs w:val="24"/>
        </w:rPr>
        <w:t xml:space="preserve">, mærket med </w:t>
      </w:r>
      <w:r w:rsidR="00A73E13">
        <w:rPr>
          <w:sz w:val="24"/>
          <w:szCs w:val="24"/>
        </w:rPr>
        <w:t>TC</w:t>
      </w:r>
      <w:r w:rsidR="009F5C43" w:rsidRPr="00885151">
        <w:rPr>
          <w:sz w:val="24"/>
          <w:szCs w:val="24"/>
        </w:rPr>
        <w:t xml:space="preserve"> på den ene side og en delekærv på den anden side. Tabletterne kan ikke deles i lige store dele.</w:t>
      </w:r>
    </w:p>
    <w:p w:rsidR="00FA66E4" w:rsidRPr="00885151" w:rsidRDefault="00FA66E4" w:rsidP="00885151">
      <w:pPr>
        <w:ind w:left="851" w:hanging="851"/>
        <w:rPr>
          <w:sz w:val="24"/>
          <w:szCs w:val="24"/>
        </w:rPr>
      </w:pP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4.</w:t>
      </w:r>
      <w:r w:rsidRPr="00885151">
        <w:rPr>
          <w:b/>
          <w:sz w:val="24"/>
          <w:szCs w:val="24"/>
        </w:rPr>
        <w:tab/>
        <w:t>KLINISKE OPLYSNINGER</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u w:val="single"/>
        </w:rPr>
      </w:pPr>
      <w:r w:rsidRPr="00885151">
        <w:rPr>
          <w:b/>
          <w:sz w:val="24"/>
          <w:szCs w:val="24"/>
        </w:rPr>
        <w:t>4.1</w:t>
      </w:r>
      <w:r w:rsidRPr="00885151">
        <w:rPr>
          <w:b/>
          <w:sz w:val="24"/>
          <w:szCs w:val="24"/>
        </w:rPr>
        <w:tab/>
        <w:t>Dyrearter</w:t>
      </w: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Hund</w:t>
      </w:r>
      <w:r w:rsidR="00A73E13">
        <w:rPr>
          <w:sz w:val="24"/>
          <w:szCs w:val="24"/>
        </w:rPr>
        <w:t>.</w:t>
      </w:r>
    </w:p>
    <w:p w:rsidR="00FA66E4" w:rsidRPr="00885151" w:rsidRDefault="00FA66E4" w:rsidP="00885151">
      <w:pPr>
        <w:ind w:left="851" w:hanging="851"/>
        <w:rPr>
          <w:sz w:val="24"/>
          <w:szCs w:val="24"/>
        </w:rPr>
      </w:pPr>
    </w:p>
    <w:p w:rsidR="00FA66E4" w:rsidRPr="00885151" w:rsidRDefault="00FA66E4" w:rsidP="00885151">
      <w:pPr>
        <w:pStyle w:val="Sidehoved"/>
        <w:tabs>
          <w:tab w:val="clear" w:pos="4819"/>
          <w:tab w:val="clear" w:pos="9638"/>
        </w:tabs>
        <w:ind w:left="851" w:hanging="851"/>
        <w:rPr>
          <w:b/>
          <w:szCs w:val="24"/>
        </w:rPr>
      </w:pPr>
      <w:r w:rsidRPr="00885151">
        <w:rPr>
          <w:b/>
          <w:szCs w:val="24"/>
        </w:rPr>
        <w:t>4.2</w:t>
      </w:r>
      <w:r w:rsidRPr="00885151">
        <w:rPr>
          <w:b/>
          <w:szCs w:val="24"/>
        </w:rPr>
        <w:tab/>
        <w:t>Terapeutiske indikationer</w:t>
      </w:r>
    </w:p>
    <w:p w:rsidR="009F5C43" w:rsidRPr="00885151" w:rsidRDefault="00885151" w:rsidP="00885151">
      <w:pPr>
        <w:ind w:left="851" w:hanging="851"/>
        <w:rPr>
          <w:sz w:val="24"/>
          <w:szCs w:val="24"/>
        </w:rPr>
      </w:pPr>
      <w:r>
        <w:rPr>
          <w:sz w:val="24"/>
          <w:szCs w:val="24"/>
        </w:rPr>
        <w:tab/>
      </w:r>
      <w:r w:rsidR="009F5C43" w:rsidRPr="00885151">
        <w:rPr>
          <w:sz w:val="24"/>
          <w:szCs w:val="24"/>
        </w:rPr>
        <w:t>Forebyggelse af krampeanfald, der skyldes generaliseret epilepsi hos hunde.</w:t>
      </w:r>
    </w:p>
    <w:p w:rsidR="00FA66E4" w:rsidRPr="00885151" w:rsidRDefault="00FA66E4" w:rsidP="00885151">
      <w:pPr>
        <w:pStyle w:val="Sidehoved"/>
        <w:tabs>
          <w:tab w:val="clear" w:pos="4819"/>
          <w:tab w:val="clear" w:pos="9638"/>
        </w:tabs>
        <w:ind w:left="851" w:hanging="851"/>
        <w:rPr>
          <w:szCs w:val="24"/>
        </w:rPr>
      </w:pPr>
    </w:p>
    <w:p w:rsidR="00FA66E4" w:rsidRPr="00885151" w:rsidRDefault="00FA66E4" w:rsidP="00885151">
      <w:pPr>
        <w:pStyle w:val="Sidehoved"/>
        <w:tabs>
          <w:tab w:val="clear" w:pos="4819"/>
          <w:tab w:val="clear" w:pos="9638"/>
        </w:tabs>
        <w:ind w:left="851" w:hanging="851"/>
        <w:rPr>
          <w:b/>
          <w:szCs w:val="24"/>
        </w:rPr>
      </w:pPr>
      <w:r w:rsidRPr="00885151">
        <w:rPr>
          <w:b/>
          <w:szCs w:val="24"/>
        </w:rPr>
        <w:t>4.3</w:t>
      </w:r>
      <w:r w:rsidRPr="00885151">
        <w:rPr>
          <w:b/>
          <w:szCs w:val="24"/>
        </w:rPr>
        <w:tab/>
        <w:t>Kontraindikationer</w:t>
      </w:r>
    </w:p>
    <w:p w:rsidR="009F5C43" w:rsidRPr="00885151" w:rsidRDefault="00885151" w:rsidP="00885151">
      <w:pPr>
        <w:ind w:left="851" w:hanging="851"/>
        <w:rPr>
          <w:sz w:val="24"/>
          <w:szCs w:val="24"/>
        </w:rPr>
      </w:pPr>
      <w:r>
        <w:rPr>
          <w:sz w:val="24"/>
          <w:szCs w:val="24"/>
        </w:rPr>
        <w:tab/>
      </w:r>
      <w:r w:rsidR="009F5C43" w:rsidRPr="00885151">
        <w:rPr>
          <w:sz w:val="24"/>
          <w:szCs w:val="24"/>
        </w:rPr>
        <w:t>Bør ikke anvendes i tilfælde af overfølsomhed over for det aktive stof, andre barbiturater eller over for et eller flere af hjælpestofferne.</w:t>
      </w: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Bør ikke anvendes til dyr med svært nedsat leverfunktion.</w:t>
      </w: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Bør ikke anvendes til dyr med alvorlige renale og/eller kardiovaskulære/respiratoriske lidelser.</w:t>
      </w:r>
    </w:p>
    <w:p w:rsidR="00FA66E4" w:rsidRPr="00885151" w:rsidRDefault="00FA66E4" w:rsidP="00885151">
      <w:pPr>
        <w:pStyle w:val="Sidehoved"/>
        <w:tabs>
          <w:tab w:val="clear" w:pos="4819"/>
          <w:tab w:val="clear" w:pos="9638"/>
        </w:tabs>
        <w:ind w:left="851" w:hanging="851"/>
        <w:rPr>
          <w:szCs w:val="24"/>
        </w:rPr>
      </w:pPr>
    </w:p>
    <w:p w:rsidR="00FA66E4" w:rsidRPr="00885151" w:rsidRDefault="00FA66E4" w:rsidP="00885151">
      <w:pPr>
        <w:ind w:left="851" w:hanging="851"/>
        <w:rPr>
          <w:b/>
          <w:sz w:val="24"/>
          <w:szCs w:val="24"/>
        </w:rPr>
      </w:pPr>
      <w:r w:rsidRPr="00885151">
        <w:rPr>
          <w:b/>
          <w:sz w:val="24"/>
          <w:szCs w:val="24"/>
        </w:rPr>
        <w:lastRenderedPageBreak/>
        <w:t>4.4</w:t>
      </w:r>
      <w:r w:rsidRPr="00885151">
        <w:rPr>
          <w:b/>
          <w:sz w:val="24"/>
          <w:szCs w:val="24"/>
        </w:rPr>
        <w:tab/>
        <w:t>Særlige advarsler</w:t>
      </w:r>
    </w:p>
    <w:p w:rsidR="009F5C43" w:rsidRPr="00885151" w:rsidRDefault="00FA66E4" w:rsidP="00885151">
      <w:pPr>
        <w:ind w:left="851" w:hanging="851"/>
        <w:rPr>
          <w:sz w:val="24"/>
          <w:szCs w:val="24"/>
        </w:rPr>
      </w:pPr>
      <w:r w:rsidRPr="00885151">
        <w:rPr>
          <w:sz w:val="24"/>
          <w:szCs w:val="24"/>
        </w:rPr>
        <w:tab/>
      </w:r>
      <w:r w:rsidR="009F5C43" w:rsidRPr="00885151">
        <w:rPr>
          <w:sz w:val="24"/>
          <w:szCs w:val="24"/>
        </w:rPr>
        <w:t>Beslutningen om, hvorvidt behandling med antiepileptika med phenobarbital bør iværksættes, skal vurderes i hvert enkelt tilfælde og afhænger af antal, hyppighed, varighed og sværhedsgrad af hundens krampeanfald.</w:t>
      </w: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 xml:space="preserve">Tabletterne skal indgives på samme tidspunkt hver dag for at </w:t>
      </w:r>
      <w:r w:rsidR="00A73E13">
        <w:rPr>
          <w:sz w:val="24"/>
          <w:szCs w:val="24"/>
        </w:rPr>
        <w:t>opnå den ønskede effekt</w:t>
      </w:r>
      <w:r w:rsidR="009F5C43" w:rsidRPr="00885151">
        <w:rPr>
          <w:sz w:val="24"/>
          <w:szCs w:val="24"/>
        </w:rPr>
        <w:t>.</w:t>
      </w:r>
    </w:p>
    <w:p w:rsidR="009F5C43" w:rsidRPr="00885151" w:rsidRDefault="00885151" w:rsidP="00885151">
      <w:pPr>
        <w:ind w:left="851" w:hanging="851"/>
        <w:rPr>
          <w:sz w:val="24"/>
          <w:szCs w:val="24"/>
        </w:rPr>
      </w:pPr>
      <w:r>
        <w:rPr>
          <w:sz w:val="24"/>
          <w:szCs w:val="24"/>
        </w:rPr>
        <w:tab/>
      </w:r>
      <w:r w:rsidR="009F5C43" w:rsidRPr="00885151">
        <w:rPr>
          <w:sz w:val="24"/>
          <w:szCs w:val="24"/>
        </w:rPr>
        <w:t>Nedtrapning eller overgang fra andre typer antiepileptika bør foretages gradvist for at undgå en stigning i hyppigheden af forekomsten af krampeanfald.</w:t>
      </w:r>
    </w:p>
    <w:p w:rsidR="009F5C43" w:rsidRPr="00885151" w:rsidRDefault="00885151" w:rsidP="00885151">
      <w:pPr>
        <w:ind w:left="851" w:hanging="851"/>
        <w:rPr>
          <w:sz w:val="24"/>
          <w:szCs w:val="24"/>
        </w:rPr>
      </w:pPr>
      <w:r>
        <w:rPr>
          <w:sz w:val="24"/>
          <w:szCs w:val="24"/>
        </w:rPr>
        <w:tab/>
      </w:r>
      <w:r w:rsidR="009F5C43" w:rsidRPr="00885151">
        <w:rPr>
          <w:sz w:val="24"/>
          <w:szCs w:val="24"/>
        </w:rPr>
        <w:t>Nogle hunde får ingen epileptiske anfald under behandlingen, nogle hunde får færre anfald, og nogle hunde anses for at være non-respondenter.</w:t>
      </w:r>
    </w:p>
    <w:p w:rsidR="00FA66E4" w:rsidRPr="00885151" w:rsidRDefault="00FA66E4" w:rsidP="00885151">
      <w:pPr>
        <w:pStyle w:val="Sidehoved"/>
        <w:tabs>
          <w:tab w:val="clear" w:pos="4819"/>
          <w:tab w:val="clear" w:pos="9638"/>
        </w:tabs>
        <w:ind w:left="851" w:hanging="851"/>
        <w:rPr>
          <w:szCs w:val="24"/>
        </w:rPr>
      </w:pPr>
    </w:p>
    <w:p w:rsidR="00FA66E4" w:rsidRPr="00885151" w:rsidRDefault="00FA66E4" w:rsidP="00885151">
      <w:pPr>
        <w:ind w:left="851" w:hanging="851"/>
        <w:rPr>
          <w:b/>
          <w:sz w:val="24"/>
          <w:szCs w:val="24"/>
        </w:rPr>
      </w:pPr>
      <w:r w:rsidRPr="00885151">
        <w:rPr>
          <w:b/>
          <w:sz w:val="24"/>
          <w:szCs w:val="24"/>
        </w:rPr>
        <w:t>4.5</w:t>
      </w:r>
      <w:r w:rsidRPr="00885151">
        <w:rPr>
          <w:b/>
          <w:sz w:val="24"/>
          <w:szCs w:val="24"/>
        </w:rPr>
        <w:tab/>
        <w:t>Særlige forsigtighedsregler vedrørende brugen</w:t>
      </w:r>
    </w:p>
    <w:p w:rsidR="00FA66E4" w:rsidRPr="00885151" w:rsidRDefault="00FA66E4" w:rsidP="00885151">
      <w:pPr>
        <w:ind w:left="851" w:hanging="851"/>
        <w:rPr>
          <w:b/>
          <w:sz w:val="24"/>
          <w:szCs w:val="24"/>
        </w:rPr>
      </w:pPr>
      <w:r w:rsidRPr="00885151">
        <w:rPr>
          <w:b/>
          <w:sz w:val="24"/>
          <w:szCs w:val="24"/>
        </w:rPr>
        <w:tab/>
      </w:r>
    </w:p>
    <w:p w:rsidR="00FA66E4" w:rsidRPr="00885151" w:rsidRDefault="00FA66E4" w:rsidP="00885151">
      <w:pPr>
        <w:ind w:left="851" w:hanging="851"/>
        <w:rPr>
          <w:b/>
          <w:sz w:val="24"/>
          <w:szCs w:val="24"/>
        </w:rPr>
      </w:pPr>
      <w:r w:rsidRPr="00885151">
        <w:rPr>
          <w:b/>
          <w:sz w:val="24"/>
          <w:szCs w:val="24"/>
        </w:rPr>
        <w:tab/>
        <w:t>Særlige forsigtighedsregler for dyret</w:t>
      </w: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Det tilrådes at udvise forsigtighed ved dyr med:</w:t>
      </w:r>
    </w:p>
    <w:p w:rsidR="009F5C43" w:rsidRPr="00885151" w:rsidRDefault="009F5C43" w:rsidP="00885151">
      <w:pPr>
        <w:ind w:left="851" w:hanging="851"/>
        <w:rPr>
          <w:sz w:val="24"/>
          <w:szCs w:val="24"/>
        </w:rPr>
      </w:pPr>
    </w:p>
    <w:p w:rsidR="009F5C43" w:rsidRPr="00885151" w:rsidRDefault="009F5C43" w:rsidP="00885151">
      <w:pPr>
        <w:ind w:left="1276" w:hanging="425"/>
        <w:rPr>
          <w:sz w:val="24"/>
          <w:szCs w:val="24"/>
        </w:rPr>
      </w:pPr>
      <w:r w:rsidRPr="00885151">
        <w:rPr>
          <w:sz w:val="24"/>
          <w:szCs w:val="24"/>
        </w:rPr>
        <w:t>-</w:t>
      </w:r>
      <w:r w:rsidRPr="00885151">
        <w:rPr>
          <w:sz w:val="24"/>
          <w:szCs w:val="24"/>
        </w:rPr>
        <w:tab/>
        <w:t>nedsat lever- og nyrefunktion</w:t>
      </w:r>
    </w:p>
    <w:p w:rsidR="009F5C43" w:rsidRPr="00885151" w:rsidRDefault="009F5C43" w:rsidP="00885151">
      <w:pPr>
        <w:ind w:left="1276" w:hanging="425"/>
        <w:rPr>
          <w:sz w:val="24"/>
          <w:szCs w:val="24"/>
        </w:rPr>
      </w:pPr>
      <w:r w:rsidRPr="00885151">
        <w:rPr>
          <w:sz w:val="24"/>
          <w:szCs w:val="24"/>
        </w:rPr>
        <w:t>-</w:t>
      </w:r>
      <w:r w:rsidRPr="00885151">
        <w:rPr>
          <w:sz w:val="24"/>
          <w:szCs w:val="24"/>
        </w:rPr>
        <w:tab/>
        <w:t>hypovol</w:t>
      </w:r>
      <w:r w:rsidR="00A73E13">
        <w:rPr>
          <w:sz w:val="24"/>
          <w:szCs w:val="24"/>
        </w:rPr>
        <w:t>æ</w:t>
      </w:r>
      <w:r w:rsidRPr="00885151">
        <w:rPr>
          <w:sz w:val="24"/>
          <w:szCs w:val="24"/>
        </w:rPr>
        <w:t xml:space="preserve">mi, anæmi og </w:t>
      </w:r>
    </w:p>
    <w:p w:rsidR="009F5C43" w:rsidRPr="00885151" w:rsidRDefault="009F5C43" w:rsidP="00885151">
      <w:pPr>
        <w:ind w:left="1276" w:hanging="425"/>
        <w:rPr>
          <w:sz w:val="24"/>
          <w:szCs w:val="24"/>
        </w:rPr>
      </w:pPr>
      <w:r w:rsidRPr="00885151">
        <w:rPr>
          <w:sz w:val="24"/>
          <w:szCs w:val="24"/>
        </w:rPr>
        <w:t>-</w:t>
      </w:r>
      <w:r w:rsidRPr="00885151">
        <w:rPr>
          <w:sz w:val="24"/>
          <w:szCs w:val="24"/>
        </w:rPr>
        <w:tab/>
        <w:t>kardiel eller respiratorisk dysfunktion</w:t>
      </w:r>
    </w:p>
    <w:p w:rsidR="009F5C43" w:rsidRPr="00885151" w:rsidRDefault="009F5C43" w:rsidP="00885151">
      <w:pPr>
        <w:ind w:left="851" w:hanging="851"/>
        <w:rPr>
          <w:sz w:val="24"/>
          <w:szCs w:val="24"/>
        </w:rPr>
      </w:pPr>
    </w:p>
    <w:p w:rsidR="009F5C43" w:rsidRPr="00885151" w:rsidRDefault="00885151" w:rsidP="00885151">
      <w:pPr>
        <w:ind w:left="851" w:hanging="851"/>
        <w:rPr>
          <w:sz w:val="24"/>
          <w:szCs w:val="24"/>
        </w:rPr>
      </w:pPr>
      <w:r>
        <w:rPr>
          <w:sz w:val="24"/>
          <w:szCs w:val="24"/>
        </w:rPr>
        <w:tab/>
      </w:r>
      <w:r w:rsidR="009F5C43" w:rsidRPr="00885151">
        <w:rPr>
          <w:sz w:val="24"/>
          <w:szCs w:val="24"/>
        </w:rPr>
        <w:t>Risikoen for hepatotoksiske bivirkninger kan reduceres eller forsinkes med den lavest mulige effektive dosis. Monitorering af leverparametre tilrådes i tilfælde af længerevarende behandling.</w:t>
      </w:r>
    </w:p>
    <w:p w:rsidR="009F5C43" w:rsidRPr="00885151" w:rsidRDefault="00885151" w:rsidP="00885151">
      <w:pPr>
        <w:ind w:left="851" w:hanging="851"/>
        <w:rPr>
          <w:sz w:val="24"/>
          <w:szCs w:val="24"/>
        </w:rPr>
      </w:pPr>
      <w:r>
        <w:rPr>
          <w:sz w:val="24"/>
          <w:szCs w:val="24"/>
        </w:rPr>
        <w:tab/>
      </w:r>
      <w:r w:rsidR="009F5C43" w:rsidRPr="00885151">
        <w:rPr>
          <w:sz w:val="24"/>
          <w:szCs w:val="24"/>
        </w:rPr>
        <w:t>Det anbefales, at patientens kliniske patologi vurderes 2</w:t>
      </w:r>
      <w:r w:rsidR="009F5C43" w:rsidRPr="00885151">
        <w:rPr>
          <w:sz w:val="24"/>
          <w:szCs w:val="24"/>
        </w:rPr>
        <w:noBreakHyphen/>
        <w:t xml:space="preserve">3 uger efter behandlingsstart og derefter hver 4. til 6. måned med f.eks. måling af leverenzymer og serum-galdesyre. </w:t>
      </w:r>
      <w:r w:rsidR="00A73E13">
        <w:rPr>
          <w:sz w:val="24"/>
          <w:szCs w:val="24"/>
        </w:rPr>
        <w:t>Vær opmærksom på</w:t>
      </w:r>
      <w:r w:rsidR="009F5C43" w:rsidRPr="00885151">
        <w:rPr>
          <w:sz w:val="24"/>
          <w:szCs w:val="24"/>
        </w:rPr>
        <w:t>, at virkninge</w:t>
      </w:r>
      <w:r w:rsidR="00A73E13">
        <w:rPr>
          <w:sz w:val="24"/>
          <w:szCs w:val="24"/>
        </w:rPr>
        <w:t>n</w:t>
      </w:r>
      <w:r w:rsidR="009F5C43" w:rsidRPr="00885151">
        <w:rPr>
          <w:sz w:val="24"/>
          <w:szCs w:val="24"/>
        </w:rPr>
        <w:t xml:space="preserve"> af bl.a. hypoksi medfører en stigning i leverenzymniveauet efter et anfald.</w:t>
      </w:r>
    </w:p>
    <w:p w:rsidR="009F5C43" w:rsidRPr="00885151" w:rsidRDefault="00885151" w:rsidP="00885151">
      <w:pPr>
        <w:ind w:left="851" w:hanging="851"/>
        <w:rPr>
          <w:sz w:val="24"/>
          <w:szCs w:val="24"/>
        </w:rPr>
      </w:pPr>
      <w:r>
        <w:rPr>
          <w:sz w:val="24"/>
          <w:szCs w:val="24"/>
        </w:rPr>
        <w:tab/>
      </w:r>
      <w:r w:rsidR="009F5C43" w:rsidRPr="00885151">
        <w:rPr>
          <w:sz w:val="24"/>
          <w:szCs w:val="24"/>
        </w:rPr>
        <w:t>Phenobarbital kan øge aktiviteten af serum-alkalisk fosfatase og transaminaser. Dette kan</w:t>
      </w:r>
      <w:r w:rsidR="00A73E13">
        <w:rPr>
          <w:sz w:val="24"/>
          <w:szCs w:val="24"/>
        </w:rPr>
        <w:t xml:space="preserve"> være tegn på</w:t>
      </w:r>
      <w:r w:rsidR="009F5C43" w:rsidRPr="00885151">
        <w:rPr>
          <w:sz w:val="24"/>
          <w:szCs w:val="24"/>
        </w:rPr>
        <w:t xml:space="preserve"> ikke-patologiske ændringer, men også</w:t>
      </w:r>
      <w:r w:rsidR="00A73E13">
        <w:rPr>
          <w:sz w:val="24"/>
          <w:szCs w:val="24"/>
        </w:rPr>
        <w:t xml:space="preserve"> på</w:t>
      </w:r>
      <w:r w:rsidR="009F5C43" w:rsidRPr="00885151">
        <w:rPr>
          <w:sz w:val="24"/>
          <w:szCs w:val="24"/>
        </w:rPr>
        <w:t xml:space="preserve"> hepatotoksicitet. Derfor tilrådes det at udføre leverfunktionstest ved mistanke om hepatotoksicitet.</w:t>
      </w:r>
    </w:p>
    <w:p w:rsidR="009F5C43" w:rsidRPr="00885151" w:rsidRDefault="00885151" w:rsidP="00885151">
      <w:pPr>
        <w:ind w:left="851" w:hanging="851"/>
        <w:rPr>
          <w:sz w:val="24"/>
          <w:szCs w:val="24"/>
        </w:rPr>
      </w:pPr>
      <w:r>
        <w:rPr>
          <w:sz w:val="24"/>
          <w:szCs w:val="24"/>
        </w:rPr>
        <w:tab/>
      </w:r>
      <w:r w:rsidR="009F5C43" w:rsidRPr="00885151">
        <w:rPr>
          <w:sz w:val="24"/>
          <w:szCs w:val="24"/>
        </w:rPr>
        <w:t xml:space="preserve">Ved stabiliserede epileptiske patienter </w:t>
      </w:r>
      <w:r w:rsidR="00A73E13">
        <w:rPr>
          <w:sz w:val="24"/>
          <w:szCs w:val="24"/>
        </w:rPr>
        <w:t>anbefales</w:t>
      </w:r>
      <w:r w:rsidR="009F5C43" w:rsidRPr="00885151">
        <w:rPr>
          <w:sz w:val="24"/>
          <w:szCs w:val="24"/>
        </w:rPr>
        <w:t xml:space="preserve"> det</w:t>
      </w:r>
      <w:r w:rsidR="00A73E13">
        <w:rPr>
          <w:sz w:val="24"/>
          <w:szCs w:val="24"/>
        </w:rPr>
        <w:t xml:space="preserve"> ikke</w:t>
      </w:r>
      <w:r w:rsidR="009F5C43" w:rsidRPr="00885151">
        <w:rPr>
          <w:sz w:val="24"/>
          <w:szCs w:val="24"/>
        </w:rPr>
        <w:t xml:space="preserve"> at skifte fra andre phenobarbital-formuleringer til Epirepress 15 mg eller Epirepress 100 mg tabletter. Hvis dette ikke kan undgås, bør der dog træffes yderligere foranstaltninger. Det omfatter hyppigere prøvetagninger af plasmakoncentration for at sikre, at de terapeutiske niveauer opretholdes. En mere regelmæssig overvågning for øgede bivirkninger og hepatisk dysfunktion bør gennemføres, indtil en stabilisering kan bekræftes.</w:t>
      </w:r>
    </w:p>
    <w:p w:rsidR="009F5C43" w:rsidRPr="00885151" w:rsidRDefault="00885151" w:rsidP="00885151">
      <w:pPr>
        <w:ind w:left="851" w:hanging="851"/>
        <w:rPr>
          <w:sz w:val="24"/>
          <w:szCs w:val="24"/>
        </w:rPr>
      </w:pPr>
      <w:r>
        <w:rPr>
          <w:sz w:val="24"/>
          <w:szCs w:val="24"/>
        </w:rPr>
        <w:tab/>
      </w:r>
      <w:r w:rsidR="009F5C43" w:rsidRPr="00885151">
        <w:rPr>
          <w:sz w:val="24"/>
          <w:szCs w:val="24"/>
        </w:rPr>
        <w:t>Nedtrapning af behandling med phenobarbital-formuleringer bør foretages gradvist for at undgå en stigning i hyppigheden af forekomsten af krampeanfald.</w:t>
      </w:r>
    </w:p>
    <w:p w:rsidR="009F5C43" w:rsidRPr="00885151" w:rsidRDefault="009F5C43" w:rsidP="00885151">
      <w:pPr>
        <w:ind w:left="851" w:hanging="851"/>
        <w:rPr>
          <w:sz w:val="24"/>
          <w:szCs w:val="24"/>
        </w:rPr>
      </w:pP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 xml:space="preserve">Grundet formuleringen bør produktet ikke anvendes til hunde, der vejer under </w:t>
      </w:r>
      <w:smartTag w:uri="urn:schemas-microsoft-com:office:smarttags" w:element="metricconverter">
        <w:smartTagPr>
          <w:attr w:name="ProductID" w:val="6 kg"/>
        </w:smartTagPr>
        <w:r w:rsidR="009F5C43" w:rsidRPr="00885151">
          <w:rPr>
            <w:sz w:val="24"/>
            <w:szCs w:val="24"/>
          </w:rPr>
          <w:t>6 kg</w:t>
        </w:r>
      </w:smartTag>
      <w:r w:rsidR="009F5C43" w:rsidRPr="00885151">
        <w:rPr>
          <w:sz w:val="24"/>
          <w:szCs w:val="24"/>
        </w:rPr>
        <w:t>.</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sz w:val="24"/>
          <w:szCs w:val="24"/>
        </w:rPr>
        <w:tab/>
      </w:r>
      <w:r w:rsidRPr="00885151">
        <w:rPr>
          <w:b/>
          <w:sz w:val="24"/>
          <w:szCs w:val="24"/>
        </w:rPr>
        <w:t>Særlige forsigtighedsregler for personer, der administrerer lægemidlet</w:t>
      </w:r>
    </w:p>
    <w:p w:rsidR="006F7B38" w:rsidRDefault="00FA66E4" w:rsidP="006F7B38">
      <w:pPr>
        <w:ind w:left="851" w:hanging="851"/>
        <w:rPr>
          <w:sz w:val="24"/>
          <w:szCs w:val="24"/>
        </w:rPr>
      </w:pPr>
      <w:r w:rsidRPr="00885151">
        <w:rPr>
          <w:sz w:val="24"/>
          <w:szCs w:val="24"/>
        </w:rPr>
        <w:tab/>
      </w:r>
      <w:r w:rsidR="006F7B38">
        <w:rPr>
          <w:sz w:val="24"/>
          <w:szCs w:val="24"/>
        </w:rPr>
        <w:t>Barbiturater kan forårsage overfølsomhed. Personer med kendt overfølsomhed over for barbiturater bør undgå kontakt med veterinærlægemidlet.</w:t>
      </w:r>
    </w:p>
    <w:p w:rsidR="006F7B38" w:rsidRDefault="006F7B38" w:rsidP="006F7B38">
      <w:pPr>
        <w:ind w:left="851" w:hanging="851"/>
        <w:rPr>
          <w:sz w:val="24"/>
          <w:szCs w:val="24"/>
        </w:rPr>
      </w:pPr>
    </w:p>
    <w:p w:rsidR="006F7B38" w:rsidRDefault="006F7B38" w:rsidP="006F7B38">
      <w:pPr>
        <w:ind w:left="851" w:hanging="851"/>
        <w:rPr>
          <w:sz w:val="24"/>
          <w:szCs w:val="24"/>
        </w:rPr>
      </w:pPr>
      <w:r>
        <w:rPr>
          <w:sz w:val="24"/>
          <w:szCs w:val="24"/>
        </w:rPr>
        <w:tab/>
        <w:t>Utilsigtet indtagelse kan medføre forgiftning, hvilket kan være dødeligt, især for børn. Udvis ekstrem opmærksomhed overfor at børn ikke kan komme i kontakt med veterinærlægemidlet.</w:t>
      </w:r>
    </w:p>
    <w:p w:rsidR="006F7B38" w:rsidRDefault="006F7B38" w:rsidP="006F7B38">
      <w:pPr>
        <w:ind w:left="851" w:hanging="851"/>
        <w:rPr>
          <w:sz w:val="24"/>
          <w:szCs w:val="24"/>
        </w:rPr>
      </w:pPr>
      <w:r>
        <w:rPr>
          <w:sz w:val="24"/>
          <w:szCs w:val="24"/>
        </w:rPr>
        <w:tab/>
        <w:t xml:space="preserve">Phenobarbital er teratogent og kan være toksisk for ufødte børn og børn, der ammes. Stoffet kan påvirke hjernen under udvikling og føre til kognitive forstyrrelser. Phenobarbital udskilles i modermælk. Gravide kvinder, kvinder i den fødedygtige alder og </w:t>
      </w:r>
      <w:r>
        <w:rPr>
          <w:sz w:val="24"/>
          <w:szCs w:val="24"/>
        </w:rPr>
        <w:lastRenderedPageBreak/>
        <w:t>ammende kvinder bør undgå indtagelse ved hændeligt uheld og længerevarende hudkontakt med veterinærlægemidlet.</w:t>
      </w:r>
    </w:p>
    <w:p w:rsidR="006F7B38" w:rsidRDefault="006F7B38" w:rsidP="006F7B38">
      <w:pPr>
        <w:ind w:left="851" w:hanging="851"/>
        <w:rPr>
          <w:sz w:val="24"/>
          <w:szCs w:val="24"/>
        </w:rPr>
      </w:pPr>
    </w:p>
    <w:p w:rsidR="006F7B38" w:rsidRDefault="006F7B38" w:rsidP="006F7B38">
      <w:pPr>
        <w:ind w:left="851" w:hanging="851"/>
        <w:rPr>
          <w:sz w:val="24"/>
          <w:szCs w:val="24"/>
        </w:rPr>
      </w:pPr>
      <w:r>
        <w:rPr>
          <w:sz w:val="24"/>
          <w:szCs w:val="24"/>
        </w:rPr>
        <w:tab/>
        <w:t>For at undgå utilsigtet indtagelse af tabletter skal glasset lukkes straks efter udtagning af det antal tabletter, der er nødvendig for én dosis.</w:t>
      </w:r>
    </w:p>
    <w:p w:rsidR="006F7B38" w:rsidRDefault="006F7B38" w:rsidP="006F7B38">
      <w:pPr>
        <w:ind w:left="851"/>
        <w:rPr>
          <w:sz w:val="24"/>
          <w:szCs w:val="24"/>
        </w:rPr>
      </w:pPr>
      <w:r>
        <w:rPr>
          <w:sz w:val="24"/>
          <w:szCs w:val="24"/>
        </w:rPr>
        <w:t>Det tilrådes at bruge engangshandsker under administration af veterinærlægemidlet for at reducere hudkontakt.</w:t>
      </w:r>
    </w:p>
    <w:p w:rsidR="006F7B38" w:rsidRDefault="006F7B38" w:rsidP="006F7B38">
      <w:pPr>
        <w:ind w:left="1702" w:hanging="851"/>
        <w:rPr>
          <w:sz w:val="24"/>
          <w:szCs w:val="24"/>
        </w:rPr>
      </w:pPr>
    </w:p>
    <w:p w:rsidR="006F7B38" w:rsidRDefault="006F7B38" w:rsidP="006F7B38">
      <w:pPr>
        <w:ind w:left="851" w:hanging="851"/>
        <w:rPr>
          <w:sz w:val="24"/>
          <w:szCs w:val="24"/>
        </w:rPr>
      </w:pPr>
      <w:r>
        <w:rPr>
          <w:sz w:val="24"/>
          <w:szCs w:val="24"/>
        </w:rPr>
        <w:tab/>
        <w:t>I tilfælde af utilsigtet indtagelse skal der søges øjeblikkelig lægehjælp, og sundhedspersonalet skal informeres, at der er tale om forgiftning med barbiturater. Vis indlægssedlen eller etiketten til lægen. Om muligt skal lægen informeres om tidspunkt for indtagelse og indtaget mængde, da disse oplysninger kan bidrage til at sikre en korrekt behandling.</w:t>
      </w:r>
    </w:p>
    <w:p w:rsidR="006F7B38" w:rsidRDefault="006F7B38" w:rsidP="006F7B38">
      <w:pPr>
        <w:ind w:left="851" w:hanging="851"/>
        <w:rPr>
          <w:sz w:val="24"/>
          <w:szCs w:val="24"/>
        </w:rPr>
      </w:pPr>
    </w:p>
    <w:p w:rsidR="009F5C43" w:rsidRPr="00885151" w:rsidRDefault="006F7B38" w:rsidP="006F7B38">
      <w:pPr>
        <w:ind w:left="851" w:hanging="851"/>
        <w:rPr>
          <w:sz w:val="24"/>
          <w:szCs w:val="24"/>
        </w:rPr>
      </w:pPr>
      <w:r>
        <w:rPr>
          <w:sz w:val="24"/>
          <w:szCs w:val="24"/>
        </w:rPr>
        <w:tab/>
        <w:t>Vask hænder grundigt efter brug.</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sz w:val="24"/>
          <w:szCs w:val="24"/>
        </w:rPr>
        <w:tab/>
      </w:r>
      <w:r w:rsidRPr="00885151">
        <w:rPr>
          <w:b/>
          <w:sz w:val="24"/>
          <w:szCs w:val="24"/>
        </w:rPr>
        <w:t>Andre forsigtighedsregler</w:t>
      </w:r>
    </w:p>
    <w:p w:rsidR="00FA66E4" w:rsidRPr="00885151" w:rsidRDefault="00FA66E4" w:rsidP="00885151">
      <w:pPr>
        <w:ind w:left="851" w:hanging="851"/>
        <w:rPr>
          <w:sz w:val="24"/>
          <w:szCs w:val="24"/>
        </w:rPr>
      </w:pPr>
      <w:r w:rsidRPr="00885151">
        <w:rPr>
          <w:sz w:val="24"/>
          <w:szCs w:val="24"/>
        </w:rPr>
        <w:tab/>
      </w:r>
      <w:r w:rsidR="009F5C43" w:rsidRPr="00885151">
        <w:rPr>
          <w:sz w:val="24"/>
          <w:szCs w:val="24"/>
        </w:rPr>
        <w:t>-</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4.6</w:t>
      </w:r>
      <w:r w:rsidRPr="00885151">
        <w:rPr>
          <w:b/>
          <w:sz w:val="24"/>
          <w:szCs w:val="24"/>
        </w:rPr>
        <w:tab/>
        <w:t>Bivirkninger</w:t>
      </w:r>
    </w:p>
    <w:p w:rsidR="006F7B38" w:rsidRDefault="00FA66E4" w:rsidP="006F7B38">
      <w:pPr>
        <w:ind w:left="851" w:hanging="851"/>
        <w:rPr>
          <w:sz w:val="24"/>
          <w:szCs w:val="24"/>
        </w:rPr>
      </w:pPr>
      <w:r w:rsidRPr="00885151">
        <w:rPr>
          <w:sz w:val="24"/>
          <w:szCs w:val="24"/>
        </w:rPr>
        <w:tab/>
      </w:r>
      <w:r w:rsidR="006F7B38">
        <w:rPr>
          <w:sz w:val="24"/>
          <w:szCs w:val="24"/>
        </w:rPr>
        <w:t>I ualmindelige tilfælde kan forekomme ataksi, somnolens, apati og svimmelhed ved behandlingsstart. I nogle tilfælde kan disse virkninger vedvare under hele behandlingen.</w:t>
      </w:r>
    </w:p>
    <w:p w:rsidR="006F7B38" w:rsidRDefault="006F7B38" w:rsidP="006F7B38">
      <w:pPr>
        <w:ind w:left="851" w:hanging="851"/>
        <w:rPr>
          <w:sz w:val="24"/>
          <w:szCs w:val="24"/>
        </w:rPr>
      </w:pPr>
      <w:r>
        <w:rPr>
          <w:sz w:val="24"/>
          <w:szCs w:val="24"/>
        </w:rPr>
        <w:tab/>
        <w:t>Almindeligvis får sedation og ataksi signifikant betydning, når serumniveauet når den høje ende af det terapeutiske interval.</w:t>
      </w:r>
    </w:p>
    <w:p w:rsidR="006F7B38" w:rsidRDefault="006F7B38" w:rsidP="006F7B38">
      <w:pPr>
        <w:ind w:left="851" w:hanging="851"/>
        <w:rPr>
          <w:sz w:val="24"/>
          <w:szCs w:val="24"/>
        </w:rPr>
      </w:pPr>
      <w:r>
        <w:rPr>
          <w:sz w:val="24"/>
          <w:szCs w:val="24"/>
        </w:rPr>
        <w:tab/>
        <w:t>I meget sjældne tilfælde kan polyuri, polydipsi og polyfagi forekomme ved gennemsnitlige eller højere terapeutisk aktive serumkoncentrationer, men disse virkninger er sædvanligvis forbigående og forsvinder ved fortsat medicinering.</w:t>
      </w:r>
    </w:p>
    <w:p w:rsidR="009F5C43" w:rsidRPr="00885151" w:rsidRDefault="006F7B38" w:rsidP="006F7B38">
      <w:pPr>
        <w:ind w:left="851" w:hanging="851"/>
        <w:rPr>
          <w:sz w:val="24"/>
          <w:szCs w:val="24"/>
        </w:rPr>
      </w:pPr>
      <w:r>
        <w:rPr>
          <w:sz w:val="24"/>
          <w:szCs w:val="24"/>
        </w:rPr>
        <w:tab/>
        <w:t>Der kan forekomme en paradoksal hyperexcitabilitet, især ved starten af behandlingen. En dosisreduktion er ikke nødvendig, eftersom denne hyperexcitabilitet ikke er forbundet med overdosering.</w:t>
      </w:r>
    </w:p>
    <w:p w:rsidR="009F5C43" w:rsidRPr="00885151" w:rsidRDefault="00885151" w:rsidP="00885151">
      <w:pPr>
        <w:ind w:left="851" w:hanging="851"/>
        <w:rPr>
          <w:sz w:val="24"/>
          <w:szCs w:val="24"/>
        </w:rPr>
      </w:pPr>
      <w:r>
        <w:rPr>
          <w:sz w:val="24"/>
          <w:szCs w:val="24"/>
        </w:rPr>
        <w:tab/>
      </w:r>
      <w:r w:rsidR="009F5C43" w:rsidRPr="00885151">
        <w:rPr>
          <w:sz w:val="24"/>
          <w:szCs w:val="24"/>
        </w:rPr>
        <w:t>Høje plasmakoncentrationer (&gt; 35</w:t>
      </w:r>
      <w:r w:rsidR="009F5C43" w:rsidRPr="00885151">
        <w:rPr>
          <w:sz w:val="24"/>
          <w:szCs w:val="24"/>
        </w:rPr>
        <w:noBreakHyphen/>
        <w:t>40 µg/ml) kan være forbundet med hepatotoksicitet.</w:t>
      </w:r>
    </w:p>
    <w:p w:rsidR="009F5C43" w:rsidRPr="00885151" w:rsidRDefault="00885151" w:rsidP="00885151">
      <w:pPr>
        <w:ind w:left="851" w:hanging="851"/>
        <w:rPr>
          <w:sz w:val="24"/>
          <w:szCs w:val="24"/>
        </w:rPr>
      </w:pPr>
      <w:r>
        <w:rPr>
          <w:sz w:val="24"/>
          <w:szCs w:val="24"/>
        </w:rPr>
        <w:tab/>
      </w:r>
      <w:r w:rsidR="009F5C43" w:rsidRPr="00885151">
        <w:rPr>
          <w:sz w:val="24"/>
          <w:szCs w:val="24"/>
        </w:rPr>
        <w:t>Behandling med phenobarbital kan sænke hundens niveau af total thyroxin (TT4) eller frit thyroxin (FT4). Dette behøver dog ikke nødvendigvis at indikere hypothyroidisme. Behandling med thyroideahormonsubstitution bør kun iværksættes, hvis der er kliniske tegn på sygdommen.</w:t>
      </w:r>
    </w:p>
    <w:p w:rsidR="009F5C43" w:rsidRPr="00885151" w:rsidRDefault="00885151" w:rsidP="00885151">
      <w:pPr>
        <w:ind w:left="851" w:hanging="851"/>
        <w:rPr>
          <w:sz w:val="24"/>
          <w:szCs w:val="24"/>
        </w:rPr>
      </w:pPr>
      <w:r>
        <w:rPr>
          <w:sz w:val="24"/>
          <w:szCs w:val="24"/>
        </w:rPr>
        <w:tab/>
      </w:r>
      <w:r w:rsidR="009F5C43" w:rsidRPr="00885151">
        <w:rPr>
          <w:sz w:val="24"/>
          <w:szCs w:val="24"/>
        </w:rPr>
        <w:t>Phenobarbital kan have skadelige virkninger på stamceller fra knoglemarv. Følgerne er immunotoksisk pancytopeni og/eller neutropeni. Disse reaktioner forsvinder efter behandlingsophør.</w:t>
      </w:r>
    </w:p>
    <w:p w:rsidR="009F5C43" w:rsidRDefault="00885151" w:rsidP="00885151">
      <w:pPr>
        <w:ind w:left="851" w:hanging="851"/>
        <w:outlineLvl w:val="0"/>
        <w:rPr>
          <w:sz w:val="24"/>
          <w:szCs w:val="24"/>
        </w:rPr>
      </w:pPr>
      <w:r>
        <w:rPr>
          <w:sz w:val="24"/>
          <w:szCs w:val="24"/>
        </w:rPr>
        <w:tab/>
      </w:r>
      <w:r w:rsidR="009F5C43" w:rsidRPr="00885151">
        <w:rPr>
          <w:sz w:val="24"/>
          <w:szCs w:val="24"/>
        </w:rPr>
        <w:t>Overfladisk nekrolytisk dematitis kan forekomme efter indgift af phenobarbital.</w:t>
      </w:r>
    </w:p>
    <w:p w:rsidR="006F7B38" w:rsidRPr="00885151" w:rsidRDefault="006F7B38" w:rsidP="00885151">
      <w:pPr>
        <w:ind w:left="851" w:hanging="851"/>
        <w:outlineLvl w:val="0"/>
        <w:rPr>
          <w:sz w:val="24"/>
          <w:szCs w:val="24"/>
        </w:rPr>
      </w:pPr>
    </w:p>
    <w:p w:rsidR="009F5C43" w:rsidRDefault="00885151" w:rsidP="00885151">
      <w:pPr>
        <w:ind w:left="851" w:hanging="851"/>
        <w:rPr>
          <w:sz w:val="24"/>
          <w:szCs w:val="24"/>
        </w:rPr>
      </w:pPr>
      <w:r>
        <w:rPr>
          <w:sz w:val="24"/>
          <w:szCs w:val="24"/>
        </w:rPr>
        <w:tab/>
      </w:r>
      <w:r w:rsidR="009F5C43" w:rsidRPr="00885151">
        <w:rPr>
          <w:sz w:val="24"/>
          <w:szCs w:val="24"/>
        </w:rPr>
        <w:t>Den indgivne dosis bør reduceres, hvis bivirkningerne er alvorlige.</w:t>
      </w:r>
    </w:p>
    <w:p w:rsidR="006F7B38" w:rsidRDefault="006F7B38" w:rsidP="00885151">
      <w:pPr>
        <w:ind w:left="851" w:hanging="851"/>
        <w:rPr>
          <w:sz w:val="24"/>
          <w:szCs w:val="24"/>
        </w:rPr>
      </w:pPr>
    </w:p>
    <w:p w:rsidR="006F7B38" w:rsidRDefault="006F7B38" w:rsidP="006F7B38">
      <w:pPr>
        <w:ind w:left="1702" w:hanging="851"/>
        <w:rPr>
          <w:sz w:val="24"/>
          <w:szCs w:val="24"/>
        </w:rPr>
      </w:pPr>
      <w:r>
        <w:rPr>
          <w:sz w:val="24"/>
          <w:szCs w:val="24"/>
        </w:rPr>
        <w:t>Hyppigheden af bivirkninger er defineret som:</w:t>
      </w:r>
    </w:p>
    <w:p w:rsidR="006F7B38" w:rsidRDefault="006F7B38" w:rsidP="006F7B38">
      <w:pPr>
        <w:ind w:left="1418" w:hanging="567"/>
        <w:rPr>
          <w:sz w:val="24"/>
          <w:szCs w:val="24"/>
        </w:rPr>
      </w:pPr>
      <w:r>
        <w:rPr>
          <w:sz w:val="24"/>
          <w:szCs w:val="24"/>
        </w:rPr>
        <w:t>-</w:t>
      </w:r>
      <w:r>
        <w:rPr>
          <w:sz w:val="24"/>
          <w:szCs w:val="24"/>
        </w:rPr>
        <w:tab/>
        <w:t>Meget almindelig (mere end 1 ud af 10 dyr, der viser bivirkninger i løbet af en behandling)</w:t>
      </w:r>
    </w:p>
    <w:p w:rsidR="006F7B38" w:rsidRDefault="006F7B38" w:rsidP="006F7B38">
      <w:pPr>
        <w:ind w:left="1418" w:hanging="567"/>
        <w:rPr>
          <w:sz w:val="24"/>
          <w:szCs w:val="24"/>
        </w:rPr>
      </w:pPr>
      <w:r>
        <w:rPr>
          <w:sz w:val="24"/>
          <w:szCs w:val="24"/>
        </w:rPr>
        <w:t>-</w:t>
      </w:r>
      <w:r>
        <w:rPr>
          <w:sz w:val="24"/>
          <w:szCs w:val="24"/>
        </w:rPr>
        <w:tab/>
        <w:t>Almindelige (mere end 1, men mindre end 10 dyr i 100 dyr)</w:t>
      </w:r>
    </w:p>
    <w:p w:rsidR="006F7B38" w:rsidRDefault="006F7B38" w:rsidP="006F7B38">
      <w:pPr>
        <w:ind w:left="1418" w:hanging="567"/>
        <w:rPr>
          <w:sz w:val="24"/>
          <w:szCs w:val="24"/>
        </w:rPr>
      </w:pPr>
      <w:r>
        <w:rPr>
          <w:sz w:val="24"/>
          <w:szCs w:val="24"/>
        </w:rPr>
        <w:t>-</w:t>
      </w:r>
      <w:r>
        <w:rPr>
          <w:sz w:val="24"/>
          <w:szCs w:val="24"/>
        </w:rPr>
        <w:tab/>
        <w:t>Ualmindelige (mere end 1, men mindre end 10 dyr i 1.000 dyr)</w:t>
      </w:r>
    </w:p>
    <w:p w:rsidR="006F7B38" w:rsidRDefault="006F7B38" w:rsidP="006F7B38">
      <w:pPr>
        <w:ind w:left="1418" w:hanging="567"/>
        <w:rPr>
          <w:sz w:val="24"/>
          <w:szCs w:val="24"/>
        </w:rPr>
      </w:pPr>
      <w:r>
        <w:rPr>
          <w:sz w:val="24"/>
          <w:szCs w:val="24"/>
        </w:rPr>
        <w:t>-</w:t>
      </w:r>
      <w:r>
        <w:rPr>
          <w:sz w:val="24"/>
          <w:szCs w:val="24"/>
        </w:rPr>
        <w:tab/>
        <w:t>Sjældne (mere end 1, men mindre end 10 dyr ud af 10.000 dyr)</w:t>
      </w:r>
    </w:p>
    <w:p w:rsidR="006F7B38" w:rsidRPr="00885151" w:rsidRDefault="006F7B38" w:rsidP="006F7B38">
      <w:pPr>
        <w:ind w:left="1418" w:hanging="567"/>
        <w:rPr>
          <w:sz w:val="24"/>
          <w:szCs w:val="24"/>
        </w:rPr>
      </w:pPr>
      <w:r>
        <w:rPr>
          <w:sz w:val="24"/>
          <w:szCs w:val="24"/>
        </w:rPr>
        <w:t>-</w:t>
      </w:r>
      <w:r>
        <w:rPr>
          <w:sz w:val="24"/>
          <w:szCs w:val="24"/>
        </w:rPr>
        <w:tab/>
        <w:t>Meget sjælden (mindre end 1 dyr ud af 10.000 dyr, herunder isolerede rapporter)</w:t>
      </w:r>
    </w:p>
    <w:p w:rsidR="006F7B38" w:rsidRDefault="006F7B38">
      <w:pPr>
        <w:rPr>
          <w:sz w:val="24"/>
          <w:szCs w:val="24"/>
        </w:rPr>
      </w:pPr>
      <w:r>
        <w:rPr>
          <w:sz w:val="24"/>
          <w:szCs w:val="24"/>
        </w:rPr>
        <w:br w:type="page"/>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4.7</w:t>
      </w:r>
      <w:r w:rsidRPr="00885151">
        <w:rPr>
          <w:b/>
          <w:sz w:val="24"/>
          <w:szCs w:val="24"/>
        </w:rPr>
        <w:tab/>
        <w:t>Drægtighed, diegivning eller æglægning</w:t>
      </w:r>
    </w:p>
    <w:p w:rsidR="00885151" w:rsidRDefault="00885151" w:rsidP="00885151">
      <w:pPr>
        <w:ind w:left="851" w:hanging="851"/>
        <w:outlineLvl w:val="0"/>
        <w:rPr>
          <w:sz w:val="24"/>
          <w:szCs w:val="24"/>
        </w:rPr>
      </w:pPr>
    </w:p>
    <w:p w:rsidR="009F5C43" w:rsidRPr="00885151" w:rsidRDefault="00FA66E4" w:rsidP="00885151">
      <w:pPr>
        <w:ind w:left="851" w:hanging="851"/>
        <w:outlineLvl w:val="0"/>
        <w:rPr>
          <w:sz w:val="24"/>
          <w:szCs w:val="24"/>
          <w:u w:val="single"/>
        </w:rPr>
      </w:pPr>
      <w:r w:rsidRPr="00885151">
        <w:rPr>
          <w:sz w:val="24"/>
          <w:szCs w:val="24"/>
        </w:rPr>
        <w:tab/>
      </w:r>
      <w:r w:rsidR="009F5C43" w:rsidRPr="00885151">
        <w:rPr>
          <w:sz w:val="24"/>
          <w:szCs w:val="24"/>
          <w:u w:val="single"/>
        </w:rPr>
        <w:t>Drægtighed</w:t>
      </w:r>
    </w:p>
    <w:p w:rsidR="009F5C43" w:rsidRPr="00885151" w:rsidRDefault="00885151" w:rsidP="00885151">
      <w:pPr>
        <w:ind w:left="851" w:hanging="851"/>
        <w:outlineLvl w:val="0"/>
        <w:rPr>
          <w:b/>
          <w:sz w:val="24"/>
          <w:szCs w:val="24"/>
        </w:rPr>
      </w:pPr>
      <w:r>
        <w:rPr>
          <w:sz w:val="24"/>
          <w:szCs w:val="24"/>
        </w:rPr>
        <w:tab/>
      </w:r>
      <w:r w:rsidR="009F5C43" w:rsidRPr="00885151">
        <w:rPr>
          <w:sz w:val="24"/>
          <w:szCs w:val="24"/>
        </w:rPr>
        <w:t>Må kun anvendes i overensstemmelse med den ansvarlige dyrlæges vurdering af risk-benefit-forholdet.</w:t>
      </w:r>
    </w:p>
    <w:p w:rsidR="009F5C43" w:rsidRPr="00885151" w:rsidRDefault="009F5C43" w:rsidP="00885151">
      <w:pPr>
        <w:ind w:left="851" w:hanging="851"/>
        <w:rPr>
          <w:sz w:val="24"/>
          <w:szCs w:val="24"/>
        </w:rPr>
      </w:pPr>
    </w:p>
    <w:p w:rsidR="009F5C43" w:rsidRPr="00885151" w:rsidRDefault="00885151" w:rsidP="00885151">
      <w:pPr>
        <w:ind w:left="851" w:hanging="851"/>
        <w:rPr>
          <w:sz w:val="24"/>
          <w:szCs w:val="24"/>
        </w:rPr>
      </w:pPr>
      <w:r>
        <w:rPr>
          <w:sz w:val="24"/>
          <w:szCs w:val="24"/>
        </w:rPr>
        <w:tab/>
      </w:r>
      <w:r w:rsidR="00A73E13">
        <w:rPr>
          <w:sz w:val="24"/>
          <w:szCs w:val="24"/>
        </w:rPr>
        <w:t>L</w:t>
      </w:r>
      <w:r w:rsidR="009F5C43" w:rsidRPr="00885151">
        <w:rPr>
          <w:sz w:val="24"/>
          <w:szCs w:val="24"/>
        </w:rPr>
        <w:t>aboratorie</w:t>
      </w:r>
      <w:r w:rsidR="00A73E13">
        <w:rPr>
          <w:sz w:val="24"/>
          <w:szCs w:val="24"/>
        </w:rPr>
        <w:t>undersøgelser</w:t>
      </w:r>
      <w:r w:rsidR="009F5C43" w:rsidRPr="00885151">
        <w:rPr>
          <w:sz w:val="24"/>
          <w:szCs w:val="24"/>
        </w:rPr>
        <w:t xml:space="preserve"> har indikeret, at phenobarbital påvirker den prænatale vækst, især medførende permanente ændringer i den neurologiske og seksuelle udvikling. En tendens til neonatal blødning har været sat i forbindelse med behandling med phenobarbital under drægtighed.</w:t>
      </w:r>
    </w:p>
    <w:p w:rsidR="009F5C43" w:rsidRPr="00885151" w:rsidRDefault="00885151" w:rsidP="00885151">
      <w:pPr>
        <w:ind w:left="851" w:hanging="851"/>
        <w:rPr>
          <w:sz w:val="24"/>
          <w:szCs w:val="24"/>
        </w:rPr>
      </w:pPr>
      <w:r>
        <w:rPr>
          <w:sz w:val="24"/>
          <w:szCs w:val="24"/>
        </w:rPr>
        <w:tab/>
      </w:r>
      <w:r w:rsidR="009F5C43" w:rsidRPr="00885151">
        <w:rPr>
          <w:sz w:val="24"/>
          <w:szCs w:val="24"/>
        </w:rPr>
        <w:t>Epilepsi hos moderen kan være en yderligere risikofaktor for en forringet udvikling af fosteret.</w:t>
      </w:r>
      <w:r w:rsidR="009F5C43" w:rsidRPr="00885151">
        <w:rPr>
          <w:b/>
          <w:sz w:val="24"/>
          <w:szCs w:val="24"/>
        </w:rPr>
        <w:t xml:space="preserve"> </w:t>
      </w:r>
      <w:r w:rsidR="009F5C43" w:rsidRPr="00885151">
        <w:rPr>
          <w:sz w:val="24"/>
          <w:szCs w:val="24"/>
        </w:rPr>
        <w:t>Derf</w:t>
      </w:r>
      <w:r>
        <w:rPr>
          <w:sz w:val="24"/>
          <w:szCs w:val="24"/>
        </w:rPr>
        <w:t>o</w:t>
      </w:r>
      <w:r w:rsidR="009F5C43" w:rsidRPr="00885151">
        <w:rPr>
          <w:sz w:val="24"/>
          <w:szCs w:val="24"/>
        </w:rPr>
        <w:t>r bør drægtighed så vidt muligt undgås hos epileptiske hunde.</w:t>
      </w:r>
      <w:r w:rsidR="009F5C43" w:rsidRPr="00885151">
        <w:rPr>
          <w:b/>
          <w:sz w:val="24"/>
          <w:szCs w:val="24"/>
        </w:rPr>
        <w:t xml:space="preserve"> </w:t>
      </w:r>
      <w:r w:rsidR="009F5C43" w:rsidRPr="00885151">
        <w:rPr>
          <w:sz w:val="24"/>
          <w:szCs w:val="24"/>
        </w:rPr>
        <w:t>I tilfælde af drægtighed skal risikoen for, at lægemidlet kan medføre flere medfødte defekter afvejes i forhold til risikoen ved behandlingsophør i drægtighedsperioden. Det frarådes at ophøre med behandlingen, men doseringen bør holdes så lav som muligt.</w:t>
      </w:r>
    </w:p>
    <w:p w:rsidR="009F5C43" w:rsidRPr="00885151" w:rsidRDefault="00885151" w:rsidP="00885151">
      <w:pPr>
        <w:ind w:left="851" w:hanging="851"/>
        <w:rPr>
          <w:sz w:val="24"/>
          <w:szCs w:val="24"/>
        </w:rPr>
      </w:pPr>
      <w:r>
        <w:rPr>
          <w:sz w:val="24"/>
          <w:szCs w:val="24"/>
        </w:rPr>
        <w:tab/>
      </w:r>
      <w:r w:rsidR="009F5C43" w:rsidRPr="00885151">
        <w:rPr>
          <w:sz w:val="24"/>
          <w:szCs w:val="24"/>
        </w:rPr>
        <w:t xml:space="preserve">Phenobarbital </w:t>
      </w:r>
      <w:r w:rsidR="00A73E13">
        <w:rPr>
          <w:sz w:val="24"/>
          <w:szCs w:val="24"/>
        </w:rPr>
        <w:t>passerer</w:t>
      </w:r>
      <w:r w:rsidR="009F5C43" w:rsidRPr="00885151">
        <w:rPr>
          <w:sz w:val="24"/>
          <w:szCs w:val="24"/>
        </w:rPr>
        <w:t xml:space="preserve"> placena, og ved høje doser kan (reversible) afvænningssymptomer hos nyfødte ikke udelukkes.</w:t>
      </w:r>
    </w:p>
    <w:p w:rsidR="009F5C43" w:rsidRPr="00885151" w:rsidRDefault="00885151" w:rsidP="00885151">
      <w:pPr>
        <w:ind w:left="851" w:hanging="851"/>
        <w:outlineLvl w:val="0"/>
        <w:rPr>
          <w:sz w:val="24"/>
          <w:szCs w:val="24"/>
        </w:rPr>
      </w:pPr>
      <w:r>
        <w:rPr>
          <w:sz w:val="24"/>
          <w:szCs w:val="24"/>
        </w:rPr>
        <w:tab/>
      </w:r>
      <w:r w:rsidR="00A73E13">
        <w:rPr>
          <w:sz w:val="24"/>
          <w:szCs w:val="24"/>
        </w:rPr>
        <w:t>Lægemidlets s</w:t>
      </w:r>
      <w:r w:rsidR="009F5C43" w:rsidRPr="00885151">
        <w:rPr>
          <w:sz w:val="24"/>
          <w:szCs w:val="24"/>
        </w:rPr>
        <w:t>ikkerhed</w:t>
      </w:r>
      <w:r w:rsidR="00A73E13">
        <w:rPr>
          <w:sz w:val="24"/>
          <w:szCs w:val="24"/>
        </w:rPr>
        <w:t xml:space="preserve"> under hundes drægtighed er ikke påvist</w:t>
      </w:r>
      <w:r w:rsidR="009F5C43" w:rsidRPr="00885151">
        <w:rPr>
          <w:sz w:val="24"/>
          <w:szCs w:val="24"/>
        </w:rPr>
        <w:t>.</w:t>
      </w:r>
    </w:p>
    <w:p w:rsidR="009F5C43" w:rsidRPr="00885151" w:rsidRDefault="009F5C43" w:rsidP="00885151">
      <w:pPr>
        <w:ind w:left="851" w:hanging="851"/>
        <w:rPr>
          <w:sz w:val="24"/>
          <w:szCs w:val="24"/>
        </w:rPr>
      </w:pPr>
    </w:p>
    <w:p w:rsidR="009F5C43" w:rsidRPr="00885151" w:rsidRDefault="00A73E13" w:rsidP="00885151">
      <w:pPr>
        <w:ind w:left="851"/>
        <w:rPr>
          <w:sz w:val="24"/>
          <w:szCs w:val="24"/>
          <w:u w:val="single"/>
        </w:rPr>
      </w:pPr>
      <w:r>
        <w:rPr>
          <w:sz w:val="24"/>
          <w:szCs w:val="24"/>
          <w:u w:val="single"/>
        </w:rPr>
        <w:t>Diegivning</w:t>
      </w:r>
    </w:p>
    <w:p w:rsidR="009F5C43" w:rsidRPr="00885151" w:rsidRDefault="009F5C43" w:rsidP="00885151">
      <w:pPr>
        <w:ind w:left="851"/>
        <w:rPr>
          <w:sz w:val="24"/>
          <w:szCs w:val="24"/>
        </w:rPr>
      </w:pPr>
      <w:r w:rsidRPr="00885151">
        <w:rPr>
          <w:sz w:val="24"/>
          <w:szCs w:val="24"/>
        </w:rPr>
        <w:t>Må kun anvendes i overensstemmelse med den ansvarlige dyrlæges vurdering af risk-benefit-forholdet.</w:t>
      </w:r>
    </w:p>
    <w:p w:rsidR="009F5C43" w:rsidRPr="00885151" w:rsidRDefault="009F5C43" w:rsidP="00885151">
      <w:pPr>
        <w:ind w:left="851"/>
        <w:rPr>
          <w:sz w:val="24"/>
          <w:szCs w:val="24"/>
        </w:rPr>
      </w:pPr>
    </w:p>
    <w:p w:rsidR="009F5C43" w:rsidRPr="00885151" w:rsidRDefault="00885151" w:rsidP="00885151">
      <w:pPr>
        <w:ind w:left="851" w:hanging="851"/>
        <w:rPr>
          <w:sz w:val="24"/>
          <w:szCs w:val="24"/>
        </w:rPr>
      </w:pPr>
      <w:r>
        <w:rPr>
          <w:sz w:val="24"/>
          <w:szCs w:val="24"/>
        </w:rPr>
        <w:tab/>
      </w:r>
      <w:r w:rsidR="009F5C43" w:rsidRPr="00885151">
        <w:rPr>
          <w:sz w:val="24"/>
          <w:szCs w:val="24"/>
        </w:rPr>
        <w:t xml:space="preserve">Phenobarbital udskilles i modermælk i små mængder og diende unger skal monitoreres nøje for uønskede sedative virkninger. Tidlig afvænning kan være en mulighed. Hvis der forekommer somnolens/sedative virkninger (som kan påvirke ungernes evne til at die) hos nyfødte, diende hvalpe, bør man vælge en </w:t>
      </w:r>
      <w:r w:rsidR="00A73E13">
        <w:rPr>
          <w:sz w:val="24"/>
          <w:szCs w:val="24"/>
        </w:rPr>
        <w:t>kunstig diegivning</w:t>
      </w:r>
      <w:r w:rsidR="009F5C43" w:rsidRPr="00885151">
        <w:rPr>
          <w:sz w:val="24"/>
          <w:szCs w:val="24"/>
        </w:rPr>
        <w:t>.</w:t>
      </w:r>
    </w:p>
    <w:p w:rsidR="009F5C43" w:rsidRPr="00885151" w:rsidRDefault="00885151" w:rsidP="00885151">
      <w:pPr>
        <w:ind w:left="851" w:hanging="851"/>
        <w:rPr>
          <w:sz w:val="24"/>
          <w:szCs w:val="24"/>
        </w:rPr>
      </w:pPr>
      <w:r>
        <w:rPr>
          <w:sz w:val="24"/>
          <w:szCs w:val="24"/>
        </w:rPr>
        <w:tab/>
      </w:r>
      <w:r w:rsidR="00A73E13">
        <w:rPr>
          <w:sz w:val="24"/>
          <w:szCs w:val="24"/>
        </w:rPr>
        <w:t>Lægemidlets s</w:t>
      </w:r>
      <w:r w:rsidR="00A73E13" w:rsidRPr="00885151">
        <w:rPr>
          <w:sz w:val="24"/>
          <w:szCs w:val="24"/>
        </w:rPr>
        <w:t>ikkerhed</w:t>
      </w:r>
      <w:r w:rsidR="00A73E13">
        <w:rPr>
          <w:sz w:val="24"/>
          <w:szCs w:val="24"/>
        </w:rPr>
        <w:t xml:space="preserve"> under hundes d</w:t>
      </w:r>
      <w:r w:rsidR="00D3298A">
        <w:rPr>
          <w:sz w:val="24"/>
          <w:szCs w:val="24"/>
        </w:rPr>
        <w:t>iegivning</w:t>
      </w:r>
      <w:r w:rsidR="00A73E13">
        <w:rPr>
          <w:sz w:val="24"/>
          <w:szCs w:val="24"/>
        </w:rPr>
        <w:t xml:space="preserve"> er ikke </w:t>
      </w:r>
      <w:r w:rsidR="00D3298A">
        <w:rPr>
          <w:sz w:val="24"/>
          <w:szCs w:val="24"/>
        </w:rPr>
        <w:t>fastlagt</w:t>
      </w:r>
      <w:r w:rsidR="00A73E13" w:rsidRPr="00885151">
        <w:rPr>
          <w:sz w:val="24"/>
          <w:szCs w:val="24"/>
        </w:rPr>
        <w:t>.</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4.8</w:t>
      </w:r>
      <w:r w:rsidRPr="00885151">
        <w:rPr>
          <w:b/>
          <w:sz w:val="24"/>
          <w:szCs w:val="24"/>
        </w:rPr>
        <w:tab/>
        <w:t>Interaktion med andre lægemidler og andre former for interaktion</w:t>
      </w:r>
    </w:p>
    <w:p w:rsidR="002B5043" w:rsidRDefault="00FA66E4" w:rsidP="002B5043">
      <w:pPr>
        <w:ind w:left="851" w:hanging="851"/>
        <w:rPr>
          <w:sz w:val="24"/>
          <w:szCs w:val="24"/>
        </w:rPr>
      </w:pPr>
      <w:r w:rsidRPr="00885151">
        <w:rPr>
          <w:sz w:val="24"/>
          <w:szCs w:val="24"/>
        </w:rPr>
        <w:tab/>
      </w:r>
      <w:r w:rsidR="002B5043">
        <w:rPr>
          <w:sz w:val="24"/>
          <w:szCs w:val="24"/>
        </w:rPr>
        <w:t>En terapeutisk dosis phenobarbital til antiepileptisk behandling kan i betydelig grad inducere plasmaproteiner (såsom α1-acid glycoprotein, AGP), som binder lægemidler. Phenobarbital kan reducere effekten af visse lægemidler, da det kan forøge metaboliseringshastigheden ved at inducere lægemiddelmetaboliserende enzymer i levermikrosomer. Der skal derfor udvises særlig opmærksomhed på farmakokinetik og dosering af samtidigt anvendte lægemidler. Koncentrationen i plasma af en række lægemidler (f.eks. cyclosporin, thyroidhormoner, theophyllin, antiepileptika, chloramphenicol, kortikosteroider, doxycyclin, betablokkere og metronidazol) reduceres ved samtidig administration af phenobarbital. Pålideligheden af hormonale kontraceptiva sænkes.</w:t>
      </w:r>
    </w:p>
    <w:p w:rsidR="002B5043" w:rsidRDefault="002B5043" w:rsidP="002B5043">
      <w:pPr>
        <w:ind w:left="851" w:hanging="851"/>
        <w:rPr>
          <w:sz w:val="24"/>
          <w:szCs w:val="24"/>
        </w:rPr>
      </w:pPr>
      <w:r>
        <w:rPr>
          <w:sz w:val="24"/>
          <w:szCs w:val="24"/>
        </w:rPr>
        <w:tab/>
        <w:t xml:space="preserve">Samtidig anvendelse med andre lægemidler, der har en centraldæmpende effekt (som f.eks. narkotiske analgetika, morfinderivater, phenothiaziner, antihistaminer, clomipramin og chloramphenicol), kan forøge effekten af phenobarbital. </w:t>
      </w:r>
    </w:p>
    <w:p w:rsidR="002B5043" w:rsidRDefault="002B5043" w:rsidP="002B5043">
      <w:pPr>
        <w:ind w:left="851" w:hanging="851"/>
        <w:rPr>
          <w:sz w:val="24"/>
          <w:szCs w:val="24"/>
        </w:rPr>
      </w:pPr>
      <w:r>
        <w:rPr>
          <w:sz w:val="24"/>
          <w:szCs w:val="24"/>
        </w:rPr>
        <w:tab/>
        <w:t>Cimetidin og ketoconazol inhiberer leverenzymer: samtidig anvendelse med phenobarbital kan inducere forøgelse af serumkoncentrationen af phenobarbital. Phenobarbital kan reducere absorptionen af griseofulvin. Samtidig anvendelse med kaliumbromid forøger risikoen for pancreatitis. Anvendelse af phenobarbitaltabletter sammen med primidon anbefales ikke, da primidon især metaboliseres til phenobarbital.</w:t>
      </w:r>
    </w:p>
    <w:p w:rsidR="002B5043" w:rsidRDefault="002B5043" w:rsidP="002B5043">
      <w:pPr>
        <w:ind w:left="851" w:hanging="851"/>
        <w:rPr>
          <w:sz w:val="24"/>
          <w:szCs w:val="24"/>
        </w:rPr>
      </w:pPr>
      <w:r>
        <w:rPr>
          <w:sz w:val="24"/>
          <w:szCs w:val="24"/>
        </w:rPr>
        <w:tab/>
        <w:t xml:space="preserve">Følgende lægemidler kan nedsætte konvulsionstærsklen: quinoloner, høje doser af β-lactamantibiotika, theophyllin, aminophyllin, cyclosporin og propofol m.fl.). Medicin, som </w:t>
      </w:r>
      <w:r>
        <w:rPr>
          <w:sz w:val="24"/>
          <w:szCs w:val="24"/>
        </w:rPr>
        <w:lastRenderedPageBreak/>
        <w:t>kan ændre anfaldstærsklen, bør kun anvendes, hvis det er absolut nødvendigt, og når der ikke findes et mere sikkert alternativ.</w:t>
      </w:r>
    </w:p>
    <w:p w:rsidR="009F5C43" w:rsidRPr="00885151" w:rsidRDefault="009F5C43" w:rsidP="002B5043">
      <w:pPr>
        <w:ind w:left="851" w:hanging="851"/>
        <w:rPr>
          <w:sz w:val="24"/>
          <w:szCs w:val="24"/>
        </w:rPr>
      </w:pP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4.9</w:t>
      </w:r>
      <w:r w:rsidRPr="00885151">
        <w:rPr>
          <w:b/>
          <w:sz w:val="24"/>
          <w:szCs w:val="24"/>
        </w:rPr>
        <w:tab/>
        <w:t>Dosering og indgivelsesmåde</w:t>
      </w:r>
    </w:p>
    <w:p w:rsidR="009F5C43" w:rsidRPr="00885151" w:rsidRDefault="00FA66E4" w:rsidP="00885151">
      <w:pPr>
        <w:ind w:left="851" w:hanging="851"/>
        <w:rPr>
          <w:sz w:val="24"/>
          <w:szCs w:val="24"/>
        </w:rPr>
      </w:pPr>
      <w:r w:rsidRPr="00885151">
        <w:rPr>
          <w:sz w:val="24"/>
          <w:szCs w:val="24"/>
        </w:rPr>
        <w:tab/>
      </w:r>
      <w:r w:rsidR="009F5C43" w:rsidRPr="00885151">
        <w:rPr>
          <w:sz w:val="24"/>
          <w:szCs w:val="24"/>
        </w:rPr>
        <w:t>Den nødvendige dosis varierer i en vis grad mellem individer og i forbindelse med lidelsens art og sværhedsgrad.</w:t>
      </w:r>
    </w:p>
    <w:p w:rsidR="009F5C43" w:rsidRPr="00885151" w:rsidRDefault="009F5C43" w:rsidP="00885151">
      <w:pPr>
        <w:ind w:left="851" w:hanging="851"/>
        <w:rPr>
          <w:sz w:val="24"/>
          <w:szCs w:val="24"/>
        </w:rPr>
      </w:pPr>
    </w:p>
    <w:p w:rsidR="009F5C43" w:rsidRPr="00885151" w:rsidRDefault="009F5C43" w:rsidP="00885151">
      <w:pPr>
        <w:ind w:left="851"/>
        <w:outlineLvl w:val="0"/>
        <w:rPr>
          <w:sz w:val="24"/>
          <w:szCs w:val="24"/>
          <w:u w:val="single"/>
        </w:rPr>
      </w:pPr>
      <w:r w:rsidRPr="00885151">
        <w:rPr>
          <w:sz w:val="24"/>
          <w:szCs w:val="24"/>
          <w:u w:val="single"/>
        </w:rPr>
        <w:t>Indgivelsesvej</w:t>
      </w:r>
    </w:p>
    <w:p w:rsidR="009F5C43" w:rsidRPr="00885151" w:rsidRDefault="009F5C43" w:rsidP="00885151">
      <w:pPr>
        <w:ind w:left="851"/>
        <w:outlineLvl w:val="0"/>
        <w:rPr>
          <w:sz w:val="24"/>
          <w:szCs w:val="24"/>
        </w:rPr>
      </w:pPr>
      <w:r w:rsidRPr="00885151">
        <w:rPr>
          <w:sz w:val="24"/>
          <w:szCs w:val="24"/>
        </w:rPr>
        <w:t>Kun beregnet til oral indgivelse til hunde.</w:t>
      </w:r>
    </w:p>
    <w:p w:rsidR="009F5C43" w:rsidRPr="00885151" w:rsidRDefault="009F5C43" w:rsidP="00885151">
      <w:pPr>
        <w:ind w:left="851"/>
        <w:rPr>
          <w:sz w:val="24"/>
          <w:szCs w:val="24"/>
        </w:rPr>
      </w:pPr>
    </w:p>
    <w:p w:rsidR="009F5C43" w:rsidRPr="00885151" w:rsidRDefault="009F5C43" w:rsidP="00885151">
      <w:pPr>
        <w:ind w:left="851"/>
        <w:outlineLvl w:val="0"/>
        <w:rPr>
          <w:sz w:val="24"/>
          <w:szCs w:val="24"/>
          <w:u w:val="single"/>
        </w:rPr>
      </w:pPr>
      <w:r w:rsidRPr="00885151">
        <w:rPr>
          <w:sz w:val="24"/>
          <w:szCs w:val="24"/>
          <w:u w:val="single"/>
        </w:rPr>
        <w:t>Dosering</w:t>
      </w:r>
    </w:p>
    <w:p w:rsidR="009F5C43" w:rsidRDefault="009F5C43" w:rsidP="00885151">
      <w:pPr>
        <w:ind w:left="851"/>
        <w:rPr>
          <w:sz w:val="24"/>
          <w:szCs w:val="24"/>
        </w:rPr>
      </w:pPr>
      <w:r w:rsidRPr="00885151">
        <w:rPr>
          <w:sz w:val="24"/>
          <w:szCs w:val="24"/>
        </w:rPr>
        <w:t>Den anbefalede startdosis er 5 mg phenobarbital pr. kg legemsvægt pr. dag. Se den korrekte startdosis i nedenstående doseringsskema.</w:t>
      </w:r>
    </w:p>
    <w:p w:rsidR="00D3298A" w:rsidRDefault="00D3298A">
      <w:pPr>
        <w:rPr>
          <w:sz w:val="24"/>
          <w:szCs w:val="24"/>
        </w:rPr>
      </w:pPr>
    </w:p>
    <w:p w:rsidR="00D3298A" w:rsidRPr="00885151" w:rsidRDefault="00D3298A" w:rsidP="00885151">
      <w:pPr>
        <w:ind w:left="851"/>
        <w:rPr>
          <w:sz w:val="24"/>
          <w:szCs w:val="24"/>
        </w:rPr>
      </w:pPr>
    </w:p>
    <w:p w:rsidR="009F5C43" w:rsidRPr="00885151" w:rsidRDefault="009F5C43" w:rsidP="00885151">
      <w:pPr>
        <w:ind w:left="851" w:hanging="851"/>
        <w:rPr>
          <w:sz w:val="24"/>
          <w:szCs w:val="24"/>
        </w:rPr>
      </w:pPr>
    </w:p>
    <w:tbl>
      <w:tblPr>
        <w:tblW w:w="0" w:type="auto"/>
        <w:tblInd w:w="921" w:type="dxa"/>
        <w:tblLayout w:type="fixed"/>
        <w:tblCellMar>
          <w:left w:w="70" w:type="dxa"/>
          <w:right w:w="70" w:type="dxa"/>
        </w:tblCellMar>
        <w:tblLook w:val="00A0" w:firstRow="1" w:lastRow="0" w:firstColumn="1" w:lastColumn="0" w:noHBand="0" w:noVBand="0"/>
      </w:tblPr>
      <w:tblGrid>
        <w:gridCol w:w="2126"/>
        <w:gridCol w:w="992"/>
        <w:gridCol w:w="993"/>
        <w:gridCol w:w="992"/>
        <w:gridCol w:w="2410"/>
      </w:tblGrid>
      <w:tr w:rsidR="009F5C43" w:rsidRPr="00885151" w:rsidTr="00D3298A">
        <w:trPr>
          <w:trHeight w:val="288"/>
        </w:trPr>
        <w:tc>
          <w:tcPr>
            <w:tcW w:w="2126" w:type="dxa"/>
            <w:tcBorders>
              <w:top w:val="nil"/>
              <w:left w:val="nil"/>
              <w:bottom w:val="nil"/>
              <w:right w:val="nil"/>
            </w:tcBorders>
            <w:noWrap/>
          </w:tcPr>
          <w:p w:rsidR="009F5C43" w:rsidRPr="00885151" w:rsidRDefault="009F5C43" w:rsidP="00885151">
            <w:pPr>
              <w:ind w:left="851" w:hanging="851"/>
              <w:jc w:val="right"/>
              <w:rPr>
                <w:color w:val="000000"/>
                <w:sz w:val="24"/>
                <w:szCs w:val="24"/>
              </w:rPr>
            </w:pPr>
          </w:p>
        </w:tc>
        <w:tc>
          <w:tcPr>
            <w:tcW w:w="2977" w:type="dxa"/>
            <w:gridSpan w:val="3"/>
            <w:tcBorders>
              <w:top w:val="single" w:sz="4" w:space="0" w:color="auto"/>
              <w:left w:val="single" w:sz="4" w:space="0" w:color="auto"/>
              <w:bottom w:val="single" w:sz="4" w:space="0" w:color="auto"/>
              <w:right w:val="single" w:sz="4" w:space="0" w:color="auto"/>
            </w:tcBorders>
            <w:noWrap/>
          </w:tcPr>
          <w:p w:rsidR="009F5C43" w:rsidRPr="00885151" w:rsidRDefault="009F5C43" w:rsidP="00885151">
            <w:pPr>
              <w:ind w:left="851" w:hanging="851"/>
              <w:jc w:val="center"/>
              <w:rPr>
                <w:sz w:val="24"/>
                <w:szCs w:val="24"/>
              </w:rPr>
            </w:pPr>
            <w:r w:rsidRPr="00885151">
              <w:rPr>
                <w:color w:val="000000"/>
                <w:sz w:val="24"/>
                <w:szCs w:val="24"/>
              </w:rPr>
              <w:t>Tabletter</w:t>
            </w:r>
          </w:p>
        </w:tc>
        <w:tc>
          <w:tcPr>
            <w:tcW w:w="2410" w:type="dxa"/>
            <w:tcBorders>
              <w:top w:val="nil"/>
              <w:left w:val="nil"/>
              <w:bottom w:val="nil"/>
              <w:right w:val="nil"/>
            </w:tcBorders>
            <w:noWrap/>
          </w:tcPr>
          <w:p w:rsidR="009F5C43" w:rsidRPr="00885151" w:rsidRDefault="009F5C43" w:rsidP="00885151">
            <w:pPr>
              <w:ind w:left="851" w:hanging="851"/>
              <w:jc w:val="center"/>
              <w:outlineLvl w:val="0"/>
              <w:rPr>
                <w:color w:val="000000"/>
                <w:sz w:val="24"/>
                <w:szCs w:val="24"/>
              </w:rPr>
            </w:pPr>
          </w:p>
        </w:tc>
      </w:tr>
      <w:tr w:rsidR="009F5C43" w:rsidRPr="00885151" w:rsidTr="00D3298A">
        <w:tc>
          <w:tcPr>
            <w:tcW w:w="2126" w:type="dxa"/>
            <w:tcBorders>
              <w:top w:val="single" w:sz="4" w:space="0" w:color="auto"/>
              <w:left w:val="single" w:sz="4" w:space="0" w:color="auto"/>
              <w:bottom w:val="single" w:sz="4" w:space="0" w:color="auto"/>
              <w:right w:val="single" w:sz="4" w:space="0" w:color="auto"/>
            </w:tcBorders>
            <w:noWrap/>
          </w:tcPr>
          <w:p w:rsidR="009F5C43" w:rsidRPr="00885151" w:rsidRDefault="009F5C43" w:rsidP="00D3298A">
            <w:pPr>
              <w:jc w:val="center"/>
              <w:rPr>
                <w:sz w:val="24"/>
                <w:szCs w:val="24"/>
              </w:rPr>
            </w:pPr>
            <w:r w:rsidRPr="00885151">
              <w:rPr>
                <w:color w:val="000000"/>
                <w:sz w:val="24"/>
                <w:szCs w:val="24"/>
              </w:rPr>
              <w:t>Legemsvægt [kg])</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sz w:val="24"/>
                <w:szCs w:val="24"/>
              </w:rPr>
            </w:pPr>
            <w:r w:rsidRPr="00885151">
              <w:rPr>
                <w:color w:val="000000"/>
                <w:sz w:val="24"/>
                <w:szCs w:val="24"/>
              </w:rPr>
              <w:t>Morgen</w:t>
            </w:r>
          </w:p>
        </w:tc>
        <w:tc>
          <w:tcPr>
            <w:tcW w:w="993" w:type="dxa"/>
            <w:tcBorders>
              <w:top w:val="single" w:sz="4" w:space="0" w:color="auto"/>
              <w:left w:val="nil"/>
              <w:bottom w:val="single" w:sz="4" w:space="0" w:color="auto"/>
              <w:right w:val="single" w:sz="4" w:space="0" w:color="auto"/>
            </w:tcBorders>
            <w:noWrap/>
          </w:tcPr>
          <w:p w:rsidR="009F5C43" w:rsidRPr="00885151" w:rsidRDefault="009F5C43" w:rsidP="00D3298A">
            <w:pPr>
              <w:jc w:val="center"/>
              <w:rPr>
                <w:sz w:val="24"/>
                <w:szCs w:val="24"/>
              </w:rPr>
            </w:pPr>
            <w:r w:rsidRPr="00885151">
              <w:rPr>
                <w:color w:val="000000"/>
                <w:sz w:val="24"/>
                <w:szCs w:val="24"/>
              </w:rPr>
              <w:t>Middag</w:t>
            </w:r>
          </w:p>
        </w:tc>
        <w:tc>
          <w:tcPr>
            <w:tcW w:w="992" w:type="dxa"/>
            <w:tcBorders>
              <w:top w:val="single" w:sz="4" w:space="0" w:color="auto"/>
              <w:left w:val="nil"/>
              <w:bottom w:val="single" w:sz="4" w:space="0" w:color="auto"/>
              <w:right w:val="single" w:sz="4" w:space="0" w:color="auto"/>
            </w:tcBorders>
            <w:noWrap/>
          </w:tcPr>
          <w:p w:rsidR="009F5C43" w:rsidRPr="00885151" w:rsidRDefault="009F5C43" w:rsidP="00D3298A">
            <w:pPr>
              <w:jc w:val="center"/>
              <w:rPr>
                <w:sz w:val="24"/>
                <w:szCs w:val="24"/>
              </w:rPr>
            </w:pPr>
            <w:r w:rsidRPr="00885151">
              <w:rPr>
                <w:color w:val="000000"/>
                <w:sz w:val="24"/>
                <w:szCs w:val="24"/>
              </w:rPr>
              <w:t>Aften</w:t>
            </w:r>
          </w:p>
        </w:tc>
        <w:tc>
          <w:tcPr>
            <w:tcW w:w="2410" w:type="dxa"/>
            <w:tcBorders>
              <w:top w:val="single" w:sz="4" w:space="0" w:color="auto"/>
              <w:left w:val="nil"/>
              <w:bottom w:val="single" w:sz="4" w:space="0" w:color="auto"/>
              <w:right w:val="single" w:sz="4" w:space="0" w:color="auto"/>
            </w:tcBorders>
          </w:tcPr>
          <w:p w:rsidR="009F5C43" w:rsidRPr="00885151" w:rsidRDefault="009F5C43" w:rsidP="00D3298A">
            <w:pPr>
              <w:jc w:val="center"/>
              <w:rPr>
                <w:sz w:val="24"/>
                <w:szCs w:val="24"/>
              </w:rPr>
            </w:pPr>
            <w:r w:rsidRPr="00885151">
              <w:rPr>
                <w:color w:val="000000"/>
                <w:sz w:val="24"/>
                <w:szCs w:val="24"/>
              </w:rPr>
              <w:t>Daglig dosis i alt [mg]</w:t>
            </w:r>
          </w:p>
        </w:tc>
      </w:tr>
      <w:tr w:rsidR="009F5C43" w:rsidRPr="00885151" w:rsidTr="00D3298A">
        <w:trPr>
          <w:trHeight w:val="288"/>
        </w:trPr>
        <w:tc>
          <w:tcPr>
            <w:tcW w:w="2126" w:type="dxa"/>
            <w:tcBorders>
              <w:top w:val="nil"/>
              <w:left w:val="single" w:sz="4" w:space="0" w:color="auto"/>
              <w:bottom w:val="single" w:sz="4" w:space="0" w:color="auto"/>
              <w:right w:val="single" w:sz="4" w:space="0" w:color="auto"/>
            </w:tcBorders>
            <w:noWrap/>
          </w:tcPr>
          <w:p w:rsidR="009F5C43" w:rsidRPr="00885151" w:rsidRDefault="009F5C43" w:rsidP="00D3298A">
            <w:pPr>
              <w:jc w:val="center"/>
              <w:rPr>
                <w:sz w:val="24"/>
                <w:szCs w:val="24"/>
              </w:rPr>
            </w:pPr>
            <w:r w:rsidRPr="00885151">
              <w:rPr>
                <w:color w:val="000000"/>
                <w:sz w:val="24"/>
                <w:szCs w:val="24"/>
              </w:rPr>
              <w:t>≥ 6 </w:t>
            </w:r>
            <w:r w:rsidRPr="00885151">
              <w:rPr>
                <w:color w:val="000000"/>
                <w:sz w:val="24"/>
                <w:szCs w:val="24"/>
              </w:rPr>
              <w:noBreakHyphen/>
              <w:t> &lt; 9</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1</w:t>
            </w:r>
          </w:p>
        </w:tc>
        <w:tc>
          <w:tcPr>
            <w:tcW w:w="993"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1</w:t>
            </w:r>
          </w:p>
        </w:tc>
        <w:tc>
          <w:tcPr>
            <w:tcW w:w="2410"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30</w:t>
            </w:r>
          </w:p>
        </w:tc>
      </w:tr>
      <w:tr w:rsidR="009F5C43" w:rsidRPr="00885151" w:rsidTr="00D3298A">
        <w:trPr>
          <w:trHeight w:val="288"/>
        </w:trPr>
        <w:tc>
          <w:tcPr>
            <w:tcW w:w="2126" w:type="dxa"/>
            <w:tcBorders>
              <w:top w:val="nil"/>
              <w:left w:val="single" w:sz="4" w:space="0" w:color="auto"/>
              <w:bottom w:val="single" w:sz="4" w:space="0" w:color="auto"/>
              <w:right w:val="single" w:sz="4" w:space="0" w:color="auto"/>
            </w:tcBorders>
            <w:noWrap/>
          </w:tcPr>
          <w:p w:rsidR="009F5C43" w:rsidRPr="00885151" w:rsidRDefault="009F5C43" w:rsidP="00D3298A">
            <w:pPr>
              <w:jc w:val="center"/>
              <w:rPr>
                <w:sz w:val="24"/>
                <w:szCs w:val="24"/>
              </w:rPr>
            </w:pPr>
            <w:r w:rsidRPr="00885151">
              <w:rPr>
                <w:color w:val="000000"/>
                <w:sz w:val="24"/>
                <w:szCs w:val="24"/>
              </w:rPr>
              <w:t>≥ 9 </w:t>
            </w:r>
            <w:r w:rsidRPr="00885151">
              <w:rPr>
                <w:color w:val="000000"/>
                <w:sz w:val="24"/>
                <w:szCs w:val="24"/>
              </w:rPr>
              <w:noBreakHyphen/>
              <w:t> &lt; 12</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1</w:t>
            </w:r>
          </w:p>
        </w:tc>
        <w:tc>
          <w:tcPr>
            <w:tcW w:w="993"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1</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1</w:t>
            </w:r>
          </w:p>
        </w:tc>
        <w:tc>
          <w:tcPr>
            <w:tcW w:w="2410"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45</w:t>
            </w:r>
          </w:p>
        </w:tc>
      </w:tr>
      <w:tr w:rsidR="009F5C43" w:rsidRPr="00885151" w:rsidTr="00D3298A">
        <w:trPr>
          <w:trHeight w:val="288"/>
        </w:trPr>
        <w:tc>
          <w:tcPr>
            <w:tcW w:w="2126" w:type="dxa"/>
            <w:tcBorders>
              <w:top w:val="nil"/>
              <w:left w:val="single" w:sz="4" w:space="0" w:color="auto"/>
              <w:bottom w:val="single" w:sz="4" w:space="0" w:color="auto"/>
              <w:right w:val="single" w:sz="4" w:space="0" w:color="auto"/>
            </w:tcBorders>
            <w:noWrap/>
          </w:tcPr>
          <w:p w:rsidR="009F5C43" w:rsidRPr="00885151" w:rsidRDefault="009F5C43" w:rsidP="00D3298A">
            <w:pPr>
              <w:jc w:val="center"/>
              <w:rPr>
                <w:sz w:val="24"/>
                <w:szCs w:val="24"/>
              </w:rPr>
            </w:pPr>
            <w:r w:rsidRPr="00885151">
              <w:rPr>
                <w:color w:val="000000"/>
                <w:sz w:val="24"/>
                <w:szCs w:val="24"/>
              </w:rPr>
              <w:t>≥ 12 </w:t>
            </w:r>
            <w:r w:rsidRPr="00885151">
              <w:rPr>
                <w:color w:val="000000"/>
                <w:sz w:val="24"/>
                <w:szCs w:val="24"/>
              </w:rPr>
              <w:noBreakHyphen/>
              <w:t> &lt; 15</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2</w:t>
            </w:r>
          </w:p>
        </w:tc>
        <w:tc>
          <w:tcPr>
            <w:tcW w:w="993"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2</w:t>
            </w:r>
          </w:p>
        </w:tc>
        <w:tc>
          <w:tcPr>
            <w:tcW w:w="2410"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60</w:t>
            </w:r>
          </w:p>
        </w:tc>
      </w:tr>
      <w:tr w:rsidR="009F5C43" w:rsidRPr="00885151" w:rsidTr="00D3298A">
        <w:trPr>
          <w:trHeight w:val="288"/>
        </w:trPr>
        <w:tc>
          <w:tcPr>
            <w:tcW w:w="2126" w:type="dxa"/>
            <w:tcBorders>
              <w:top w:val="nil"/>
              <w:left w:val="single" w:sz="4" w:space="0" w:color="auto"/>
              <w:bottom w:val="single" w:sz="4" w:space="0" w:color="auto"/>
              <w:right w:val="single" w:sz="4" w:space="0" w:color="auto"/>
            </w:tcBorders>
            <w:noWrap/>
          </w:tcPr>
          <w:p w:rsidR="009F5C43" w:rsidRPr="00885151" w:rsidRDefault="009F5C43" w:rsidP="00D3298A">
            <w:pPr>
              <w:jc w:val="center"/>
              <w:rPr>
                <w:sz w:val="24"/>
                <w:szCs w:val="24"/>
              </w:rPr>
            </w:pPr>
            <w:r w:rsidRPr="00885151">
              <w:rPr>
                <w:color w:val="000000"/>
                <w:sz w:val="24"/>
                <w:szCs w:val="24"/>
                <w:lang w:val="de-DE"/>
              </w:rPr>
              <w:t>≥</w:t>
            </w:r>
            <w:r w:rsidRPr="00885151">
              <w:rPr>
                <w:color w:val="000000"/>
                <w:sz w:val="24"/>
                <w:szCs w:val="24"/>
              </w:rPr>
              <w:t> 15 </w:t>
            </w:r>
            <w:r w:rsidRPr="00885151">
              <w:rPr>
                <w:color w:val="000000"/>
                <w:sz w:val="24"/>
                <w:szCs w:val="24"/>
              </w:rPr>
              <w:noBreakHyphen/>
              <w:t> &lt; 18</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2</w:t>
            </w:r>
          </w:p>
        </w:tc>
        <w:tc>
          <w:tcPr>
            <w:tcW w:w="993"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1</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2</w:t>
            </w:r>
          </w:p>
        </w:tc>
        <w:tc>
          <w:tcPr>
            <w:tcW w:w="2410"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75</w:t>
            </w:r>
          </w:p>
        </w:tc>
      </w:tr>
      <w:tr w:rsidR="009F5C43" w:rsidRPr="00885151" w:rsidTr="00D3298A">
        <w:trPr>
          <w:trHeight w:val="288"/>
        </w:trPr>
        <w:tc>
          <w:tcPr>
            <w:tcW w:w="2126" w:type="dxa"/>
            <w:tcBorders>
              <w:top w:val="nil"/>
              <w:left w:val="single" w:sz="4" w:space="0" w:color="auto"/>
              <w:bottom w:val="single" w:sz="4" w:space="0" w:color="auto"/>
              <w:right w:val="single" w:sz="4" w:space="0" w:color="auto"/>
            </w:tcBorders>
            <w:noWrap/>
          </w:tcPr>
          <w:p w:rsidR="009F5C43" w:rsidRPr="00885151" w:rsidRDefault="009F5C43" w:rsidP="00D3298A">
            <w:pPr>
              <w:jc w:val="center"/>
              <w:rPr>
                <w:sz w:val="24"/>
                <w:szCs w:val="24"/>
              </w:rPr>
            </w:pPr>
            <w:r w:rsidRPr="00885151">
              <w:rPr>
                <w:color w:val="000000"/>
                <w:sz w:val="24"/>
                <w:szCs w:val="24"/>
                <w:lang w:val="de-DE"/>
              </w:rPr>
              <w:t>≥ </w:t>
            </w:r>
            <w:r w:rsidRPr="00885151">
              <w:rPr>
                <w:color w:val="000000"/>
                <w:sz w:val="24"/>
                <w:szCs w:val="24"/>
              </w:rPr>
              <w:t>18 </w:t>
            </w:r>
            <w:r w:rsidRPr="00885151">
              <w:rPr>
                <w:color w:val="000000"/>
                <w:sz w:val="24"/>
                <w:szCs w:val="24"/>
              </w:rPr>
              <w:noBreakHyphen/>
              <w:t> &lt; 20</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2</w:t>
            </w:r>
          </w:p>
        </w:tc>
        <w:tc>
          <w:tcPr>
            <w:tcW w:w="993"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2</w:t>
            </w:r>
          </w:p>
        </w:tc>
        <w:tc>
          <w:tcPr>
            <w:tcW w:w="992"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2</w:t>
            </w:r>
          </w:p>
        </w:tc>
        <w:tc>
          <w:tcPr>
            <w:tcW w:w="2410" w:type="dxa"/>
            <w:tcBorders>
              <w:top w:val="nil"/>
              <w:left w:val="nil"/>
              <w:bottom w:val="single" w:sz="4" w:space="0" w:color="auto"/>
              <w:right w:val="single" w:sz="4" w:space="0" w:color="auto"/>
            </w:tcBorders>
            <w:noWrap/>
          </w:tcPr>
          <w:p w:rsidR="009F5C43" w:rsidRPr="00885151" w:rsidRDefault="009F5C43" w:rsidP="00D3298A">
            <w:pPr>
              <w:jc w:val="center"/>
              <w:rPr>
                <w:color w:val="000000"/>
                <w:sz w:val="24"/>
                <w:szCs w:val="24"/>
              </w:rPr>
            </w:pPr>
            <w:r w:rsidRPr="00885151">
              <w:rPr>
                <w:color w:val="000000"/>
                <w:sz w:val="24"/>
                <w:szCs w:val="24"/>
              </w:rPr>
              <w:t>90</w:t>
            </w:r>
          </w:p>
        </w:tc>
      </w:tr>
    </w:tbl>
    <w:p w:rsidR="009F5C43" w:rsidRPr="00885151" w:rsidRDefault="009F5C43" w:rsidP="00885151">
      <w:pPr>
        <w:ind w:left="851" w:hanging="851"/>
        <w:rPr>
          <w:sz w:val="24"/>
          <w:szCs w:val="24"/>
        </w:rPr>
      </w:pPr>
    </w:p>
    <w:p w:rsidR="009F5C43" w:rsidRPr="00885151" w:rsidRDefault="00885151" w:rsidP="00885151">
      <w:pPr>
        <w:ind w:left="851" w:hanging="851"/>
        <w:rPr>
          <w:sz w:val="24"/>
          <w:szCs w:val="24"/>
        </w:rPr>
      </w:pPr>
      <w:r>
        <w:rPr>
          <w:sz w:val="24"/>
          <w:szCs w:val="24"/>
        </w:rPr>
        <w:tab/>
      </w:r>
      <w:r w:rsidR="009F5C43" w:rsidRPr="00885151">
        <w:rPr>
          <w:sz w:val="24"/>
          <w:szCs w:val="24"/>
        </w:rPr>
        <w:t>Denne dosis kan justeres på baggrund af klinisk effekt, blodkoncentration og forekomst af bivirkninger.</w:t>
      </w:r>
    </w:p>
    <w:p w:rsidR="009F5C43" w:rsidRPr="00885151" w:rsidRDefault="00885151" w:rsidP="00885151">
      <w:pPr>
        <w:ind w:left="851" w:hanging="851"/>
        <w:rPr>
          <w:sz w:val="24"/>
          <w:szCs w:val="24"/>
        </w:rPr>
      </w:pPr>
      <w:r>
        <w:rPr>
          <w:sz w:val="24"/>
          <w:szCs w:val="24"/>
        </w:rPr>
        <w:tab/>
      </w:r>
      <w:r w:rsidR="00D3298A">
        <w:rPr>
          <w:sz w:val="24"/>
          <w:szCs w:val="24"/>
        </w:rPr>
        <w:t>D</w:t>
      </w:r>
      <w:r w:rsidR="009F5C43" w:rsidRPr="00885151">
        <w:rPr>
          <w:sz w:val="24"/>
          <w:szCs w:val="24"/>
        </w:rPr>
        <w:t>en serumkoncentration af phenobarbital, der anses for at være terapeutisk aktiv</w:t>
      </w:r>
      <w:r w:rsidR="00D3298A">
        <w:rPr>
          <w:sz w:val="24"/>
          <w:szCs w:val="24"/>
        </w:rPr>
        <w:t xml:space="preserve"> ligger i intervallet </w:t>
      </w:r>
      <w:r w:rsidR="00D3298A" w:rsidRPr="00885151">
        <w:rPr>
          <w:sz w:val="24"/>
          <w:szCs w:val="24"/>
        </w:rPr>
        <w:t>20</w:t>
      </w:r>
      <w:r w:rsidR="00D3298A" w:rsidRPr="00885151">
        <w:rPr>
          <w:sz w:val="24"/>
          <w:szCs w:val="24"/>
        </w:rPr>
        <w:noBreakHyphen/>
        <w:t>40 μg/ml</w:t>
      </w:r>
      <w:r w:rsidR="009F5C43" w:rsidRPr="00885151">
        <w:rPr>
          <w:sz w:val="24"/>
          <w:szCs w:val="24"/>
        </w:rPr>
        <w:t>.</w:t>
      </w:r>
    </w:p>
    <w:p w:rsidR="009F5C43" w:rsidRPr="00885151" w:rsidRDefault="00885151" w:rsidP="00885151">
      <w:pPr>
        <w:ind w:left="851" w:hanging="851"/>
        <w:rPr>
          <w:sz w:val="24"/>
          <w:szCs w:val="24"/>
        </w:rPr>
      </w:pPr>
      <w:r>
        <w:rPr>
          <w:sz w:val="24"/>
          <w:szCs w:val="24"/>
        </w:rPr>
        <w:tab/>
      </w:r>
      <w:r w:rsidR="009F5C43" w:rsidRPr="00885151">
        <w:rPr>
          <w:sz w:val="24"/>
          <w:szCs w:val="24"/>
        </w:rPr>
        <w:t>Steady state serumkoncentrationen opnås først 1</w:t>
      </w:r>
      <w:r w:rsidR="009F5C43" w:rsidRPr="00885151">
        <w:rPr>
          <w:sz w:val="24"/>
          <w:szCs w:val="24"/>
        </w:rPr>
        <w:noBreakHyphen/>
        <w:t xml:space="preserve">2 uger efter iværksættelse af behandlingen. Lægemidlet opnår sin fulde virkning efter ca. 2 uger, og dosis bør ikke øges i denne periode. </w:t>
      </w:r>
    </w:p>
    <w:p w:rsidR="009F5C43" w:rsidRPr="00885151" w:rsidRDefault="00885151" w:rsidP="00885151">
      <w:pPr>
        <w:ind w:left="851" w:hanging="851"/>
        <w:rPr>
          <w:sz w:val="24"/>
          <w:szCs w:val="24"/>
        </w:rPr>
      </w:pPr>
      <w:r>
        <w:rPr>
          <w:sz w:val="24"/>
          <w:szCs w:val="24"/>
        </w:rPr>
        <w:tab/>
      </w:r>
      <w:r w:rsidR="009F5C43" w:rsidRPr="00885151">
        <w:rPr>
          <w:sz w:val="24"/>
          <w:szCs w:val="24"/>
        </w:rPr>
        <w:t>Serumkoncentrationen af phenobarbital kan kontrolleres, når steady state er opnået. Hvis den er mindre end 20 μg/ml, og/eller anfaldene ikke er under kontrol, kan dosis øges med 20 % ad gangen med samtidig monitorering af phenobarbital serumniveauet. Hvis anfaldene vender tilbage, kan dosis øges til en maksimal serumkoncentration på 40 μg/ml. Høje plasmakoncentrationer kan være forbundet med hepatotoksicitet.</w:t>
      </w:r>
    </w:p>
    <w:p w:rsidR="009F5C43" w:rsidRPr="00885151" w:rsidRDefault="00885151" w:rsidP="00885151">
      <w:pPr>
        <w:ind w:left="851" w:hanging="851"/>
        <w:rPr>
          <w:sz w:val="24"/>
          <w:szCs w:val="24"/>
        </w:rPr>
      </w:pPr>
      <w:r>
        <w:rPr>
          <w:sz w:val="24"/>
          <w:szCs w:val="24"/>
        </w:rPr>
        <w:tab/>
      </w:r>
      <w:r w:rsidR="009F5C43" w:rsidRPr="00885151">
        <w:rPr>
          <w:sz w:val="24"/>
          <w:szCs w:val="24"/>
        </w:rPr>
        <w:t>Tabletterne kan ikke opdeles i lige store dele. Opdeling i halve må kun foretages for at gøre det nemmere at give tabletten til hunden.</w:t>
      </w:r>
    </w:p>
    <w:p w:rsidR="009F5C43" w:rsidRPr="00885151" w:rsidRDefault="00885151" w:rsidP="00885151">
      <w:pPr>
        <w:ind w:left="851" w:hanging="851"/>
        <w:rPr>
          <w:sz w:val="24"/>
          <w:szCs w:val="24"/>
        </w:rPr>
      </w:pPr>
      <w:r>
        <w:rPr>
          <w:sz w:val="24"/>
          <w:szCs w:val="24"/>
        </w:rPr>
        <w:tab/>
      </w:r>
      <w:r w:rsidR="009F5C43" w:rsidRPr="00885151">
        <w:rPr>
          <w:sz w:val="24"/>
          <w:szCs w:val="24"/>
        </w:rPr>
        <w:t>Af hensyn til en nøjagtig dosering bør hunde, der vejer under 20 kg, starte behandlingen med Epirepress 15 mg tabletter. Ved højere doser kan Epirepress 100 mg tabletter (100 mg phenobarbital) anvendes.</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4.10</w:t>
      </w:r>
      <w:r w:rsidRPr="00885151">
        <w:rPr>
          <w:b/>
          <w:sz w:val="24"/>
          <w:szCs w:val="24"/>
        </w:rPr>
        <w:tab/>
        <w:t>Overdosering</w:t>
      </w:r>
    </w:p>
    <w:p w:rsidR="00885151" w:rsidRDefault="00885151" w:rsidP="00885151">
      <w:pPr>
        <w:ind w:left="851" w:hanging="851"/>
        <w:outlineLvl w:val="0"/>
        <w:rPr>
          <w:sz w:val="24"/>
          <w:szCs w:val="24"/>
        </w:rPr>
      </w:pPr>
    </w:p>
    <w:p w:rsidR="009F5C43" w:rsidRPr="00885151" w:rsidRDefault="00FA66E4" w:rsidP="00885151">
      <w:pPr>
        <w:ind w:left="851" w:hanging="851"/>
        <w:outlineLvl w:val="0"/>
        <w:rPr>
          <w:sz w:val="24"/>
          <w:szCs w:val="24"/>
          <w:u w:val="single"/>
        </w:rPr>
      </w:pPr>
      <w:r w:rsidRPr="00885151">
        <w:rPr>
          <w:sz w:val="24"/>
          <w:szCs w:val="24"/>
        </w:rPr>
        <w:tab/>
      </w:r>
      <w:r w:rsidR="009F5C43" w:rsidRPr="00885151">
        <w:rPr>
          <w:sz w:val="24"/>
          <w:szCs w:val="24"/>
          <w:u w:val="single"/>
        </w:rPr>
        <w:t>Symptomer</w:t>
      </w:r>
    </w:p>
    <w:p w:rsidR="009F5C43" w:rsidRPr="00885151" w:rsidRDefault="00885151" w:rsidP="00885151">
      <w:pPr>
        <w:ind w:left="851" w:hanging="851"/>
        <w:rPr>
          <w:sz w:val="24"/>
          <w:szCs w:val="24"/>
        </w:rPr>
      </w:pPr>
      <w:r>
        <w:rPr>
          <w:sz w:val="24"/>
          <w:szCs w:val="24"/>
        </w:rPr>
        <w:tab/>
      </w:r>
      <w:r w:rsidR="009F5C43" w:rsidRPr="00885151">
        <w:rPr>
          <w:sz w:val="24"/>
          <w:szCs w:val="24"/>
        </w:rPr>
        <w:t>Overdosering kan medføre koma, alvorlig respirations- og kardiovaskulær depression, hypotension og chok, der kan føre til nyresvigt og død.</w:t>
      </w:r>
    </w:p>
    <w:p w:rsidR="002B5043" w:rsidRDefault="002B5043">
      <w:pPr>
        <w:rPr>
          <w:b/>
          <w:sz w:val="24"/>
          <w:szCs w:val="24"/>
        </w:rPr>
      </w:pPr>
      <w:r>
        <w:rPr>
          <w:b/>
          <w:sz w:val="24"/>
          <w:szCs w:val="24"/>
        </w:rPr>
        <w:br w:type="page"/>
      </w:r>
    </w:p>
    <w:p w:rsidR="009F5C43" w:rsidRPr="00885151" w:rsidRDefault="009F5C43" w:rsidP="00885151">
      <w:pPr>
        <w:ind w:left="851" w:hanging="851"/>
        <w:rPr>
          <w:b/>
          <w:sz w:val="24"/>
          <w:szCs w:val="24"/>
        </w:rPr>
      </w:pPr>
    </w:p>
    <w:p w:rsidR="009F5C43" w:rsidRPr="00885151" w:rsidRDefault="009F5C43" w:rsidP="00885151">
      <w:pPr>
        <w:ind w:left="851"/>
        <w:outlineLvl w:val="0"/>
        <w:rPr>
          <w:sz w:val="24"/>
          <w:szCs w:val="24"/>
          <w:u w:val="single"/>
        </w:rPr>
      </w:pPr>
      <w:r w:rsidRPr="00885151">
        <w:rPr>
          <w:sz w:val="24"/>
          <w:szCs w:val="24"/>
          <w:u w:val="single"/>
        </w:rPr>
        <w:t>Foranstaltninger</w:t>
      </w:r>
    </w:p>
    <w:p w:rsidR="009F5C43" w:rsidRPr="00885151" w:rsidRDefault="009F5C43" w:rsidP="00885151">
      <w:pPr>
        <w:ind w:left="851"/>
        <w:rPr>
          <w:sz w:val="24"/>
          <w:szCs w:val="24"/>
        </w:rPr>
      </w:pPr>
      <w:r w:rsidRPr="00885151">
        <w:rPr>
          <w:sz w:val="24"/>
          <w:szCs w:val="24"/>
        </w:rPr>
        <w:t xml:space="preserve">De primære behandlingsforanstaltninger er intensiv symptomatisk og supportiv behandling med særlig fokus på opretholdelse af kardiovaskulære, respiratoriske og renale funktioner samt </w:t>
      </w:r>
      <w:r w:rsidR="00D3298A">
        <w:rPr>
          <w:sz w:val="24"/>
          <w:szCs w:val="24"/>
        </w:rPr>
        <w:t xml:space="preserve">på </w:t>
      </w:r>
      <w:r w:rsidRPr="00885151">
        <w:rPr>
          <w:sz w:val="24"/>
          <w:szCs w:val="24"/>
        </w:rPr>
        <w:t>elektrolytbalancen. Behandling af overdosering kan om nødvendigt bestå af ventrikelskylning med indgift af aktivt kul.</w:t>
      </w:r>
    </w:p>
    <w:p w:rsidR="009F5C43" w:rsidRPr="00885151" w:rsidRDefault="009F5C43" w:rsidP="00885151">
      <w:pPr>
        <w:ind w:left="851"/>
        <w:rPr>
          <w:sz w:val="24"/>
          <w:szCs w:val="24"/>
        </w:rPr>
      </w:pPr>
    </w:p>
    <w:p w:rsidR="009F5C43" w:rsidRPr="00885151" w:rsidRDefault="009F5C43" w:rsidP="00885151">
      <w:pPr>
        <w:ind w:left="851"/>
        <w:rPr>
          <w:sz w:val="24"/>
          <w:szCs w:val="24"/>
        </w:rPr>
      </w:pPr>
      <w:r w:rsidRPr="00885151">
        <w:rPr>
          <w:sz w:val="24"/>
          <w:szCs w:val="24"/>
        </w:rPr>
        <w:t xml:space="preserve">Der findes ingen specifik modgift, men CNS-stimulanser (f.eks. </w:t>
      </w:r>
      <w:r w:rsidR="00D3298A">
        <w:rPr>
          <w:sz w:val="24"/>
          <w:szCs w:val="24"/>
        </w:rPr>
        <w:t>d</w:t>
      </w:r>
      <w:r w:rsidRPr="00885151">
        <w:rPr>
          <w:sz w:val="24"/>
          <w:szCs w:val="24"/>
        </w:rPr>
        <w:t>oxapram) kan stimulere respirationscenteret. Giv iltbehandling.</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4.11</w:t>
      </w:r>
      <w:r w:rsidRPr="00885151">
        <w:rPr>
          <w:b/>
          <w:sz w:val="24"/>
          <w:szCs w:val="24"/>
        </w:rPr>
        <w:tab/>
        <w:t>Tilbageholdelsestid</w:t>
      </w:r>
    </w:p>
    <w:p w:rsidR="009F5C43" w:rsidRPr="00885151" w:rsidRDefault="00FA66E4" w:rsidP="00885151">
      <w:pPr>
        <w:ind w:left="851" w:hanging="851"/>
        <w:outlineLvl w:val="0"/>
        <w:rPr>
          <w:sz w:val="24"/>
          <w:szCs w:val="24"/>
        </w:rPr>
      </w:pPr>
      <w:r w:rsidRPr="00885151">
        <w:rPr>
          <w:sz w:val="24"/>
          <w:szCs w:val="24"/>
        </w:rPr>
        <w:tab/>
      </w:r>
      <w:r w:rsidR="009F5C43" w:rsidRPr="00885151">
        <w:rPr>
          <w:sz w:val="24"/>
          <w:szCs w:val="24"/>
        </w:rPr>
        <w:t>Ikke relevant.</w:t>
      </w:r>
    </w:p>
    <w:p w:rsidR="00FA66E4" w:rsidRPr="00885151" w:rsidRDefault="00FA66E4" w:rsidP="00885151">
      <w:pPr>
        <w:pStyle w:val="Sidehoved"/>
        <w:tabs>
          <w:tab w:val="clear" w:pos="4819"/>
          <w:tab w:val="clear" w:pos="9638"/>
        </w:tabs>
        <w:ind w:left="851" w:hanging="851"/>
        <w:rPr>
          <w:szCs w:val="24"/>
        </w:rPr>
      </w:pP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5.</w:t>
      </w:r>
      <w:r w:rsidRPr="00885151">
        <w:rPr>
          <w:b/>
          <w:sz w:val="24"/>
          <w:szCs w:val="24"/>
        </w:rPr>
        <w:tab/>
        <w:t>FARMAKOLOGISKE EGENSKABER</w:t>
      </w:r>
    </w:p>
    <w:p w:rsidR="009F5C43" w:rsidRPr="00885151" w:rsidRDefault="00885151" w:rsidP="00885151">
      <w:pPr>
        <w:ind w:left="851" w:hanging="851"/>
        <w:outlineLvl w:val="0"/>
        <w:rPr>
          <w:sz w:val="24"/>
          <w:szCs w:val="24"/>
        </w:rPr>
      </w:pPr>
      <w:r w:rsidRPr="00885151">
        <w:rPr>
          <w:sz w:val="24"/>
          <w:szCs w:val="24"/>
        </w:rPr>
        <w:tab/>
      </w:r>
      <w:r w:rsidR="009F5C43" w:rsidRPr="00885151">
        <w:rPr>
          <w:sz w:val="24"/>
          <w:szCs w:val="24"/>
        </w:rPr>
        <w:t>Farmakoterapeutisk gruppe: antiepileptika/barbiturater og derivativer</w:t>
      </w:r>
    </w:p>
    <w:p w:rsidR="009F5C43" w:rsidRPr="00885151" w:rsidRDefault="00885151" w:rsidP="00885151">
      <w:pPr>
        <w:ind w:left="851" w:hanging="851"/>
        <w:rPr>
          <w:sz w:val="24"/>
          <w:szCs w:val="24"/>
        </w:rPr>
      </w:pPr>
      <w:r w:rsidRPr="00885151">
        <w:rPr>
          <w:sz w:val="24"/>
          <w:szCs w:val="24"/>
        </w:rPr>
        <w:tab/>
      </w:r>
      <w:r w:rsidR="009F5C43" w:rsidRPr="00885151">
        <w:rPr>
          <w:sz w:val="24"/>
          <w:szCs w:val="24"/>
        </w:rPr>
        <w:t>ATCvet-kode: QN03AA02</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5.1</w:t>
      </w:r>
      <w:r w:rsidRPr="00885151">
        <w:rPr>
          <w:b/>
          <w:sz w:val="24"/>
          <w:szCs w:val="24"/>
        </w:rPr>
        <w:tab/>
        <w:t>Farmakodynamiske egenskaber</w:t>
      </w:r>
    </w:p>
    <w:p w:rsidR="009F5C43" w:rsidRPr="00885151" w:rsidRDefault="00FA66E4" w:rsidP="00885151">
      <w:pPr>
        <w:ind w:left="851" w:hanging="851"/>
        <w:rPr>
          <w:sz w:val="24"/>
          <w:szCs w:val="24"/>
        </w:rPr>
      </w:pPr>
      <w:r w:rsidRPr="00885151">
        <w:rPr>
          <w:sz w:val="24"/>
          <w:szCs w:val="24"/>
        </w:rPr>
        <w:tab/>
      </w:r>
      <w:r w:rsidR="009F5C43" w:rsidRPr="00885151">
        <w:rPr>
          <w:sz w:val="24"/>
          <w:szCs w:val="24"/>
        </w:rPr>
        <w:t>Phenobarbitals antiepileptiske effekter skyldes sandsynligvis mindst to mekanismer: Nedsat monosynaptisk transmission, der formodentlig medfører reduceret neuronal excitabilitet, og en stigning i motor cortex' tærskel for elektrisk stimulering.</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5.2</w:t>
      </w:r>
      <w:r w:rsidRPr="00885151">
        <w:rPr>
          <w:b/>
          <w:sz w:val="24"/>
          <w:szCs w:val="24"/>
        </w:rPr>
        <w:tab/>
        <w:t>Farmakokinetiske egenskaber</w:t>
      </w:r>
    </w:p>
    <w:p w:rsidR="00885151" w:rsidRDefault="00885151" w:rsidP="00885151">
      <w:pPr>
        <w:ind w:left="851" w:hanging="851"/>
        <w:outlineLvl w:val="0"/>
        <w:rPr>
          <w:sz w:val="24"/>
          <w:szCs w:val="24"/>
        </w:rPr>
      </w:pPr>
    </w:p>
    <w:p w:rsidR="009F5C43" w:rsidRPr="00885151" w:rsidRDefault="009F5C43" w:rsidP="00885151">
      <w:pPr>
        <w:ind w:left="851"/>
        <w:outlineLvl w:val="0"/>
        <w:rPr>
          <w:sz w:val="24"/>
          <w:szCs w:val="24"/>
          <w:u w:val="single"/>
        </w:rPr>
      </w:pPr>
      <w:r w:rsidRPr="00885151">
        <w:rPr>
          <w:sz w:val="24"/>
          <w:szCs w:val="24"/>
          <w:u w:val="single"/>
        </w:rPr>
        <w:t>Absorption</w:t>
      </w:r>
    </w:p>
    <w:p w:rsidR="009F5C43" w:rsidRPr="00885151" w:rsidRDefault="009F5C43" w:rsidP="00885151">
      <w:pPr>
        <w:ind w:left="851"/>
        <w:rPr>
          <w:sz w:val="24"/>
          <w:szCs w:val="24"/>
        </w:rPr>
      </w:pPr>
      <w:r w:rsidRPr="00885151">
        <w:rPr>
          <w:sz w:val="24"/>
          <w:szCs w:val="24"/>
        </w:rPr>
        <w:t xml:space="preserve">Phenobarbital er en svag syre og absorberes derfor godt fra mave/tarmkanalen efter oral indgift til hunde, selvom maksimal plasmakoncentration først opnås 4-6 timer efter indgift. </w:t>
      </w:r>
    </w:p>
    <w:p w:rsidR="009F5C43" w:rsidRPr="00885151" w:rsidRDefault="009F5C43" w:rsidP="00885151">
      <w:pPr>
        <w:ind w:left="851"/>
        <w:rPr>
          <w:sz w:val="24"/>
          <w:szCs w:val="24"/>
        </w:rPr>
      </w:pPr>
    </w:p>
    <w:p w:rsidR="009F5C43" w:rsidRPr="00885151" w:rsidRDefault="009F5C43" w:rsidP="00885151">
      <w:pPr>
        <w:ind w:left="851"/>
        <w:rPr>
          <w:sz w:val="24"/>
          <w:szCs w:val="24"/>
          <w:u w:val="single"/>
        </w:rPr>
      </w:pPr>
      <w:r w:rsidRPr="00885151">
        <w:rPr>
          <w:sz w:val="24"/>
          <w:szCs w:val="24"/>
          <w:u w:val="single"/>
        </w:rPr>
        <w:t>Distribution</w:t>
      </w:r>
    </w:p>
    <w:p w:rsidR="009F5C43" w:rsidRPr="00885151" w:rsidRDefault="009F5C43" w:rsidP="00885151">
      <w:pPr>
        <w:ind w:left="851"/>
        <w:rPr>
          <w:sz w:val="24"/>
          <w:szCs w:val="24"/>
        </w:rPr>
      </w:pPr>
      <w:r w:rsidRPr="00885151">
        <w:rPr>
          <w:sz w:val="24"/>
          <w:szCs w:val="24"/>
        </w:rPr>
        <w:t>Phenobarbitals plasmaproteinbinding er 45 %, og distributionvolumen er 0,7 ± 0,15 l/kg. En steady state serumkoncentration opnås 8</w:t>
      </w:r>
      <w:r w:rsidRPr="00885151">
        <w:rPr>
          <w:sz w:val="24"/>
          <w:szCs w:val="24"/>
        </w:rPr>
        <w:noBreakHyphen/>
        <w:t>15,5 dage efter iværksættelse af behandlingen.</w:t>
      </w:r>
    </w:p>
    <w:p w:rsidR="009F5C43" w:rsidRPr="00885151" w:rsidRDefault="009F5C43" w:rsidP="00885151">
      <w:pPr>
        <w:ind w:left="851"/>
        <w:rPr>
          <w:sz w:val="24"/>
          <w:szCs w:val="24"/>
        </w:rPr>
      </w:pPr>
      <w:r w:rsidRPr="00885151">
        <w:rPr>
          <w:sz w:val="24"/>
          <w:szCs w:val="24"/>
        </w:rPr>
        <w:t xml:space="preserve">Phenobarbital er rimelig fedtopløselig og krydser blod-hjerne-barrieren langsomt. Barbiturat-virkningen udvikles derfor langsomt, men vedvarer i længere tid. Grundet phenobarbitals moderate fedtopløselighed sker redistribution til adipøst væv langsomt. Phenobarbital </w:t>
      </w:r>
      <w:r w:rsidR="00D3298A">
        <w:rPr>
          <w:sz w:val="24"/>
          <w:szCs w:val="24"/>
        </w:rPr>
        <w:t>passerer</w:t>
      </w:r>
      <w:r w:rsidRPr="00885151">
        <w:rPr>
          <w:sz w:val="24"/>
          <w:szCs w:val="24"/>
        </w:rPr>
        <w:t xml:space="preserve"> placentabarrieren og udskilles i modermælk.</w:t>
      </w:r>
    </w:p>
    <w:p w:rsidR="009F5C43" w:rsidRPr="00885151" w:rsidRDefault="009F5C43" w:rsidP="00885151">
      <w:pPr>
        <w:ind w:left="851"/>
        <w:rPr>
          <w:sz w:val="24"/>
          <w:szCs w:val="24"/>
        </w:rPr>
      </w:pPr>
    </w:p>
    <w:p w:rsidR="009F5C43" w:rsidRPr="00885151" w:rsidRDefault="009F5C43" w:rsidP="00885151">
      <w:pPr>
        <w:ind w:left="851"/>
        <w:outlineLvl w:val="0"/>
        <w:rPr>
          <w:sz w:val="24"/>
          <w:szCs w:val="24"/>
          <w:u w:val="single"/>
        </w:rPr>
      </w:pPr>
      <w:r w:rsidRPr="00885151">
        <w:rPr>
          <w:sz w:val="24"/>
          <w:szCs w:val="24"/>
          <w:u w:val="single"/>
        </w:rPr>
        <w:t>Metabolisme</w:t>
      </w:r>
    </w:p>
    <w:p w:rsidR="009F5C43" w:rsidRPr="00885151" w:rsidRDefault="009F5C43" w:rsidP="00885151">
      <w:pPr>
        <w:ind w:left="851"/>
        <w:rPr>
          <w:sz w:val="24"/>
          <w:szCs w:val="24"/>
        </w:rPr>
      </w:pPr>
      <w:r w:rsidRPr="00885151">
        <w:rPr>
          <w:sz w:val="24"/>
          <w:szCs w:val="24"/>
        </w:rPr>
        <w:t>Phenobarbital omdannes i leveren til p-hydroxy-phenobarbital, som - grundet en ringere antiepileptisk effekt - ikke længere bidrager signifikant til phenobarbitals aktivitet. Barbiturater medfører induktion af enzymer og accelererer derved nedbrydningen af dem selv.</w:t>
      </w:r>
    </w:p>
    <w:p w:rsidR="009F5C43" w:rsidRPr="00885151" w:rsidRDefault="009F5C43" w:rsidP="00885151">
      <w:pPr>
        <w:ind w:left="851"/>
        <w:rPr>
          <w:sz w:val="24"/>
          <w:szCs w:val="24"/>
        </w:rPr>
      </w:pPr>
    </w:p>
    <w:p w:rsidR="009F5C43" w:rsidRPr="00885151" w:rsidRDefault="009F5C43" w:rsidP="00885151">
      <w:pPr>
        <w:ind w:left="851"/>
        <w:outlineLvl w:val="0"/>
        <w:rPr>
          <w:sz w:val="24"/>
          <w:szCs w:val="24"/>
          <w:u w:val="single"/>
        </w:rPr>
      </w:pPr>
      <w:r w:rsidRPr="00885151">
        <w:rPr>
          <w:sz w:val="24"/>
          <w:szCs w:val="24"/>
          <w:u w:val="single"/>
        </w:rPr>
        <w:t>Elimination</w:t>
      </w:r>
    </w:p>
    <w:p w:rsidR="009F5C43" w:rsidRPr="00885151" w:rsidRDefault="009F5C43" w:rsidP="00885151">
      <w:pPr>
        <w:ind w:left="851"/>
        <w:rPr>
          <w:sz w:val="24"/>
          <w:szCs w:val="24"/>
        </w:rPr>
      </w:pPr>
      <w:r w:rsidRPr="00885151">
        <w:rPr>
          <w:sz w:val="24"/>
          <w:szCs w:val="24"/>
        </w:rPr>
        <w:t>Ca. 25 % af den indgivne dosis udskilles i urinen i uomdannet form (eliminationshalveringstid: 37</w:t>
      </w:r>
      <w:r w:rsidRPr="00885151">
        <w:rPr>
          <w:sz w:val="24"/>
          <w:szCs w:val="24"/>
        </w:rPr>
        <w:noBreakHyphen/>
        <w:t>75 timer), og ca. 75 % udskilles som p-hydroxy-phenobarbital glucuronid og sulfatderivater og som p-hydroxy-phenobarbital. Efter daglig indgift af 5,5 mg phenobarbital pr. kg legemsvægt i 90 dage ses en lavere eliminationshalveringstid (fra 88,7 ± 19,6 til 47,5± 10,7 timer).</w:t>
      </w:r>
    </w:p>
    <w:p w:rsidR="009F5C43" w:rsidRPr="00885151" w:rsidRDefault="009F5C43" w:rsidP="00885151">
      <w:pPr>
        <w:ind w:left="851"/>
        <w:rPr>
          <w:sz w:val="24"/>
          <w:szCs w:val="24"/>
        </w:rPr>
      </w:pPr>
      <w:r w:rsidRPr="00885151">
        <w:rPr>
          <w:sz w:val="24"/>
          <w:szCs w:val="24"/>
        </w:rPr>
        <w:t>Under alkaliske forhold accelereres udskillelsen af phenobarbital i urinen.</w:t>
      </w:r>
    </w:p>
    <w:p w:rsidR="009F5C43" w:rsidRPr="00885151" w:rsidRDefault="009F5C43" w:rsidP="00885151">
      <w:pPr>
        <w:ind w:left="851"/>
        <w:rPr>
          <w:sz w:val="24"/>
          <w:szCs w:val="24"/>
        </w:rPr>
      </w:pPr>
      <w:r w:rsidRPr="00885151">
        <w:rPr>
          <w:sz w:val="24"/>
          <w:szCs w:val="24"/>
        </w:rPr>
        <w:t>Der er stor individuel variation i graden af omsætningen af phenobarbital, som skyldes phenobarbitals effekt på mikrosomale leverenzymer. Variationer i eliminationshalveringstiden ses ikke kun dyrene imellem men også i det enkelte dyr.</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5.3</w:t>
      </w:r>
      <w:r w:rsidRPr="00885151">
        <w:rPr>
          <w:b/>
          <w:sz w:val="24"/>
          <w:szCs w:val="24"/>
        </w:rPr>
        <w:tab/>
        <w:t>Miljømæssige forhold</w:t>
      </w:r>
    </w:p>
    <w:p w:rsidR="00FA66E4" w:rsidRPr="00885151" w:rsidRDefault="00FA66E4" w:rsidP="00885151">
      <w:pPr>
        <w:ind w:left="851" w:hanging="851"/>
        <w:rPr>
          <w:sz w:val="24"/>
          <w:szCs w:val="24"/>
        </w:rPr>
      </w:pPr>
      <w:r w:rsidRPr="00885151">
        <w:rPr>
          <w:sz w:val="24"/>
          <w:szCs w:val="24"/>
        </w:rPr>
        <w:tab/>
      </w:r>
      <w:r w:rsidR="009F5C43" w:rsidRPr="00885151">
        <w:rPr>
          <w:sz w:val="24"/>
          <w:szCs w:val="24"/>
        </w:rPr>
        <w:t>-</w:t>
      </w:r>
    </w:p>
    <w:p w:rsidR="00FA66E4" w:rsidRPr="00885151" w:rsidRDefault="00FA66E4" w:rsidP="00885151">
      <w:pPr>
        <w:ind w:left="851" w:hanging="851"/>
        <w:rPr>
          <w:sz w:val="24"/>
          <w:szCs w:val="24"/>
        </w:rPr>
      </w:pPr>
    </w:p>
    <w:p w:rsidR="002B5043" w:rsidRDefault="002B5043">
      <w:pPr>
        <w:rPr>
          <w:sz w:val="24"/>
          <w:szCs w:val="24"/>
        </w:rPr>
      </w:pPr>
      <w:r>
        <w:rPr>
          <w:sz w:val="24"/>
          <w:szCs w:val="24"/>
        </w:rPr>
        <w:br w:type="page"/>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6.</w:t>
      </w:r>
      <w:r w:rsidRPr="00885151">
        <w:rPr>
          <w:b/>
          <w:sz w:val="24"/>
          <w:szCs w:val="24"/>
        </w:rPr>
        <w:tab/>
        <w:t>FARMACEUTISKE OPLYSNINGER</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6.1</w:t>
      </w:r>
      <w:r w:rsidRPr="00885151">
        <w:rPr>
          <w:b/>
          <w:sz w:val="24"/>
          <w:szCs w:val="24"/>
        </w:rPr>
        <w:tab/>
        <w:t>Hjælpestoffer</w:t>
      </w:r>
    </w:p>
    <w:p w:rsidR="009F5C43" w:rsidRPr="00885151" w:rsidRDefault="00FA66E4" w:rsidP="00885151">
      <w:pPr>
        <w:ind w:left="851" w:hanging="851"/>
        <w:outlineLvl w:val="0"/>
        <w:rPr>
          <w:sz w:val="24"/>
          <w:szCs w:val="24"/>
        </w:rPr>
      </w:pPr>
      <w:r w:rsidRPr="00885151">
        <w:rPr>
          <w:sz w:val="24"/>
          <w:szCs w:val="24"/>
        </w:rPr>
        <w:tab/>
      </w:r>
      <w:r w:rsidR="00D3298A">
        <w:rPr>
          <w:sz w:val="24"/>
          <w:szCs w:val="24"/>
        </w:rPr>
        <w:t>M</w:t>
      </w:r>
      <w:r w:rsidR="00D3298A" w:rsidRPr="00885151">
        <w:rPr>
          <w:sz w:val="24"/>
          <w:szCs w:val="24"/>
        </w:rPr>
        <w:t>ikrokrystallin</w:t>
      </w:r>
      <w:r w:rsidR="00D3298A">
        <w:rPr>
          <w:sz w:val="24"/>
          <w:szCs w:val="24"/>
        </w:rPr>
        <w:t>sk</w:t>
      </w:r>
      <w:r w:rsidR="00D3298A" w:rsidRPr="00885151">
        <w:rPr>
          <w:sz w:val="24"/>
          <w:szCs w:val="24"/>
        </w:rPr>
        <w:t xml:space="preserve"> </w:t>
      </w:r>
      <w:r w:rsidR="009F5C43" w:rsidRPr="00885151">
        <w:rPr>
          <w:sz w:val="24"/>
          <w:szCs w:val="24"/>
        </w:rPr>
        <w:t xml:space="preserve">cellulose </w:t>
      </w:r>
    </w:p>
    <w:p w:rsidR="009F5C43" w:rsidRPr="00885151" w:rsidRDefault="00885151" w:rsidP="00885151">
      <w:pPr>
        <w:ind w:left="851" w:hanging="851"/>
        <w:rPr>
          <w:sz w:val="24"/>
          <w:szCs w:val="24"/>
        </w:rPr>
      </w:pPr>
      <w:r>
        <w:rPr>
          <w:sz w:val="24"/>
          <w:szCs w:val="24"/>
        </w:rPr>
        <w:tab/>
      </w:r>
      <w:r w:rsidR="00D3298A">
        <w:rPr>
          <w:sz w:val="24"/>
          <w:szCs w:val="24"/>
        </w:rPr>
        <w:t>M</w:t>
      </w:r>
      <w:r w:rsidR="009F5C43" w:rsidRPr="00885151">
        <w:rPr>
          <w:sz w:val="24"/>
          <w:szCs w:val="24"/>
        </w:rPr>
        <w:t>ajsstivelse</w:t>
      </w:r>
    </w:p>
    <w:p w:rsidR="009F5C43" w:rsidRPr="00885151" w:rsidRDefault="00885151" w:rsidP="00885151">
      <w:pPr>
        <w:ind w:left="851" w:hanging="851"/>
        <w:rPr>
          <w:sz w:val="24"/>
          <w:szCs w:val="24"/>
        </w:rPr>
      </w:pPr>
      <w:r>
        <w:rPr>
          <w:sz w:val="24"/>
          <w:szCs w:val="24"/>
        </w:rPr>
        <w:tab/>
      </w:r>
      <w:r w:rsidR="00D3298A">
        <w:rPr>
          <w:sz w:val="24"/>
          <w:szCs w:val="24"/>
        </w:rPr>
        <w:t>G</w:t>
      </w:r>
      <w:r w:rsidR="009F5C43" w:rsidRPr="00885151">
        <w:rPr>
          <w:sz w:val="24"/>
          <w:szCs w:val="24"/>
        </w:rPr>
        <w:t>elatine</w:t>
      </w:r>
    </w:p>
    <w:p w:rsidR="009F5C43" w:rsidRPr="00885151" w:rsidRDefault="00885151" w:rsidP="00885151">
      <w:pPr>
        <w:ind w:left="851" w:hanging="851"/>
        <w:rPr>
          <w:sz w:val="24"/>
          <w:szCs w:val="24"/>
        </w:rPr>
      </w:pPr>
      <w:r>
        <w:rPr>
          <w:sz w:val="24"/>
          <w:szCs w:val="24"/>
        </w:rPr>
        <w:tab/>
      </w:r>
      <w:r w:rsidR="00D3298A">
        <w:rPr>
          <w:sz w:val="24"/>
          <w:szCs w:val="24"/>
        </w:rPr>
        <w:t>L</w:t>
      </w:r>
      <w:r w:rsidR="009F5C43" w:rsidRPr="00885151">
        <w:rPr>
          <w:sz w:val="24"/>
          <w:szCs w:val="24"/>
        </w:rPr>
        <w:t>actose monohydrat</w:t>
      </w:r>
    </w:p>
    <w:p w:rsidR="009F5C43" w:rsidRPr="00885151" w:rsidRDefault="00885151" w:rsidP="00885151">
      <w:pPr>
        <w:ind w:left="851" w:hanging="851"/>
        <w:rPr>
          <w:sz w:val="24"/>
          <w:szCs w:val="24"/>
        </w:rPr>
      </w:pPr>
      <w:r>
        <w:rPr>
          <w:sz w:val="24"/>
          <w:szCs w:val="24"/>
        </w:rPr>
        <w:tab/>
      </w:r>
      <w:r w:rsidR="00D3298A">
        <w:rPr>
          <w:sz w:val="24"/>
          <w:szCs w:val="24"/>
        </w:rPr>
        <w:t>S</w:t>
      </w:r>
      <w:r w:rsidR="009F5C43" w:rsidRPr="00885151">
        <w:rPr>
          <w:sz w:val="24"/>
          <w:szCs w:val="24"/>
        </w:rPr>
        <w:t>tearinsyre</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6.2</w:t>
      </w:r>
      <w:r w:rsidRPr="00885151">
        <w:rPr>
          <w:b/>
          <w:sz w:val="24"/>
          <w:szCs w:val="24"/>
        </w:rPr>
        <w:tab/>
        <w:t>Uforligeligheder</w:t>
      </w:r>
    </w:p>
    <w:p w:rsidR="009F5C43" w:rsidRPr="00885151" w:rsidRDefault="00FA66E4" w:rsidP="00885151">
      <w:pPr>
        <w:ind w:left="851" w:hanging="851"/>
        <w:outlineLvl w:val="0"/>
        <w:rPr>
          <w:sz w:val="24"/>
          <w:szCs w:val="24"/>
        </w:rPr>
      </w:pPr>
      <w:r w:rsidRPr="00885151">
        <w:rPr>
          <w:sz w:val="24"/>
          <w:szCs w:val="24"/>
        </w:rPr>
        <w:tab/>
      </w:r>
      <w:r w:rsidR="009F5C43" w:rsidRPr="00885151">
        <w:rPr>
          <w:sz w:val="24"/>
          <w:szCs w:val="24"/>
        </w:rPr>
        <w:t>Ikke relevant.</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6.3</w:t>
      </w:r>
      <w:r w:rsidRPr="00885151">
        <w:rPr>
          <w:b/>
          <w:sz w:val="24"/>
          <w:szCs w:val="24"/>
        </w:rPr>
        <w:tab/>
        <w:t>Opbevaringstid</w:t>
      </w:r>
    </w:p>
    <w:p w:rsidR="009F5C43" w:rsidRPr="00885151" w:rsidRDefault="00FA66E4" w:rsidP="00885151">
      <w:pPr>
        <w:ind w:left="851" w:hanging="851"/>
        <w:rPr>
          <w:sz w:val="24"/>
          <w:szCs w:val="24"/>
        </w:rPr>
      </w:pPr>
      <w:r w:rsidRPr="00885151">
        <w:rPr>
          <w:sz w:val="24"/>
          <w:szCs w:val="24"/>
        </w:rPr>
        <w:tab/>
      </w:r>
      <w:r w:rsidR="00D3298A">
        <w:rPr>
          <w:sz w:val="24"/>
          <w:szCs w:val="24"/>
        </w:rPr>
        <w:t>I</w:t>
      </w:r>
      <w:r w:rsidR="009F5C43" w:rsidRPr="00885151">
        <w:rPr>
          <w:sz w:val="24"/>
          <w:szCs w:val="24"/>
        </w:rPr>
        <w:t xml:space="preserve"> salgspakning: 5 år</w:t>
      </w:r>
    </w:p>
    <w:p w:rsidR="009F5C43" w:rsidRPr="00885151" w:rsidRDefault="00885151" w:rsidP="00885151">
      <w:pPr>
        <w:ind w:left="851" w:hanging="851"/>
        <w:rPr>
          <w:sz w:val="24"/>
          <w:szCs w:val="24"/>
        </w:rPr>
      </w:pPr>
      <w:r>
        <w:rPr>
          <w:sz w:val="24"/>
          <w:szCs w:val="24"/>
        </w:rPr>
        <w:tab/>
      </w:r>
      <w:r w:rsidR="00D3298A">
        <w:rPr>
          <w:sz w:val="24"/>
          <w:szCs w:val="24"/>
        </w:rPr>
        <w:t>E</w:t>
      </w:r>
      <w:r w:rsidR="009F5C43" w:rsidRPr="00885151">
        <w:rPr>
          <w:sz w:val="24"/>
          <w:szCs w:val="24"/>
        </w:rPr>
        <w:t>fter første åbning af den indre emballage: 3 måneder</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6.4</w:t>
      </w:r>
      <w:r w:rsidRPr="00885151">
        <w:rPr>
          <w:b/>
          <w:sz w:val="24"/>
          <w:szCs w:val="24"/>
        </w:rPr>
        <w:tab/>
        <w:t>Særlige opbevaringsforhold</w:t>
      </w:r>
    </w:p>
    <w:p w:rsidR="009F5C43" w:rsidRPr="00885151" w:rsidRDefault="00FA66E4" w:rsidP="00885151">
      <w:pPr>
        <w:ind w:left="851" w:hanging="851"/>
        <w:rPr>
          <w:b/>
          <w:sz w:val="24"/>
          <w:szCs w:val="24"/>
        </w:rPr>
      </w:pPr>
      <w:r w:rsidRPr="00885151">
        <w:rPr>
          <w:sz w:val="24"/>
          <w:szCs w:val="24"/>
        </w:rPr>
        <w:tab/>
      </w:r>
      <w:r w:rsidR="009F5C43" w:rsidRPr="00885151">
        <w:rPr>
          <w:sz w:val="24"/>
          <w:szCs w:val="24"/>
        </w:rPr>
        <w:t>Opbevares i den originale beholder.</w:t>
      </w:r>
    </w:p>
    <w:p w:rsidR="009F5C43" w:rsidRPr="00885151" w:rsidRDefault="009F5C43" w:rsidP="00885151">
      <w:pPr>
        <w:ind w:left="851" w:hanging="851"/>
        <w:rPr>
          <w:rFonts w:eastAsia="SimSun"/>
          <w:sz w:val="24"/>
          <w:szCs w:val="24"/>
        </w:rPr>
      </w:pPr>
    </w:p>
    <w:p w:rsidR="009F5C43" w:rsidRPr="00885151" w:rsidRDefault="00885151" w:rsidP="00885151">
      <w:pPr>
        <w:ind w:left="851" w:hanging="851"/>
        <w:rPr>
          <w:sz w:val="24"/>
          <w:szCs w:val="24"/>
        </w:rPr>
      </w:pPr>
      <w:r>
        <w:rPr>
          <w:sz w:val="24"/>
          <w:szCs w:val="24"/>
        </w:rPr>
        <w:tab/>
      </w:r>
      <w:r w:rsidR="009F5C43" w:rsidRPr="00885151">
        <w:rPr>
          <w:sz w:val="24"/>
          <w:szCs w:val="24"/>
        </w:rPr>
        <w:t>Dette veterinærlægemiddel kræver ingen særlige forholdsregler vedrørende opbevaringen.</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6.5</w:t>
      </w:r>
      <w:r w:rsidRPr="00885151">
        <w:rPr>
          <w:b/>
          <w:sz w:val="24"/>
          <w:szCs w:val="24"/>
        </w:rPr>
        <w:tab/>
        <w:t>Emballage</w:t>
      </w:r>
    </w:p>
    <w:p w:rsidR="009F5C43" w:rsidRPr="00885151" w:rsidRDefault="00FA66E4" w:rsidP="00CB12CC">
      <w:pPr>
        <w:ind w:left="851" w:hanging="851"/>
        <w:outlineLvl w:val="0"/>
        <w:rPr>
          <w:sz w:val="24"/>
          <w:szCs w:val="24"/>
        </w:rPr>
      </w:pPr>
      <w:r w:rsidRPr="00885151">
        <w:rPr>
          <w:sz w:val="24"/>
          <w:szCs w:val="24"/>
        </w:rPr>
        <w:tab/>
      </w:r>
      <w:r w:rsidR="009F5C43" w:rsidRPr="00885151">
        <w:rPr>
          <w:sz w:val="24"/>
          <w:szCs w:val="24"/>
        </w:rPr>
        <w:t xml:space="preserve">Æske indeholdende et brunt glas </w:t>
      </w:r>
      <w:r w:rsidR="00CB12CC">
        <w:rPr>
          <w:sz w:val="24"/>
          <w:szCs w:val="24"/>
        </w:rPr>
        <w:t>eller en hvid plastbeholder.</w:t>
      </w:r>
    </w:p>
    <w:p w:rsidR="009F5C43" w:rsidRDefault="00885151" w:rsidP="00885151">
      <w:pPr>
        <w:ind w:left="851" w:hanging="851"/>
        <w:rPr>
          <w:sz w:val="24"/>
          <w:szCs w:val="24"/>
        </w:rPr>
      </w:pPr>
      <w:r>
        <w:rPr>
          <w:sz w:val="24"/>
          <w:szCs w:val="24"/>
        </w:rPr>
        <w:tab/>
      </w:r>
      <w:r w:rsidR="009F5C43" w:rsidRPr="00885151">
        <w:rPr>
          <w:sz w:val="24"/>
          <w:szCs w:val="24"/>
        </w:rPr>
        <w:t>Glassene (glastype III) er lukket med et børnesikret plastlåg og en polyetylenindsats.</w:t>
      </w:r>
    </w:p>
    <w:p w:rsidR="00CB12CC" w:rsidRPr="00885151" w:rsidRDefault="00CB12CC" w:rsidP="00885151">
      <w:pPr>
        <w:ind w:left="851" w:hanging="851"/>
        <w:rPr>
          <w:sz w:val="24"/>
          <w:szCs w:val="24"/>
        </w:rPr>
      </w:pPr>
      <w:r>
        <w:rPr>
          <w:sz w:val="24"/>
          <w:szCs w:val="24"/>
        </w:rPr>
        <w:tab/>
        <w:t>De hvide plastbeholdere (polyetylen) er lukket med et hvidt, børnesikret skruelåg af polypropylen.</w:t>
      </w:r>
    </w:p>
    <w:p w:rsidR="009F5C43" w:rsidRPr="00885151" w:rsidRDefault="00885151" w:rsidP="00885151">
      <w:pPr>
        <w:ind w:left="851" w:hanging="851"/>
        <w:rPr>
          <w:sz w:val="24"/>
          <w:szCs w:val="24"/>
        </w:rPr>
      </w:pPr>
      <w:r>
        <w:rPr>
          <w:sz w:val="24"/>
          <w:szCs w:val="24"/>
        </w:rPr>
        <w:tab/>
      </w:r>
      <w:r w:rsidR="009F5C43" w:rsidRPr="00885151">
        <w:rPr>
          <w:sz w:val="24"/>
          <w:szCs w:val="24"/>
        </w:rPr>
        <w:t>Pakningsstørrelser: 1 x 50, 1 x 100 eller 2 x 100 (= 200 tabletter)</w:t>
      </w:r>
    </w:p>
    <w:p w:rsidR="009F5C43" w:rsidRPr="00885151" w:rsidRDefault="009F5C43" w:rsidP="00885151">
      <w:pPr>
        <w:ind w:left="851" w:hanging="851"/>
        <w:rPr>
          <w:sz w:val="24"/>
          <w:szCs w:val="24"/>
        </w:rPr>
      </w:pPr>
    </w:p>
    <w:p w:rsidR="009F5C43" w:rsidRPr="00885151" w:rsidRDefault="00885151" w:rsidP="00885151">
      <w:pPr>
        <w:ind w:left="851" w:hanging="851"/>
        <w:outlineLvl w:val="0"/>
        <w:rPr>
          <w:sz w:val="24"/>
          <w:szCs w:val="24"/>
        </w:rPr>
      </w:pPr>
      <w:r>
        <w:rPr>
          <w:sz w:val="24"/>
          <w:szCs w:val="24"/>
        </w:rPr>
        <w:tab/>
      </w:r>
      <w:r w:rsidR="009F5C43" w:rsidRPr="00885151">
        <w:rPr>
          <w:sz w:val="24"/>
          <w:szCs w:val="24"/>
        </w:rPr>
        <w:t>Ikke alle pakningsstørrelser er nødvendigvis markedsført.</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6.6</w:t>
      </w:r>
      <w:r w:rsidRPr="00885151">
        <w:rPr>
          <w:b/>
          <w:sz w:val="24"/>
          <w:szCs w:val="24"/>
        </w:rPr>
        <w:tab/>
        <w:t>Særlige forholdsregler ved bortskaffelse af rester af lægemidlet eller affald</w:t>
      </w:r>
    </w:p>
    <w:p w:rsidR="009F5C43" w:rsidRPr="00885151" w:rsidRDefault="00FA66E4" w:rsidP="00885151">
      <w:pPr>
        <w:ind w:left="851" w:hanging="851"/>
        <w:rPr>
          <w:sz w:val="24"/>
          <w:szCs w:val="24"/>
        </w:rPr>
      </w:pPr>
      <w:r w:rsidRPr="00885151">
        <w:rPr>
          <w:sz w:val="24"/>
          <w:szCs w:val="24"/>
        </w:rPr>
        <w:tab/>
      </w:r>
      <w:r w:rsidR="009F5C43" w:rsidRPr="00885151">
        <w:rPr>
          <w:sz w:val="24"/>
          <w:szCs w:val="24"/>
        </w:rPr>
        <w:t>Ikke anvendte veterinærlægemidler, samt affald heraf bør destrueres i henhold til lokale retningslinjer.</w:t>
      </w:r>
    </w:p>
    <w:p w:rsidR="00FA66E4" w:rsidRPr="00885151" w:rsidRDefault="00FA66E4" w:rsidP="00885151">
      <w:pPr>
        <w:ind w:left="851" w:hanging="851"/>
        <w:rPr>
          <w:b/>
          <w:sz w:val="24"/>
          <w:szCs w:val="24"/>
        </w:rPr>
      </w:pPr>
    </w:p>
    <w:p w:rsidR="00FA66E4" w:rsidRPr="00885151" w:rsidRDefault="00FA66E4" w:rsidP="00885151">
      <w:pPr>
        <w:ind w:left="851" w:hanging="851"/>
        <w:rPr>
          <w:b/>
          <w:sz w:val="24"/>
          <w:szCs w:val="24"/>
        </w:rPr>
      </w:pPr>
      <w:r w:rsidRPr="00885151">
        <w:rPr>
          <w:b/>
          <w:sz w:val="24"/>
          <w:szCs w:val="24"/>
        </w:rPr>
        <w:t>7.</w:t>
      </w:r>
      <w:r w:rsidRPr="00885151">
        <w:rPr>
          <w:b/>
          <w:sz w:val="24"/>
          <w:szCs w:val="24"/>
        </w:rPr>
        <w:tab/>
        <w:t>INDEHAVER AF MARKEDSFØRINGSTILLADELSEN</w:t>
      </w:r>
    </w:p>
    <w:p w:rsidR="009F5C43" w:rsidRPr="00885151" w:rsidRDefault="00FA66E4" w:rsidP="00885151">
      <w:pPr>
        <w:ind w:left="851" w:right="-318" w:hanging="851"/>
        <w:rPr>
          <w:sz w:val="24"/>
          <w:szCs w:val="24"/>
          <w:lang w:val="de-DE"/>
        </w:rPr>
      </w:pPr>
      <w:r w:rsidRPr="00885151">
        <w:rPr>
          <w:sz w:val="24"/>
          <w:szCs w:val="24"/>
        </w:rPr>
        <w:tab/>
      </w:r>
      <w:r w:rsidR="009F5C43" w:rsidRPr="00885151">
        <w:rPr>
          <w:sz w:val="24"/>
          <w:szCs w:val="24"/>
          <w:lang w:val="de-DE"/>
        </w:rPr>
        <w:t>Desitin Arzneimittel GmbH</w:t>
      </w:r>
      <w:r w:rsidR="009F5C43" w:rsidRPr="00885151">
        <w:rPr>
          <w:sz w:val="24"/>
          <w:szCs w:val="24"/>
          <w:lang w:val="de-DE"/>
        </w:rPr>
        <w:br/>
        <w:t xml:space="preserve">Weg beim Jäger 214 </w:t>
      </w:r>
      <w:r w:rsidR="009F5C43" w:rsidRPr="00885151">
        <w:rPr>
          <w:sz w:val="24"/>
          <w:szCs w:val="24"/>
          <w:lang w:val="de-DE"/>
        </w:rPr>
        <w:br/>
        <w:t>22335 Hamburg</w:t>
      </w:r>
    </w:p>
    <w:p w:rsidR="009F5C43" w:rsidRPr="00A73E13" w:rsidRDefault="00885151" w:rsidP="00885151">
      <w:pPr>
        <w:ind w:left="851" w:hanging="851"/>
        <w:rPr>
          <w:sz w:val="24"/>
          <w:szCs w:val="24"/>
        </w:rPr>
      </w:pPr>
      <w:r w:rsidRPr="00A73E13">
        <w:rPr>
          <w:sz w:val="24"/>
          <w:szCs w:val="24"/>
        </w:rPr>
        <w:tab/>
      </w:r>
      <w:r w:rsidR="009F5C43" w:rsidRPr="00A73E13">
        <w:rPr>
          <w:sz w:val="24"/>
          <w:szCs w:val="24"/>
        </w:rPr>
        <w:t>Tyskland</w:t>
      </w:r>
    </w:p>
    <w:p w:rsidR="009F5C43" w:rsidRPr="00A73E13" w:rsidRDefault="009F5C43" w:rsidP="00885151">
      <w:pPr>
        <w:ind w:left="851" w:hanging="851"/>
        <w:rPr>
          <w:sz w:val="24"/>
          <w:szCs w:val="24"/>
        </w:rPr>
      </w:pPr>
    </w:p>
    <w:p w:rsidR="00724B19" w:rsidRPr="00D3298A" w:rsidRDefault="00885151" w:rsidP="00885151">
      <w:pPr>
        <w:ind w:left="851"/>
        <w:rPr>
          <w:b/>
          <w:sz w:val="24"/>
          <w:szCs w:val="24"/>
        </w:rPr>
      </w:pPr>
      <w:r w:rsidRPr="00D3298A">
        <w:rPr>
          <w:b/>
          <w:sz w:val="24"/>
          <w:szCs w:val="24"/>
        </w:rPr>
        <w:t>Repræsentant</w:t>
      </w:r>
    </w:p>
    <w:p w:rsidR="00724B19" w:rsidRPr="00A73E13" w:rsidRDefault="00724B19" w:rsidP="00885151">
      <w:pPr>
        <w:ind w:left="851"/>
        <w:rPr>
          <w:sz w:val="24"/>
          <w:szCs w:val="24"/>
        </w:rPr>
      </w:pPr>
      <w:r w:rsidRPr="00A73E13">
        <w:rPr>
          <w:sz w:val="24"/>
          <w:szCs w:val="24"/>
        </w:rPr>
        <w:t>V</w:t>
      </w:r>
      <w:r w:rsidR="00D3298A">
        <w:rPr>
          <w:sz w:val="24"/>
          <w:szCs w:val="24"/>
        </w:rPr>
        <w:t>irbac</w:t>
      </w:r>
      <w:r w:rsidRPr="00A73E13">
        <w:rPr>
          <w:sz w:val="24"/>
          <w:szCs w:val="24"/>
        </w:rPr>
        <w:t xml:space="preserve"> Danmark A/S</w:t>
      </w:r>
    </w:p>
    <w:p w:rsidR="00885151" w:rsidRPr="00A73E13" w:rsidRDefault="00724B19" w:rsidP="00885151">
      <w:pPr>
        <w:ind w:left="851"/>
        <w:rPr>
          <w:sz w:val="24"/>
          <w:szCs w:val="24"/>
        </w:rPr>
      </w:pPr>
      <w:r w:rsidRPr="00A73E13">
        <w:rPr>
          <w:sz w:val="24"/>
          <w:szCs w:val="24"/>
        </w:rPr>
        <w:t>Profilvej 1</w:t>
      </w:r>
    </w:p>
    <w:p w:rsidR="00724B19" w:rsidRPr="00A73E13" w:rsidRDefault="00724B19" w:rsidP="00885151">
      <w:pPr>
        <w:ind w:left="851"/>
        <w:rPr>
          <w:sz w:val="24"/>
          <w:szCs w:val="24"/>
        </w:rPr>
      </w:pPr>
      <w:r w:rsidRPr="00A73E13">
        <w:rPr>
          <w:sz w:val="24"/>
          <w:szCs w:val="24"/>
        </w:rPr>
        <w:t>6000 Kolding</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8.</w:t>
      </w:r>
      <w:r w:rsidRPr="00885151">
        <w:rPr>
          <w:b/>
          <w:sz w:val="24"/>
          <w:szCs w:val="24"/>
        </w:rPr>
        <w:tab/>
        <w:t>MARKEDSFØRINGSTILLADELSESNUMMER (NUMRE)</w:t>
      </w:r>
    </w:p>
    <w:p w:rsidR="00FA66E4" w:rsidRPr="00885151" w:rsidRDefault="00FA66E4" w:rsidP="00885151">
      <w:pPr>
        <w:ind w:left="851" w:hanging="851"/>
        <w:rPr>
          <w:sz w:val="24"/>
          <w:szCs w:val="24"/>
        </w:rPr>
      </w:pPr>
      <w:r w:rsidRPr="00885151">
        <w:rPr>
          <w:sz w:val="24"/>
          <w:szCs w:val="24"/>
        </w:rPr>
        <w:tab/>
      </w:r>
      <w:r w:rsidR="00724B19" w:rsidRPr="00885151">
        <w:rPr>
          <w:sz w:val="24"/>
          <w:szCs w:val="24"/>
        </w:rPr>
        <w:t>51844</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9.</w:t>
      </w:r>
      <w:r w:rsidRPr="00885151">
        <w:rPr>
          <w:b/>
          <w:sz w:val="24"/>
          <w:szCs w:val="24"/>
        </w:rPr>
        <w:tab/>
        <w:t>DATO FOR FØRSTE MARKEDSFØRINGSTILLADELSE</w:t>
      </w:r>
    </w:p>
    <w:p w:rsidR="00FA66E4" w:rsidRPr="00885151" w:rsidRDefault="00FA66E4" w:rsidP="00885151">
      <w:pPr>
        <w:ind w:left="851" w:hanging="851"/>
        <w:rPr>
          <w:sz w:val="24"/>
          <w:szCs w:val="24"/>
        </w:rPr>
      </w:pPr>
      <w:r w:rsidRPr="00885151">
        <w:rPr>
          <w:sz w:val="24"/>
          <w:szCs w:val="24"/>
        </w:rPr>
        <w:tab/>
      </w:r>
      <w:r w:rsidR="00D3298A">
        <w:rPr>
          <w:sz w:val="24"/>
          <w:szCs w:val="24"/>
        </w:rPr>
        <w:t>6</w:t>
      </w:r>
      <w:r w:rsidR="00724B19" w:rsidRPr="00885151">
        <w:rPr>
          <w:sz w:val="24"/>
          <w:szCs w:val="24"/>
        </w:rPr>
        <w:t>. februar 2014</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10.</w:t>
      </w:r>
      <w:r w:rsidRPr="00885151">
        <w:rPr>
          <w:b/>
          <w:sz w:val="24"/>
          <w:szCs w:val="24"/>
        </w:rPr>
        <w:tab/>
        <w:t>DATO FOR ÆNDRING AF TEKSTEN</w:t>
      </w:r>
    </w:p>
    <w:p w:rsidR="00FA66E4" w:rsidRPr="00885151" w:rsidRDefault="00FA66E4" w:rsidP="00885151">
      <w:pPr>
        <w:ind w:left="851" w:hanging="851"/>
        <w:rPr>
          <w:sz w:val="24"/>
          <w:szCs w:val="24"/>
        </w:rPr>
      </w:pPr>
      <w:r w:rsidRPr="00885151">
        <w:rPr>
          <w:sz w:val="24"/>
          <w:szCs w:val="24"/>
        </w:rPr>
        <w:tab/>
      </w:r>
      <w:r w:rsidR="002B5043">
        <w:rPr>
          <w:sz w:val="24"/>
          <w:szCs w:val="24"/>
        </w:rPr>
        <w:t>8. juli 2016</w:t>
      </w:r>
    </w:p>
    <w:p w:rsidR="00FA66E4" w:rsidRPr="00885151" w:rsidRDefault="00FA66E4" w:rsidP="00885151">
      <w:pPr>
        <w:ind w:left="851" w:hanging="851"/>
        <w:rPr>
          <w:sz w:val="24"/>
          <w:szCs w:val="24"/>
        </w:rPr>
      </w:pPr>
    </w:p>
    <w:p w:rsidR="00FA66E4" w:rsidRPr="00885151" w:rsidRDefault="00FA66E4" w:rsidP="00885151">
      <w:pPr>
        <w:ind w:left="851" w:hanging="851"/>
        <w:rPr>
          <w:b/>
          <w:sz w:val="24"/>
          <w:szCs w:val="24"/>
        </w:rPr>
      </w:pPr>
      <w:r w:rsidRPr="00885151">
        <w:rPr>
          <w:b/>
          <w:sz w:val="24"/>
          <w:szCs w:val="24"/>
        </w:rPr>
        <w:t>11.</w:t>
      </w:r>
      <w:r w:rsidRPr="00885151">
        <w:rPr>
          <w:b/>
          <w:sz w:val="24"/>
          <w:szCs w:val="24"/>
        </w:rPr>
        <w:tab/>
        <w:t>UDLEVERINGSBESTEMMELSE</w:t>
      </w:r>
    </w:p>
    <w:p w:rsidR="0003527F" w:rsidRPr="00885151" w:rsidRDefault="00FA66E4" w:rsidP="00885151">
      <w:pPr>
        <w:pStyle w:val="Sidehoved"/>
        <w:tabs>
          <w:tab w:val="clear" w:pos="4819"/>
          <w:tab w:val="clear" w:pos="9638"/>
        </w:tabs>
        <w:ind w:left="851" w:hanging="851"/>
        <w:rPr>
          <w:szCs w:val="24"/>
        </w:rPr>
      </w:pPr>
      <w:r w:rsidRPr="00885151">
        <w:rPr>
          <w:szCs w:val="24"/>
        </w:rPr>
        <w:tab/>
      </w:r>
      <w:r w:rsidR="00724B19" w:rsidRPr="00885151">
        <w:rPr>
          <w:szCs w:val="24"/>
        </w:rPr>
        <w:t>A</w:t>
      </w:r>
    </w:p>
    <w:sectPr w:rsidR="0003527F" w:rsidRPr="00885151" w:rsidSect="00407013">
      <w:headerReference w:type="default" r:id="rId9"/>
      <w:footerReference w:type="default" r:id="rId10"/>
      <w:headerReference w:type="first" r:id="rId11"/>
      <w:footerReference w:type="first" r:id="rId12"/>
      <w:pgSz w:w="11906" w:h="16838" w:code="9"/>
      <w:pgMar w:top="709"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E13" w:rsidRDefault="00A73E13">
      <w:r>
        <w:separator/>
      </w:r>
    </w:p>
  </w:endnote>
  <w:endnote w:type="continuationSeparator" w:id="0">
    <w:p w:rsidR="00A73E13" w:rsidRDefault="00A7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altName w:val="Calisto MT"/>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E13" w:rsidRDefault="00A73E13">
    <w:pPr>
      <w:pStyle w:val="Sidefod"/>
      <w:pBdr>
        <w:bottom w:val="single" w:sz="6" w:space="1" w:color="auto"/>
      </w:pBdr>
      <w:tabs>
        <w:tab w:val="clear" w:pos="4819"/>
        <w:tab w:val="left" w:pos="8647"/>
      </w:tabs>
      <w:rPr>
        <w:i/>
        <w:snapToGrid w:val="0"/>
        <w:sz w:val="18"/>
      </w:rPr>
    </w:pPr>
  </w:p>
  <w:p w:rsidR="00A73E13" w:rsidRDefault="00A73E13">
    <w:pPr>
      <w:pStyle w:val="Sidefod"/>
      <w:tabs>
        <w:tab w:val="clear" w:pos="4819"/>
        <w:tab w:val="left" w:pos="8647"/>
      </w:tabs>
      <w:rPr>
        <w:i/>
        <w:snapToGrid w:val="0"/>
        <w:sz w:val="18"/>
      </w:rPr>
    </w:pPr>
  </w:p>
  <w:p w:rsidR="00A73E13" w:rsidRDefault="005B5A8A">
    <w:pPr>
      <w:pStyle w:val="Sidefod"/>
      <w:tabs>
        <w:tab w:val="clear" w:pos="4819"/>
        <w:tab w:val="left" w:pos="8647"/>
      </w:tabs>
      <w:rPr>
        <w:i/>
        <w:sz w:val="18"/>
      </w:rPr>
    </w:pPr>
    <w:r>
      <w:rPr>
        <w:i/>
        <w:snapToGrid w:val="0"/>
        <w:sz w:val="18"/>
      </w:rPr>
      <w:fldChar w:fldCharType="begin"/>
    </w:r>
    <w:r w:rsidR="00A73E13">
      <w:rPr>
        <w:i/>
        <w:snapToGrid w:val="0"/>
        <w:sz w:val="18"/>
      </w:rPr>
      <w:instrText xml:space="preserve"> FILENAME </w:instrText>
    </w:r>
    <w:r>
      <w:rPr>
        <w:i/>
        <w:snapToGrid w:val="0"/>
        <w:sz w:val="18"/>
      </w:rPr>
      <w:fldChar w:fldCharType="separate"/>
    </w:r>
    <w:r w:rsidR="007B22FB">
      <w:rPr>
        <w:i/>
        <w:noProof/>
        <w:snapToGrid w:val="0"/>
        <w:sz w:val="18"/>
      </w:rPr>
      <w:t>Epirepress, tabletter 15 mg</w:t>
    </w:r>
    <w:r>
      <w:rPr>
        <w:i/>
        <w:snapToGrid w:val="0"/>
        <w:sz w:val="18"/>
      </w:rPr>
      <w:fldChar w:fldCharType="end"/>
    </w:r>
    <w:r w:rsidR="00A73E13">
      <w:rPr>
        <w:i/>
        <w:snapToGrid w:val="0"/>
        <w:sz w:val="18"/>
      </w:rPr>
      <w:tab/>
      <w:t xml:space="preserve">Side </w:t>
    </w:r>
    <w:r>
      <w:rPr>
        <w:i/>
        <w:snapToGrid w:val="0"/>
        <w:sz w:val="18"/>
      </w:rPr>
      <w:fldChar w:fldCharType="begin"/>
    </w:r>
    <w:r w:rsidR="00A73E13">
      <w:rPr>
        <w:i/>
        <w:snapToGrid w:val="0"/>
        <w:sz w:val="18"/>
      </w:rPr>
      <w:instrText xml:space="preserve"> PAGE </w:instrText>
    </w:r>
    <w:r>
      <w:rPr>
        <w:i/>
        <w:snapToGrid w:val="0"/>
        <w:sz w:val="18"/>
      </w:rPr>
      <w:fldChar w:fldCharType="separate"/>
    </w:r>
    <w:r w:rsidR="007B22FB">
      <w:rPr>
        <w:i/>
        <w:noProof/>
        <w:snapToGrid w:val="0"/>
        <w:sz w:val="18"/>
      </w:rPr>
      <w:t>8</w:t>
    </w:r>
    <w:r>
      <w:rPr>
        <w:i/>
        <w:snapToGrid w:val="0"/>
        <w:sz w:val="18"/>
      </w:rPr>
      <w:fldChar w:fldCharType="end"/>
    </w:r>
    <w:r w:rsidR="00A73E13">
      <w:rPr>
        <w:i/>
        <w:snapToGrid w:val="0"/>
        <w:sz w:val="18"/>
      </w:rPr>
      <w:t xml:space="preserve"> af </w:t>
    </w:r>
    <w:r>
      <w:rPr>
        <w:i/>
        <w:snapToGrid w:val="0"/>
        <w:sz w:val="18"/>
      </w:rPr>
      <w:fldChar w:fldCharType="begin"/>
    </w:r>
    <w:r w:rsidR="00A73E13">
      <w:rPr>
        <w:i/>
        <w:snapToGrid w:val="0"/>
        <w:sz w:val="18"/>
      </w:rPr>
      <w:instrText xml:space="preserve"> NUMPAGES </w:instrText>
    </w:r>
    <w:r>
      <w:rPr>
        <w:i/>
        <w:snapToGrid w:val="0"/>
        <w:sz w:val="18"/>
      </w:rPr>
      <w:fldChar w:fldCharType="separate"/>
    </w:r>
    <w:r w:rsidR="007B22FB">
      <w:rPr>
        <w:i/>
        <w:noProof/>
        <w:snapToGrid w:val="0"/>
        <w:sz w:val="18"/>
      </w:rPr>
      <w:t>8</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E13" w:rsidRDefault="00A73E13">
    <w:pPr>
      <w:pStyle w:val="Sidefod"/>
      <w:pBdr>
        <w:bottom w:val="single" w:sz="6" w:space="1" w:color="auto"/>
      </w:pBdr>
      <w:tabs>
        <w:tab w:val="clear" w:pos="4819"/>
        <w:tab w:val="left" w:pos="8647"/>
      </w:tabs>
      <w:rPr>
        <w:i/>
        <w:snapToGrid w:val="0"/>
        <w:sz w:val="18"/>
      </w:rPr>
    </w:pPr>
  </w:p>
  <w:p w:rsidR="00A73E13" w:rsidRDefault="00A73E13">
    <w:pPr>
      <w:pStyle w:val="Sidefod"/>
      <w:tabs>
        <w:tab w:val="clear" w:pos="4819"/>
        <w:tab w:val="left" w:pos="8647"/>
      </w:tabs>
      <w:rPr>
        <w:i/>
        <w:snapToGrid w:val="0"/>
        <w:sz w:val="18"/>
      </w:rPr>
    </w:pPr>
  </w:p>
  <w:p w:rsidR="00A73E13" w:rsidRDefault="005B5A8A">
    <w:pPr>
      <w:pStyle w:val="Sidefod"/>
      <w:tabs>
        <w:tab w:val="clear" w:pos="4819"/>
        <w:tab w:val="left" w:pos="8647"/>
      </w:tabs>
      <w:rPr>
        <w:i/>
        <w:sz w:val="18"/>
      </w:rPr>
    </w:pPr>
    <w:r>
      <w:rPr>
        <w:i/>
        <w:snapToGrid w:val="0"/>
        <w:sz w:val="18"/>
      </w:rPr>
      <w:fldChar w:fldCharType="begin"/>
    </w:r>
    <w:r w:rsidR="00A73E13">
      <w:rPr>
        <w:i/>
        <w:snapToGrid w:val="0"/>
        <w:sz w:val="18"/>
      </w:rPr>
      <w:instrText xml:space="preserve"> FILENAME </w:instrText>
    </w:r>
    <w:r>
      <w:rPr>
        <w:i/>
        <w:snapToGrid w:val="0"/>
        <w:sz w:val="18"/>
      </w:rPr>
      <w:fldChar w:fldCharType="separate"/>
    </w:r>
    <w:r w:rsidR="007B22FB">
      <w:rPr>
        <w:i/>
        <w:noProof/>
        <w:snapToGrid w:val="0"/>
        <w:sz w:val="18"/>
      </w:rPr>
      <w:t>Epirepress, tabletter 15 mg</w:t>
    </w:r>
    <w:r>
      <w:rPr>
        <w:i/>
        <w:snapToGrid w:val="0"/>
        <w:sz w:val="18"/>
      </w:rPr>
      <w:fldChar w:fldCharType="end"/>
    </w:r>
    <w:r w:rsidR="00A73E13">
      <w:rPr>
        <w:i/>
        <w:snapToGrid w:val="0"/>
        <w:sz w:val="18"/>
      </w:rPr>
      <w:tab/>
      <w:t xml:space="preserve">Side </w:t>
    </w:r>
    <w:r>
      <w:rPr>
        <w:i/>
        <w:snapToGrid w:val="0"/>
        <w:sz w:val="18"/>
      </w:rPr>
      <w:fldChar w:fldCharType="begin"/>
    </w:r>
    <w:r w:rsidR="00A73E13">
      <w:rPr>
        <w:i/>
        <w:snapToGrid w:val="0"/>
        <w:sz w:val="18"/>
      </w:rPr>
      <w:instrText xml:space="preserve"> PAGE </w:instrText>
    </w:r>
    <w:r>
      <w:rPr>
        <w:i/>
        <w:snapToGrid w:val="0"/>
        <w:sz w:val="18"/>
      </w:rPr>
      <w:fldChar w:fldCharType="separate"/>
    </w:r>
    <w:r w:rsidR="007B22FB">
      <w:rPr>
        <w:i/>
        <w:noProof/>
        <w:snapToGrid w:val="0"/>
        <w:sz w:val="18"/>
      </w:rPr>
      <w:t>1</w:t>
    </w:r>
    <w:r>
      <w:rPr>
        <w:i/>
        <w:snapToGrid w:val="0"/>
        <w:sz w:val="18"/>
      </w:rPr>
      <w:fldChar w:fldCharType="end"/>
    </w:r>
    <w:r w:rsidR="00A73E13">
      <w:rPr>
        <w:i/>
        <w:snapToGrid w:val="0"/>
        <w:sz w:val="18"/>
      </w:rPr>
      <w:t xml:space="preserve"> af </w:t>
    </w:r>
    <w:r>
      <w:rPr>
        <w:i/>
        <w:snapToGrid w:val="0"/>
        <w:sz w:val="18"/>
      </w:rPr>
      <w:fldChar w:fldCharType="begin"/>
    </w:r>
    <w:r w:rsidR="00A73E13">
      <w:rPr>
        <w:i/>
        <w:snapToGrid w:val="0"/>
        <w:sz w:val="18"/>
      </w:rPr>
      <w:instrText xml:space="preserve"> NUMPAGES </w:instrText>
    </w:r>
    <w:r>
      <w:rPr>
        <w:i/>
        <w:snapToGrid w:val="0"/>
        <w:sz w:val="18"/>
      </w:rPr>
      <w:fldChar w:fldCharType="separate"/>
    </w:r>
    <w:r w:rsidR="007B22FB">
      <w:rPr>
        <w:i/>
        <w:noProof/>
        <w:snapToGrid w:val="0"/>
        <w:sz w:val="18"/>
      </w:rPr>
      <w:t>8</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E13" w:rsidRDefault="00A73E13">
      <w:r>
        <w:separator/>
      </w:r>
    </w:p>
  </w:footnote>
  <w:footnote w:type="continuationSeparator" w:id="0">
    <w:p w:rsidR="00A73E13" w:rsidRDefault="00A73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E13" w:rsidRDefault="00A73E13">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E13" w:rsidRDefault="00A73E13">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23"/>
    <w:rsid w:val="0002683B"/>
    <w:rsid w:val="0003527F"/>
    <w:rsid w:val="000C6CD4"/>
    <w:rsid w:val="0015150F"/>
    <w:rsid w:val="001577E4"/>
    <w:rsid w:val="001858CA"/>
    <w:rsid w:val="001C4AEF"/>
    <w:rsid w:val="001D3CC5"/>
    <w:rsid w:val="002B5043"/>
    <w:rsid w:val="00322BDE"/>
    <w:rsid w:val="00406EE7"/>
    <w:rsid w:val="00407013"/>
    <w:rsid w:val="004A62CC"/>
    <w:rsid w:val="004A6E23"/>
    <w:rsid w:val="00506618"/>
    <w:rsid w:val="005B5A8A"/>
    <w:rsid w:val="006236D4"/>
    <w:rsid w:val="00662012"/>
    <w:rsid w:val="00666B01"/>
    <w:rsid w:val="006B1539"/>
    <w:rsid w:val="006F5621"/>
    <w:rsid w:val="006F7B38"/>
    <w:rsid w:val="00724B19"/>
    <w:rsid w:val="00777644"/>
    <w:rsid w:val="007B22FB"/>
    <w:rsid w:val="007E2A00"/>
    <w:rsid w:val="00810402"/>
    <w:rsid w:val="00885151"/>
    <w:rsid w:val="0089477D"/>
    <w:rsid w:val="009202AE"/>
    <w:rsid w:val="00965E67"/>
    <w:rsid w:val="009D4E9B"/>
    <w:rsid w:val="009D66C6"/>
    <w:rsid w:val="009F5C43"/>
    <w:rsid w:val="009F7EB8"/>
    <w:rsid w:val="00A73E13"/>
    <w:rsid w:val="00A96525"/>
    <w:rsid w:val="00AE29E5"/>
    <w:rsid w:val="00AE5757"/>
    <w:rsid w:val="00BC634B"/>
    <w:rsid w:val="00BF2AE0"/>
    <w:rsid w:val="00CB12CC"/>
    <w:rsid w:val="00D3298A"/>
    <w:rsid w:val="00DD6D71"/>
    <w:rsid w:val="00DF32BE"/>
    <w:rsid w:val="00E14F0A"/>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66578AD-B4FE-426F-809F-3608245B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rsid w:val="00FA66E4"/>
    <w:rPr>
      <w:sz w:val="24"/>
    </w:rPr>
  </w:style>
  <w:style w:type="character" w:customStyle="1" w:styleId="Brdtekstindrykning2Tegn1">
    <w:name w:val="Brødtekstindrykning 2 Tegn1"/>
    <w:basedOn w:val="Standardskrifttypeiafsnit"/>
    <w:link w:val="Brdtekstindrykning2"/>
    <w:uiPriority w:val="99"/>
    <w:locked/>
    <w:rsid w:val="009F5C43"/>
    <w:rPr>
      <w:sz w:val="16"/>
      <w:szCs w:val="16"/>
      <w:lang w:val="en-GB"/>
    </w:rPr>
  </w:style>
  <w:style w:type="paragraph" w:styleId="Brdtekstindrykning2">
    <w:name w:val="Body Text Indent 2"/>
    <w:basedOn w:val="Normal"/>
    <w:link w:val="Brdtekstindrykning2Tegn1"/>
    <w:uiPriority w:val="99"/>
    <w:rsid w:val="009F5C43"/>
    <w:pPr>
      <w:tabs>
        <w:tab w:val="left" w:pos="567"/>
      </w:tabs>
      <w:ind w:left="567"/>
    </w:pPr>
    <w:rPr>
      <w:sz w:val="16"/>
      <w:szCs w:val="16"/>
      <w:lang w:val="en-GB" w:eastAsia="da-DK"/>
    </w:rPr>
  </w:style>
  <w:style w:type="character" w:customStyle="1" w:styleId="Brdtekstindrykning2Tegn">
    <w:name w:val="Brødtekstindrykning 2 Tegn"/>
    <w:basedOn w:val="Standardskrifttypeiafsnit"/>
    <w:uiPriority w:val="99"/>
    <w:semiHidden/>
    <w:rsid w:val="009F5C43"/>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72707183">
      <w:bodyDiv w:val="1"/>
      <w:marLeft w:val="0"/>
      <w:marRight w:val="0"/>
      <w:marTop w:val="0"/>
      <w:marBottom w:val="0"/>
      <w:divBdr>
        <w:top w:val="none" w:sz="0" w:space="0" w:color="auto"/>
        <w:left w:val="none" w:sz="0" w:space="0" w:color="auto"/>
        <w:bottom w:val="none" w:sz="0" w:space="0" w:color="auto"/>
        <w:right w:val="none" w:sz="0" w:space="0" w:color="auto"/>
      </w:divBdr>
    </w:div>
    <w:div w:id="384790790">
      <w:bodyDiv w:val="1"/>
      <w:marLeft w:val="0"/>
      <w:marRight w:val="0"/>
      <w:marTop w:val="0"/>
      <w:marBottom w:val="0"/>
      <w:divBdr>
        <w:top w:val="none" w:sz="0" w:space="0" w:color="auto"/>
        <w:left w:val="none" w:sz="0" w:space="0" w:color="auto"/>
        <w:bottom w:val="none" w:sz="0" w:space="0" w:color="auto"/>
        <w:right w:val="none" w:sz="0" w:space="0" w:color="auto"/>
      </w:divBdr>
    </w:div>
    <w:div w:id="1198199137">
      <w:bodyDiv w:val="1"/>
      <w:marLeft w:val="0"/>
      <w:marRight w:val="0"/>
      <w:marTop w:val="0"/>
      <w:marBottom w:val="0"/>
      <w:divBdr>
        <w:top w:val="none" w:sz="0" w:space="0" w:color="auto"/>
        <w:left w:val="none" w:sz="0" w:space="0" w:color="auto"/>
        <w:bottom w:val="none" w:sz="0" w:space="0" w:color="auto"/>
        <w:right w:val="none" w:sz="0" w:space="0" w:color="auto"/>
      </w:divBdr>
    </w:div>
    <w:div w:id="12668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2078</Words>
  <Characters>13773</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2015034911 - MT forlængelse</dc:description>
  <cp:lastModifiedBy>HELLE VENN - 9205</cp:lastModifiedBy>
  <cp:revision>6</cp:revision>
  <cp:lastPrinted>2016-07-08T07:49:00Z</cp:lastPrinted>
  <dcterms:created xsi:type="dcterms:W3CDTF">2016-07-08T07:43:00Z</dcterms:created>
  <dcterms:modified xsi:type="dcterms:W3CDTF">2016-07-08T07:49:00Z</dcterms:modified>
</cp:coreProperties>
</file>