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54" w:rsidRPr="001D1D2D" w:rsidRDefault="00DD6F54" w:rsidP="00DD6F54">
      <w:pPr>
        <w:tabs>
          <w:tab w:val="left" w:pos="6804"/>
        </w:tabs>
        <w:rPr>
          <w:b/>
          <w:sz w:val="24"/>
          <w:szCs w:val="24"/>
        </w:rPr>
      </w:pPr>
      <w:r w:rsidRPr="001D1D2D">
        <w:rPr>
          <w:sz w:val="24"/>
          <w:szCs w:val="24"/>
        </w:rPr>
        <w:fldChar w:fldCharType="begin"/>
      </w:r>
      <w:r w:rsidRPr="001D1D2D">
        <w:rPr>
          <w:sz w:val="24"/>
          <w:szCs w:val="24"/>
        </w:rPr>
        <w:instrText xml:space="preserve"> INCLUDEPICTURE  "cid:image004.jpg@01D117E9.E5553340" \* MERGEFORMATINET </w:instrText>
      </w:r>
      <w:r w:rsidRPr="001D1D2D">
        <w:rPr>
          <w:sz w:val="24"/>
          <w:szCs w:val="24"/>
        </w:rPr>
        <w:fldChar w:fldCharType="separate"/>
      </w:r>
      <w:r>
        <w:rPr>
          <w:sz w:val="24"/>
          <w:szCs w:val="24"/>
        </w:rPr>
        <w:fldChar w:fldCharType="begin"/>
      </w:r>
      <w:r>
        <w:rPr>
          <w:sz w:val="24"/>
          <w:szCs w:val="24"/>
        </w:rPr>
        <w:instrText xml:space="preserve"> INCLUDEPICTURE  "cid:image004.jpg@01D117E9.E5553340" \* MERGEFORMATINET </w:instrText>
      </w:r>
      <w:r>
        <w:rPr>
          <w:sz w:val="24"/>
          <w:szCs w:val="24"/>
        </w:rPr>
        <w:fldChar w:fldCharType="separate"/>
      </w:r>
      <w:r>
        <w:rPr>
          <w:sz w:val="24"/>
          <w:szCs w:val="24"/>
        </w:rPr>
        <w:fldChar w:fldCharType="begin"/>
      </w:r>
      <w:r>
        <w:rPr>
          <w:sz w:val="24"/>
          <w:szCs w:val="24"/>
        </w:rPr>
        <w:instrText xml:space="preserve"> INCLUDEPICTURE  "cid:image004.jpg@01D117E9.E5553340" \* MERGEFORMATINET </w:instrText>
      </w:r>
      <w:r>
        <w:rPr>
          <w:sz w:val="24"/>
          <w:szCs w:val="24"/>
        </w:rPr>
        <w:fldChar w:fldCharType="separate"/>
      </w:r>
      <w:r w:rsidR="00FB2107">
        <w:rPr>
          <w:sz w:val="24"/>
          <w:szCs w:val="24"/>
        </w:rPr>
        <w:fldChar w:fldCharType="begin"/>
      </w:r>
      <w:r w:rsidR="00FB2107">
        <w:rPr>
          <w:sz w:val="24"/>
          <w:szCs w:val="24"/>
        </w:rPr>
        <w:instrText xml:space="preserve"> INCLUDEPICTURE  "cid:image004.jpg@01D117E9.E5553340" \* MERGEFORMATINET </w:instrText>
      </w:r>
      <w:r w:rsidR="00FB2107">
        <w:rPr>
          <w:sz w:val="24"/>
          <w:szCs w:val="24"/>
        </w:rPr>
        <w:fldChar w:fldCharType="separate"/>
      </w:r>
      <w:r w:rsidR="00D52BF8">
        <w:rPr>
          <w:sz w:val="24"/>
          <w:szCs w:val="24"/>
        </w:rPr>
        <w:fldChar w:fldCharType="begin"/>
      </w:r>
      <w:r w:rsidR="00D52BF8">
        <w:rPr>
          <w:sz w:val="24"/>
          <w:szCs w:val="24"/>
        </w:rPr>
        <w:instrText xml:space="preserve"> INCLUDEPICTURE  "cid:image004.jpg@01D117E9.E5553340" \* MERGEFORMATINET </w:instrText>
      </w:r>
      <w:r w:rsidR="00D52BF8">
        <w:rPr>
          <w:sz w:val="24"/>
          <w:szCs w:val="24"/>
        </w:rPr>
        <w:fldChar w:fldCharType="separate"/>
      </w:r>
      <w:r w:rsidR="00D6685B">
        <w:rPr>
          <w:sz w:val="24"/>
          <w:szCs w:val="24"/>
        </w:rPr>
        <w:fldChar w:fldCharType="begin"/>
      </w:r>
      <w:r w:rsidR="00D6685B">
        <w:rPr>
          <w:sz w:val="24"/>
          <w:szCs w:val="24"/>
        </w:rPr>
        <w:instrText xml:space="preserve"> </w:instrText>
      </w:r>
      <w:r w:rsidR="00D6685B">
        <w:rPr>
          <w:sz w:val="24"/>
          <w:szCs w:val="24"/>
        </w:rPr>
        <w:instrText>INCLUDEPICTURE  "cid:image004.jpg@01D117E9.E5553340" \* MERGEFORMATINET</w:instrText>
      </w:r>
      <w:r w:rsidR="00D6685B">
        <w:rPr>
          <w:sz w:val="24"/>
          <w:szCs w:val="24"/>
        </w:rPr>
        <w:instrText xml:space="preserve"> </w:instrText>
      </w:r>
      <w:r w:rsidR="00D6685B">
        <w:rPr>
          <w:sz w:val="24"/>
          <w:szCs w:val="24"/>
        </w:rPr>
        <w:fldChar w:fldCharType="separate"/>
      </w:r>
      <w:r w:rsidR="00D6685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D6685B">
        <w:rPr>
          <w:sz w:val="24"/>
          <w:szCs w:val="24"/>
        </w:rPr>
        <w:fldChar w:fldCharType="end"/>
      </w:r>
      <w:r w:rsidR="00D52BF8">
        <w:rPr>
          <w:sz w:val="24"/>
          <w:szCs w:val="24"/>
        </w:rPr>
        <w:fldChar w:fldCharType="end"/>
      </w:r>
      <w:r w:rsidR="00FB2107">
        <w:rPr>
          <w:sz w:val="24"/>
          <w:szCs w:val="24"/>
        </w:rPr>
        <w:fldChar w:fldCharType="end"/>
      </w:r>
      <w:r>
        <w:rPr>
          <w:sz w:val="24"/>
          <w:szCs w:val="24"/>
        </w:rPr>
        <w:fldChar w:fldCharType="end"/>
      </w:r>
      <w:r>
        <w:rPr>
          <w:sz w:val="24"/>
          <w:szCs w:val="24"/>
        </w:rPr>
        <w:fldChar w:fldCharType="end"/>
      </w:r>
      <w:r w:rsidRPr="001D1D2D">
        <w:rPr>
          <w:sz w:val="24"/>
          <w:szCs w:val="24"/>
        </w:rPr>
        <w:fldChar w:fldCharType="end"/>
      </w:r>
    </w:p>
    <w:p w:rsidR="00DD6F54" w:rsidRPr="001D1D2D" w:rsidRDefault="00D6685B" w:rsidP="00DD6F54">
      <w:pPr>
        <w:tabs>
          <w:tab w:val="left" w:pos="6804"/>
        </w:tabs>
        <w:jc w:val="right"/>
        <w:rPr>
          <w:b/>
          <w:sz w:val="24"/>
          <w:szCs w:val="24"/>
        </w:rPr>
      </w:pPr>
      <w:bookmarkStart w:id="0" w:name="_Hlk168492755"/>
      <w:r>
        <w:rPr>
          <w:b/>
          <w:sz w:val="24"/>
          <w:szCs w:val="24"/>
        </w:rPr>
        <w:t>11</w:t>
      </w:r>
      <w:r w:rsidR="0077021D">
        <w:rPr>
          <w:b/>
          <w:sz w:val="24"/>
          <w:szCs w:val="24"/>
        </w:rPr>
        <w:t>. juni 2024</w:t>
      </w:r>
      <w:bookmarkEnd w:id="0"/>
    </w:p>
    <w:p w:rsidR="00DD6F54" w:rsidRDefault="00DD6F54" w:rsidP="00DD6F54">
      <w:pPr>
        <w:tabs>
          <w:tab w:val="left" w:pos="8222"/>
        </w:tabs>
        <w:rPr>
          <w:sz w:val="24"/>
          <w:szCs w:val="24"/>
        </w:rPr>
      </w:pPr>
    </w:p>
    <w:p w:rsidR="0077021D" w:rsidRPr="001D1D2D" w:rsidRDefault="0077021D" w:rsidP="00DD6F54">
      <w:pPr>
        <w:tabs>
          <w:tab w:val="left" w:pos="8222"/>
        </w:tabs>
        <w:rPr>
          <w:sz w:val="24"/>
          <w:szCs w:val="24"/>
        </w:rPr>
      </w:pPr>
    </w:p>
    <w:p w:rsidR="00DD6F54" w:rsidRPr="001D1D2D" w:rsidRDefault="00DD6F54" w:rsidP="00DD6F54">
      <w:pPr>
        <w:tabs>
          <w:tab w:val="left" w:pos="8222"/>
        </w:tabs>
        <w:jc w:val="center"/>
        <w:rPr>
          <w:b/>
          <w:sz w:val="24"/>
          <w:szCs w:val="24"/>
        </w:rPr>
      </w:pPr>
      <w:r w:rsidRPr="001D1D2D">
        <w:rPr>
          <w:b/>
          <w:sz w:val="24"/>
          <w:szCs w:val="24"/>
        </w:rPr>
        <w:t>PRODUKTRESUMÉ</w:t>
      </w:r>
    </w:p>
    <w:p w:rsidR="00DD6F54" w:rsidRPr="001D1D2D" w:rsidRDefault="00DD6F54" w:rsidP="00DD6F54">
      <w:pPr>
        <w:tabs>
          <w:tab w:val="left" w:pos="8222"/>
        </w:tabs>
        <w:jc w:val="center"/>
        <w:rPr>
          <w:b/>
          <w:sz w:val="24"/>
          <w:szCs w:val="24"/>
        </w:rPr>
      </w:pPr>
    </w:p>
    <w:p w:rsidR="00DD6F54" w:rsidRPr="001D1D2D" w:rsidRDefault="00DD6F54" w:rsidP="00DD6F54">
      <w:pPr>
        <w:tabs>
          <w:tab w:val="left" w:pos="8222"/>
        </w:tabs>
        <w:jc w:val="center"/>
        <w:rPr>
          <w:b/>
          <w:sz w:val="24"/>
          <w:szCs w:val="24"/>
        </w:rPr>
      </w:pPr>
      <w:r w:rsidRPr="001D1D2D">
        <w:rPr>
          <w:b/>
          <w:sz w:val="24"/>
          <w:szCs w:val="24"/>
        </w:rPr>
        <w:t>for</w:t>
      </w:r>
    </w:p>
    <w:p w:rsidR="00DD6F54" w:rsidRPr="001D1D2D" w:rsidRDefault="00DD6F54" w:rsidP="00DD6F54">
      <w:pPr>
        <w:tabs>
          <w:tab w:val="left" w:pos="8222"/>
        </w:tabs>
        <w:jc w:val="center"/>
        <w:rPr>
          <w:b/>
          <w:sz w:val="24"/>
          <w:szCs w:val="24"/>
        </w:rPr>
      </w:pPr>
    </w:p>
    <w:p w:rsidR="00DD6F54" w:rsidRPr="001D1D2D" w:rsidRDefault="00DD6F54" w:rsidP="00DD6F54">
      <w:pPr>
        <w:tabs>
          <w:tab w:val="left" w:pos="8222"/>
        </w:tabs>
        <w:jc w:val="center"/>
        <w:rPr>
          <w:b/>
          <w:sz w:val="24"/>
          <w:szCs w:val="24"/>
        </w:rPr>
      </w:pPr>
      <w:proofErr w:type="spellStart"/>
      <w:r w:rsidRPr="001D1D2D">
        <w:rPr>
          <w:b/>
          <w:sz w:val="24"/>
          <w:szCs w:val="24"/>
        </w:rPr>
        <w:t>Epityl</w:t>
      </w:r>
      <w:proofErr w:type="spellEnd"/>
      <w:r w:rsidRPr="001D1D2D">
        <w:rPr>
          <w:b/>
          <w:sz w:val="24"/>
          <w:szCs w:val="24"/>
        </w:rPr>
        <w:t>, tabletter</w:t>
      </w:r>
    </w:p>
    <w:p w:rsidR="00DD6F54" w:rsidRDefault="00DD6F54" w:rsidP="00DD6F54">
      <w:pPr>
        <w:tabs>
          <w:tab w:val="left" w:pos="8222"/>
        </w:tabs>
        <w:jc w:val="both"/>
        <w:rPr>
          <w:sz w:val="24"/>
          <w:szCs w:val="24"/>
        </w:rPr>
      </w:pPr>
    </w:p>
    <w:p w:rsidR="00EA7897" w:rsidRPr="001D1D2D" w:rsidRDefault="00EA7897" w:rsidP="00DD6F54">
      <w:pPr>
        <w:tabs>
          <w:tab w:val="left" w:pos="8222"/>
        </w:tabs>
        <w:jc w:val="both"/>
        <w:rPr>
          <w:sz w:val="24"/>
          <w:szCs w:val="24"/>
        </w:rPr>
      </w:pPr>
    </w:p>
    <w:p w:rsidR="00DD6F54" w:rsidRPr="001D1D2D" w:rsidRDefault="00DD6F54" w:rsidP="00DD6F54">
      <w:pPr>
        <w:tabs>
          <w:tab w:val="left" w:pos="8222"/>
        </w:tabs>
        <w:ind w:left="851" w:hanging="851"/>
        <w:rPr>
          <w:b/>
          <w:sz w:val="24"/>
          <w:szCs w:val="24"/>
        </w:rPr>
      </w:pPr>
      <w:r w:rsidRPr="001D1D2D">
        <w:rPr>
          <w:b/>
          <w:sz w:val="24"/>
          <w:szCs w:val="24"/>
        </w:rPr>
        <w:t>0.</w:t>
      </w:r>
      <w:r w:rsidRPr="001D1D2D">
        <w:rPr>
          <w:b/>
          <w:sz w:val="24"/>
          <w:szCs w:val="24"/>
        </w:rPr>
        <w:tab/>
        <w:t>D.SP.NR.</w:t>
      </w:r>
    </w:p>
    <w:p w:rsidR="00DD6F54" w:rsidRPr="001D1D2D" w:rsidRDefault="00DD6F54" w:rsidP="00DD6F54">
      <w:pPr>
        <w:tabs>
          <w:tab w:val="left" w:pos="8222"/>
        </w:tabs>
        <w:ind w:left="851"/>
        <w:rPr>
          <w:sz w:val="24"/>
          <w:szCs w:val="24"/>
        </w:rPr>
      </w:pPr>
      <w:r w:rsidRPr="001D1D2D">
        <w:rPr>
          <w:sz w:val="24"/>
          <w:szCs w:val="24"/>
        </w:rPr>
        <w:t>28208</w:t>
      </w:r>
    </w:p>
    <w:p w:rsidR="00DD6F54" w:rsidRPr="001D1D2D" w:rsidRDefault="00DD6F54" w:rsidP="00DD6F54">
      <w:pPr>
        <w:tabs>
          <w:tab w:val="left" w:pos="8222"/>
        </w:tabs>
        <w:ind w:left="851"/>
        <w:rPr>
          <w:sz w:val="24"/>
          <w:szCs w:val="24"/>
        </w:rPr>
      </w:pPr>
      <w:bookmarkStart w:id="1" w:name="_GoBack"/>
      <w:bookmarkEnd w:id="1"/>
    </w:p>
    <w:p w:rsidR="00DD6F54" w:rsidRPr="001D1D2D" w:rsidRDefault="00DD6F54" w:rsidP="00DD6F54">
      <w:pPr>
        <w:tabs>
          <w:tab w:val="left" w:pos="8222"/>
        </w:tabs>
        <w:ind w:left="851" w:hanging="851"/>
        <w:rPr>
          <w:b/>
          <w:sz w:val="24"/>
          <w:szCs w:val="24"/>
        </w:rPr>
      </w:pPr>
      <w:r w:rsidRPr="001D1D2D">
        <w:rPr>
          <w:b/>
          <w:sz w:val="24"/>
          <w:szCs w:val="24"/>
        </w:rPr>
        <w:t>1.</w:t>
      </w:r>
      <w:r w:rsidRPr="001D1D2D">
        <w:rPr>
          <w:b/>
          <w:sz w:val="24"/>
          <w:szCs w:val="24"/>
        </w:rPr>
        <w:tab/>
        <w:t>VETERINÆRLÆGEMIDLETS NAVN</w:t>
      </w:r>
    </w:p>
    <w:p w:rsidR="00DD6F54" w:rsidRDefault="00DD6F54" w:rsidP="00DD6F54">
      <w:pPr>
        <w:tabs>
          <w:tab w:val="left" w:pos="8222"/>
        </w:tabs>
        <w:ind w:left="851"/>
        <w:rPr>
          <w:sz w:val="24"/>
          <w:szCs w:val="24"/>
        </w:rPr>
      </w:pPr>
      <w:proofErr w:type="spellStart"/>
      <w:r w:rsidRPr="001D1D2D">
        <w:rPr>
          <w:sz w:val="24"/>
          <w:szCs w:val="24"/>
        </w:rPr>
        <w:t>Epityl</w:t>
      </w:r>
      <w:proofErr w:type="spellEnd"/>
    </w:p>
    <w:p w:rsidR="0077021D" w:rsidRDefault="0077021D" w:rsidP="00DD6F54">
      <w:pPr>
        <w:tabs>
          <w:tab w:val="left" w:pos="8222"/>
        </w:tabs>
        <w:ind w:left="851"/>
        <w:rPr>
          <w:sz w:val="24"/>
          <w:szCs w:val="24"/>
        </w:rPr>
      </w:pPr>
    </w:p>
    <w:p w:rsidR="0077021D" w:rsidRDefault="0077021D" w:rsidP="00DD6F54">
      <w:pPr>
        <w:tabs>
          <w:tab w:val="left" w:pos="8222"/>
        </w:tabs>
        <w:ind w:left="851"/>
        <w:rPr>
          <w:sz w:val="24"/>
          <w:szCs w:val="24"/>
        </w:rPr>
      </w:pPr>
      <w:r>
        <w:rPr>
          <w:sz w:val="24"/>
          <w:szCs w:val="24"/>
        </w:rPr>
        <w:t>Lægemiddelform: tabletter</w:t>
      </w:r>
    </w:p>
    <w:p w:rsidR="0077021D" w:rsidRPr="001D1D2D" w:rsidRDefault="0077021D" w:rsidP="00DD6F54">
      <w:pPr>
        <w:tabs>
          <w:tab w:val="left" w:pos="8222"/>
        </w:tabs>
        <w:ind w:left="851"/>
        <w:rPr>
          <w:sz w:val="24"/>
          <w:szCs w:val="24"/>
        </w:rPr>
      </w:pPr>
      <w:r>
        <w:rPr>
          <w:sz w:val="24"/>
          <w:szCs w:val="24"/>
        </w:rPr>
        <w:t>Styrke: 60 mg</w:t>
      </w:r>
    </w:p>
    <w:p w:rsidR="00DD6F54" w:rsidRPr="001D1D2D" w:rsidRDefault="00DD6F54" w:rsidP="00DD6F54">
      <w:pPr>
        <w:tabs>
          <w:tab w:val="left" w:pos="8222"/>
        </w:tabs>
        <w:ind w:left="851"/>
        <w:rPr>
          <w:sz w:val="24"/>
          <w:szCs w:val="24"/>
        </w:rPr>
      </w:pPr>
    </w:p>
    <w:p w:rsidR="00DD6F54" w:rsidRPr="001D1D2D" w:rsidRDefault="00DD6F54" w:rsidP="00DD6F54">
      <w:pPr>
        <w:tabs>
          <w:tab w:val="left" w:pos="8222"/>
        </w:tabs>
        <w:ind w:left="851" w:hanging="851"/>
        <w:rPr>
          <w:b/>
          <w:sz w:val="24"/>
          <w:szCs w:val="24"/>
        </w:rPr>
      </w:pPr>
      <w:r w:rsidRPr="001D1D2D">
        <w:rPr>
          <w:b/>
          <w:sz w:val="24"/>
          <w:szCs w:val="24"/>
        </w:rPr>
        <w:t>2.</w:t>
      </w:r>
      <w:r w:rsidRPr="001D1D2D">
        <w:rPr>
          <w:b/>
          <w:sz w:val="24"/>
          <w:szCs w:val="24"/>
        </w:rPr>
        <w:tab/>
        <w:t>KVALITATIV OG KVANTITATIV SAMMENSÆTNING</w:t>
      </w:r>
    </w:p>
    <w:p w:rsidR="0077021D" w:rsidRPr="0077021D" w:rsidRDefault="0077021D" w:rsidP="0077021D">
      <w:pPr>
        <w:ind w:left="851"/>
        <w:rPr>
          <w:bCs/>
          <w:sz w:val="24"/>
          <w:szCs w:val="24"/>
        </w:rPr>
      </w:pPr>
      <w:r w:rsidRPr="0077021D">
        <w:rPr>
          <w:bCs/>
          <w:sz w:val="24"/>
          <w:szCs w:val="24"/>
        </w:rPr>
        <w:t>En tablet indeholder:</w:t>
      </w:r>
    </w:p>
    <w:p w:rsidR="0077021D" w:rsidRPr="0077021D" w:rsidRDefault="0077021D" w:rsidP="0077021D">
      <w:pPr>
        <w:ind w:left="851"/>
        <w:rPr>
          <w:b/>
          <w:sz w:val="24"/>
          <w:szCs w:val="24"/>
        </w:rPr>
      </w:pPr>
    </w:p>
    <w:p w:rsidR="0077021D" w:rsidRPr="0077021D" w:rsidRDefault="0077021D" w:rsidP="0077021D">
      <w:pPr>
        <w:ind w:left="851"/>
        <w:rPr>
          <w:b/>
          <w:sz w:val="24"/>
          <w:szCs w:val="24"/>
        </w:rPr>
      </w:pPr>
      <w:r w:rsidRPr="0077021D">
        <w:rPr>
          <w:b/>
          <w:sz w:val="24"/>
          <w:szCs w:val="24"/>
        </w:rPr>
        <w:t>Aktivt stof:</w:t>
      </w:r>
    </w:p>
    <w:p w:rsidR="0077021D" w:rsidRPr="0077021D" w:rsidRDefault="0077021D" w:rsidP="0077021D">
      <w:pPr>
        <w:ind w:left="851"/>
        <w:rPr>
          <w:bCs/>
          <w:sz w:val="24"/>
          <w:szCs w:val="24"/>
        </w:rPr>
      </w:pPr>
      <w:proofErr w:type="spellStart"/>
      <w:r w:rsidRPr="0077021D">
        <w:rPr>
          <w:bCs/>
          <w:sz w:val="24"/>
          <w:szCs w:val="24"/>
        </w:rPr>
        <w:t>Phenobarbital</w:t>
      </w:r>
      <w:proofErr w:type="spellEnd"/>
      <w:r w:rsidRPr="0077021D">
        <w:rPr>
          <w:bCs/>
          <w:sz w:val="24"/>
          <w:szCs w:val="24"/>
        </w:rPr>
        <w:tab/>
        <w:t>60 mg</w:t>
      </w:r>
    </w:p>
    <w:p w:rsidR="0077021D" w:rsidRPr="0077021D" w:rsidRDefault="0077021D" w:rsidP="0077021D">
      <w:pPr>
        <w:ind w:left="851"/>
        <w:rPr>
          <w:b/>
          <w:sz w:val="24"/>
          <w:szCs w:val="24"/>
        </w:rPr>
      </w:pPr>
    </w:p>
    <w:p w:rsidR="0077021D" w:rsidRPr="0077021D" w:rsidRDefault="0077021D" w:rsidP="0077021D">
      <w:pPr>
        <w:ind w:left="851"/>
        <w:rPr>
          <w:sz w:val="24"/>
          <w:szCs w:val="24"/>
        </w:rPr>
      </w:pPr>
      <w:r w:rsidRPr="0077021D">
        <w:rPr>
          <w:b/>
          <w:sz w:val="24"/>
          <w:szCs w:val="24"/>
        </w:rPr>
        <w:t>Hjælpestoffer:</w:t>
      </w:r>
    </w:p>
    <w:p w:rsidR="0077021D" w:rsidRPr="0077021D" w:rsidRDefault="0077021D" w:rsidP="0077021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77021D" w:rsidRPr="0077021D" w:rsidTr="0077021D">
        <w:tc>
          <w:tcPr>
            <w:tcW w:w="4518" w:type="dxa"/>
            <w:shd w:val="clear" w:color="auto" w:fill="auto"/>
            <w:vAlign w:val="center"/>
          </w:tcPr>
          <w:p w:rsidR="0077021D" w:rsidRPr="0077021D" w:rsidRDefault="0077021D" w:rsidP="007343E7">
            <w:pPr>
              <w:spacing w:before="60" w:after="60"/>
              <w:rPr>
                <w:b/>
                <w:bCs/>
                <w:iCs/>
                <w:sz w:val="24"/>
                <w:szCs w:val="24"/>
              </w:rPr>
            </w:pPr>
            <w:r w:rsidRPr="0077021D">
              <w:rPr>
                <w:b/>
                <w:bCs/>
                <w:iCs/>
                <w:sz w:val="24"/>
                <w:szCs w:val="24"/>
              </w:rPr>
              <w:t>Kvalitativ sammensætning af hjælpestoffer og andre bestanddele</w:t>
            </w:r>
          </w:p>
        </w:tc>
      </w:tr>
      <w:tr w:rsidR="0077021D" w:rsidRPr="0077021D" w:rsidTr="0077021D">
        <w:tc>
          <w:tcPr>
            <w:tcW w:w="4518" w:type="dxa"/>
            <w:shd w:val="clear" w:color="auto" w:fill="auto"/>
            <w:vAlign w:val="center"/>
          </w:tcPr>
          <w:p w:rsidR="0077021D" w:rsidRPr="0077021D" w:rsidRDefault="0077021D" w:rsidP="007343E7">
            <w:pPr>
              <w:keepNext/>
              <w:keepLines/>
              <w:tabs>
                <w:tab w:val="left" w:pos="720"/>
              </w:tabs>
              <w:rPr>
                <w:sz w:val="24"/>
                <w:szCs w:val="24"/>
              </w:rPr>
            </w:pPr>
            <w:r w:rsidRPr="0077021D">
              <w:rPr>
                <w:sz w:val="24"/>
                <w:szCs w:val="24"/>
              </w:rPr>
              <w:t>Laktosemonohydrat</w:t>
            </w:r>
          </w:p>
          <w:p w:rsidR="0077021D" w:rsidRPr="0077021D" w:rsidRDefault="0077021D" w:rsidP="007343E7">
            <w:pPr>
              <w:spacing w:before="60" w:after="60"/>
              <w:rPr>
                <w:iCs/>
                <w:sz w:val="24"/>
                <w:szCs w:val="24"/>
              </w:rPr>
            </w:pPr>
          </w:p>
        </w:tc>
      </w:tr>
      <w:tr w:rsidR="0077021D" w:rsidRPr="0077021D" w:rsidTr="0077021D">
        <w:tc>
          <w:tcPr>
            <w:tcW w:w="4518" w:type="dxa"/>
            <w:shd w:val="clear" w:color="auto" w:fill="auto"/>
            <w:vAlign w:val="center"/>
          </w:tcPr>
          <w:p w:rsidR="0077021D" w:rsidRPr="0077021D" w:rsidRDefault="0077021D" w:rsidP="007343E7">
            <w:pPr>
              <w:spacing w:before="60" w:after="60"/>
              <w:rPr>
                <w:iCs/>
                <w:sz w:val="24"/>
                <w:szCs w:val="24"/>
              </w:rPr>
            </w:pPr>
            <w:r w:rsidRPr="0077021D">
              <w:rPr>
                <w:iCs/>
                <w:sz w:val="24"/>
                <w:szCs w:val="24"/>
              </w:rPr>
              <w:t>Mikrokrystallinsk cellulose</w:t>
            </w:r>
          </w:p>
        </w:tc>
      </w:tr>
      <w:tr w:rsidR="0077021D" w:rsidRPr="0077021D" w:rsidTr="0077021D">
        <w:tc>
          <w:tcPr>
            <w:tcW w:w="4518" w:type="dxa"/>
            <w:shd w:val="clear" w:color="auto" w:fill="auto"/>
            <w:vAlign w:val="center"/>
          </w:tcPr>
          <w:p w:rsidR="0077021D" w:rsidRPr="0077021D" w:rsidRDefault="0077021D" w:rsidP="007343E7">
            <w:pPr>
              <w:spacing w:before="60" w:after="60"/>
              <w:rPr>
                <w:iCs/>
                <w:sz w:val="24"/>
                <w:szCs w:val="24"/>
              </w:rPr>
            </w:pPr>
            <w:proofErr w:type="spellStart"/>
            <w:r w:rsidRPr="0077021D">
              <w:rPr>
                <w:iCs/>
                <w:sz w:val="24"/>
                <w:szCs w:val="24"/>
              </w:rPr>
              <w:t>Magnesiumstearat</w:t>
            </w:r>
            <w:proofErr w:type="spellEnd"/>
          </w:p>
        </w:tc>
      </w:tr>
      <w:tr w:rsidR="0077021D" w:rsidRPr="0077021D" w:rsidTr="0077021D">
        <w:tc>
          <w:tcPr>
            <w:tcW w:w="4518" w:type="dxa"/>
            <w:shd w:val="clear" w:color="auto" w:fill="auto"/>
            <w:vAlign w:val="center"/>
          </w:tcPr>
          <w:p w:rsidR="0077021D" w:rsidRPr="0077021D" w:rsidRDefault="0077021D" w:rsidP="007343E7">
            <w:pPr>
              <w:spacing w:before="60" w:after="60"/>
              <w:ind w:left="567" w:hanging="567"/>
              <w:rPr>
                <w:iCs/>
                <w:sz w:val="24"/>
                <w:szCs w:val="24"/>
              </w:rPr>
            </w:pPr>
            <w:r w:rsidRPr="0077021D">
              <w:rPr>
                <w:iCs/>
                <w:sz w:val="24"/>
                <w:szCs w:val="24"/>
              </w:rPr>
              <w:t>Majsstivelse</w:t>
            </w:r>
          </w:p>
        </w:tc>
      </w:tr>
      <w:tr w:rsidR="0077021D" w:rsidRPr="0077021D" w:rsidTr="0077021D">
        <w:tc>
          <w:tcPr>
            <w:tcW w:w="4518" w:type="dxa"/>
            <w:shd w:val="clear" w:color="auto" w:fill="auto"/>
            <w:vAlign w:val="center"/>
          </w:tcPr>
          <w:p w:rsidR="0077021D" w:rsidRPr="0077021D" w:rsidRDefault="0077021D" w:rsidP="007343E7">
            <w:pPr>
              <w:spacing w:before="60" w:after="60"/>
              <w:rPr>
                <w:iCs/>
                <w:sz w:val="24"/>
                <w:szCs w:val="24"/>
              </w:rPr>
            </w:pPr>
            <w:proofErr w:type="spellStart"/>
            <w:r w:rsidRPr="0077021D">
              <w:rPr>
                <w:iCs/>
                <w:sz w:val="24"/>
                <w:szCs w:val="24"/>
              </w:rPr>
              <w:t>Talcum</w:t>
            </w:r>
            <w:proofErr w:type="spellEnd"/>
          </w:p>
        </w:tc>
      </w:tr>
      <w:tr w:rsidR="0077021D" w:rsidRPr="0077021D" w:rsidTr="0077021D">
        <w:tc>
          <w:tcPr>
            <w:tcW w:w="4518" w:type="dxa"/>
            <w:shd w:val="clear" w:color="auto" w:fill="auto"/>
            <w:vAlign w:val="center"/>
          </w:tcPr>
          <w:p w:rsidR="0077021D" w:rsidRPr="0077021D" w:rsidRDefault="0077021D" w:rsidP="007343E7">
            <w:pPr>
              <w:spacing w:before="60" w:after="60"/>
              <w:rPr>
                <w:iCs/>
                <w:sz w:val="24"/>
                <w:szCs w:val="24"/>
              </w:rPr>
            </w:pPr>
            <w:r w:rsidRPr="0077021D">
              <w:rPr>
                <w:iCs/>
                <w:sz w:val="24"/>
                <w:szCs w:val="24"/>
              </w:rPr>
              <w:t>Aroma, grillet kød</w:t>
            </w:r>
          </w:p>
        </w:tc>
      </w:tr>
    </w:tbl>
    <w:p w:rsidR="0077021D" w:rsidRPr="0077021D" w:rsidRDefault="0077021D" w:rsidP="0077021D">
      <w:pPr>
        <w:ind w:left="851"/>
        <w:rPr>
          <w:sz w:val="24"/>
          <w:szCs w:val="24"/>
        </w:rPr>
      </w:pPr>
    </w:p>
    <w:p w:rsidR="0077021D" w:rsidRPr="0077021D" w:rsidRDefault="0077021D" w:rsidP="0077021D">
      <w:pPr>
        <w:ind w:left="851"/>
        <w:rPr>
          <w:sz w:val="24"/>
          <w:szCs w:val="24"/>
        </w:rPr>
      </w:pPr>
      <w:r w:rsidRPr="0077021D">
        <w:rPr>
          <w:sz w:val="24"/>
          <w:szCs w:val="24"/>
        </w:rPr>
        <w:t>Rund, hvid tablet med krydsdelekærv på en ene side.</w:t>
      </w:r>
    </w:p>
    <w:p w:rsidR="00DD6F54" w:rsidRPr="0077021D" w:rsidRDefault="0077021D" w:rsidP="0077021D">
      <w:pPr>
        <w:tabs>
          <w:tab w:val="left" w:pos="8222"/>
        </w:tabs>
        <w:ind w:left="851"/>
        <w:rPr>
          <w:sz w:val="24"/>
          <w:szCs w:val="24"/>
        </w:rPr>
      </w:pPr>
      <w:r w:rsidRPr="0077021D">
        <w:rPr>
          <w:sz w:val="24"/>
          <w:szCs w:val="24"/>
        </w:rPr>
        <w:t>Tabletterne kan opdeles i to eller fire lige dele.</w:t>
      </w:r>
    </w:p>
    <w:p w:rsidR="0077021D" w:rsidRDefault="0077021D" w:rsidP="0077021D">
      <w:pPr>
        <w:tabs>
          <w:tab w:val="left" w:pos="8222"/>
        </w:tabs>
        <w:ind w:left="851"/>
        <w:rPr>
          <w:sz w:val="24"/>
          <w:szCs w:val="24"/>
        </w:rPr>
      </w:pPr>
    </w:p>
    <w:p w:rsidR="00EA7897" w:rsidRPr="001D1D2D" w:rsidRDefault="00EA7897" w:rsidP="0077021D">
      <w:pPr>
        <w:tabs>
          <w:tab w:val="left" w:pos="8222"/>
        </w:tabs>
        <w:ind w:left="851"/>
        <w:rPr>
          <w:sz w:val="24"/>
          <w:szCs w:val="24"/>
        </w:rPr>
      </w:pPr>
    </w:p>
    <w:p w:rsidR="00DD6F54" w:rsidRPr="001D1D2D" w:rsidRDefault="00DD6F54" w:rsidP="00DD6F54">
      <w:pPr>
        <w:tabs>
          <w:tab w:val="left" w:pos="8222"/>
        </w:tabs>
        <w:ind w:left="851" w:hanging="851"/>
        <w:rPr>
          <w:b/>
          <w:sz w:val="24"/>
          <w:szCs w:val="24"/>
        </w:rPr>
      </w:pPr>
      <w:r w:rsidRPr="001D1D2D">
        <w:rPr>
          <w:b/>
          <w:sz w:val="24"/>
          <w:szCs w:val="24"/>
        </w:rPr>
        <w:t>3.</w:t>
      </w:r>
      <w:r w:rsidRPr="001D1D2D">
        <w:rPr>
          <w:b/>
          <w:sz w:val="24"/>
          <w:szCs w:val="24"/>
        </w:rPr>
        <w:tab/>
      </w:r>
      <w:r w:rsidR="0077021D" w:rsidRPr="0077021D">
        <w:rPr>
          <w:b/>
          <w:sz w:val="24"/>
          <w:szCs w:val="24"/>
        </w:rPr>
        <w:t>KLINISKE OPLYSNINGER</w:t>
      </w:r>
    </w:p>
    <w:p w:rsidR="00DD6F54" w:rsidRPr="0077021D" w:rsidRDefault="00DD6F54" w:rsidP="00DD6F54">
      <w:pPr>
        <w:tabs>
          <w:tab w:val="left" w:pos="851"/>
          <w:tab w:val="left" w:pos="8222"/>
        </w:tabs>
        <w:rPr>
          <w:sz w:val="24"/>
          <w:szCs w:val="24"/>
        </w:rPr>
      </w:pPr>
    </w:p>
    <w:p w:rsidR="0077021D" w:rsidRPr="0077021D" w:rsidRDefault="0077021D" w:rsidP="0077021D">
      <w:pPr>
        <w:pStyle w:val="Style1"/>
        <w:ind w:left="851" w:hanging="851"/>
        <w:rPr>
          <w:sz w:val="24"/>
          <w:szCs w:val="24"/>
        </w:rPr>
      </w:pPr>
      <w:r w:rsidRPr="0077021D">
        <w:rPr>
          <w:sz w:val="24"/>
          <w:szCs w:val="24"/>
        </w:rPr>
        <w:lastRenderedPageBreak/>
        <w:t>3.1</w:t>
      </w:r>
      <w:r w:rsidRPr="0077021D">
        <w:rPr>
          <w:sz w:val="24"/>
          <w:szCs w:val="24"/>
        </w:rPr>
        <w:tab/>
        <w:t>Dyrearter, som lægemidlet er beregnet til</w:t>
      </w:r>
    </w:p>
    <w:p w:rsidR="0077021D" w:rsidRPr="0077021D" w:rsidRDefault="0077021D" w:rsidP="0077021D">
      <w:pPr>
        <w:pStyle w:val="Style1"/>
        <w:tabs>
          <w:tab w:val="clear" w:pos="0"/>
          <w:tab w:val="left" w:pos="284"/>
        </w:tabs>
        <w:ind w:left="851" w:firstLine="0"/>
        <w:rPr>
          <w:b w:val="0"/>
          <w:bCs/>
          <w:sz w:val="24"/>
          <w:szCs w:val="24"/>
        </w:rPr>
      </w:pPr>
      <w:r w:rsidRPr="0077021D">
        <w:rPr>
          <w:b w:val="0"/>
          <w:bCs/>
          <w:sz w:val="24"/>
          <w:szCs w:val="24"/>
        </w:rPr>
        <w:t>Hund</w:t>
      </w:r>
    </w:p>
    <w:p w:rsidR="0077021D" w:rsidRPr="0077021D" w:rsidRDefault="0077021D" w:rsidP="0077021D">
      <w:pPr>
        <w:rPr>
          <w:sz w:val="24"/>
          <w:szCs w:val="24"/>
        </w:rPr>
      </w:pPr>
    </w:p>
    <w:p w:rsidR="0077021D" w:rsidRPr="0077021D" w:rsidRDefault="0077021D" w:rsidP="0077021D">
      <w:pPr>
        <w:pStyle w:val="Style1"/>
        <w:ind w:left="851" w:hanging="851"/>
        <w:rPr>
          <w:sz w:val="24"/>
          <w:szCs w:val="24"/>
        </w:rPr>
      </w:pPr>
      <w:r w:rsidRPr="0077021D">
        <w:rPr>
          <w:sz w:val="24"/>
          <w:szCs w:val="24"/>
        </w:rPr>
        <w:t>3.2</w:t>
      </w:r>
      <w:r w:rsidRPr="0077021D">
        <w:rPr>
          <w:sz w:val="24"/>
          <w:szCs w:val="24"/>
        </w:rPr>
        <w:tab/>
        <w:t>Terapeutiske indikationer for hver dyreart, som lægemidlet er beregnet til</w:t>
      </w:r>
    </w:p>
    <w:p w:rsidR="0077021D" w:rsidRPr="0077021D" w:rsidRDefault="0077021D" w:rsidP="0077021D">
      <w:pPr>
        <w:ind w:left="851"/>
        <w:rPr>
          <w:sz w:val="24"/>
          <w:szCs w:val="24"/>
        </w:rPr>
      </w:pPr>
      <w:r w:rsidRPr="0077021D">
        <w:rPr>
          <w:sz w:val="24"/>
          <w:szCs w:val="24"/>
        </w:rPr>
        <w:t>Forebyggelse af anfald på grund af generaliseret epilepsi hos hunde.</w:t>
      </w:r>
    </w:p>
    <w:p w:rsidR="0077021D" w:rsidRPr="0077021D" w:rsidRDefault="0077021D" w:rsidP="0077021D">
      <w:pPr>
        <w:rPr>
          <w:sz w:val="24"/>
          <w:szCs w:val="24"/>
        </w:rPr>
      </w:pPr>
    </w:p>
    <w:p w:rsidR="0077021D" w:rsidRPr="0077021D" w:rsidRDefault="0077021D" w:rsidP="0077021D">
      <w:pPr>
        <w:pStyle w:val="Style1"/>
        <w:ind w:left="851" w:hanging="851"/>
        <w:rPr>
          <w:sz w:val="24"/>
          <w:szCs w:val="24"/>
        </w:rPr>
      </w:pPr>
      <w:r w:rsidRPr="0077021D">
        <w:rPr>
          <w:sz w:val="24"/>
          <w:szCs w:val="24"/>
        </w:rPr>
        <w:t>3.3</w:t>
      </w:r>
      <w:r w:rsidRPr="0077021D">
        <w:rPr>
          <w:sz w:val="24"/>
          <w:szCs w:val="24"/>
        </w:rPr>
        <w:tab/>
        <w:t>Kontraindikationer</w:t>
      </w:r>
    </w:p>
    <w:p w:rsidR="0077021D" w:rsidRPr="0077021D" w:rsidRDefault="0077021D" w:rsidP="0077021D">
      <w:pPr>
        <w:ind w:left="851"/>
        <w:rPr>
          <w:sz w:val="24"/>
          <w:szCs w:val="24"/>
        </w:rPr>
      </w:pPr>
      <w:r w:rsidRPr="0077021D">
        <w:rPr>
          <w:sz w:val="24"/>
          <w:szCs w:val="24"/>
        </w:rPr>
        <w:t>Må ikke anvendes til dyr med kraftigt nedsat leverfunktion.</w:t>
      </w:r>
    </w:p>
    <w:p w:rsidR="0077021D" w:rsidRPr="0077021D" w:rsidRDefault="0077021D" w:rsidP="0077021D">
      <w:pPr>
        <w:ind w:left="851"/>
        <w:rPr>
          <w:sz w:val="24"/>
          <w:szCs w:val="24"/>
        </w:rPr>
      </w:pPr>
      <w:r w:rsidRPr="0077021D">
        <w:rPr>
          <w:sz w:val="24"/>
          <w:szCs w:val="24"/>
        </w:rPr>
        <w:t xml:space="preserve">Må ikke anvendes til dyr med alvorlige nyrelidelser eller </w:t>
      </w:r>
      <w:proofErr w:type="spellStart"/>
      <w:r w:rsidRPr="0077021D">
        <w:rPr>
          <w:sz w:val="24"/>
          <w:szCs w:val="24"/>
        </w:rPr>
        <w:t>kardiovaskulære</w:t>
      </w:r>
      <w:proofErr w:type="spellEnd"/>
      <w:r w:rsidRPr="0077021D">
        <w:rPr>
          <w:sz w:val="24"/>
          <w:szCs w:val="24"/>
        </w:rPr>
        <w:t xml:space="preserve"> lidelser.</w:t>
      </w:r>
    </w:p>
    <w:p w:rsidR="0077021D" w:rsidRPr="0077021D" w:rsidRDefault="0077021D" w:rsidP="0077021D">
      <w:pPr>
        <w:ind w:left="851"/>
        <w:rPr>
          <w:sz w:val="24"/>
          <w:szCs w:val="24"/>
        </w:rPr>
      </w:pPr>
      <w:r w:rsidRPr="0077021D">
        <w:rPr>
          <w:sz w:val="24"/>
          <w:szCs w:val="24"/>
        </w:rPr>
        <w:t>Må ikke anvendes til hunde med en kropsvægt under 6 kg.</w:t>
      </w:r>
    </w:p>
    <w:p w:rsidR="0077021D" w:rsidRPr="0077021D" w:rsidRDefault="0077021D" w:rsidP="0077021D">
      <w:pPr>
        <w:ind w:left="851"/>
        <w:rPr>
          <w:sz w:val="24"/>
          <w:szCs w:val="24"/>
        </w:rPr>
      </w:pPr>
      <w:r w:rsidRPr="0077021D">
        <w:rPr>
          <w:sz w:val="24"/>
          <w:szCs w:val="24"/>
        </w:rPr>
        <w:t>Må ikke anvendes i tilfælde af overfølsomhed over for det aktive stof eller til andre barbiturater eller over for et eller flere af hjælpestofferne.</w:t>
      </w:r>
    </w:p>
    <w:p w:rsidR="0077021D" w:rsidRPr="0077021D" w:rsidRDefault="0077021D" w:rsidP="0077021D">
      <w:pPr>
        <w:rPr>
          <w:sz w:val="24"/>
          <w:szCs w:val="24"/>
        </w:rPr>
      </w:pPr>
    </w:p>
    <w:p w:rsidR="0077021D" w:rsidRPr="0077021D" w:rsidRDefault="0077021D" w:rsidP="0077021D">
      <w:pPr>
        <w:pStyle w:val="Style1"/>
        <w:ind w:left="851" w:hanging="851"/>
        <w:rPr>
          <w:sz w:val="24"/>
          <w:szCs w:val="24"/>
        </w:rPr>
      </w:pPr>
      <w:r w:rsidRPr="0077021D">
        <w:rPr>
          <w:sz w:val="24"/>
          <w:szCs w:val="24"/>
        </w:rPr>
        <w:t>3.4</w:t>
      </w:r>
      <w:r w:rsidRPr="0077021D">
        <w:rPr>
          <w:sz w:val="24"/>
          <w:szCs w:val="24"/>
        </w:rPr>
        <w:tab/>
        <w:t>Særlige advarsler</w:t>
      </w:r>
    </w:p>
    <w:p w:rsidR="0077021D" w:rsidRPr="0077021D" w:rsidRDefault="0077021D" w:rsidP="0077021D">
      <w:pPr>
        <w:tabs>
          <w:tab w:val="left" w:pos="851"/>
        </w:tabs>
        <w:ind w:left="851"/>
        <w:rPr>
          <w:sz w:val="24"/>
          <w:szCs w:val="24"/>
        </w:rPr>
      </w:pPr>
      <w:r w:rsidRPr="0077021D">
        <w:rPr>
          <w:sz w:val="24"/>
          <w:szCs w:val="24"/>
        </w:rPr>
        <w:t>Beslutning om at påbegynde behandling med et antiepileptisk lægemiddel indeholdende</w:t>
      </w:r>
    </w:p>
    <w:p w:rsidR="0077021D" w:rsidRPr="0077021D" w:rsidRDefault="0077021D" w:rsidP="0077021D">
      <w:pPr>
        <w:tabs>
          <w:tab w:val="left" w:pos="851"/>
        </w:tabs>
        <w:ind w:left="851"/>
        <w:rPr>
          <w:sz w:val="24"/>
          <w:szCs w:val="24"/>
        </w:rPr>
      </w:pPr>
      <w:proofErr w:type="spellStart"/>
      <w:r w:rsidRPr="0077021D">
        <w:rPr>
          <w:sz w:val="24"/>
          <w:szCs w:val="24"/>
        </w:rPr>
        <w:t>phenobarbital</w:t>
      </w:r>
      <w:proofErr w:type="spellEnd"/>
      <w:r w:rsidRPr="0077021D">
        <w:rPr>
          <w:sz w:val="24"/>
          <w:szCs w:val="24"/>
        </w:rPr>
        <w:t xml:space="preserve"> bør evalueres for hver enkelt tilfælde og afhænger af antallet, hyppigheden,</w:t>
      </w:r>
    </w:p>
    <w:p w:rsidR="0077021D" w:rsidRPr="0077021D" w:rsidRDefault="0077021D" w:rsidP="0077021D">
      <w:pPr>
        <w:tabs>
          <w:tab w:val="left" w:pos="851"/>
        </w:tabs>
        <w:ind w:left="851"/>
        <w:rPr>
          <w:sz w:val="24"/>
          <w:szCs w:val="24"/>
        </w:rPr>
      </w:pPr>
      <w:r w:rsidRPr="0077021D">
        <w:rPr>
          <w:sz w:val="24"/>
          <w:szCs w:val="24"/>
        </w:rPr>
        <w:t xml:space="preserve">varigheden og graden af anfaldene hos hunden. </w:t>
      </w:r>
    </w:p>
    <w:p w:rsidR="0077021D" w:rsidRPr="0077021D" w:rsidRDefault="0077021D" w:rsidP="0077021D">
      <w:pPr>
        <w:tabs>
          <w:tab w:val="left" w:pos="720"/>
        </w:tabs>
        <w:ind w:left="851"/>
        <w:rPr>
          <w:sz w:val="24"/>
          <w:szCs w:val="24"/>
        </w:rPr>
      </w:pPr>
      <w:r w:rsidRPr="0077021D">
        <w:rPr>
          <w:sz w:val="24"/>
          <w:szCs w:val="24"/>
        </w:rPr>
        <w:t xml:space="preserve">Nogle af hundene får ikke epileptiske anfald under behandlingen, men nogle af hundene oplever kun færre anfald, og nogle af hundene anses for ikke at respondere. </w:t>
      </w:r>
    </w:p>
    <w:p w:rsidR="0077021D" w:rsidRPr="0077021D" w:rsidRDefault="0077021D" w:rsidP="0077021D">
      <w:pPr>
        <w:rPr>
          <w:sz w:val="24"/>
          <w:szCs w:val="24"/>
        </w:rPr>
      </w:pPr>
    </w:p>
    <w:p w:rsidR="0077021D" w:rsidRPr="0077021D" w:rsidRDefault="0077021D" w:rsidP="0077021D">
      <w:pPr>
        <w:pStyle w:val="Style1"/>
        <w:ind w:left="851" w:hanging="851"/>
        <w:rPr>
          <w:sz w:val="24"/>
          <w:szCs w:val="24"/>
        </w:rPr>
      </w:pPr>
      <w:r w:rsidRPr="0077021D">
        <w:rPr>
          <w:sz w:val="24"/>
          <w:szCs w:val="24"/>
        </w:rPr>
        <w:t>3.5</w:t>
      </w:r>
      <w:r w:rsidRPr="0077021D">
        <w:rPr>
          <w:sz w:val="24"/>
          <w:szCs w:val="24"/>
        </w:rPr>
        <w:tab/>
        <w:t>Særlige forholdsregler vedrørende brugen</w:t>
      </w:r>
    </w:p>
    <w:p w:rsidR="0077021D" w:rsidRPr="0077021D" w:rsidRDefault="0077021D" w:rsidP="0077021D">
      <w:pPr>
        <w:ind w:left="851"/>
        <w:rPr>
          <w:sz w:val="24"/>
          <w:szCs w:val="24"/>
        </w:rPr>
      </w:pPr>
    </w:p>
    <w:p w:rsidR="0077021D" w:rsidRPr="0077021D" w:rsidRDefault="0077021D" w:rsidP="0077021D">
      <w:pPr>
        <w:ind w:left="851"/>
        <w:rPr>
          <w:sz w:val="24"/>
          <w:szCs w:val="24"/>
          <w:u w:val="single"/>
        </w:rPr>
      </w:pPr>
      <w:r w:rsidRPr="0077021D">
        <w:rPr>
          <w:sz w:val="24"/>
          <w:szCs w:val="24"/>
          <w:u w:val="single"/>
        </w:rPr>
        <w:t>Særlige forholdsregler vedrørende sikker brug hos de dyrearter, som lægemidlet er beregnet til:</w:t>
      </w:r>
    </w:p>
    <w:p w:rsidR="0077021D" w:rsidRPr="0077021D" w:rsidRDefault="0077021D" w:rsidP="0077021D">
      <w:pPr>
        <w:ind w:left="851"/>
        <w:rPr>
          <w:sz w:val="24"/>
          <w:szCs w:val="24"/>
        </w:rPr>
      </w:pPr>
    </w:p>
    <w:p w:rsidR="0077021D" w:rsidRPr="0077021D" w:rsidRDefault="0077021D" w:rsidP="0077021D">
      <w:pPr>
        <w:ind w:left="851"/>
        <w:rPr>
          <w:sz w:val="24"/>
          <w:szCs w:val="24"/>
        </w:rPr>
      </w:pPr>
      <w:r w:rsidRPr="0077021D">
        <w:rPr>
          <w:sz w:val="24"/>
          <w:szCs w:val="24"/>
        </w:rPr>
        <w:t xml:space="preserve">Det anbefales at udvise forsigtighed ved behandling af dyr med nedsat lever- og nyrefunktion, </w:t>
      </w:r>
      <w:proofErr w:type="spellStart"/>
      <w:r w:rsidRPr="0077021D">
        <w:rPr>
          <w:sz w:val="24"/>
          <w:szCs w:val="24"/>
        </w:rPr>
        <w:t>hypovolæmi</w:t>
      </w:r>
      <w:proofErr w:type="spellEnd"/>
      <w:r w:rsidRPr="0077021D">
        <w:rPr>
          <w:sz w:val="24"/>
          <w:szCs w:val="24"/>
        </w:rPr>
        <w:t xml:space="preserve">, anæmi eller hjerte- eller respirationsdysfunktion. Risikoen for </w:t>
      </w:r>
      <w:proofErr w:type="spellStart"/>
      <w:r w:rsidRPr="0077021D">
        <w:rPr>
          <w:sz w:val="24"/>
          <w:szCs w:val="24"/>
        </w:rPr>
        <w:t>hepatotoksiske</w:t>
      </w:r>
      <w:proofErr w:type="spellEnd"/>
      <w:r w:rsidRPr="0077021D">
        <w:rPr>
          <w:sz w:val="24"/>
          <w:szCs w:val="24"/>
        </w:rPr>
        <w:t xml:space="preserve"> bivirkninger kan reduceres eller forsinkes ved anvendelse af en effektiv dosis, der er så lav som muligt. Ved langvarig behandling anbefales overvågning af leverparametrene.</w:t>
      </w:r>
    </w:p>
    <w:p w:rsidR="0077021D" w:rsidRPr="0077021D" w:rsidRDefault="0077021D" w:rsidP="0077021D">
      <w:pPr>
        <w:ind w:left="851"/>
        <w:rPr>
          <w:sz w:val="24"/>
          <w:szCs w:val="24"/>
        </w:rPr>
      </w:pPr>
    </w:p>
    <w:p w:rsidR="0077021D" w:rsidRPr="0077021D" w:rsidRDefault="0077021D" w:rsidP="0077021D">
      <w:pPr>
        <w:ind w:left="851"/>
        <w:rPr>
          <w:sz w:val="24"/>
          <w:szCs w:val="24"/>
        </w:rPr>
      </w:pPr>
      <w:r w:rsidRPr="0077021D">
        <w:rPr>
          <w:sz w:val="24"/>
          <w:szCs w:val="24"/>
        </w:rPr>
        <w:t xml:space="preserve">Det anbefales at foretage en vurdering af patientens kliniske patologi 2-3 uger efter behandlingens start og derefter for hver 4-6 måneder, f.eks. måling af leverenzymer og serum-galdesyrer. Det er vigtigt at vide, at virkningen af </w:t>
      </w:r>
      <w:proofErr w:type="spellStart"/>
      <w:r w:rsidRPr="0077021D">
        <w:rPr>
          <w:sz w:val="24"/>
          <w:szCs w:val="24"/>
        </w:rPr>
        <w:t>hypoxi</w:t>
      </w:r>
      <w:proofErr w:type="spellEnd"/>
      <w:r w:rsidRPr="0077021D">
        <w:rPr>
          <w:sz w:val="24"/>
          <w:szCs w:val="24"/>
        </w:rPr>
        <w:t xml:space="preserve"> etc. forårsager forhøjede niveauer af leverenzymer efter et anfald. </w:t>
      </w:r>
      <w:proofErr w:type="spellStart"/>
      <w:r w:rsidRPr="0077021D">
        <w:rPr>
          <w:sz w:val="24"/>
          <w:szCs w:val="24"/>
        </w:rPr>
        <w:t>Phenobarbital</w:t>
      </w:r>
      <w:proofErr w:type="spellEnd"/>
      <w:r w:rsidRPr="0077021D">
        <w:rPr>
          <w:sz w:val="24"/>
          <w:szCs w:val="24"/>
        </w:rPr>
        <w:t xml:space="preserve"> kan forøge aktiviteten af serum-</w:t>
      </w:r>
      <w:proofErr w:type="spellStart"/>
      <w:r w:rsidRPr="0077021D">
        <w:rPr>
          <w:sz w:val="24"/>
          <w:szCs w:val="24"/>
        </w:rPr>
        <w:t>alkalinfosfatase</w:t>
      </w:r>
      <w:proofErr w:type="spellEnd"/>
      <w:r w:rsidRPr="0077021D">
        <w:rPr>
          <w:sz w:val="24"/>
          <w:szCs w:val="24"/>
        </w:rPr>
        <w:t xml:space="preserve"> og </w:t>
      </w:r>
      <w:proofErr w:type="spellStart"/>
      <w:r w:rsidRPr="0077021D">
        <w:rPr>
          <w:sz w:val="24"/>
          <w:szCs w:val="24"/>
        </w:rPr>
        <w:t>transaminaser</w:t>
      </w:r>
      <w:proofErr w:type="spellEnd"/>
      <w:r w:rsidRPr="0077021D">
        <w:rPr>
          <w:sz w:val="24"/>
          <w:szCs w:val="24"/>
        </w:rPr>
        <w:t xml:space="preserve">. Dette kan være ikke-patologiske forandringer, men kan også være tegn på </w:t>
      </w:r>
      <w:proofErr w:type="spellStart"/>
      <w:r w:rsidRPr="0077021D">
        <w:rPr>
          <w:sz w:val="24"/>
          <w:szCs w:val="24"/>
        </w:rPr>
        <w:t>hepatotoksicitet</w:t>
      </w:r>
      <w:proofErr w:type="spellEnd"/>
      <w:r w:rsidRPr="0077021D">
        <w:rPr>
          <w:sz w:val="24"/>
          <w:szCs w:val="24"/>
        </w:rPr>
        <w:t xml:space="preserve">, og det anbefales at udføre leverfunktionstest. Forøgede leverenzymværdier kræver ikke nødvendigvis altid en reduktion af dosis af </w:t>
      </w:r>
      <w:proofErr w:type="spellStart"/>
      <w:r w:rsidRPr="0077021D">
        <w:rPr>
          <w:sz w:val="24"/>
          <w:szCs w:val="24"/>
        </w:rPr>
        <w:t>phenobarbital</w:t>
      </w:r>
      <w:proofErr w:type="spellEnd"/>
      <w:r w:rsidRPr="0077021D">
        <w:rPr>
          <w:sz w:val="24"/>
          <w:szCs w:val="24"/>
        </w:rPr>
        <w:t>, hvis serum-galdesyrerne befinder sig i normalområdet.</w:t>
      </w:r>
    </w:p>
    <w:p w:rsidR="0077021D" w:rsidRPr="0077021D" w:rsidRDefault="0077021D" w:rsidP="0077021D">
      <w:pPr>
        <w:ind w:left="851"/>
        <w:rPr>
          <w:sz w:val="24"/>
          <w:szCs w:val="24"/>
        </w:rPr>
      </w:pPr>
    </w:p>
    <w:p w:rsidR="0077021D" w:rsidRPr="0077021D" w:rsidRDefault="0077021D" w:rsidP="0077021D">
      <w:pPr>
        <w:ind w:left="851"/>
        <w:rPr>
          <w:sz w:val="24"/>
          <w:szCs w:val="24"/>
        </w:rPr>
      </w:pPr>
      <w:r w:rsidRPr="0077021D">
        <w:rPr>
          <w:sz w:val="24"/>
          <w:szCs w:val="24"/>
        </w:rPr>
        <w:t xml:space="preserve">Hos stabiliserede epilepsipatienter anbefales det ikke at skifte fra andre </w:t>
      </w:r>
      <w:proofErr w:type="spellStart"/>
      <w:r w:rsidRPr="0077021D">
        <w:rPr>
          <w:sz w:val="24"/>
          <w:szCs w:val="24"/>
        </w:rPr>
        <w:t>phenobarbitalpræparater</w:t>
      </w:r>
      <w:proofErr w:type="spellEnd"/>
      <w:r w:rsidRPr="0077021D">
        <w:rPr>
          <w:sz w:val="24"/>
          <w:szCs w:val="24"/>
        </w:rPr>
        <w:t xml:space="preserve"> til </w:t>
      </w:r>
      <w:proofErr w:type="spellStart"/>
      <w:r w:rsidRPr="0077021D">
        <w:rPr>
          <w:sz w:val="24"/>
          <w:szCs w:val="24"/>
        </w:rPr>
        <w:t>Epityl</w:t>
      </w:r>
      <w:proofErr w:type="spellEnd"/>
      <w:r w:rsidRPr="0077021D">
        <w:rPr>
          <w:sz w:val="24"/>
          <w:szCs w:val="24"/>
        </w:rPr>
        <w:t xml:space="preserve"> 60 mg tabletter. Hvis dette alligevel ikke kan undgås, skal der udvises yderligere forsigtighed. Dette omfatter hyppigere måling af plasmakoncentrationen for at sikre, at behandlingsniveauet holdes. Overvågning med henblik på konstatering af forværring af bivirkninger samt leverdysfunktion bør udføres oftere, indtil stabilisering er bekræftet. </w:t>
      </w:r>
    </w:p>
    <w:p w:rsidR="0077021D" w:rsidRPr="0077021D" w:rsidRDefault="0077021D" w:rsidP="0077021D">
      <w:pPr>
        <w:ind w:left="851"/>
        <w:rPr>
          <w:sz w:val="24"/>
          <w:szCs w:val="24"/>
        </w:rPr>
      </w:pPr>
      <w:proofErr w:type="spellStart"/>
      <w:r w:rsidRPr="0077021D">
        <w:rPr>
          <w:sz w:val="24"/>
          <w:szCs w:val="24"/>
        </w:rPr>
        <w:t>Seponering</w:t>
      </w:r>
      <w:proofErr w:type="spellEnd"/>
      <w:r w:rsidRPr="0077021D">
        <w:rPr>
          <w:sz w:val="24"/>
          <w:szCs w:val="24"/>
        </w:rPr>
        <w:t xml:space="preserve"> eller overgang til andre typer behandling mod epilepsi skal gøres gradvist for at undgå at udløse hyppigere anfald.</w:t>
      </w:r>
    </w:p>
    <w:p w:rsidR="0077021D" w:rsidRPr="0077021D" w:rsidRDefault="0077021D" w:rsidP="0077021D">
      <w:pPr>
        <w:tabs>
          <w:tab w:val="left" w:pos="720"/>
        </w:tabs>
        <w:ind w:left="851"/>
        <w:rPr>
          <w:sz w:val="24"/>
          <w:szCs w:val="24"/>
        </w:rPr>
      </w:pPr>
    </w:p>
    <w:p w:rsidR="0077021D" w:rsidRPr="0077021D" w:rsidRDefault="0077021D" w:rsidP="0077021D">
      <w:pPr>
        <w:tabs>
          <w:tab w:val="left" w:pos="720"/>
        </w:tabs>
        <w:ind w:left="851"/>
        <w:rPr>
          <w:sz w:val="24"/>
          <w:szCs w:val="24"/>
        </w:rPr>
      </w:pPr>
      <w:r w:rsidRPr="0077021D">
        <w:rPr>
          <w:sz w:val="24"/>
          <w:szCs w:val="24"/>
        </w:rPr>
        <w:t>Tabletterne har tilsat smag. For at undgå indgift ved hændeligt uheld skal tabletterne opbevares utilgængeligt for dyr.</w:t>
      </w:r>
    </w:p>
    <w:p w:rsidR="0077021D" w:rsidRPr="0077021D" w:rsidRDefault="0077021D" w:rsidP="0077021D">
      <w:pPr>
        <w:ind w:left="851"/>
        <w:rPr>
          <w:sz w:val="24"/>
          <w:szCs w:val="24"/>
        </w:rPr>
      </w:pPr>
    </w:p>
    <w:p w:rsidR="0077021D" w:rsidRPr="0077021D" w:rsidRDefault="0077021D" w:rsidP="0077021D">
      <w:pPr>
        <w:ind w:left="851"/>
        <w:rPr>
          <w:sz w:val="24"/>
          <w:szCs w:val="24"/>
          <w:u w:val="single"/>
        </w:rPr>
      </w:pPr>
      <w:r w:rsidRPr="0077021D">
        <w:rPr>
          <w:sz w:val="24"/>
          <w:szCs w:val="24"/>
          <w:u w:val="single"/>
        </w:rPr>
        <w:t>Særlige forholdsregler for personer, der administrerer veterinærlægemidlet til dyr:</w:t>
      </w:r>
    </w:p>
    <w:p w:rsidR="0077021D" w:rsidRPr="0077021D" w:rsidRDefault="0077021D" w:rsidP="0077021D">
      <w:pPr>
        <w:rPr>
          <w:sz w:val="24"/>
          <w:szCs w:val="24"/>
          <w:u w:val="single"/>
        </w:rPr>
      </w:pPr>
    </w:p>
    <w:p w:rsidR="0077021D" w:rsidRPr="0077021D" w:rsidRDefault="0077021D" w:rsidP="0077021D">
      <w:pPr>
        <w:ind w:left="1276" w:hanging="425"/>
        <w:rPr>
          <w:sz w:val="24"/>
          <w:szCs w:val="24"/>
        </w:rPr>
      </w:pPr>
      <w:r w:rsidRPr="0077021D">
        <w:rPr>
          <w:sz w:val="24"/>
          <w:szCs w:val="24"/>
        </w:rPr>
        <w:t>•</w:t>
      </w:r>
      <w:r w:rsidRPr="0077021D">
        <w:rPr>
          <w:sz w:val="24"/>
          <w:szCs w:val="24"/>
        </w:rPr>
        <w:tab/>
        <w:t>Barbiturater kan forårsage overfølsomhed. Personer med kendt overfølsomhed over for barbiturater bør undgå kontakt med produktet.</w:t>
      </w:r>
    </w:p>
    <w:p w:rsidR="0077021D" w:rsidRPr="0077021D" w:rsidRDefault="0077021D" w:rsidP="0077021D">
      <w:pPr>
        <w:ind w:left="1276" w:hanging="425"/>
        <w:rPr>
          <w:sz w:val="24"/>
          <w:szCs w:val="24"/>
        </w:rPr>
      </w:pPr>
      <w:r w:rsidRPr="0077021D">
        <w:rPr>
          <w:sz w:val="24"/>
          <w:szCs w:val="24"/>
        </w:rPr>
        <w:t>•</w:t>
      </w:r>
      <w:r w:rsidRPr="0077021D">
        <w:rPr>
          <w:sz w:val="24"/>
          <w:szCs w:val="24"/>
        </w:rPr>
        <w:tab/>
        <w:t>Utilsigtet indtagelse kan forårsage forgiftning og kan være dødelig, især for børn. Vær yderst opmærksom på, at børn ikke kommer i kontakt med produktet.</w:t>
      </w:r>
    </w:p>
    <w:p w:rsidR="0077021D" w:rsidRPr="0077021D" w:rsidRDefault="0077021D" w:rsidP="0077021D">
      <w:pPr>
        <w:ind w:left="1276" w:hanging="425"/>
        <w:rPr>
          <w:sz w:val="24"/>
          <w:szCs w:val="24"/>
        </w:rPr>
      </w:pPr>
      <w:r w:rsidRPr="0077021D">
        <w:rPr>
          <w:sz w:val="24"/>
          <w:szCs w:val="24"/>
        </w:rPr>
        <w:t>•</w:t>
      </w:r>
      <w:r w:rsidRPr="0077021D">
        <w:rPr>
          <w:sz w:val="24"/>
          <w:szCs w:val="24"/>
        </w:rPr>
        <w:tab/>
      </w:r>
      <w:proofErr w:type="spellStart"/>
      <w:r w:rsidRPr="0077021D">
        <w:rPr>
          <w:sz w:val="24"/>
          <w:szCs w:val="24"/>
        </w:rPr>
        <w:t>Phenobarbital</w:t>
      </w:r>
      <w:proofErr w:type="spellEnd"/>
      <w:r w:rsidRPr="0077021D">
        <w:rPr>
          <w:sz w:val="24"/>
          <w:szCs w:val="24"/>
        </w:rPr>
        <w:t xml:space="preserve"> er </w:t>
      </w:r>
      <w:proofErr w:type="spellStart"/>
      <w:r w:rsidRPr="0077021D">
        <w:rPr>
          <w:sz w:val="24"/>
          <w:szCs w:val="24"/>
        </w:rPr>
        <w:t>teratogent</w:t>
      </w:r>
      <w:proofErr w:type="spellEnd"/>
      <w:r w:rsidRPr="0077021D">
        <w:rPr>
          <w:sz w:val="24"/>
          <w:szCs w:val="24"/>
        </w:rPr>
        <w:t xml:space="preserve">, og kan være toksisk for ufødte og ammede børn. Det kan påvirke udviklingen af hjernen, og føre til kognitive sygdomme. </w:t>
      </w:r>
      <w:proofErr w:type="spellStart"/>
      <w:r w:rsidRPr="0077021D">
        <w:rPr>
          <w:sz w:val="24"/>
          <w:szCs w:val="24"/>
        </w:rPr>
        <w:t>Phenobarbital</w:t>
      </w:r>
      <w:proofErr w:type="spellEnd"/>
      <w:r w:rsidRPr="0077021D">
        <w:rPr>
          <w:sz w:val="24"/>
          <w:szCs w:val="24"/>
        </w:rPr>
        <w:t xml:space="preserve"> udskilles i modermælk. Gravide kvinder, kvinder i den fødedygtige alder og ammende kvinder bør undgå utilsigtet indtagelse og langvarig hudkontakt med produktet.</w:t>
      </w:r>
    </w:p>
    <w:p w:rsidR="0077021D" w:rsidRPr="0077021D" w:rsidRDefault="0077021D" w:rsidP="0077021D">
      <w:pPr>
        <w:ind w:left="1276" w:hanging="425"/>
        <w:rPr>
          <w:sz w:val="24"/>
          <w:szCs w:val="24"/>
        </w:rPr>
      </w:pPr>
      <w:r w:rsidRPr="0077021D">
        <w:rPr>
          <w:sz w:val="24"/>
          <w:szCs w:val="24"/>
        </w:rPr>
        <w:t>•</w:t>
      </w:r>
      <w:r w:rsidRPr="0077021D">
        <w:rPr>
          <w:sz w:val="24"/>
          <w:szCs w:val="24"/>
        </w:rPr>
        <w:tab/>
        <w:t>Opbevar dette produkt i sin originale emballage for at undgå utilsigtet indtagelse.</w:t>
      </w:r>
    </w:p>
    <w:p w:rsidR="0077021D" w:rsidRPr="0077021D" w:rsidRDefault="0077021D" w:rsidP="0077021D">
      <w:pPr>
        <w:ind w:left="1276" w:hanging="425"/>
        <w:rPr>
          <w:sz w:val="24"/>
          <w:szCs w:val="24"/>
        </w:rPr>
      </w:pPr>
      <w:r w:rsidRPr="0077021D">
        <w:rPr>
          <w:sz w:val="24"/>
          <w:szCs w:val="24"/>
        </w:rPr>
        <w:t>•</w:t>
      </w:r>
      <w:r w:rsidRPr="0077021D">
        <w:rPr>
          <w:sz w:val="24"/>
          <w:szCs w:val="24"/>
        </w:rPr>
        <w:tab/>
        <w:t>Det anbefales at bære engangshandsker under administration af produktet for at reducere hudkontakt.</w:t>
      </w:r>
    </w:p>
    <w:p w:rsidR="0077021D" w:rsidRPr="0077021D" w:rsidRDefault="0077021D" w:rsidP="0077021D">
      <w:pPr>
        <w:ind w:left="1276" w:hanging="425"/>
        <w:rPr>
          <w:sz w:val="24"/>
          <w:szCs w:val="24"/>
        </w:rPr>
      </w:pPr>
      <w:r w:rsidRPr="0077021D">
        <w:rPr>
          <w:sz w:val="24"/>
          <w:szCs w:val="24"/>
        </w:rPr>
        <w:t>•</w:t>
      </w:r>
      <w:r w:rsidRPr="0077021D">
        <w:rPr>
          <w:sz w:val="24"/>
          <w:szCs w:val="24"/>
        </w:rPr>
        <w:tab/>
        <w:t>I tilfælde af indgift ved hændeligt uheld skal der straks søges lægehjælp, og de skal informeres om forgiftning med barbiturater, og indlægssedlen eller etiketten skal vises til lægen. Hvis det er muligt, skal lægen informeres om tidspunktet for og mængden af indgift, da disse oplysninger kan hjælpe med at sikre, at der gives en passende behandling.</w:t>
      </w:r>
    </w:p>
    <w:p w:rsidR="0077021D" w:rsidRDefault="0077021D" w:rsidP="0077021D">
      <w:pPr>
        <w:ind w:left="1276" w:hanging="425"/>
        <w:rPr>
          <w:sz w:val="24"/>
          <w:szCs w:val="24"/>
        </w:rPr>
      </w:pPr>
      <w:r w:rsidRPr="0077021D">
        <w:rPr>
          <w:sz w:val="24"/>
          <w:szCs w:val="24"/>
        </w:rPr>
        <w:t>•</w:t>
      </w:r>
      <w:r w:rsidRPr="0077021D">
        <w:rPr>
          <w:sz w:val="24"/>
          <w:szCs w:val="24"/>
        </w:rPr>
        <w:tab/>
        <w:t>Hver gang en ubrugt del af en tablet opbevares indtil næste brug, skal den sættes tilbage i den åbne blister, som så skal indsættes i kartonæsken.</w:t>
      </w:r>
    </w:p>
    <w:p w:rsidR="0077021D" w:rsidRPr="0077021D" w:rsidRDefault="0077021D" w:rsidP="0077021D">
      <w:pPr>
        <w:pStyle w:val="Listeafsnit"/>
        <w:numPr>
          <w:ilvl w:val="0"/>
          <w:numId w:val="7"/>
        </w:numPr>
        <w:ind w:left="1276" w:hanging="425"/>
        <w:rPr>
          <w:sz w:val="24"/>
          <w:szCs w:val="24"/>
          <w:lang w:val="da-DK"/>
        </w:rPr>
      </w:pPr>
      <w:r w:rsidRPr="0077021D">
        <w:rPr>
          <w:sz w:val="24"/>
          <w:szCs w:val="24"/>
          <w:lang w:val="da-DK"/>
        </w:rPr>
        <w:t>Vask hænderne grundigt efter brug.</w:t>
      </w:r>
    </w:p>
    <w:p w:rsidR="0077021D" w:rsidRPr="0077021D" w:rsidRDefault="0077021D" w:rsidP="0077021D">
      <w:pPr>
        <w:rPr>
          <w:sz w:val="24"/>
          <w:szCs w:val="24"/>
        </w:rPr>
      </w:pPr>
    </w:p>
    <w:p w:rsidR="0077021D" w:rsidRPr="0077021D" w:rsidRDefault="0077021D" w:rsidP="0077021D">
      <w:pPr>
        <w:ind w:left="851"/>
        <w:rPr>
          <w:sz w:val="24"/>
          <w:szCs w:val="24"/>
          <w:u w:val="single"/>
        </w:rPr>
      </w:pPr>
      <w:r w:rsidRPr="0077021D">
        <w:rPr>
          <w:sz w:val="24"/>
          <w:szCs w:val="24"/>
          <w:u w:val="single"/>
        </w:rPr>
        <w:t>Særlige forholdsregler vedrørende beskyttelse af miljøet:</w:t>
      </w:r>
    </w:p>
    <w:p w:rsidR="0077021D" w:rsidRPr="0077021D" w:rsidRDefault="0077021D" w:rsidP="0077021D">
      <w:pPr>
        <w:ind w:left="851"/>
        <w:rPr>
          <w:sz w:val="24"/>
          <w:szCs w:val="24"/>
        </w:rPr>
      </w:pPr>
    </w:p>
    <w:p w:rsidR="0077021D" w:rsidRPr="0077021D" w:rsidRDefault="0077021D" w:rsidP="0077021D">
      <w:pPr>
        <w:ind w:left="851"/>
        <w:rPr>
          <w:sz w:val="24"/>
          <w:szCs w:val="24"/>
        </w:rPr>
      </w:pPr>
      <w:r w:rsidRPr="0077021D">
        <w:rPr>
          <w:sz w:val="24"/>
          <w:szCs w:val="24"/>
        </w:rPr>
        <w:t>Ikke relevant.</w:t>
      </w:r>
    </w:p>
    <w:p w:rsidR="0077021D" w:rsidRPr="0077021D" w:rsidRDefault="0077021D" w:rsidP="0077021D">
      <w:pPr>
        <w:ind w:left="851"/>
        <w:rPr>
          <w:sz w:val="24"/>
          <w:szCs w:val="24"/>
        </w:rPr>
      </w:pPr>
    </w:p>
    <w:p w:rsidR="0077021D" w:rsidRPr="0077021D" w:rsidRDefault="0077021D" w:rsidP="0077021D">
      <w:pPr>
        <w:pStyle w:val="Style1"/>
        <w:ind w:left="851" w:hanging="851"/>
        <w:rPr>
          <w:sz w:val="24"/>
          <w:szCs w:val="24"/>
        </w:rPr>
      </w:pPr>
      <w:r w:rsidRPr="0077021D">
        <w:rPr>
          <w:sz w:val="24"/>
          <w:szCs w:val="24"/>
        </w:rPr>
        <w:t>3.6</w:t>
      </w:r>
      <w:r w:rsidRPr="0077021D">
        <w:rPr>
          <w:sz w:val="24"/>
          <w:szCs w:val="24"/>
        </w:rPr>
        <w:tab/>
        <w:t>Bivirkninger</w:t>
      </w:r>
    </w:p>
    <w:p w:rsidR="0077021D" w:rsidRPr="0077021D" w:rsidRDefault="0077021D" w:rsidP="0077021D">
      <w:pPr>
        <w:rPr>
          <w:sz w:val="24"/>
          <w:szCs w:val="24"/>
        </w:rPr>
      </w:pPr>
      <w:bookmarkStart w:id="2" w:name="_Hlk131509183"/>
    </w:p>
    <w:p w:rsidR="0077021D" w:rsidRPr="0077021D" w:rsidRDefault="0077021D" w:rsidP="0077021D">
      <w:pPr>
        <w:ind w:left="851"/>
        <w:rPr>
          <w:sz w:val="24"/>
          <w:szCs w:val="24"/>
        </w:rPr>
      </w:pPr>
      <w:r w:rsidRPr="0077021D">
        <w:rPr>
          <w:sz w:val="24"/>
          <w:szCs w:val="24"/>
        </w:rPr>
        <w:t>Hund</w:t>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67"/>
      </w:tblGrid>
      <w:tr w:rsidR="0077021D" w:rsidRPr="0077021D" w:rsidTr="0077021D">
        <w:tc>
          <w:tcPr>
            <w:tcW w:w="2443" w:type="pct"/>
          </w:tcPr>
          <w:p w:rsidR="0077021D" w:rsidRPr="0077021D" w:rsidRDefault="0077021D" w:rsidP="007343E7">
            <w:pPr>
              <w:spacing w:before="60" w:after="60"/>
              <w:rPr>
                <w:sz w:val="24"/>
                <w:szCs w:val="24"/>
              </w:rPr>
            </w:pPr>
            <w:r w:rsidRPr="0077021D">
              <w:rPr>
                <w:sz w:val="24"/>
                <w:szCs w:val="24"/>
              </w:rPr>
              <w:t>Meget sjælden</w:t>
            </w:r>
          </w:p>
          <w:p w:rsidR="0077021D" w:rsidRPr="0077021D" w:rsidRDefault="0077021D" w:rsidP="007343E7">
            <w:pPr>
              <w:spacing w:before="60" w:after="60"/>
              <w:rPr>
                <w:sz w:val="24"/>
                <w:szCs w:val="24"/>
              </w:rPr>
            </w:pPr>
            <w:r w:rsidRPr="0077021D">
              <w:rPr>
                <w:sz w:val="24"/>
                <w:szCs w:val="24"/>
              </w:rPr>
              <w:t>(&lt; 1 dyr ud af 10.000 behandlede dyr, herunder enkeltstående indberetninger):</w:t>
            </w:r>
          </w:p>
        </w:tc>
        <w:tc>
          <w:tcPr>
            <w:tcW w:w="2557" w:type="pct"/>
            <w:hideMark/>
          </w:tcPr>
          <w:p w:rsidR="0077021D" w:rsidRPr="0077021D" w:rsidRDefault="0077021D" w:rsidP="007343E7">
            <w:pPr>
              <w:spacing w:before="60" w:after="60"/>
              <w:rPr>
                <w:sz w:val="24"/>
                <w:szCs w:val="24"/>
              </w:rPr>
            </w:pPr>
            <w:proofErr w:type="spellStart"/>
            <w:r w:rsidRPr="0077021D">
              <w:rPr>
                <w:sz w:val="24"/>
                <w:szCs w:val="24"/>
              </w:rPr>
              <w:t>Ataksi</w:t>
            </w:r>
            <w:proofErr w:type="spellEnd"/>
            <w:r w:rsidRPr="0077021D">
              <w:rPr>
                <w:sz w:val="24"/>
                <w:szCs w:val="24"/>
              </w:rPr>
              <w:t xml:space="preserve"> og sedation</w:t>
            </w:r>
            <w:r w:rsidRPr="0077021D">
              <w:rPr>
                <w:sz w:val="24"/>
                <w:szCs w:val="24"/>
                <w:vertAlign w:val="superscript"/>
              </w:rPr>
              <w:t>1</w:t>
            </w:r>
          </w:p>
          <w:p w:rsidR="0077021D" w:rsidRPr="0077021D" w:rsidRDefault="0077021D" w:rsidP="007343E7">
            <w:pPr>
              <w:spacing w:before="60" w:after="60"/>
              <w:rPr>
                <w:sz w:val="24"/>
                <w:szCs w:val="24"/>
              </w:rPr>
            </w:pPr>
            <w:r w:rsidRPr="0077021D">
              <w:rPr>
                <w:sz w:val="24"/>
                <w:szCs w:val="24"/>
              </w:rPr>
              <w:t>Paradoksal hyperexcitabilitet</w:t>
            </w:r>
            <w:r w:rsidRPr="0077021D">
              <w:rPr>
                <w:sz w:val="24"/>
                <w:szCs w:val="24"/>
                <w:vertAlign w:val="superscript"/>
              </w:rPr>
              <w:t>2</w:t>
            </w:r>
          </w:p>
          <w:p w:rsidR="0077021D" w:rsidRPr="0077021D" w:rsidRDefault="0077021D" w:rsidP="007343E7">
            <w:pPr>
              <w:spacing w:before="60" w:after="60"/>
              <w:rPr>
                <w:sz w:val="24"/>
                <w:szCs w:val="24"/>
                <w:vertAlign w:val="superscript"/>
              </w:rPr>
            </w:pPr>
            <w:proofErr w:type="spellStart"/>
            <w:r w:rsidRPr="0077021D">
              <w:rPr>
                <w:sz w:val="24"/>
                <w:szCs w:val="24"/>
              </w:rPr>
              <w:t>Polyuri</w:t>
            </w:r>
            <w:proofErr w:type="spellEnd"/>
            <w:r w:rsidRPr="0077021D">
              <w:rPr>
                <w:sz w:val="24"/>
                <w:szCs w:val="24"/>
              </w:rPr>
              <w:t>, polydipsi og polyfagi</w:t>
            </w:r>
            <w:r w:rsidRPr="0077021D">
              <w:rPr>
                <w:sz w:val="24"/>
                <w:szCs w:val="24"/>
                <w:vertAlign w:val="superscript"/>
              </w:rPr>
              <w:t>3</w:t>
            </w:r>
          </w:p>
          <w:p w:rsidR="0077021D" w:rsidRPr="0077021D" w:rsidRDefault="0077021D" w:rsidP="007343E7">
            <w:pPr>
              <w:spacing w:before="60" w:after="60"/>
              <w:rPr>
                <w:sz w:val="24"/>
                <w:szCs w:val="24"/>
                <w:vertAlign w:val="superscript"/>
              </w:rPr>
            </w:pPr>
            <w:r w:rsidRPr="0077021D">
              <w:rPr>
                <w:sz w:val="24"/>
                <w:szCs w:val="24"/>
              </w:rPr>
              <w:t>Hepatotoksicitet</w:t>
            </w:r>
            <w:r w:rsidRPr="0077021D">
              <w:rPr>
                <w:sz w:val="24"/>
                <w:szCs w:val="24"/>
                <w:vertAlign w:val="superscript"/>
              </w:rPr>
              <w:t>4</w:t>
            </w:r>
          </w:p>
          <w:p w:rsidR="0077021D" w:rsidRPr="0077021D" w:rsidRDefault="0077021D" w:rsidP="007343E7">
            <w:pPr>
              <w:spacing w:before="60" w:after="60"/>
              <w:rPr>
                <w:sz w:val="24"/>
                <w:szCs w:val="24"/>
              </w:rPr>
            </w:pPr>
            <w:proofErr w:type="spellStart"/>
            <w:r w:rsidRPr="0077021D">
              <w:rPr>
                <w:sz w:val="24"/>
                <w:szCs w:val="24"/>
              </w:rPr>
              <w:t>Pancytopeni</w:t>
            </w:r>
            <w:proofErr w:type="spellEnd"/>
            <w:r w:rsidRPr="0077021D">
              <w:rPr>
                <w:sz w:val="24"/>
                <w:szCs w:val="24"/>
              </w:rPr>
              <w:t xml:space="preserve"> og/eller neutropeni</w:t>
            </w:r>
            <w:r w:rsidRPr="0077021D">
              <w:rPr>
                <w:sz w:val="24"/>
                <w:szCs w:val="24"/>
                <w:vertAlign w:val="superscript"/>
              </w:rPr>
              <w:t>5</w:t>
            </w:r>
          </w:p>
          <w:p w:rsidR="0077021D" w:rsidRPr="0077021D" w:rsidRDefault="0077021D" w:rsidP="007343E7">
            <w:pPr>
              <w:spacing w:before="60" w:after="60"/>
              <w:rPr>
                <w:iCs/>
                <w:sz w:val="24"/>
                <w:szCs w:val="24"/>
              </w:rPr>
            </w:pPr>
            <w:r w:rsidRPr="0077021D">
              <w:rPr>
                <w:sz w:val="24"/>
                <w:szCs w:val="24"/>
              </w:rPr>
              <w:t xml:space="preserve">Lavt frit </w:t>
            </w:r>
            <w:proofErr w:type="spellStart"/>
            <w:r w:rsidRPr="0077021D">
              <w:rPr>
                <w:sz w:val="24"/>
                <w:szCs w:val="24"/>
              </w:rPr>
              <w:t>thyroxin</w:t>
            </w:r>
            <w:proofErr w:type="spellEnd"/>
            <w:r w:rsidRPr="0077021D">
              <w:rPr>
                <w:sz w:val="24"/>
                <w:szCs w:val="24"/>
              </w:rPr>
              <w:t xml:space="preserve"> (FT4) eller lavt </w:t>
            </w:r>
            <w:proofErr w:type="spellStart"/>
            <w:r w:rsidRPr="0077021D">
              <w:rPr>
                <w:sz w:val="24"/>
                <w:szCs w:val="24"/>
              </w:rPr>
              <w:t>thyroxin</w:t>
            </w:r>
            <w:proofErr w:type="spellEnd"/>
            <w:r w:rsidRPr="0077021D">
              <w:rPr>
                <w:sz w:val="24"/>
                <w:szCs w:val="24"/>
              </w:rPr>
              <w:t xml:space="preserve"> (T4)</w:t>
            </w:r>
            <w:r w:rsidRPr="0077021D">
              <w:rPr>
                <w:sz w:val="24"/>
                <w:szCs w:val="24"/>
                <w:vertAlign w:val="superscript"/>
              </w:rPr>
              <w:t>6</w:t>
            </w:r>
          </w:p>
        </w:tc>
      </w:tr>
    </w:tbl>
    <w:p w:rsidR="0077021D" w:rsidRPr="0077021D" w:rsidRDefault="0077021D" w:rsidP="0077021D">
      <w:pPr>
        <w:rPr>
          <w:sz w:val="24"/>
          <w:szCs w:val="24"/>
        </w:rPr>
      </w:pPr>
    </w:p>
    <w:p w:rsidR="0077021D" w:rsidRPr="0077021D" w:rsidRDefault="0077021D" w:rsidP="0077021D">
      <w:pPr>
        <w:ind w:left="851"/>
        <w:rPr>
          <w:sz w:val="24"/>
          <w:szCs w:val="24"/>
        </w:rPr>
      </w:pPr>
      <w:bookmarkStart w:id="3" w:name="_Hlk66891708"/>
      <w:r w:rsidRPr="0077021D">
        <w:rPr>
          <w:sz w:val="24"/>
          <w:szCs w:val="24"/>
          <w:vertAlign w:val="superscript"/>
        </w:rPr>
        <w:t>1</w:t>
      </w:r>
      <w:r w:rsidRPr="0077021D">
        <w:rPr>
          <w:sz w:val="24"/>
          <w:szCs w:val="24"/>
        </w:rPr>
        <w:t xml:space="preserve">: Under behandlingsstart kan disse virkninger forekomme, men er normalt forbigående og forsvinder hos de fleste, men ikke alle, patienter med fortsat medicinering. Sedation og </w:t>
      </w:r>
      <w:proofErr w:type="spellStart"/>
      <w:r w:rsidRPr="0077021D">
        <w:rPr>
          <w:sz w:val="24"/>
          <w:szCs w:val="24"/>
        </w:rPr>
        <w:t>ataksi</w:t>
      </w:r>
      <w:proofErr w:type="spellEnd"/>
      <w:r w:rsidRPr="0077021D">
        <w:rPr>
          <w:sz w:val="24"/>
          <w:szCs w:val="24"/>
        </w:rPr>
        <w:t xml:space="preserve"> bliver ofte væsentlige bekymringer, da serumniveauer når den høje ende af det terapeutiske område.</w:t>
      </w:r>
    </w:p>
    <w:p w:rsidR="0077021D" w:rsidRPr="0077021D" w:rsidRDefault="0077021D" w:rsidP="0077021D">
      <w:pPr>
        <w:ind w:left="851"/>
        <w:rPr>
          <w:sz w:val="24"/>
          <w:szCs w:val="24"/>
        </w:rPr>
      </w:pPr>
      <w:r w:rsidRPr="0077021D">
        <w:rPr>
          <w:sz w:val="24"/>
          <w:szCs w:val="24"/>
          <w:vertAlign w:val="superscript"/>
        </w:rPr>
        <w:t>2</w:t>
      </w:r>
      <w:r w:rsidRPr="0077021D">
        <w:rPr>
          <w:sz w:val="24"/>
          <w:szCs w:val="24"/>
        </w:rPr>
        <w:t xml:space="preserve">: Nogle dyr kan udvise en paradoksal </w:t>
      </w:r>
      <w:proofErr w:type="spellStart"/>
      <w:r w:rsidRPr="0077021D">
        <w:rPr>
          <w:sz w:val="24"/>
          <w:szCs w:val="24"/>
        </w:rPr>
        <w:t>hyperexcitabilitet</w:t>
      </w:r>
      <w:proofErr w:type="spellEnd"/>
      <w:r w:rsidRPr="0077021D">
        <w:rPr>
          <w:sz w:val="24"/>
          <w:szCs w:val="24"/>
        </w:rPr>
        <w:t xml:space="preserve">, især efter første behandlingsstart. Da denne </w:t>
      </w:r>
      <w:proofErr w:type="spellStart"/>
      <w:r w:rsidRPr="0077021D">
        <w:rPr>
          <w:sz w:val="24"/>
          <w:szCs w:val="24"/>
        </w:rPr>
        <w:t>hyperexcitabilitet</w:t>
      </w:r>
      <w:proofErr w:type="spellEnd"/>
      <w:r w:rsidRPr="0077021D">
        <w:rPr>
          <w:sz w:val="24"/>
          <w:szCs w:val="24"/>
        </w:rPr>
        <w:t xml:space="preserve"> ikke er forbundet med overdosering, er det ikke nødvendigt at reducere dosis.</w:t>
      </w:r>
    </w:p>
    <w:p w:rsidR="0077021D" w:rsidRPr="0077021D" w:rsidRDefault="0077021D" w:rsidP="0077021D">
      <w:pPr>
        <w:ind w:left="851"/>
        <w:rPr>
          <w:sz w:val="24"/>
          <w:szCs w:val="24"/>
        </w:rPr>
      </w:pPr>
      <w:r w:rsidRPr="0077021D">
        <w:rPr>
          <w:sz w:val="24"/>
          <w:szCs w:val="24"/>
          <w:vertAlign w:val="superscript"/>
        </w:rPr>
        <w:t>3</w:t>
      </w:r>
      <w:r w:rsidRPr="0077021D">
        <w:rPr>
          <w:sz w:val="24"/>
          <w:szCs w:val="24"/>
        </w:rPr>
        <w:t>: Disse virkninger kan forekomme ved gennemsnitlige eller højere terapeutiske aktive serumkoncentrationer; disse virkninger kan mindskes ved at begrænse indtaget af foder.</w:t>
      </w:r>
    </w:p>
    <w:p w:rsidR="0077021D" w:rsidRPr="0077021D" w:rsidRDefault="0077021D" w:rsidP="0077021D">
      <w:pPr>
        <w:ind w:left="851"/>
        <w:rPr>
          <w:sz w:val="24"/>
          <w:szCs w:val="24"/>
        </w:rPr>
      </w:pPr>
      <w:r w:rsidRPr="0077021D">
        <w:rPr>
          <w:sz w:val="24"/>
          <w:szCs w:val="24"/>
          <w:vertAlign w:val="superscript"/>
        </w:rPr>
        <w:t>4</w:t>
      </w:r>
      <w:r w:rsidRPr="0077021D">
        <w:rPr>
          <w:sz w:val="24"/>
          <w:szCs w:val="24"/>
        </w:rPr>
        <w:t xml:space="preserve">: Høje plasmakoncentrationer kan være forbundet med </w:t>
      </w:r>
      <w:proofErr w:type="spellStart"/>
      <w:r w:rsidRPr="0077021D">
        <w:rPr>
          <w:sz w:val="24"/>
          <w:szCs w:val="24"/>
        </w:rPr>
        <w:t>hepatotoksicitet</w:t>
      </w:r>
      <w:proofErr w:type="spellEnd"/>
      <w:r w:rsidRPr="0077021D">
        <w:rPr>
          <w:sz w:val="24"/>
          <w:szCs w:val="24"/>
        </w:rPr>
        <w:t>.</w:t>
      </w:r>
    </w:p>
    <w:p w:rsidR="0077021D" w:rsidRPr="0077021D" w:rsidRDefault="0077021D" w:rsidP="0077021D">
      <w:pPr>
        <w:ind w:left="851"/>
        <w:rPr>
          <w:sz w:val="24"/>
          <w:szCs w:val="24"/>
        </w:rPr>
      </w:pPr>
      <w:r w:rsidRPr="0077021D">
        <w:rPr>
          <w:sz w:val="24"/>
          <w:szCs w:val="24"/>
          <w:vertAlign w:val="superscript"/>
        </w:rPr>
        <w:lastRenderedPageBreak/>
        <w:t>5</w:t>
      </w:r>
      <w:r w:rsidRPr="0077021D">
        <w:rPr>
          <w:sz w:val="24"/>
          <w:szCs w:val="24"/>
        </w:rPr>
        <w:t xml:space="preserve">: </w:t>
      </w:r>
      <w:proofErr w:type="spellStart"/>
      <w:r w:rsidRPr="0077021D">
        <w:rPr>
          <w:sz w:val="24"/>
          <w:szCs w:val="24"/>
        </w:rPr>
        <w:t>Phenobarbital</w:t>
      </w:r>
      <w:proofErr w:type="spellEnd"/>
      <w:r w:rsidRPr="0077021D">
        <w:rPr>
          <w:sz w:val="24"/>
          <w:szCs w:val="24"/>
        </w:rPr>
        <w:t xml:space="preserve"> kan have skadelige virkninger på stamceller fra knoglemarv. Følgerne er </w:t>
      </w:r>
      <w:proofErr w:type="spellStart"/>
      <w:r w:rsidRPr="0077021D">
        <w:rPr>
          <w:sz w:val="24"/>
          <w:szCs w:val="24"/>
        </w:rPr>
        <w:t>immunotoksisk</w:t>
      </w:r>
      <w:proofErr w:type="spellEnd"/>
      <w:r w:rsidRPr="0077021D">
        <w:rPr>
          <w:sz w:val="24"/>
          <w:szCs w:val="24"/>
        </w:rPr>
        <w:t xml:space="preserve"> </w:t>
      </w:r>
      <w:proofErr w:type="spellStart"/>
      <w:r w:rsidRPr="0077021D">
        <w:rPr>
          <w:sz w:val="24"/>
          <w:szCs w:val="24"/>
        </w:rPr>
        <w:t>pancytopeni</w:t>
      </w:r>
      <w:proofErr w:type="spellEnd"/>
      <w:r w:rsidRPr="0077021D">
        <w:rPr>
          <w:sz w:val="24"/>
          <w:szCs w:val="24"/>
        </w:rPr>
        <w:t xml:space="preserve"> og/eller </w:t>
      </w:r>
      <w:proofErr w:type="spellStart"/>
      <w:r w:rsidRPr="0077021D">
        <w:rPr>
          <w:sz w:val="24"/>
          <w:szCs w:val="24"/>
        </w:rPr>
        <w:t>neutropeni</w:t>
      </w:r>
      <w:proofErr w:type="spellEnd"/>
      <w:r w:rsidRPr="0077021D">
        <w:rPr>
          <w:sz w:val="24"/>
          <w:szCs w:val="24"/>
        </w:rPr>
        <w:t>. Disse reaktioner forsvinder efter behandlingen seponeres.</w:t>
      </w:r>
    </w:p>
    <w:p w:rsidR="0077021D" w:rsidRPr="0077021D" w:rsidRDefault="0077021D" w:rsidP="0077021D">
      <w:pPr>
        <w:ind w:left="851"/>
        <w:rPr>
          <w:sz w:val="24"/>
          <w:szCs w:val="24"/>
        </w:rPr>
      </w:pPr>
      <w:r w:rsidRPr="0077021D">
        <w:rPr>
          <w:sz w:val="24"/>
          <w:szCs w:val="24"/>
          <w:vertAlign w:val="superscript"/>
        </w:rPr>
        <w:t>6</w:t>
      </w:r>
      <w:r w:rsidRPr="0077021D">
        <w:rPr>
          <w:sz w:val="24"/>
          <w:szCs w:val="24"/>
        </w:rPr>
        <w:t xml:space="preserve">: Behandling af hunde med </w:t>
      </w:r>
      <w:proofErr w:type="spellStart"/>
      <w:r w:rsidRPr="0077021D">
        <w:rPr>
          <w:sz w:val="24"/>
          <w:szCs w:val="24"/>
        </w:rPr>
        <w:t>phenobarbital</w:t>
      </w:r>
      <w:proofErr w:type="spellEnd"/>
      <w:r w:rsidRPr="0077021D">
        <w:rPr>
          <w:sz w:val="24"/>
          <w:szCs w:val="24"/>
        </w:rPr>
        <w:t xml:space="preserve"> kan sænke deres TT4- eller FT4-serumniveauer, men dette er ikke </w:t>
      </w:r>
      <w:r w:rsidRPr="0077021D">
        <w:rPr>
          <w:snapToGrid w:val="0"/>
          <w:color w:val="000000"/>
          <w:sz w:val="24"/>
          <w:szCs w:val="24"/>
        </w:rPr>
        <w:t xml:space="preserve">nødvendigvis </w:t>
      </w:r>
      <w:r w:rsidRPr="0077021D">
        <w:rPr>
          <w:sz w:val="24"/>
          <w:szCs w:val="24"/>
        </w:rPr>
        <w:t xml:space="preserve">en indikation på </w:t>
      </w:r>
      <w:proofErr w:type="spellStart"/>
      <w:r w:rsidRPr="0077021D">
        <w:rPr>
          <w:sz w:val="24"/>
          <w:szCs w:val="24"/>
        </w:rPr>
        <w:t>hypothyroidisme</w:t>
      </w:r>
      <w:proofErr w:type="spellEnd"/>
      <w:r w:rsidRPr="0077021D">
        <w:rPr>
          <w:sz w:val="24"/>
          <w:szCs w:val="24"/>
        </w:rPr>
        <w:t xml:space="preserve">. Behandling med </w:t>
      </w:r>
      <w:proofErr w:type="spellStart"/>
      <w:r w:rsidRPr="0077021D">
        <w:rPr>
          <w:sz w:val="24"/>
          <w:szCs w:val="24"/>
        </w:rPr>
        <w:t>thyreoideahormonerstatning</w:t>
      </w:r>
      <w:proofErr w:type="spellEnd"/>
      <w:r w:rsidRPr="0077021D">
        <w:rPr>
          <w:sz w:val="24"/>
          <w:szCs w:val="24"/>
        </w:rPr>
        <w:t xml:space="preserve"> bør kun påbegyndes, hvis der er kliniske tegn på sygdommen.</w:t>
      </w:r>
    </w:p>
    <w:p w:rsidR="0077021D" w:rsidRPr="0077021D" w:rsidRDefault="0077021D" w:rsidP="0077021D">
      <w:pPr>
        <w:ind w:left="851"/>
        <w:rPr>
          <w:sz w:val="24"/>
          <w:szCs w:val="24"/>
        </w:rPr>
      </w:pPr>
    </w:p>
    <w:bookmarkEnd w:id="2"/>
    <w:bookmarkEnd w:id="3"/>
    <w:p w:rsidR="0077021D" w:rsidRPr="0077021D" w:rsidRDefault="0077021D" w:rsidP="00EA7897">
      <w:pPr>
        <w:pStyle w:val="Style1"/>
        <w:ind w:left="851" w:firstLine="0"/>
        <w:rPr>
          <w:b w:val="0"/>
          <w:bCs/>
          <w:sz w:val="24"/>
          <w:szCs w:val="24"/>
        </w:rPr>
      </w:pPr>
      <w:r w:rsidRPr="0077021D">
        <w:rPr>
          <w:b w:val="0"/>
          <w:bCs/>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16 i</w:t>
      </w:r>
      <w:r w:rsidR="00EA7897">
        <w:rPr>
          <w:b w:val="0"/>
          <w:bCs/>
          <w:sz w:val="24"/>
          <w:szCs w:val="24"/>
        </w:rPr>
        <w:t xml:space="preserve"> </w:t>
      </w:r>
      <w:r w:rsidRPr="0077021D">
        <w:rPr>
          <w:b w:val="0"/>
          <w:bCs/>
          <w:sz w:val="24"/>
          <w:szCs w:val="24"/>
        </w:rPr>
        <w:t>indlægssedlen for de relevante kontaktoplysninger.</w:t>
      </w:r>
    </w:p>
    <w:p w:rsidR="0077021D" w:rsidRPr="0077021D" w:rsidRDefault="0077021D" w:rsidP="0077021D">
      <w:pPr>
        <w:pStyle w:val="Style1"/>
        <w:rPr>
          <w:sz w:val="24"/>
          <w:szCs w:val="24"/>
        </w:rPr>
      </w:pPr>
    </w:p>
    <w:p w:rsidR="0077021D" w:rsidRPr="0077021D" w:rsidRDefault="0077021D" w:rsidP="00EA7897">
      <w:pPr>
        <w:pStyle w:val="Style1"/>
        <w:ind w:left="851" w:hanging="851"/>
        <w:rPr>
          <w:sz w:val="24"/>
          <w:szCs w:val="24"/>
        </w:rPr>
      </w:pPr>
      <w:r w:rsidRPr="0077021D">
        <w:rPr>
          <w:sz w:val="24"/>
          <w:szCs w:val="24"/>
        </w:rPr>
        <w:t>3.7</w:t>
      </w:r>
      <w:r w:rsidRPr="0077021D">
        <w:rPr>
          <w:sz w:val="24"/>
          <w:szCs w:val="24"/>
        </w:rPr>
        <w:tab/>
        <w:t>Anvendelse under drægtighed, laktation eller æglægning</w:t>
      </w:r>
    </w:p>
    <w:p w:rsidR="0077021D" w:rsidRPr="0077021D" w:rsidRDefault="0077021D" w:rsidP="0077021D">
      <w:pPr>
        <w:rPr>
          <w:sz w:val="24"/>
          <w:szCs w:val="24"/>
        </w:rPr>
      </w:pPr>
    </w:p>
    <w:p w:rsidR="0077021D" w:rsidRPr="0077021D" w:rsidRDefault="0077021D" w:rsidP="00EA7897">
      <w:pPr>
        <w:ind w:left="851"/>
        <w:rPr>
          <w:sz w:val="24"/>
          <w:szCs w:val="24"/>
        </w:rPr>
      </w:pPr>
      <w:r w:rsidRPr="0077021D">
        <w:rPr>
          <w:sz w:val="24"/>
          <w:szCs w:val="24"/>
          <w:u w:val="single"/>
        </w:rPr>
        <w:t>Drægtighed og diegivning</w:t>
      </w:r>
      <w:r w:rsidRPr="0077021D">
        <w:rPr>
          <w:sz w:val="24"/>
          <w:szCs w:val="24"/>
        </w:rPr>
        <w:t>;</w:t>
      </w:r>
    </w:p>
    <w:p w:rsidR="0077021D" w:rsidRPr="0077021D" w:rsidRDefault="0077021D" w:rsidP="00EA7897">
      <w:pPr>
        <w:ind w:left="851"/>
        <w:rPr>
          <w:sz w:val="24"/>
          <w:szCs w:val="24"/>
        </w:rPr>
      </w:pPr>
      <w:proofErr w:type="spellStart"/>
      <w:r w:rsidRPr="0077021D">
        <w:rPr>
          <w:sz w:val="24"/>
          <w:szCs w:val="24"/>
        </w:rPr>
        <w:t>Phenobarbital</w:t>
      </w:r>
      <w:proofErr w:type="spellEnd"/>
      <w:r w:rsidRPr="0077021D">
        <w:rPr>
          <w:sz w:val="24"/>
          <w:szCs w:val="24"/>
        </w:rPr>
        <w:t xml:space="preserve"> krydser placentabarrieren, og ved indgivelse af højere doser kan (reversible) </w:t>
      </w:r>
      <w:proofErr w:type="spellStart"/>
      <w:r w:rsidRPr="0077021D">
        <w:rPr>
          <w:sz w:val="24"/>
          <w:szCs w:val="24"/>
        </w:rPr>
        <w:t>seponeringssymptomer</w:t>
      </w:r>
      <w:proofErr w:type="spellEnd"/>
      <w:r w:rsidRPr="0077021D">
        <w:rPr>
          <w:sz w:val="24"/>
          <w:szCs w:val="24"/>
        </w:rPr>
        <w:t xml:space="preserve"> hos nyfødte hvalpe ikke udelukkes. Studier i laboratoriedyr har vist, at </w:t>
      </w:r>
      <w:proofErr w:type="spellStart"/>
      <w:r w:rsidRPr="0077021D">
        <w:rPr>
          <w:sz w:val="24"/>
          <w:szCs w:val="24"/>
        </w:rPr>
        <w:t>phenobarbital</w:t>
      </w:r>
      <w:proofErr w:type="spellEnd"/>
      <w:r w:rsidRPr="0077021D">
        <w:rPr>
          <w:sz w:val="24"/>
          <w:szCs w:val="24"/>
        </w:rPr>
        <w:t xml:space="preserve"> påvirker den prænatale vækst, navnlig når det gælder kønsudviklingen. Tendens til neonatal blødning har været sat i forbindelse med behandling med </w:t>
      </w:r>
      <w:proofErr w:type="spellStart"/>
      <w:r w:rsidRPr="0077021D">
        <w:rPr>
          <w:sz w:val="24"/>
          <w:szCs w:val="24"/>
        </w:rPr>
        <w:t>phenobarbital</w:t>
      </w:r>
      <w:proofErr w:type="spellEnd"/>
      <w:r w:rsidRPr="0077021D">
        <w:rPr>
          <w:sz w:val="24"/>
          <w:szCs w:val="24"/>
        </w:rPr>
        <w:t xml:space="preserve"> under drægtigheden. Indgivelse af K-vitamin til tæven i 10 dage op til fødslen kan bidrage til at minimere denne virkning på fostret.</w:t>
      </w:r>
    </w:p>
    <w:p w:rsidR="0077021D" w:rsidRPr="0077021D" w:rsidRDefault="0077021D" w:rsidP="00EA7897">
      <w:pPr>
        <w:ind w:left="851"/>
        <w:rPr>
          <w:sz w:val="24"/>
          <w:szCs w:val="24"/>
        </w:rPr>
      </w:pPr>
      <w:r w:rsidRPr="0077021D">
        <w:rPr>
          <w:sz w:val="24"/>
          <w:szCs w:val="24"/>
        </w:rPr>
        <w:t>Der er ikke dokumentation for produktets sikkerhed under drægtighed hos hunde. Fordelene med behandlingen kan være større end de potentielle risici for fostret i forbindelse med epileptiske anfald (</w:t>
      </w:r>
      <w:proofErr w:type="spellStart"/>
      <w:r w:rsidRPr="0077021D">
        <w:rPr>
          <w:sz w:val="24"/>
          <w:szCs w:val="24"/>
        </w:rPr>
        <w:t>hypoksi</w:t>
      </w:r>
      <w:proofErr w:type="spellEnd"/>
      <w:r w:rsidRPr="0077021D">
        <w:rPr>
          <w:sz w:val="24"/>
          <w:szCs w:val="24"/>
        </w:rPr>
        <w:t xml:space="preserve"> og </w:t>
      </w:r>
      <w:proofErr w:type="spellStart"/>
      <w:r w:rsidRPr="0077021D">
        <w:rPr>
          <w:sz w:val="24"/>
          <w:szCs w:val="24"/>
        </w:rPr>
        <w:t>acidose</w:t>
      </w:r>
      <w:proofErr w:type="spellEnd"/>
      <w:r w:rsidRPr="0077021D">
        <w:rPr>
          <w:sz w:val="24"/>
          <w:szCs w:val="24"/>
        </w:rPr>
        <w:t>). Det anbefales derfor ikke at ophøre med antiepileptisk behandling under drægtighed. Dosis bør dog være så lav som muligt.</w:t>
      </w:r>
    </w:p>
    <w:p w:rsidR="0077021D" w:rsidRPr="0077021D" w:rsidRDefault="0077021D" w:rsidP="00EA7897">
      <w:pPr>
        <w:ind w:left="851"/>
        <w:rPr>
          <w:sz w:val="24"/>
          <w:szCs w:val="24"/>
        </w:rPr>
      </w:pPr>
    </w:p>
    <w:p w:rsidR="0077021D" w:rsidRPr="0077021D" w:rsidRDefault="0077021D" w:rsidP="00EA7897">
      <w:pPr>
        <w:ind w:left="851"/>
        <w:rPr>
          <w:sz w:val="24"/>
          <w:szCs w:val="24"/>
        </w:rPr>
      </w:pPr>
      <w:proofErr w:type="spellStart"/>
      <w:r w:rsidRPr="0077021D">
        <w:rPr>
          <w:sz w:val="24"/>
          <w:szCs w:val="24"/>
        </w:rPr>
        <w:t>Phenobarbital</w:t>
      </w:r>
      <w:proofErr w:type="spellEnd"/>
      <w:r w:rsidRPr="0077021D">
        <w:rPr>
          <w:sz w:val="24"/>
          <w:szCs w:val="24"/>
        </w:rPr>
        <w:t xml:space="preserve"> udskilles i små mængder i brystmælk og under diegivning, og hvalpene bør overvåges nøje for uønsket sedativ virkning. Tidlig afvænning kan være en mulighed. Hvis </w:t>
      </w:r>
      <w:proofErr w:type="spellStart"/>
      <w:r w:rsidRPr="0077021D">
        <w:rPr>
          <w:sz w:val="24"/>
          <w:szCs w:val="24"/>
        </w:rPr>
        <w:t>somnolens</w:t>
      </w:r>
      <w:proofErr w:type="spellEnd"/>
      <w:r w:rsidRPr="0077021D">
        <w:rPr>
          <w:sz w:val="24"/>
          <w:szCs w:val="24"/>
        </w:rPr>
        <w:t>/sedativ virkning (som kan påvirke hvalpens evne til at die) forekommer hos diende nyfødte hvalpe, bør en alternativ diemetode vælges.</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Under drægtighed og laktation må præparatet kun anvendes i henhold til den ansvarlige dyrlæges vurdering af fordele og risici.</w:t>
      </w:r>
    </w:p>
    <w:p w:rsidR="0077021D" w:rsidRPr="0077021D" w:rsidRDefault="0077021D" w:rsidP="0077021D">
      <w:pPr>
        <w:pStyle w:val="Style1"/>
        <w:rPr>
          <w:sz w:val="24"/>
          <w:szCs w:val="24"/>
        </w:rPr>
      </w:pPr>
    </w:p>
    <w:p w:rsidR="0077021D" w:rsidRPr="0077021D" w:rsidRDefault="0077021D" w:rsidP="00EA7897">
      <w:pPr>
        <w:pStyle w:val="Style1"/>
        <w:ind w:left="851" w:hanging="851"/>
        <w:rPr>
          <w:sz w:val="24"/>
          <w:szCs w:val="24"/>
        </w:rPr>
      </w:pPr>
      <w:r w:rsidRPr="0077021D">
        <w:rPr>
          <w:sz w:val="24"/>
          <w:szCs w:val="24"/>
        </w:rPr>
        <w:t>3.8</w:t>
      </w:r>
      <w:r w:rsidRPr="0077021D">
        <w:rPr>
          <w:sz w:val="24"/>
          <w:szCs w:val="24"/>
        </w:rPr>
        <w:tab/>
        <w:t>Interaktion med andre lægemidler og andre former for interaktion</w:t>
      </w:r>
    </w:p>
    <w:p w:rsidR="0077021D" w:rsidRPr="0077021D" w:rsidRDefault="0077021D" w:rsidP="00EA7897">
      <w:pPr>
        <w:ind w:left="851"/>
        <w:rPr>
          <w:sz w:val="24"/>
          <w:szCs w:val="24"/>
        </w:rPr>
      </w:pPr>
      <w:r w:rsidRPr="0077021D">
        <w:rPr>
          <w:sz w:val="24"/>
          <w:szCs w:val="24"/>
        </w:rPr>
        <w:t xml:space="preserve">En behandlingsdosis </w:t>
      </w:r>
      <w:proofErr w:type="spellStart"/>
      <w:r w:rsidRPr="0077021D">
        <w:rPr>
          <w:sz w:val="24"/>
          <w:szCs w:val="24"/>
        </w:rPr>
        <w:t>phenobarbital</w:t>
      </w:r>
      <w:proofErr w:type="spellEnd"/>
      <w:r w:rsidRPr="0077021D">
        <w:rPr>
          <w:sz w:val="24"/>
          <w:szCs w:val="24"/>
        </w:rPr>
        <w:t xml:space="preserve"> til antiepileptisk behandling kan medføre betydelig </w:t>
      </w:r>
      <w:proofErr w:type="spellStart"/>
      <w:r w:rsidRPr="0077021D">
        <w:rPr>
          <w:sz w:val="24"/>
          <w:szCs w:val="24"/>
        </w:rPr>
        <w:t>inducering</w:t>
      </w:r>
      <w:proofErr w:type="spellEnd"/>
      <w:r w:rsidRPr="0077021D">
        <w:rPr>
          <w:sz w:val="24"/>
          <w:szCs w:val="24"/>
        </w:rPr>
        <w:t xml:space="preserve"> af plasmaprotein (f.eks. α1-syre-glycoprotein, AGP), som binder lægemidler. </w:t>
      </w:r>
      <w:proofErr w:type="spellStart"/>
      <w:r w:rsidRPr="0077021D">
        <w:rPr>
          <w:sz w:val="24"/>
          <w:szCs w:val="24"/>
        </w:rPr>
        <w:t>Phenobarbital</w:t>
      </w:r>
      <w:proofErr w:type="spellEnd"/>
      <w:r w:rsidRPr="0077021D">
        <w:rPr>
          <w:sz w:val="24"/>
          <w:szCs w:val="24"/>
        </w:rPr>
        <w:t xml:space="preserve"> kan reducere effekten af visse lægemidler, da det kan forøge </w:t>
      </w:r>
      <w:proofErr w:type="spellStart"/>
      <w:r w:rsidRPr="0077021D">
        <w:rPr>
          <w:sz w:val="24"/>
          <w:szCs w:val="24"/>
        </w:rPr>
        <w:t>metaboliseringshastigheden</w:t>
      </w:r>
      <w:proofErr w:type="spellEnd"/>
      <w:r w:rsidRPr="0077021D">
        <w:rPr>
          <w:sz w:val="24"/>
          <w:szCs w:val="24"/>
        </w:rPr>
        <w:t xml:space="preserve"> ved at inducere </w:t>
      </w:r>
      <w:proofErr w:type="spellStart"/>
      <w:r w:rsidRPr="0077021D">
        <w:rPr>
          <w:sz w:val="24"/>
          <w:szCs w:val="24"/>
        </w:rPr>
        <w:t>lægemiddelmetaboliserende</w:t>
      </w:r>
      <w:proofErr w:type="spellEnd"/>
      <w:r w:rsidRPr="0077021D">
        <w:rPr>
          <w:sz w:val="24"/>
          <w:szCs w:val="24"/>
        </w:rPr>
        <w:t xml:space="preserve"> enzymer i </w:t>
      </w:r>
      <w:proofErr w:type="spellStart"/>
      <w:r w:rsidRPr="0077021D">
        <w:rPr>
          <w:sz w:val="24"/>
          <w:szCs w:val="24"/>
        </w:rPr>
        <w:t>levermikrosomer</w:t>
      </w:r>
      <w:proofErr w:type="spellEnd"/>
      <w:r w:rsidRPr="0077021D">
        <w:rPr>
          <w:sz w:val="24"/>
          <w:szCs w:val="24"/>
        </w:rPr>
        <w:t xml:space="preserve">. Der skal derfor udvises særlig opmærksomhed på farmakokinetik og samtidigt indgivne lægemiddeldoser. Koncentrationen i plasma af en række lægemidler (f.eks. </w:t>
      </w:r>
      <w:proofErr w:type="spellStart"/>
      <w:r w:rsidRPr="0077021D">
        <w:rPr>
          <w:sz w:val="24"/>
          <w:szCs w:val="24"/>
        </w:rPr>
        <w:t>cyclosporin</w:t>
      </w:r>
      <w:proofErr w:type="spellEnd"/>
      <w:r w:rsidRPr="0077021D">
        <w:rPr>
          <w:sz w:val="24"/>
          <w:szCs w:val="24"/>
        </w:rPr>
        <w:t xml:space="preserve">, </w:t>
      </w:r>
      <w:proofErr w:type="spellStart"/>
      <w:r w:rsidRPr="0077021D">
        <w:rPr>
          <w:sz w:val="24"/>
          <w:szCs w:val="24"/>
        </w:rPr>
        <w:t>thyroidhormoner</w:t>
      </w:r>
      <w:proofErr w:type="spellEnd"/>
      <w:r w:rsidRPr="0077021D">
        <w:rPr>
          <w:sz w:val="24"/>
          <w:szCs w:val="24"/>
        </w:rPr>
        <w:t xml:space="preserve"> og </w:t>
      </w:r>
      <w:proofErr w:type="spellStart"/>
      <w:r w:rsidRPr="0077021D">
        <w:rPr>
          <w:sz w:val="24"/>
          <w:szCs w:val="24"/>
        </w:rPr>
        <w:t>theophyllin</w:t>
      </w:r>
      <w:proofErr w:type="spellEnd"/>
      <w:r w:rsidRPr="0077021D">
        <w:rPr>
          <w:sz w:val="24"/>
          <w:szCs w:val="24"/>
        </w:rPr>
        <w:t xml:space="preserve">) falder ved </w:t>
      </w:r>
      <w:proofErr w:type="spellStart"/>
      <w:r w:rsidRPr="0077021D">
        <w:rPr>
          <w:sz w:val="24"/>
          <w:szCs w:val="24"/>
        </w:rPr>
        <w:t>konkomitant</w:t>
      </w:r>
      <w:proofErr w:type="spellEnd"/>
      <w:r w:rsidRPr="0077021D">
        <w:rPr>
          <w:sz w:val="24"/>
          <w:szCs w:val="24"/>
        </w:rPr>
        <w:t xml:space="preserve"> indgivelse af </w:t>
      </w:r>
      <w:proofErr w:type="spellStart"/>
      <w:r w:rsidRPr="0077021D">
        <w:rPr>
          <w:sz w:val="24"/>
          <w:szCs w:val="24"/>
        </w:rPr>
        <w:t>phenobarbital</w:t>
      </w:r>
      <w:proofErr w:type="spellEnd"/>
      <w:r w:rsidRPr="0077021D">
        <w:rPr>
          <w:sz w:val="24"/>
          <w:szCs w:val="24"/>
        </w:rPr>
        <w:t xml:space="preserve">. Samtidig anvendelse med andre lægemidler, der har en centraldæmpende effekt (som f.eks. narkotiske </w:t>
      </w:r>
      <w:proofErr w:type="spellStart"/>
      <w:r w:rsidRPr="0077021D">
        <w:rPr>
          <w:sz w:val="24"/>
          <w:szCs w:val="24"/>
        </w:rPr>
        <w:t>analgetika</w:t>
      </w:r>
      <w:proofErr w:type="spellEnd"/>
      <w:r w:rsidRPr="0077021D">
        <w:rPr>
          <w:sz w:val="24"/>
          <w:szCs w:val="24"/>
        </w:rPr>
        <w:t xml:space="preserve">, morfinderivater, </w:t>
      </w:r>
      <w:proofErr w:type="spellStart"/>
      <w:r w:rsidRPr="0077021D">
        <w:rPr>
          <w:sz w:val="24"/>
          <w:szCs w:val="24"/>
        </w:rPr>
        <w:t>phenothiaziner</w:t>
      </w:r>
      <w:proofErr w:type="spellEnd"/>
      <w:r w:rsidRPr="0077021D">
        <w:rPr>
          <w:sz w:val="24"/>
          <w:szCs w:val="24"/>
        </w:rPr>
        <w:t xml:space="preserve">, antihistaminer, </w:t>
      </w:r>
      <w:proofErr w:type="spellStart"/>
      <w:r w:rsidRPr="0077021D">
        <w:rPr>
          <w:sz w:val="24"/>
          <w:szCs w:val="24"/>
        </w:rPr>
        <w:t>clomipramin</w:t>
      </w:r>
      <w:proofErr w:type="spellEnd"/>
      <w:r w:rsidRPr="0077021D">
        <w:rPr>
          <w:sz w:val="24"/>
          <w:szCs w:val="24"/>
        </w:rPr>
        <w:t xml:space="preserve"> og </w:t>
      </w:r>
      <w:proofErr w:type="spellStart"/>
      <w:r w:rsidRPr="0077021D">
        <w:rPr>
          <w:sz w:val="24"/>
          <w:szCs w:val="24"/>
        </w:rPr>
        <w:t>chloramphenicol</w:t>
      </w:r>
      <w:proofErr w:type="spellEnd"/>
      <w:r w:rsidRPr="0077021D">
        <w:rPr>
          <w:sz w:val="24"/>
          <w:szCs w:val="24"/>
        </w:rPr>
        <w:t xml:space="preserve">), kan forøge effekten af </w:t>
      </w:r>
      <w:proofErr w:type="spellStart"/>
      <w:r w:rsidRPr="0077021D">
        <w:rPr>
          <w:sz w:val="24"/>
          <w:szCs w:val="24"/>
        </w:rPr>
        <w:t>phenobarbital</w:t>
      </w:r>
      <w:proofErr w:type="spellEnd"/>
      <w:r w:rsidRPr="0077021D">
        <w:rPr>
          <w:sz w:val="24"/>
          <w:szCs w:val="24"/>
        </w:rPr>
        <w:t xml:space="preserve">. </w:t>
      </w:r>
    </w:p>
    <w:p w:rsidR="0077021D" w:rsidRPr="0077021D" w:rsidRDefault="0077021D" w:rsidP="00EA7897">
      <w:pPr>
        <w:ind w:left="851"/>
        <w:rPr>
          <w:sz w:val="24"/>
          <w:szCs w:val="24"/>
        </w:rPr>
      </w:pPr>
      <w:proofErr w:type="spellStart"/>
      <w:r w:rsidRPr="0077021D">
        <w:rPr>
          <w:sz w:val="24"/>
          <w:szCs w:val="24"/>
        </w:rPr>
        <w:t>Cimetidin</w:t>
      </w:r>
      <w:proofErr w:type="spellEnd"/>
      <w:r w:rsidRPr="0077021D">
        <w:rPr>
          <w:sz w:val="24"/>
          <w:szCs w:val="24"/>
        </w:rPr>
        <w:t xml:space="preserve"> og </w:t>
      </w:r>
      <w:proofErr w:type="spellStart"/>
      <w:r w:rsidRPr="0077021D">
        <w:rPr>
          <w:sz w:val="24"/>
          <w:szCs w:val="24"/>
        </w:rPr>
        <w:t>ketoconazol</w:t>
      </w:r>
      <w:proofErr w:type="spellEnd"/>
      <w:r w:rsidRPr="0077021D">
        <w:rPr>
          <w:sz w:val="24"/>
          <w:szCs w:val="24"/>
        </w:rPr>
        <w:t xml:space="preserve"> inhiberer leverenzymer: Samtidig anvendelse med </w:t>
      </w:r>
      <w:proofErr w:type="spellStart"/>
      <w:r w:rsidRPr="0077021D">
        <w:rPr>
          <w:sz w:val="24"/>
          <w:szCs w:val="24"/>
        </w:rPr>
        <w:t>phenobarbital</w:t>
      </w:r>
      <w:proofErr w:type="spellEnd"/>
      <w:r w:rsidRPr="0077021D">
        <w:rPr>
          <w:sz w:val="24"/>
          <w:szCs w:val="24"/>
        </w:rPr>
        <w:t xml:space="preserve"> kan inducere forøgelse af serumkoncentrationen af </w:t>
      </w:r>
      <w:proofErr w:type="spellStart"/>
      <w:r w:rsidRPr="0077021D">
        <w:rPr>
          <w:sz w:val="24"/>
          <w:szCs w:val="24"/>
        </w:rPr>
        <w:t>phenobarbital</w:t>
      </w:r>
      <w:proofErr w:type="spellEnd"/>
      <w:r w:rsidRPr="0077021D">
        <w:rPr>
          <w:sz w:val="24"/>
          <w:szCs w:val="24"/>
        </w:rPr>
        <w:t xml:space="preserve">. </w:t>
      </w:r>
      <w:proofErr w:type="spellStart"/>
      <w:r w:rsidRPr="0077021D">
        <w:rPr>
          <w:sz w:val="24"/>
          <w:szCs w:val="24"/>
        </w:rPr>
        <w:t>Phenobarbital</w:t>
      </w:r>
      <w:proofErr w:type="spellEnd"/>
      <w:r w:rsidRPr="0077021D">
        <w:rPr>
          <w:sz w:val="24"/>
          <w:szCs w:val="24"/>
        </w:rPr>
        <w:t xml:space="preserve"> kan reducere absorptionen af </w:t>
      </w:r>
      <w:proofErr w:type="spellStart"/>
      <w:r w:rsidRPr="0077021D">
        <w:rPr>
          <w:sz w:val="24"/>
          <w:szCs w:val="24"/>
        </w:rPr>
        <w:t>griseofulvin</w:t>
      </w:r>
      <w:proofErr w:type="spellEnd"/>
      <w:r w:rsidRPr="0077021D">
        <w:rPr>
          <w:sz w:val="24"/>
          <w:szCs w:val="24"/>
        </w:rPr>
        <w:t xml:space="preserve">. Samtidig anvendelse med kaliumbromid forøger </w:t>
      </w:r>
      <w:r w:rsidRPr="0077021D">
        <w:rPr>
          <w:sz w:val="24"/>
          <w:szCs w:val="24"/>
        </w:rPr>
        <w:lastRenderedPageBreak/>
        <w:t xml:space="preserve">risikoen for </w:t>
      </w:r>
      <w:proofErr w:type="spellStart"/>
      <w:r w:rsidRPr="0077021D">
        <w:rPr>
          <w:sz w:val="24"/>
          <w:szCs w:val="24"/>
        </w:rPr>
        <w:t>pancreatitis</w:t>
      </w:r>
      <w:proofErr w:type="spellEnd"/>
      <w:r w:rsidRPr="0077021D">
        <w:rPr>
          <w:sz w:val="24"/>
          <w:szCs w:val="24"/>
        </w:rPr>
        <w:t xml:space="preserve">. Anvendelse af </w:t>
      </w:r>
      <w:proofErr w:type="spellStart"/>
      <w:r w:rsidRPr="0077021D">
        <w:rPr>
          <w:sz w:val="24"/>
          <w:szCs w:val="24"/>
        </w:rPr>
        <w:t>phenobarbitaltabletter</w:t>
      </w:r>
      <w:proofErr w:type="spellEnd"/>
      <w:r w:rsidRPr="0077021D">
        <w:rPr>
          <w:sz w:val="24"/>
          <w:szCs w:val="24"/>
        </w:rPr>
        <w:t xml:space="preserve"> sammen med </w:t>
      </w:r>
      <w:proofErr w:type="spellStart"/>
      <w:r w:rsidRPr="0077021D">
        <w:rPr>
          <w:sz w:val="24"/>
          <w:szCs w:val="24"/>
        </w:rPr>
        <w:t>primidon</w:t>
      </w:r>
      <w:proofErr w:type="spellEnd"/>
      <w:r w:rsidRPr="0077021D">
        <w:rPr>
          <w:sz w:val="24"/>
          <w:szCs w:val="24"/>
        </w:rPr>
        <w:t xml:space="preserve"> anbefales ikke, da </w:t>
      </w:r>
      <w:proofErr w:type="spellStart"/>
      <w:r w:rsidRPr="0077021D">
        <w:rPr>
          <w:sz w:val="24"/>
          <w:szCs w:val="24"/>
        </w:rPr>
        <w:t>primidon</w:t>
      </w:r>
      <w:proofErr w:type="spellEnd"/>
      <w:r w:rsidRPr="0077021D">
        <w:rPr>
          <w:sz w:val="24"/>
          <w:szCs w:val="24"/>
        </w:rPr>
        <w:t xml:space="preserve"> især </w:t>
      </w:r>
      <w:proofErr w:type="spellStart"/>
      <w:r w:rsidRPr="0077021D">
        <w:rPr>
          <w:sz w:val="24"/>
          <w:szCs w:val="24"/>
        </w:rPr>
        <w:t>metaboliseres</w:t>
      </w:r>
      <w:proofErr w:type="spellEnd"/>
      <w:r w:rsidRPr="0077021D">
        <w:rPr>
          <w:sz w:val="24"/>
          <w:szCs w:val="24"/>
        </w:rPr>
        <w:t xml:space="preserve"> til </w:t>
      </w:r>
      <w:proofErr w:type="spellStart"/>
      <w:r w:rsidRPr="0077021D">
        <w:rPr>
          <w:sz w:val="24"/>
          <w:szCs w:val="24"/>
        </w:rPr>
        <w:t>phenobarbital</w:t>
      </w:r>
      <w:proofErr w:type="spellEnd"/>
      <w:r w:rsidRPr="0077021D">
        <w:rPr>
          <w:sz w:val="24"/>
          <w:szCs w:val="24"/>
        </w:rPr>
        <w:t>.</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 xml:space="preserve">Følgende lægemidler kan nedsætte konvulsionstærsklen: </w:t>
      </w:r>
      <w:proofErr w:type="spellStart"/>
      <w:r w:rsidRPr="0077021D">
        <w:rPr>
          <w:sz w:val="24"/>
          <w:szCs w:val="24"/>
        </w:rPr>
        <w:t>quinoloner</w:t>
      </w:r>
      <w:proofErr w:type="spellEnd"/>
      <w:r w:rsidRPr="0077021D">
        <w:rPr>
          <w:sz w:val="24"/>
          <w:szCs w:val="24"/>
        </w:rPr>
        <w:t>, høje doser af β-</w:t>
      </w:r>
      <w:proofErr w:type="spellStart"/>
      <w:r w:rsidRPr="0077021D">
        <w:rPr>
          <w:sz w:val="24"/>
          <w:szCs w:val="24"/>
        </w:rPr>
        <w:t>lactam</w:t>
      </w:r>
      <w:proofErr w:type="spellEnd"/>
      <w:r w:rsidRPr="0077021D">
        <w:rPr>
          <w:sz w:val="24"/>
          <w:szCs w:val="24"/>
        </w:rPr>
        <w:t xml:space="preserve">-antibiotika, </w:t>
      </w:r>
      <w:proofErr w:type="spellStart"/>
      <w:r w:rsidRPr="0077021D">
        <w:rPr>
          <w:sz w:val="24"/>
          <w:szCs w:val="24"/>
        </w:rPr>
        <w:t>theophyllin</w:t>
      </w:r>
      <w:proofErr w:type="spellEnd"/>
      <w:r w:rsidRPr="0077021D">
        <w:rPr>
          <w:sz w:val="24"/>
          <w:szCs w:val="24"/>
        </w:rPr>
        <w:t xml:space="preserve">, </w:t>
      </w:r>
      <w:proofErr w:type="spellStart"/>
      <w:r w:rsidRPr="0077021D">
        <w:rPr>
          <w:sz w:val="24"/>
          <w:szCs w:val="24"/>
        </w:rPr>
        <w:t>aminophyllin</w:t>
      </w:r>
      <w:proofErr w:type="spellEnd"/>
      <w:r w:rsidRPr="0077021D">
        <w:rPr>
          <w:sz w:val="24"/>
          <w:szCs w:val="24"/>
        </w:rPr>
        <w:t xml:space="preserve">, </w:t>
      </w:r>
      <w:proofErr w:type="spellStart"/>
      <w:r w:rsidRPr="0077021D">
        <w:rPr>
          <w:sz w:val="24"/>
          <w:szCs w:val="24"/>
        </w:rPr>
        <w:t>cyclosporin</w:t>
      </w:r>
      <w:proofErr w:type="spellEnd"/>
      <w:r w:rsidRPr="0077021D">
        <w:rPr>
          <w:sz w:val="24"/>
          <w:szCs w:val="24"/>
        </w:rPr>
        <w:t xml:space="preserve"> og </w:t>
      </w:r>
      <w:proofErr w:type="spellStart"/>
      <w:r w:rsidRPr="0077021D">
        <w:rPr>
          <w:sz w:val="24"/>
          <w:szCs w:val="24"/>
        </w:rPr>
        <w:t>propofol</w:t>
      </w:r>
      <w:proofErr w:type="spellEnd"/>
      <w:r w:rsidRPr="0077021D">
        <w:rPr>
          <w:sz w:val="24"/>
          <w:szCs w:val="24"/>
        </w:rPr>
        <w:t xml:space="preserve"> m.fl.). Medicin, som kan ændre </w:t>
      </w:r>
      <w:proofErr w:type="spellStart"/>
      <w:r w:rsidRPr="0077021D">
        <w:rPr>
          <w:sz w:val="24"/>
          <w:szCs w:val="24"/>
        </w:rPr>
        <w:t>anfaldstærsklen</w:t>
      </w:r>
      <w:proofErr w:type="spellEnd"/>
      <w:r w:rsidRPr="0077021D">
        <w:rPr>
          <w:sz w:val="24"/>
          <w:szCs w:val="24"/>
        </w:rPr>
        <w:t>, bør kun anvendes, hvis det er absolut nødvendigt, og når der ikke findes et mere sikkert alternativ.</w:t>
      </w:r>
    </w:p>
    <w:p w:rsidR="0077021D" w:rsidRPr="0077021D" w:rsidRDefault="0077021D" w:rsidP="0077021D">
      <w:pPr>
        <w:pStyle w:val="Style1"/>
        <w:rPr>
          <w:sz w:val="24"/>
          <w:szCs w:val="24"/>
        </w:rPr>
      </w:pPr>
    </w:p>
    <w:p w:rsidR="0077021D" w:rsidRPr="0077021D" w:rsidRDefault="0077021D" w:rsidP="00EA7897">
      <w:pPr>
        <w:pStyle w:val="Style1"/>
        <w:ind w:left="851" w:hanging="851"/>
        <w:rPr>
          <w:sz w:val="24"/>
          <w:szCs w:val="24"/>
        </w:rPr>
      </w:pPr>
      <w:r w:rsidRPr="0077021D">
        <w:rPr>
          <w:sz w:val="24"/>
          <w:szCs w:val="24"/>
        </w:rPr>
        <w:t>3.9</w:t>
      </w:r>
      <w:r w:rsidRPr="0077021D">
        <w:rPr>
          <w:sz w:val="24"/>
          <w:szCs w:val="24"/>
        </w:rPr>
        <w:tab/>
        <w:t>Administrationsveje og dosering</w:t>
      </w:r>
    </w:p>
    <w:p w:rsidR="0077021D" w:rsidRPr="0077021D" w:rsidRDefault="0077021D" w:rsidP="00EA7897">
      <w:pPr>
        <w:ind w:left="851"/>
        <w:rPr>
          <w:sz w:val="24"/>
          <w:szCs w:val="24"/>
        </w:rPr>
      </w:pPr>
      <w:r w:rsidRPr="0077021D">
        <w:rPr>
          <w:sz w:val="24"/>
          <w:szCs w:val="24"/>
        </w:rPr>
        <w:t>Til oral administration. Den nødvendige dosis varierer i en vis grad fra individ til individ og afhængig af lidelsens karakter og grad.</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Tabletterne skal gives på samme tidspunkt hver dag, og det skal koordineres med fodertidspunkterne på konsistent vis, for at optimere behandlingens effekt.</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Hos hunde indgives dosis oralt begyndende med en dosis på 2-5 mg pr. kg kropsvægt pr. dag. Dosis skal deles op og indgives to gange daglig.</w:t>
      </w:r>
    </w:p>
    <w:p w:rsidR="0077021D" w:rsidRPr="0077021D" w:rsidRDefault="0077021D" w:rsidP="00EA7897">
      <w:pPr>
        <w:ind w:left="851"/>
        <w:rPr>
          <w:sz w:val="24"/>
          <w:szCs w:val="24"/>
        </w:rPr>
      </w:pPr>
    </w:p>
    <w:p w:rsidR="0077021D" w:rsidRPr="0077021D" w:rsidRDefault="0077021D" w:rsidP="00EA7897">
      <w:pPr>
        <w:ind w:left="851"/>
        <w:rPr>
          <w:sz w:val="24"/>
          <w:szCs w:val="24"/>
        </w:rPr>
      </w:pPr>
      <w:proofErr w:type="spellStart"/>
      <w:r w:rsidRPr="0077021D">
        <w:rPr>
          <w:sz w:val="24"/>
          <w:szCs w:val="24"/>
        </w:rPr>
        <w:t>Steady</w:t>
      </w:r>
      <w:proofErr w:type="spellEnd"/>
      <w:r w:rsidRPr="0077021D">
        <w:rPr>
          <w:sz w:val="24"/>
          <w:szCs w:val="24"/>
        </w:rPr>
        <w:t>-</w:t>
      </w:r>
      <w:proofErr w:type="spellStart"/>
      <w:r w:rsidRPr="0077021D">
        <w:rPr>
          <w:sz w:val="24"/>
          <w:szCs w:val="24"/>
        </w:rPr>
        <w:t>state</w:t>
      </w:r>
      <w:proofErr w:type="spellEnd"/>
      <w:r w:rsidRPr="0077021D">
        <w:rPr>
          <w:sz w:val="24"/>
          <w:szCs w:val="24"/>
        </w:rPr>
        <w:t>-serumkoncentrationer nås først 1-2 uger efter påbegyndt behandling. Den fulde virkning af medicinen opnås først efter to uger, og dosis må ikke øges i denne periode.</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Hvis anfaldene ikke er under kontrol, kan dosis forøges med 20 % ad gangen med tilhørende overvågning af serum-</w:t>
      </w:r>
      <w:proofErr w:type="spellStart"/>
      <w:r w:rsidRPr="0077021D">
        <w:rPr>
          <w:sz w:val="24"/>
          <w:szCs w:val="24"/>
        </w:rPr>
        <w:t>phenobarbitalniveauet</w:t>
      </w:r>
      <w:proofErr w:type="spellEnd"/>
      <w:r w:rsidRPr="0077021D">
        <w:rPr>
          <w:sz w:val="24"/>
          <w:szCs w:val="24"/>
        </w:rPr>
        <w:t xml:space="preserve">. </w:t>
      </w:r>
      <w:proofErr w:type="spellStart"/>
      <w:r w:rsidRPr="0077021D">
        <w:rPr>
          <w:sz w:val="24"/>
          <w:szCs w:val="24"/>
        </w:rPr>
        <w:t>Phenobarbitalkoncentrationen</w:t>
      </w:r>
      <w:proofErr w:type="spellEnd"/>
      <w:r w:rsidRPr="0077021D">
        <w:rPr>
          <w:sz w:val="24"/>
          <w:szCs w:val="24"/>
        </w:rPr>
        <w:t xml:space="preserve"> i serum kan kontrolleres, når </w:t>
      </w:r>
      <w:proofErr w:type="spellStart"/>
      <w:r w:rsidRPr="0077021D">
        <w:rPr>
          <w:sz w:val="24"/>
          <w:szCs w:val="24"/>
        </w:rPr>
        <w:t>steady-state</w:t>
      </w:r>
      <w:proofErr w:type="spellEnd"/>
      <w:r w:rsidRPr="0077021D">
        <w:rPr>
          <w:sz w:val="24"/>
          <w:szCs w:val="24"/>
        </w:rPr>
        <w:t xml:space="preserve"> er opnået, og hvis den er under 15 µg/ml, kan dosis justeres tilsvarende. Hvis anfaldene vender tilbage, kan dosis forøges op til en maksimal serumkoncentration på 45 µg/ml. Høje plasmakoncentrationer kan være knyttet til </w:t>
      </w:r>
      <w:proofErr w:type="spellStart"/>
      <w:r w:rsidRPr="0077021D">
        <w:rPr>
          <w:sz w:val="24"/>
          <w:szCs w:val="24"/>
        </w:rPr>
        <w:t>hepatotoksicitet</w:t>
      </w:r>
      <w:proofErr w:type="spellEnd"/>
      <w:r w:rsidRPr="0077021D">
        <w:rPr>
          <w:sz w:val="24"/>
          <w:szCs w:val="24"/>
        </w:rPr>
        <w:t>. Der kan tages blodprøver på samme tidspunkt, så plasma-</w:t>
      </w:r>
      <w:proofErr w:type="spellStart"/>
      <w:r w:rsidRPr="0077021D">
        <w:rPr>
          <w:sz w:val="24"/>
          <w:szCs w:val="24"/>
        </w:rPr>
        <w:t>penobarbitalkoncentrationen</w:t>
      </w:r>
      <w:proofErr w:type="spellEnd"/>
      <w:r w:rsidRPr="0077021D">
        <w:rPr>
          <w:sz w:val="24"/>
          <w:szCs w:val="24"/>
        </w:rPr>
        <w:t xml:space="preserve"> kan bestemmes, helst ved </w:t>
      </w:r>
      <w:proofErr w:type="spellStart"/>
      <w:r w:rsidRPr="0077021D">
        <w:rPr>
          <w:sz w:val="24"/>
          <w:szCs w:val="24"/>
        </w:rPr>
        <w:t>trough</w:t>
      </w:r>
      <w:proofErr w:type="spellEnd"/>
      <w:r w:rsidRPr="0077021D">
        <w:rPr>
          <w:sz w:val="24"/>
          <w:szCs w:val="24"/>
        </w:rPr>
        <w:t xml:space="preserve">-niveauet kort før næste dosis </w:t>
      </w:r>
      <w:proofErr w:type="spellStart"/>
      <w:r w:rsidRPr="0077021D">
        <w:rPr>
          <w:sz w:val="24"/>
          <w:szCs w:val="24"/>
        </w:rPr>
        <w:t>phenobarbital</w:t>
      </w:r>
      <w:proofErr w:type="spellEnd"/>
      <w:r w:rsidRPr="0077021D">
        <w:rPr>
          <w:sz w:val="24"/>
          <w:szCs w:val="24"/>
        </w:rPr>
        <w:t xml:space="preserve"> skal indgives. </w:t>
      </w:r>
    </w:p>
    <w:p w:rsidR="0077021D" w:rsidRPr="0077021D" w:rsidRDefault="0077021D" w:rsidP="00EA7897">
      <w:pPr>
        <w:ind w:left="851"/>
        <w:rPr>
          <w:sz w:val="24"/>
          <w:szCs w:val="24"/>
        </w:rPr>
      </w:pPr>
      <w:r w:rsidRPr="0077021D">
        <w:rPr>
          <w:sz w:val="24"/>
          <w:szCs w:val="24"/>
        </w:rPr>
        <w:t xml:space="preserve">Plasmakoncentrationerne skal fortolkes sammen med det observerede behandlingsrespons og en fuld klinisk vurdering, der omfatter overvågning for tegn på toksiske effekter hos de enkelte dyr. </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 xml:space="preserve">Kliniske data indikerer, at der kan observeres betydelig variation i plasmakoncentrationen af </w:t>
      </w:r>
      <w:proofErr w:type="spellStart"/>
      <w:r w:rsidRPr="0077021D">
        <w:rPr>
          <w:sz w:val="24"/>
          <w:szCs w:val="24"/>
        </w:rPr>
        <w:t>phenobarbital</w:t>
      </w:r>
      <w:proofErr w:type="spellEnd"/>
      <w:r w:rsidRPr="0077021D">
        <w:rPr>
          <w:sz w:val="24"/>
          <w:szCs w:val="24"/>
        </w:rPr>
        <w:t xml:space="preserve"> hos nogle dyr. Denne variation kan betyde, at et dyr kan have en </w:t>
      </w:r>
      <w:proofErr w:type="spellStart"/>
      <w:r w:rsidRPr="0077021D">
        <w:rPr>
          <w:sz w:val="24"/>
          <w:szCs w:val="24"/>
        </w:rPr>
        <w:t>trough</w:t>
      </w:r>
      <w:proofErr w:type="spellEnd"/>
      <w:r w:rsidRPr="0077021D">
        <w:rPr>
          <w:sz w:val="24"/>
          <w:szCs w:val="24"/>
        </w:rPr>
        <w:t xml:space="preserve">-plasmakoncentration af </w:t>
      </w:r>
      <w:proofErr w:type="spellStart"/>
      <w:r w:rsidRPr="0077021D">
        <w:rPr>
          <w:sz w:val="24"/>
          <w:szCs w:val="24"/>
        </w:rPr>
        <w:t>phenobarbital</w:t>
      </w:r>
      <w:proofErr w:type="spellEnd"/>
      <w:r w:rsidRPr="0077021D">
        <w:rPr>
          <w:sz w:val="24"/>
          <w:szCs w:val="24"/>
        </w:rPr>
        <w:t xml:space="preserve">, som ligger under det minimale behandlingsniveau (15 µg/ml), og en peak-plasmakoncentration tæt på det maksimale niveau (45 µg/ml). Hvis anfaldene ikke er tilstrækkeligt kontrolleret hos disse dyr, skal der udvises forsigtighed ved forøgelse af dosis, da der er risiko for, at et toksisk niveau nås eller overskrides. Peak- og </w:t>
      </w:r>
      <w:proofErr w:type="spellStart"/>
      <w:r w:rsidRPr="0077021D">
        <w:rPr>
          <w:sz w:val="24"/>
          <w:szCs w:val="24"/>
        </w:rPr>
        <w:t>trough</w:t>
      </w:r>
      <w:proofErr w:type="spellEnd"/>
      <w:r w:rsidRPr="0077021D">
        <w:rPr>
          <w:sz w:val="24"/>
          <w:szCs w:val="24"/>
        </w:rPr>
        <w:t xml:space="preserve">-plasmakoncentrationer af </w:t>
      </w:r>
      <w:proofErr w:type="spellStart"/>
      <w:r w:rsidRPr="0077021D">
        <w:rPr>
          <w:sz w:val="24"/>
          <w:szCs w:val="24"/>
        </w:rPr>
        <w:t>phenobarbital</w:t>
      </w:r>
      <w:proofErr w:type="spellEnd"/>
      <w:r w:rsidRPr="0077021D">
        <w:rPr>
          <w:sz w:val="24"/>
          <w:szCs w:val="24"/>
        </w:rPr>
        <w:t xml:space="preserve"> skal måles hos disse dyr. (Peak-plasmakoncentration nås inden for ca. 3 timer efter indgivelsen).</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 xml:space="preserve">Hvis anfaldene ikke er kontrolleret tilfredsstillende, og den maksimale plasmakoncentration af </w:t>
      </w:r>
      <w:proofErr w:type="spellStart"/>
      <w:r w:rsidRPr="0077021D">
        <w:rPr>
          <w:sz w:val="24"/>
          <w:szCs w:val="24"/>
        </w:rPr>
        <w:t>phenobarbital</w:t>
      </w:r>
      <w:proofErr w:type="spellEnd"/>
      <w:r w:rsidRPr="0077021D">
        <w:rPr>
          <w:sz w:val="24"/>
          <w:szCs w:val="24"/>
        </w:rPr>
        <w:t xml:space="preserve"> er ca. 40 µg/ml, skal diagnosen overvejes igen, og/eller der bør tilføjes endnu et antiepileptisk produkt (f.eks. bromider) til behandlingsprotokollen.</w:t>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Tabletterne kan deles i lige store halve eller kvarte, så korrekt dosering sikres.</w:t>
      </w:r>
    </w:p>
    <w:p w:rsidR="0077021D" w:rsidRPr="0077021D" w:rsidRDefault="0077021D" w:rsidP="00EA7897">
      <w:pPr>
        <w:ind w:left="851"/>
        <w:rPr>
          <w:sz w:val="24"/>
          <w:szCs w:val="24"/>
        </w:rPr>
      </w:pPr>
      <w:r w:rsidRPr="0077021D">
        <w:rPr>
          <w:sz w:val="24"/>
          <w:szCs w:val="24"/>
        </w:rPr>
        <w:t>En tablet med krydsdelekærv deles i kvarte ved at lægge tabletten på et plant underlag med delekærven opad og trykke midt på tabletten med tommelfingeren.</w:t>
      </w:r>
    </w:p>
    <w:p w:rsidR="0077021D" w:rsidRPr="0077021D" w:rsidRDefault="0077021D" w:rsidP="00EA7897">
      <w:pPr>
        <w:ind w:left="851"/>
        <w:rPr>
          <w:sz w:val="24"/>
          <w:szCs w:val="24"/>
        </w:rPr>
      </w:pP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noProof/>
          <w:sz w:val="24"/>
          <w:szCs w:val="24"/>
        </w:rPr>
        <w:drawing>
          <wp:inline distT="0" distB="0" distL="0" distR="0" wp14:anchorId="52C69DD4" wp14:editId="28A1B019">
            <wp:extent cx="1584960" cy="1390015"/>
            <wp:effectExtent l="0" t="0" r="0" b="635"/>
            <wp:docPr id="156732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390015"/>
                    </a:xfrm>
                    <a:prstGeom prst="rect">
                      <a:avLst/>
                    </a:prstGeom>
                    <a:noFill/>
                  </pic:spPr>
                </pic:pic>
              </a:graphicData>
            </a:graphic>
          </wp:inline>
        </w:drawing>
      </w:r>
    </w:p>
    <w:p w:rsidR="0077021D" w:rsidRPr="0077021D" w:rsidRDefault="0077021D" w:rsidP="00EA7897">
      <w:pPr>
        <w:ind w:left="851"/>
        <w:rPr>
          <w:sz w:val="24"/>
          <w:szCs w:val="24"/>
        </w:rPr>
      </w:pPr>
    </w:p>
    <w:p w:rsidR="0077021D" w:rsidRPr="0077021D" w:rsidRDefault="0077021D" w:rsidP="00EA7897">
      <w:pPr>
        <w:ind w:left="851"/>
        <w:rPr>
          <w:sz w:val="24"/>
          <w:szCs w:val="24"/>
        </w:rPr>
      </w:pPr>
      <w:r w:rsidRPr="0077021D">
        <w:rPr>
          <w:sz w:val="24"/>
          <w:szCs w:val="24"/>
        </w:rPr>
        <w:t>Tabletten deles i halve ved at lægge den på et plant underlag med delekærven opad og holde fast på den ene halvdel, mens den anden trykkes ned.</w:t>
      </w:r>
    </w:p>
    <w:p w:rsidR="0077021D" w:rsidRPr="0077021D" w:rsidRDefault="0077021D" w:rsidP="00EA7897">
      <w:pPr>
        <w:ind w:left="851"/>
        <w:rPr>
          <w:sz w:val="24"/>
          <w:szCs w:val="24"/>
        </w:rPr>
      </w:pPr>
    </w:p>
    <w:p w:rsidR="0077021D" w:rsidRDefault="0077021D" w:rsidP="00EA7897">
      <w:pPr>
        <w:ind w:left="851"/>
        <w:rPr>
          <w:b/>
          <w:sz w:val="24"/>
          <w:szCs w:val="24"/>
        </w:rPr>
      </w:pPr>
      <w:r w:rsidRPr="0077021D">
        <w:rPr>
          <w:noProof/>
          <w:sz w:val="24"/>
          <w:szCs w:val="24"/>
        </w:rPr>
        <w:drawing>
          <wp:inline distT="0" distB="0" distL="0" distR="0" wp14:anchorId="5DED8001" wp14:editId="7B5486CB">
            <wp:extent cx="2091055" cy="1249680"/>
            <wp:effectExtent l="0" t="0" r="4445" b="7620"/>
            <wp:docPr id="1852840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055" cy="1249680"/>
                    </a:xfrm>
                    <a:prstGeom prst="rect">
                      <a:avLst/>
                    </a:prstGeom>
                    <a:noFill/>
                  </pic:spPr>
                </pic:pic>
              </a:graphicData>
            </a:graphic>
          </wp:inline>
        </w:drawing>
      </w:r>
    </w:p>
    <w:p w:rsidR="00EA7897" w:rsidRPr="0077021D" w:rsidRDefault="00EA7897" w:rsidP="00EA7897">
      <w:pPr>
        <w:ind w:left="851"/>
        <w:rPr>
          <w:b/>
          <w:sz w:val="24"/>
          <w:szCs w:val="24"/>
        </w:rPr>
      </w:pPr>
    </w:p>
    <w:p w:rsidR="0077021D" w:rsidRPr="0077021D" w:rsidRDefault="0077021D" w:rsidP="00EA7897">
      <w:pPr>
        <w:pStyle w:val="Style1"/>
        <w:ind w:left="851" w:hanging="851"/>
        <w:rPr>
          <w:sz w:val="24"/>
          <w:szCs w:val="24"/>
        </w:rPr>
      </w:pPr>
      <w:r w:rsidRPr="0077021D">
        <w:rPr>
          <w:sz w:val="24"/>
          <w:szCs w:val="24"/>
        </w:rPr>
        <w:t>3.10</w:t>
      </w:r>
      <w:r w:rsidRPr="0077021D">
        <w:rPr>
          <w:sz w:val="24"/>
          <w:szCs w:val="24"/>
        </w:rPr>
        <w:tab/>
        <w:t>Symptomer på overdosering (og, hvis relevant, nødforanstaltninger og modgift)</w:t>
      </w:r>
    </w:p>
    <w:p w:rsidR="0077021D" w:rsidRPr="0077021D" w:rsidRDefault="0077021D" w:rsidP="00EA7897">
      <w:pPr>
        <w:pStyle w:val="Style1"/>
        <w:tabs>
          <w:tab w:val="clear" w:pos="0"/>
          <w:tab w:val="left" w:pos="426"/>
        </w:tabs>
        <w:ind w:left="851" w:firstLine="0"/>
        <w:rPr>
          <w:b w:val="0"/>
          <w:bCs/>
          <w:sz w:val="24"/>
          <w:szCs w:val="24"/>
        </w:rPr>
      </w:pPr>
      <w:r w:rsidRPr="0077021D">
        <w:rPr>
          <w:b w:val="0"/>
          <w:bCs/>
          <w:sz w:val="24"/>
          <w:szCs w:val="24"/>
        </w:rPr>
        <w:t>Symptomer på overdosering:</w:t>
      </w:r>
    </w:p>
    <w:p w:rsidR="0077021D" w:rsidRPr="0077021D" w:rsidRDefault="0077021D" w:rsidP="0077021D">
      <w:pPr>
        <w:pStyle w:val="Style1"/>
        <w:rPr>
          <w:b w:val="0"/>
          <w:bCs/>
          <w:sz w:val="24"/>
          <w:szCs w:val="24"/>
        </w:rPr>
      </w:pPr>
    </w:p>
    <w:p w:rsidR="0077021D" w:rsidRPr="0077021D" w:rsidRDefault="0077021D" w:rsidP="00EA7897">
      <w:pPr>
        <w:pStyle w:val="Style1"/>
        <w:ind w:left="993" w:hanging="142"/>
        <w:rPr>
          <w:b w:val="0"/>
          <w:bCs/>
          <w:sz w:val="24"/>
          <w:szCs w:val="24"/>
        </w:rPr>
      </w:pPr>
      <w:r w:rsidRPr="0077021D">
        <w:rPr>
          <w:b w:val="0"/>
          <w:bCs/>
          <w:sz w:val="24"/>
          <w:szCs w:val="24"/>
        </w:rPr>
        <w:t>- dæmpning af centralnervesystemet, der ses som tegn varierende fra søvn til koma</w:t>
      </w:r>
    </w:p>
    <w:p w:rsidR="0077021D" w:rsidRPr="0077021D" w:rsidRDefault="0077021D" w:rsidP="00EA7897">
      <w:pPr>
        <w:pStyle w:val="Style1"/>
        <w:ind w:left="993" w:hanging="142"/>
        <w:rPr>
          <w:b w:val="0"/>
          <w:bCs/>
          <w:sz w:val="24"/>
          <w:szCs w:val="24"/>
        </w:rPr>
      </w:pPr>
      <w:r w:rsidRPr="0077021D">
        <w:rPr>
          <w:b w:val="0"/>
          <w:bCs/>
          <w:sz w:val="24"/>
          <w:szCs w:val="24"/>
        </w:rPr>
        <w:t>- respirationsproblemer</w:t>
      </w:r>
    </w:p>
    <w:p w:rsidR="0077021D" w:rsidRPr="0077021D" w:rsidRDefault="0077021D" w:rsidP="00EA7897">
      <w:pPr>
        <w:pStyle w:val="Style1"/>
        <w:ind w:left="993" w:hanging="142"/>
        <w:rPr>
          <w:b w:val="0"/>
          <w:bCs/>
          <w:sz w:val="24"/>
          <w:szCs w:val="24"/>
        </w:rPr>
      </w:pPr>
      <w:r w:rsidRPr="0077021D">
        <w:rPr>
          <w:b w:val="0"/>
          <w:bCs/>
          <w:sz w:val="24"/>
          <w:szCs w:val="24"/>
        </w:rPr>
        <w:t xml:space="preserve">- </w:t>
      </w:r>
      <w:proofErr w:type="spellStart"/>
      <w:r w:rsidRPr="0077021D">
        <w:rPr>
          <w:b w:val="0"/>
          <w:bCs/>
          <w:sz w:val="24"/>
          <w:szCs w:val="24"/>
        </w:rPr>
        <w:t>hjertekarproblemer</w:t>
      </w:r>
      <w:proofErr w:type="spellEnd"/>
      <w:r w:rsidRPr="0077021D">
        <w:rPr>
          <w:b w:val="0"/>
          <w:bCs/>
          <w:sz w:val="24"/>
          <w:szCs w:val="24"/>
        </w:rPr>
        <w:t xml:space="preserve">, hypotension og </w:t>
      </w:r>
      <w:proofErr w:type="spellStart"/>
      <w:r w:rsidRPr="0077021D">
        <w:rPr>
          <w:b w:val="0"/>
          <w:bCs/>
          <w:sz w:val="24"/>
          <w:szCs w:val="24"/>
        </w:rPr>
        <w:t>shock</w:t>
      </w:r>
      <w:proofErr w:type="spellEnd"/>
      <w:r w:rsidRPr="0077021D">
        <w:rPr>
          <w:b w:val="0"/>
          <w:bCs/>
          <w:sz w:val="24"/>
          <w:szCs w:val="24"/>
        </w:rPr>
        <w:t>, der medfører nyresvigt og død.</w:t>
      </w:r>
    </w:p>
    <w:p w:rsidR="0077021D" w:rsidRPr="0077021D" w:rsidRDefault="0077021D" w:rsidP="0077021D">
      <w:pPr>
        <w:pStyle w:val="Style1"/>
        <w:rPr>
          <w:b w:val="0"/>
          <w:bCs/>
          <w:sz w:val="24"/>
          <w:szCs w:val="24"/>
        </w:rPr>
      </w:pPr>
    </w:p>
    <w:p w:rsidR="0077021D" w:rsidRPr="0077021D" w:rsidRDefault="0077021D" w:rsidP="00EA7897">
      <w:pPr>
        <w:pStyle w:val="Style1"/>
        <w:ind w:left="851" w:firstLine="0"/>
        <w:rPr>
          <w:b w:val="0"/>
          <w:bCs/>
          <w:sz w:val="24"/>
          <w:szCs w:val="24"/>
        </w:rPr>
      </w:pPr>
      <w:r w:rsidRPr="0077021D">
        <w:rPr>
          <w:b w:val="0"/>
          <w:bCs/>
          <w:sz w:val="24"/>
          <w:szCs w:val="24"/>
        </w:rPr>
        <w:t xml:space="preserve">I tilfælde af en overdosis skal det </w:t>
      </w:r>
      <w:proofErr w:type="spellStart"/>
      <w:r w:rsidRPr="0077021D">
        <w:rPr>
          <w:b w:val="0"/>
          <w:bCs/>
          <w:sz w:val="24"/>
          <w:szCs w:val="24"/>
        </w:rPr>
        <w:t>indtagede</w:t>
      </w:r>
      <w:proofErr w:type="spellEnd"/>
      <w:r w:rsidRPr="0077021D">
        <w:rPr>
          <w:b w:val="0"/>
          <w:bCs/>
          <w:sz w:val="24"/>
          <w:szCs w:val="24"/>
        </w:rPr>
        <w:t xml:space="preserve"> produkt fjernes fra mavesækken, og respiration og kredsløb støttes efter behov. </w:t>
      </w:r>
    </w:p>
    <w:p w:rsidR="0077021D" w:rsidRPr="0077021D" w:rsidRDefault="0077021D" w:rsidP="00EA7897">
      <w:pPr>
        <w:pStyle w:val="Style1"/>
        <w:ind w:left="851" w:firstLine="0"/>
        <w:rPr>
          <w:b w:val="0"/>
          <w:bCs/>
          <w:sz w:val="24"/>
          <w:szCs w:val="24"/>
        </w:rPr>
      </w:pPr>
    </w:p>
    <w:p w:rsidR="0077021D" w:rsidRPr="0077021D" w:rsidRDefault="0077021D" w:rsidP="00EA7897">
      <w:pPr>
        <w:pStyle w:val="Style1"/>
        <w:ind w:left="851" w:firstLine="0"/>
        <w:rPr>
          <w:b w:val="0"/>
          <w:bCs/>
          <w:sz w:val="24"/>
          <w:szCs w:val="24"/>
        </w:rPr>
      </w:pPr>
      <w:r w:rsidRPr="0077021D">
        <w:rPr>
          <w:b w:val="0"/>
          <w:bCs/>
          <w:sz w:val="24"/>
          <w:szCs w:val="24"/>
        </w:rPr>
        <w:t>Der findes ingen specifik modgift, men CNS-stimulanser (f.eks. Doxapram) kan stimulere</w:t>
      </w:r>
    </w:p>
    <w:p w:rsidR="0077021D" w:rsidRPr="0077021D" w:rsidRDefault="0077021D" w:rsidP="00EA7897">
      <w:pPr>
        <w:pStyle w:val="Style1"/>
        <w:ind w:left="851" w:firstLine="0"/>
        <w:rPr>
          <w:b w:val="0"/>
          <w:bCs/>
          <w:sz w:val="24"/>
          <w:szCs w:val="24"/>
        </w:rPr>
      </w:pPr>
      <w:r w:rsidRPr="0077021D">
        <w:rPr>
          <w:b w:val="0"/>
          <w:bCs/>
          <w:sz w:val="24"/>
          <w:szCs w:val="24"/>
        </w:rPr>
        <w:t>respirationscenteret.</w:t>
      </w:r>
    </w:p>
    <w:p w:rsidR="0077021D" w:rsidRPr="0077021D" w:rsidRDefault="0077021D" w:rsidP="0077021D">
      <w:pPr>
        <w:rPr>
          <w:sz w:val="24"/>
          <w:szCs w:val="24"/>
        </w:rPr>
      </w:pPr>
    </w:p>
    <w:p w:rsidR="0077021D" w:rsidRPr="0077021D" w:rsidRDefault="0077021D" w:rsidP="00EA7897">
      <w:pPr>
        <w:pStyle w:val="Style1"/>
        <w:ind w:left="851" w:hanging="851"/>
        <w:rPr>
          <w:sz w:val="24"/>
          <w:szCs w:val="24"/>
        </w:rPr>
      </w:pPr>
      <w:r w:rsidRPr="0077021D">
        <w:rPr>
          <w:sz w:val="24"/>
          <w:szCs w:val="24"/>
        </w:rPr>
        <w:t>3.11</w:t>
      </w:r>
      <w:r w:rsidRPr="0077021D">
        <w:rPr>
          <w:sz w:val="24"/>
          <w:szCs w:val="24"/>
        </w:rPr>
        <w:tab/>
        <w:t>Særlige begrænsninger og betingelser for anvendelse, herunder begrænsninger for anvendelsen af antimikrobielle og antiparasitære veterinærlægemidler for at begrænse risikoen for udvikling af resistens</w:t>
      </w:r>
    </w:p>
    <w:p w:rsidR="0077021D" w:rsidRPr="0077021D" w:rsidRDefault="0077021D" w:rsidP="00EA7897">
      <w:pPr>
        <w:ind w:left="851"/>
        <w:rPr>
          <w:sz w:val="24"/>
          <w:szCs w:val="24"/>
        </w:rPr>
      </w:pPr>
      <w:r w:rsidRPr="0077021D">
        <w:rPr>
          <w:sz w:val="24"/>
          <w:szCs w:val="24"/>
        </w:rPr>
        <w:t>Ikke relevant.</w:t>
      </w:r>
    </w:p>
    <w:p w:rsidR="0077021D" w:rsidRPr="0077021D" w:rsidRDefault="0077021D" w:rsidP="0077021D">
      <w:pPr>
        <w:rPr>
          <w:sz w:val="24"/>
          <w:szCs w:val="24"/>
        </w:rPr>
      </w:pPr>
    </w:p>
    <w:p w:rsidR="0077021D" w:rsidRPr="0077021D" w:rsidRDefault="0077021D" w:rsidP="00EA7897">
      <w:pPr>
        <w:pStyle w:val="Style1"/>
        <w:ind w:left="851" w:hanging="851"/>
        <w:rPr>
          <w:sz w:val="24"/>
          <w:szCs w:val="24"/>
        </w:rPr>
      </w:pPr>
      <w:r w:rsidRPr="0077021D">
        <w:rPr>
          <w:sz w:val="24"/>
          <w:szCs w:val="24"/>
        </w:rPr>
        <w:t>3.12</w:t>
      </w:r>
      <w:r w:rsidRPr="0077021D">
        <w:rPr>
          <w:sz w:val="24"/>
          <w:szCs w:val="24"/>
        </w:rPr>
        <w:tab/>
        <w:t>Tilbageholdelsestid(er)</w:t>
      </w:r>
    </w:p>
    <w:p w:rsidR="0077021D" w:rsidRPr="0077021D" w:rsidRDefault="0077021D" w:rsidP="00EA7897">
      <w:pPr>
        <w:ind w:left="851"/>
        <w:rPr>
          <w:sz w:val="24"/>
          <w:szCs w:val="24"/>
        </w:rPr>
      </w:pPr>
      <w:r w:rsidRPr="0077021D">
        <w:rPr>
          <w:sz w:val="24"/>
          <w:szCs w:val="24"/>
        </w:rPr>
        <w:t>Ikke relevant.</w:t>
      </w:r>
    </w:p>
    <w:p w:rsidR="0077021D" w:rsidRPr="00EA7897" w:rsidRDefault="0077021D" w:rsidP="00DD6F54">
      <w:pPr>
        <w:tabs>
          <w:tab w:val="left" w:pos="851"/>
          <w:tab w:val="left" w:pos="8222"/>
        </w:tabs>
        <w:rPr>
          <w:sz w:val="24"/>
          <w:szCs w:val="24"/>
        </w:rPr>
      </w:pPr>
    </w:p>
    <w:p w:rsidR="0077021D" w:rsidRPr="00EA7897" w:rsidRDefault="0077021D" w:rsidP="00DD6F54">
      <w:pPr>
        <w:tabs>
          <w:tab w:val="left" w:pos="851"/>
          <w:tab w:val="left" w:pos="8222"/>
        </w:tabs>
        <w:rPr>
          <w:sz w:val="24"/>
          <w:szCs w:val="24"/>
        </w:rPr>
      </w:pPr>
    </w:p>
    <w:p w:rsidR="00EA7897" w:rsidRPr="00EA7897" w:rsidRDefault="00EA7897" w:rsidP="00EA7897">
      <w:pPr>
        <w:pStyle w:val="Style1"/>
        <w:ind w:left="851" w:hanging="851"/>
        <w:rPr>
          <w:sz w:val="24"/>
          <w:szCs w:val="24"/>
        </w:rPr>
      </w:pPr>
      <w:r w:rsidRPr="00EA7897">
        <w:rPr>
          <w:sz w:val="24"/>
          <w:szCs w:val="24"/>
        </w:rPr>
        <w:t>4.</w:t>
      </w:r>
      <w:r w:rsidRPr="00EA7897">
        <w:rPr>
          <w:sz w:val="24"/>
          <w:szCs w:val="24"/>
        </w:rPr>
        <w:tab/>
        <w:t>FARMAKOLOGISKE OPLYSNINGER</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4.1</w:t>
      </w:r>
      <w:r w:rsidRPr="00EA7897">
        <w:rPr>
          <w:sz w:val="24"/>
          <w:szCs w:val="24"/>
        </w:rPr>
        <w:tab/>
      </w:r>
      <w:proofErr w:type="spellStart"/>
      <w:r w:rsidRPr="00EA7897">
        <w:rPr>
          <w:sz w:val="24"/>
          <w:szCs w:val="24"/>
        </w:rPr>
        <w:t>ATCvet</w:t>
      </w:r>
      <w:proofErr w:type="spellEnd"/>
      <w:r w:rsidRPr="00EA7897">
        <w:rPr>
          <w:sz w:val="24"/>
          <w:szCs w:val="24"/>
        </w:rPr>
        <w:t xml:space="preserve">-kode: </w:t>
      </w:r>
      <w:r w:rsidRPr="00EA7897">
        <w:rPr>
          <w:b w:val="0"/>
          <w:bCs/>
          <w:sz w:val="24"/>
          <w:szCs w:val="24"/>
        </w:rPr>
        <w:t>QN03AA02.</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4.2</w:t>
      </w:r>
      <w:r w:rsidRPr="00EA7897">
        <w:rPr>
          <w:sz w:val="24"/>
          <w:szCs w:val="24"/>
        </w:rPr>
        <w:tab/>
      </w:r>
      <w:proofErr w:type="spellStart"/>
      <w:r w:rsidRPr="00EA7897">
        <w:rPr>
          <w:sz w:val="24"/>
          <w:szCs w:val="24"/>
        </w:rPr>
        <w:t>Farmakodynamiske</w:t>
      </w:r>
      <w:proofErr w:type="spellEnd"/>
      <w:r w:rsidRPr="00EA7897">
        <w:rPr>
          <w:sz w:val="24"/>
          <w:szCs w:val="24"/>
        </w:rPr>
        <w:t xml:space="preserve"> oplysninger</w:t>
      </w:r>
    </w:p>
    <w:p w:rsidR="00EA7897" w:rsidRPr="00EA7897" w:rsidRDefault="00EA7897" w:rsidP="00EA7897">
      <w:pPr>
        <w:tabs>
          <w:tab w:val="left" w:pos="-1440"/>
        </w:tabs>
        <w:ind w:left="851"/>
        <w:rPr>
          <w:sz w:val="24"/>
          <w:szCs w:val="24"/>
        </w:rPr>
      </w:pPr>
      <w:r w:rsidRPr="00EA7897">
        <w:rPr>
          <w:sz w:val="24"/>
          <w:szCs w:val="24"/>
        </w:rPr>
        <w:lastRenderedPageBreak/>
        <w:t xml:space="preserve">Den antiepileptiske virkning af </w:t>
      </w:r>
      <w:proofErr w:type="spellStart"/>
      <w:r w:rsidRPr="00EA7897">
        <w:rPr>
          <w:sz w:val="24"/>
          <w:szCs w:val="24"/>
        </w:rPr>
        <w:t>phenobarbital</w:t>
      </w:r>
      <w:proofErr w:type="spellEnd"/>
      <w:r w:rsidRPr="00EA7897">
        <w:rPr>
          <w:sz w:val="24"/>
          <w:szCs w:val="24"/>
        </w:rPr>
        <w:t xml:space="preserve"> er sandsynligvis resultatet af mindst to mekanismer: Nedsat </w:t>
      </w:r>
      <w:proofErr w:type="spellStart"/>
      <w:r w:rsidRPr="00EA7897">
        <w:rPr>
          <w:sz w:val="24"/>
          <w:szCs w:val="24"/>
        </w:rPr>
        <w:t>monosynaptisk</w:t>
      </w:r>
      <w:proofErr w:type="spellEnd"/>
      <w:r w:rsidRPr="00EA7897">
        <w:rPr>
          <w:sz w:val="24"/>
          <w:szCs w:val="24"/>
        </w:rPr>
        <w:t xml:space="preserve"> transmission, der antagelig medfører reduceret </w:t>
      </w:r>
      <w:proofErr w:type="spellStart"/>
      <w:r w:rsidRPr="00EA7897">
        <w:rPr>
          <w:sz w:val="24"/>
          <w:szCs w:val="24"/>
        </w:rPr>
        <w:t>neuronexcitabilitet</w:t>
      </w:r>
      <w:proofErr w:type="spellEnd"/>
      <w:r w:rsidRPr="00EA7897">
        <w:rPr>
          <w:sz w:val="24"/>
          <w:szCs w:val="24"/>
        </w:rPr>
        <w:t>, og en forøgelse af tærsklen for elektrisk stimulering i motor cortex.</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4.3</w:t>
      </w:r>
      <w:r w:rsidRPr="00EA7897">
        <w:rPr>
          <w:sz w:val="24"/>
          <w:szCs w:val="24"/>
        </w:rPr>
        <w:tab/>
      </w:r>
      <w:proofErr w:type="spellStart"/>
      <w:r w:rsidRPr="00EA7897">
        <w:rPr>
          <w:sz w:val="24"/>
          <w:szCs w:val="24"/>
        </w:rPr>
        <w:t>Farmakokinetiske</w:t>
      </w:r>
      <w:proofErr w:type="spellEnd"/>
      <w:r w:rsidRPr="00EA7897">
        <w:rPr>
          <w:sz w:val="24"/>
          <w:szCs w:val="24"/>
        </w:rPr>
        <w:t xml:space="preserve"> oplysninger</w:t>
      </w:r>
    </w:p>
    <w:p w:rsidR="00EA7897" w:rsidRPr="00EA7897" w:rsidRDefault="00EA7897" w:rsidP="00EA7897">
      <w:pPr>
        <w:tabs>
          <w:tab w:val="left" w:pos="142"/>
        </w:tabs>
        <w:ind w:left="851"/>
        <w:rPr>
          <w:bCs/>
          <w:sz w:val="24"/>
          <w:szCs w:val="24"/>
        </w:rPr>
      </w:pPr>
      <w:r w:rsidRPr="00EA7897">
        <w:rPr>
          <w:bCs/>
          <w:sz w:val="24"/>
          <w:szCs w:val="24"/>
        </w:rPr>
        <w:t xml:space="preserve">Efter oral indgivelse af </w:t>
      </w:r>
      <w:proofErr w:type="spellStart"/>
      <w:r w:rsidRPr="00EA7897">
        <w:rPr>
          <w:bCs/>
          <w:sz w:val="24"/>
          <w:szCs w:val="24"/>
        </w:rPr>
        <w:t>phenobarbital</w:t>
      </w:r>
      <w:proofErr w:type="spellEnd"/>
      <w:r w:rsidRPr="00EA7897">
        <w:rPr>
          <w:bCs/>
          <w:sz w:val="24"/>
          <w:szCs w:val="24"/>
        </w:rPr>
        <w:t xml:space="preserve"> hos hunde, absorberes lægemidlet hurtigt, og maksimal plasmakoncentration nås inden for 3 timer. Biotilgængeligheden er 86 - 96 %. Ca. 45 % af plasmakoncentrationen er proteinbundet. Metabolismen sker ved aromatisk </w:t>
      </w:r>
      <w:proofErr w:type="spellStart"/>
      <w:r w:rsidRPr="00EA7897">
        <w:rPr>
          <w:bCs/>
          <w:sz w:val="24"/>
          <w:szCs w:val="24"/>
        </w:rPr>
        <w:t>hydroxylation</w:t>
      </w:r>
      <w:proofErr w:type="spellEnd"/>
      <w:r w:rsidRPr="00EA7897">
        <w:rPr>
          <w:bCs/>
          <w:sz w:val="24"/>
          <w:szCs w:val="24"/>
        </w:rPr>
        <w:t xml:space="preserve"> af </w:t>
      </w:r>
      <w:proofErr w:type="spellStart"/>
      <w:r w:rsidRPr="00EA7897">
        <w:rPr>
          <w:bCs/>
          <w:sz w:val="24"/>
          <w:szCs w:val="24"/>
        </w:rPr>
        <w:t>phenylgruppen</w:t>
      </w:r>
      <w:proofErr w:type="spellEnd"/>
      <w:r w:rsidRPr="00EA7897">
        <w:rPr>
          <w:bCs/>
          <w:sz w:val="24"/>
          <w:szCs w:val="24"/>
        </w:rPr>
        <w:t xml:space="preserve"> i </w:t>
      </w:r>
      <w:proofErr w:type="spellStart"/>
      <w:r w:rsidRPr="00EA7897">
        <w:rPr>
          <w:bCs/>
          <w:sz w:val="24"/>
          <w:szCs w:val="24"/>
        </w:rPr>
        <w:t>parapositionen</w:t>
      </w:r>
      <w:proofErr w:type="spellEnd"/>
      <w:r w:rsidRPr="00EA7897">
        <w:rPr>
          <w:bCs/>
          <w:sz w:val="24"/>
          <w:szCs w:val="24"/>
        </w:rPr>
        <w:t xml:space="preserve">, og ca. en tredjedel af lægemidlet udskilles uændret i urinen. Udskillelseshalveringstiden varierer betydeligt fra individ til individ og er på 40-90 timer. </w:t>
      </w:r>
      <w:proofErr w:type="spellStart"/>
      <w:r w:rsidRPr="00EA7897">
        <w:rPr>
          <w:bCs/>
          <w:sz w:val="24"/>
          <w:szCs w:val="24"/>
        </w:rPr>
        <w:t>Steady</w:t>
      </w:r>
      <w:proofErr w:type="spellEnd"/>
      <w:r w:rsidRPr="00EA7897">
        <w:rPr>
          <w:bCs/>
          <w:sz w:val="24"/>
          <w:szCs w:val="24"/>
        </w:rPr>
        <w:t>-</w:t>
      </w:r>
      <w:proofErr w:type="spellStart"/>
      <w:r w:rsidRPr="00EA7897">
        <w:rPr>
          <w:bCs/>
          <w:sz w:val="24"/>
          <w:szCs w:val="24"/>
        </w:rPr>
        <w:t>state</w:t>
      </w:r>
      <w:proofErr w:type="spellEnd"/>
      <w:r w:rsidRPr="00EA7897">
        <w:rPr>
          <w:bCs/>
          <w:sz w:val="24"/>
          <w:szCs w:val="24"/>
        </w:rPr>
        <w:t xml:space="preserve">-serumkoncentrationer nås først 1-2 uger efter påbegyndt behandling. </w:t>
      </w:r>
    </w:p>
    <w:p w:rsidR="00EA7897" w:rsidRPr="00EA7897" w:rsidRDefault="00EA7897" w:rsidP="00EA7897">
      <w:pPr>
        <w:tabs>
          <w:tab w:val="left" w:pos="142"/>
        </w:tabs>
        <w:ind w:left="851"/>
        <w:rPr>
          <w:bCs/>
          <w:sz w:val="24"/>
          <w:szCs w:val="24"/>
        </w:rPr>
      </w:pPr>
    </w:p>
    <w:p w:rsidR="00EA7897" w:rsidRPr="00EA7897" w:rsidRDefault="00EA7897" w:rsidP="00EA7897">
      <w:pPr>
        <w:tabs>
          <w:tab w:val="left" w:pos="142"/>
        </w:tabs>
        <w:ind w:left="851"/>
        <w:rPr>
          <w:sz w:val="24"/>
          <w:szCs w:val="24"/>
        </w:rPr>
      </w:pPr>
      <w:r w:rsidRPr="00EA7897">
        <w:rPr>
          <w:bCs/>
          <w:sz w:val="24"/>
          <w:szCs w:val="24"/>
        </w:rPr>
        <w:t>Efter oral indgivelse af produktet hos 16 beaglehunde to gange daglig med 12 timers interval i 14 dage med en dosis på 0,5 tablet pr. hund, svarende til 4-5 mg/kg kropsvægt, nåedes en maksimal plasmakoncentration inden for 3 timer på 32,30 til 47,64 µg/ml, og den minimale plasmakoncentration varierede fra 12,94 til 21,05 µg/ml.</w:t>
      </w:r>
    </w:p>
    <w:p w:rsidR="00DD6F54" w:rsidRPr="00EA7897" w:rsidRDefault="00DD6F54" w:rsidP="00DD6F54">
      <w:pPr>
        <w:tabs>
          <w:tab w:val="left" w:pos="851"/>
          <w:tab w:val="left" w:pos="8222"/>
        </w:tabs>
        <w:rPr>
          <w:sz w:val="24"/>
          <w:szCs w:val="24"/>
        </w:rPr>
      </w:pPr>
    </w:p>
    <w:p w:rsidR="00DD6F54" w:rsidRPr="00EA7897" w:rsidRDefault="00DD6F54" w:rsidP="00DD6F54">
      <w:pPr>
        <w:tabs>
          <w:tab w:val="left" w:pos="851"/>
          <w:tab w:val="left" w:pos="8222"/>
        </w:tabs>
        <w:rPr>
          <w:sz w:val="24"/>
          <w:szCs w:val="24"/>
        </w:rPr>
      </w:pPr>
    </w:p>
    <w:p w:rsidR="00EA7897" w:rsidRPr="00EA7897" w:rsidRDefault="00EA7897" w:rsidP="00EA7897">
      <w:pPr>
        <w:pStyle w:val="Style1"/>
        <w:ind w:left="851" w:hanging="851"/>
        <w:rPr>
          <w:sz w:val="24"/>
          <w:szCs w:val="24"/>
        </w:rPr>
      </w:pPr>
      <w:r w:rsidRPr="00EA7897">
        <w:rPr>
          <w:sz w:val="24"/>
          <w:szCs w:val="24"/>
        </w:rPr>
        <w:t>5.</w:t>
      </w:r>
      <w:r w:rsidRPr="00EA7897">
        <w:rPr>
          <w:sz w:val="24"/>
          <w:szCs w:val="24"/>
        </w:rPr>
        <w:tab/>
        <w:t>FARMACEUTISKE OPLYSNINGER</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5.1</w:t>
      </w:r>
      <w:r w:rsidRPr="00EA7897">
        <w:rPr>
          <w:sz w:val="24"/>
          <w:szCs w:val="24"/>
        </w:rPr>
        <w:tab/>
        <w:t>Væsentlige uforligeligheder</w:t>
      </w:r>
    </w:p>
    <w:p w:rsidR="00EA7897" w:rsidRPr="00EA7897" w:rsidRDefault="00EA7897" w:rsidP="00EA7897">
      <w:pPr>
        <w:ind w:left="851"/>
        <w:rPr>
          <w:sz w:val="24"/>
          <w:szCs w:val="24"/>
        </w:rPr>
      </w:pPr>
      <w:r w:rsidRPr="00EA7897">
        <w:rPr>
          <w:sz w:val="24"/>
          <w:szCs w:val="24"/>
        </w:rPr>
        <w:t>Ikke relevant.</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5.2</w:t>
      </w:r>
      <w:r w:rsidRPr="00EA7897">
        <w:rPr>
          <w:sz w:val="24"/>
          <w:szCs w:val="24"/>
        </w:rPr>
        <w:tab/>
        <w:t>Opbevaringstid</w:t>
      </w:r>
    </w:p>
    <w:p w:rsidR="00EA7897" w:rsidRPr="00EA7897" w:rsidRDefault="00EA7897" w:rsidP="00EA7897">
      <w:pPr>
        <w:ind w:left="851"/>
        <w:rPr>
          <w:sz w:val="24"/>
          <w:szCs w:val="24"/>
        </w:rPr>
      </w:pPr>
      <w:r w:rsidRPr="00EA7897">
        <w:rPr>
          <w:rFonts w:asciiTheme="majorBidi" w:hAnsiTheme="majorBidi" w:cstheme="majorBidi"/>
          <w:sz w:val="24"/>
          <w:szCs w:val="24"/>
        </w:rPr>
        <w:t>Opbevaringstid for veterinærlægemidlet i salgspakning:</w:t>
      </w:r>
      <w:r w:rsidRPr="00EA7897">
        <w:rPr>
          <w:sz w:val="24"/>
          <w:szCs w:val="24"/>
        </w:rPr>
        <w:tab/>
      </w:r>
      <w:r w:rsidRPr="00EA7897">
        <w:rPr>
          <w:sz w:val="24"/>
          <w:szCs w:val="24"/>
        </w:rPr>
        <w:tab/>
        <w:t>3 år.</w:t>
      </w:r>
    </w:p>
    <w:p w:rsidR="00EA7897" w:rsidRPr="00EA7897" w:rsidRDefault="00EA7897" w:rsidP="00EA7897">
      <w:pPr>
        <w:ind w:left="851"/>
        <w:rPr>
          <w:sz w:val="24"/>
          <w:szCs w:val="24"/>
        </w:rPr>
      </w:pPr>
      <w:r w:rsidRPr="00EA7897">
        <w:rPr>
          <w:rFonts w:asciiTheme="majorBidi" w:eastAsia="HiddenHorzOCR" w:hAnsiTheme="majorBidi" w:cstheme="majorBidi"/>
          <w:sz w:val="24"/>
          <w:szCs w:val="24"/>
        </w:rPr>
        <w:t>Opbevaringstid for delte tabletter:</w:t>
      </w:r>
      <w:r w:rsidRPr="00EA7897">
        <w:rPr>
          <w:sz w:val="24"/>
          <w:szCs w:val="24"/>
        </w:rPr>
        <w:tab/>
      </w:r>
      <w:r w:rsidRPr="00EA7897">
        <w:rPr>
          <w:sz w:val="24"/>
          <w:szCs w:val="24"/>
        </w:rPr>
        <w:tab/>
      </w:r>
      <w:r w:rsidRPr="00EA7897">
        <w:rPr>
          <w:sz w:val="24"/>
          <w:szCs w:val="24"/>
        </w:rPr>
        <w:tab/>
        <w:t>2 dage.</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5.3</w:t>
      </w:r>
      <w:r w:rsidRPr="00EA7897">
        <w:rPr>
          <w:sz w:val="24"/>
          <w:szCs w:val="24"/>
        </w:rPr>
        <w:tab/>
        <w:t>Særlige forholdsregler vedrørende opbevaring</w:t>
      </w:r>
    </w:p>
    <w:p w:rsidR="00EA7897" w:rsidRPr="00EA7897" w:rsidRDefault="00EA7897" w:rsidP="00EA7897">
      <w:pPr>
        <w:pStyle w:val="Style5"/>
        <w:ind w:left="851"/>
        <w:rPr>
          <w:sz w:val="24"/>
          <w:szCs w:val="24"/>
        </w:rPr>
      </w:pPr>
      <w:r w:rsidRPr="00EA7897">
        <w:rPr>
          <w:sz w:val="24"/>
          <w:szCs w:val="24"/>
        </w:rPr>
        <w:t>Der er ingen særlige krav vedrørende opbevaringsforhold for dette veterinærlægemiddel.</w:t>
      </w:r>
    </w:p>
    <w:p w:rsidR="00EA7897" w:rsidRPr="00EA7897" w:rsidRDefault="00EA7897" w:rsidP="00EA7897">
      <w:pPr>
        <w:ind w:left="851"/>
        <w:rPr>
          <w:rFonts w:asciiTheme="majorBidi" w:eastAsia="HiddenHorzOCR" w:hAnsiTheme="majorBidi" w:cstheme="majorBidi"/>
          <w:sz w:val="24"/>
          <w:szCs w:val="24"/>
        </w:rPr>
      </w:pPr>
      <w:r w:rsidRPr="00EA7897">
        <w:rPr>
          <w:rFonts w:asciiTheme="majorBidi" w:eastAsia="HiddenHorzOCR" w:hAnsiTheme="majorBidi" w:cstheme="majorBidi"/>
          <w:sz w:val="24"/>
          <w:szCs w:val="24"/>
        </w:rPr>
        <w:t xml:space="preserve">Opbevar blisterkortene i den ydre æske. </w:t>
      </w:r>
    </w:p>
    <w:p w:rsidR="00EA7897" w:rsidRPr="00EA7897" w:rsidRDefault="00EA7897" w:rsidP="00EA7897">
      <w:pPr>
        <w:ind w:left="851"/>
        <w:rPr>
          <w:rFonts w:asciiTheme="majorBidi" w:eastAsia="HiddenHorzOCR" w:hAnsiTheme="majorBidi" w:cstheme="majorBidi"/>
          <w:sz w:val="24"/>
          <w:szCs w:val="24"/>
        </w:rPr>
      </w:pPr>
      <w:r w:rsidRPr="00EA7897">
        <w:rPr>
          <w:rFonts w:asciiTheme="majorBidi" w:eastAsia="HiddenHorzOCR" w:hAnsiTheme="majorBidi" w:cstheme="majorBidi"/>
          <w:sz w:val="24"/>
          <w:szCs w:val="24"/>
        </w:rPr>
        <w:t>Opbevaringstid for delte tabletter: 2 dage.</w:t>
      </w:r>
    </w:p>
    <w:p w:rsidR="00EA7897" w:rsidRPr="00EA7897" w:rsidRDefault="00EA7897" w:rsidP="00EA7897">
      <w:pPr>
        <w:autoSpaceDE w:val="0"/>
        <w:autoSpaceDN w:val="0"/>
        <w:adjustRightInd w:val="0"/>
        <w:ind w:left="851"/>
        <w:jc w:val="both"/>
        <w:rPr>
          <w:rFonts w:asciiTheme="majorBidi" w:eastAsia="HiddenHorzOCR" w:hAnsiTheme="majorBidi" w:cstheme="majorBidi"/>
          <w:sz w:val="24"/>
          <w:szCs w:val="24"/>
          <w:lang w:eastAsia="en-IE"/>
        </w:rPr>
      </w:pPr>
      <w:r w:rsidRPr="00EA7897">
        <w:rPr>
          <w:rFonts w:asciiTheme="majorBidi" w:eastAsia="HiddenHorzOCR" w:hAnsiTheme="majorBidi" w:cstheme="majorBidi"/>
          <w:sz w:val="24"/>
          <w:szCs w:val="24"/>
          <w:lang w:eastAsia="en-IE"/>
        </w:rPr>
        <w:t xml:space="preserve">Opbevar delte tabletter i den originale pakning.  </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5.4</w:t>
      </w:r>
      <w:r w:rsidRPr="00EA7897">
        <w:rPr>
          <w:sz w:val="24"/>
          <w:szCs w:val="24"/>
        </w:rPr>
        <w:tab/>
        <w:t>Den indre emballages art og indhold</w:t>
      </w:r>
    </w:p>
    <w:p w:rsidR="00EA7897" w:rsidRPr="00EA7897" w:rsidRDefault="00EA7897" w:rsidP="00EA7897">
      <w:pPr>
        <w:ind w:left="851" w:right="-318"/>
        <w:rPr>
          <w:rFonts w:asciiTheme="majorBidi" w:hAnsiTheme="majorBidi" w:cstheme="majorBidi"/>
          <w:bCs/>
          <w:sz w:val="24"/>
          <w:szCs w:val="24"/>
        </w:rPr>
      </w:pPr>
      <w:r w:rsidRPr="00EA7897">
        <w:rPr>
          <w:rFonts w:asciiTheme="majorBidi" w:hAnsiTheme="majorBidi" w:cstheme="majorBidi"/>
          <w:sz w:val="24"/>
          <w:szCs w:val="24"/>
        </w:rPr>
        <w:t>Blisterkort (PVC/aluminium), som indeholder 10 tabletter, i æsker med 10, 20, 30, 40, 50, 60, 70, 80, 90, 100, 500 og 1.000 tabletter.</w:t>
      </w:r>
    </w:p>
    <w:p w:rsidR="00EA7897" w:rsidRPr="00EA7897" w:rsidRDefault="00EA7897" w:rsidP="00EA7897">
      <w:pPr>
        <w:ind w:left="851"/>
        <w:rPr>
          <w:sz w:val="24"/>
          <w:szCs w:val="24"/>
        </w:rPr>
      </w:pPr>
      <w:r w:rsidRPr="00EA7897">
        <w:rPr>
          <w:rFonts w:asciiTheme="majorBidi" w:hAnsiTheme="majorBidi" w:cstheme="majorBidi"/>
          <w:sz w:val="24"/>
          <w:szCs w:val="24"/>
        </w:rPr>
        <w:t xml:space="preserve">Hvide HDPE-beholdere med børnesikret polypropylenlåg, som indeholder 100 eller 500 tabletter. </w:t>
      </w:r>
    </w:p>
    <w:p w:rsidR="00EA7897" w:rsidRPr="00EA7897" w:rsidRDefault="00EA7897" w:rsidP="00EA7897">
      <w:pPr>
        <w:ind w:left="851"/>
        <w:rPr>
          <w:sz w:val="24"/>
          <w:szCs w:val="24"/>
        </w:rPr>
      </w:pPr>
    </w:p>
    <w:p w:rsidR="00EA7897" w:rsidRPr="00EA7897" w:rsidRDefault="00EA7897" w:rsidP="00EA7897">
      <w:pPr>
        <w:ind w:left="851"/>
        <w:rPr>
          <w:sz w:val="24"/>
          <w:szCs w:val="24"/>
        </w:rPr>
      </w:pPr>
      <w:r w:rsidRPr="00EA7897">
        <w:rPr>
          <w:sz w:val="24"/>
          <w:szCs w:val="24"/>
        </w:rPr>
        <w:t>Ikke alle pakningsstørrelser er nødvendigvis markedsført.</w:t>
      </w: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EA7897">
        <w:rPr>
          <w:sz w:val="24"/>
          <w:szCs w:val="24"/>
        </w:rPr>
        <w:t>5.5</w:t>
      </w:r>
      <w:r w:rsidRPr="00EA7897">
        <w:rPr>
          <w:sz w:val="24"/>
          <w:szCs w:val="24"/>
        </w:rPr>
        <w:tab/>
        <w:t>Særlige forholdsregler vedrørende bortskaffelse af ubrugte veterinærlægemidler eller affaldsmaterialer fra brugen heraf</w:t>
      </w:r>
    </w:p>
    <w:p w:rsidR="00EA7897" w:rsidRPr="00EA7897" w:rsidRDefault="00EA7897" w:rsidP="00EA7897">
      <w:pPr>
        <w:ind w:left="851"/>
        <w:rPr>
          <w:sz w:val="24"/>
          <w:szCs w:val="24"/>
        </w:rPr>
      </w:pPr>
      <w:r w:rsidRPr="00EA7897">
        <w:rPr>
          <w:sz w:val="24"/>
          <w:szCs w:val="24"/>
        </w:rPr>
        <w:t>Lægemidler må ikke bortskaffes sammen med spildevand eller husholdningsaffald</w:t>
      </w:r>
    </w:p>
    <w:p w:rsidR="00EA7897" w:rsidRPr="00EA7897" w:rsidRDefault="00EA7897" w:rsidP="00EA7897">
      <w:pPr>
        <w:ind w:left="851"/>
        <w:rPr>
          <w:sz w:val="24"/>
          <w:szCs w:val="24"/>
        </w:rPr>
      </w:pPr>
    </w:p>
    <w:p w:rsidR="00EA7897" w:rsidRPr="00EA7897" w:rsidRDefault="00EA7897" w:rsidP="00EA7897">
      <w:pPr>
        <w:ind w:left="851"/>
        <w:rPr>
          <w:sz w:val="24"/>
          <w:szCs w:val="24"/>
        </w:rPr>
      </w:pPr>
      <w:r w:rsidRPr="00EA789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EA7897" w:rsidRDefault="00EA7897" w:rsidP="00EA7897">
      <w:pPr>
        <w:rPr>
          <w:sz w:val="24"/>
          <w:szCs w:val="24"/>
        </w:rPr>
      </w:pPr>
    </w:p>
    <w:p w:rsidR="00EA7897" w:rsidRPr="00EA7897" w:rsidRDefault="00EA7897" w:rsidP="00EA7897">
      <w:pPr>
        <w:rPr>
          <w:sz w:val="24"/>
          <w:szCs w:val="24"/>
        </w:rPr>
      </w:pPr>
    </w:p>
    <w:p w:rsidR="00EA7897" w:rsidRPr="00EA7897" w:rsidRDefault="00EA7897" w:rsidP="00EA7897">
      <w:pPr>
        <w:pStyle w:val="Style1"/>
        <w:ind w:left="851" w:hanging="851"/>
        <w:rPr>
          <w:sz w:val="24"/>
          <w:szCs w:val="24"/>
        </w:rPr>
      </w:pPr>
      <w:r w:rsidRPr="00D52BF8">
        <w:rPr>
          <w:sz w:val="24"/>
          <w:szCs w:val="24"/>
        </w:rPr>
        <w:lastRenderedPageBreak/>
        <w:t>6.</w:t>
      </w:r>
      <w:r w:rsidRPr="00F260F0">
        <w:tab/>
      </w:r>
      <w:r w:rsidRPr="00EA7897">
        <w:rPr>
          <w:sz w:val="24"/>
          <w:szCs w:val="24"/>
        </w:rPr>
        <w:t>NAVN PÅ INDEHAVEREN AF MARKEDSFØRINGSTILLADELSEN</w:t>
      </w:r>
    </w:p>
    <w:p w:rsidR="00EA7897" w:rsidRPr="00EA7897" w:rsidRDefault="00EA7897" w:rsidP="00EA7897">
      <w:pPr>
        <w:ind w:left="851"/>
        <w:rPr>
          <w:sz w:val="24"/>
          <w:szCs w:val="24"/>
        </w:rPr>
      </w:pPr>
      <w:r w:rsidRPr="00EA7897">
        <w:rPr>
          <w:sz w:val="24"/>
          <w:szCs w:val="24"/>
        </w:rPr>
        <w:t>Chanelle Pharmaceuticals Manufacturing Ltd</w:t>
      </w:r>
    </w:p>
    <w:p w:rsidR="00EA7897" w:rsidRPr="00EA7897" w:rsidRDefault="00EA7897" w:rsidP="00EA7897">
      <w:pPr>
        <w:ind w:left="851"/>
        <w:rPr>
          <w:sz w:val="24"/>
          <w:szCs w:val="24"/>
          <w:lang w:val="en-US"/>
        </w:rPr>
      </w:pPr>
      <w:proofErr w:type="spellStart"/>
      <w:r w:rsidRPr="00EA7897">
        <w:rPr>
          <w:sz w:val="24"/>
          <w:szCs w:val="24"/>
          <w:lang w:val="en-US"/>
        </w:rPr>
        <w:t>Athenry</w:t>
      </w:r>
      <w:proofErr w:type="spellEnd"/>
      <w:r w:rsidRPr="00EA7897">
        <w:rPr>
          <w:sz w:val="24"/>
          <w:szCs w:val="24"/>
          <w:lang w:val="en-US"/>
        </w:rPr>
        <w:t xml:space="preserve"> Road</w:t>
      </w:r>
    </w:p>
    <w:p w:rsidR="00EA7897" w:rsidRPr="00EA7897" w:rsidRDefault="00EA7897" w:rsidP="00EA7897">
      <w:pPr>
        <w:ind w:left="851"/>
        <w:rPr>
          <w:sz w:val="24"/>
          <w:szCs w:val="24"/>
          <w:lang w:val="en-US"/>
        </w:rPr>
      </w:pPr>
      <w:r w:rsidRPr="00EA7897">
        <w:rPr>
          <w:sz w:val="24"/>
          <w:szCs w:val="24"/>
          <w:lang w:val="en-US"/>
        </w:rPr>
        <w:t>Loughrea</w:t>
      </w:r>
    </w:p>
    <w:p w:rsidR="00EA7897" w:rsidRPr="00EA7897" w:rsidRDefault="00EA7897" w:rsidP="00EA7897">
      <w:pPr>
        <w:ind w:left="851"/>
        <w:rPr>
          <w:sz w:val="24"/>
          <w:szCs w:val="24"/>
          <w:lang w:val="en-US"/>
        </w:rPr>
      </w:pPr>
      <w:r w:rsidRPr="00EA7897">
        <w:rPr>
          <w:sz w:val="24"/>
          <w:szCs w:val="24"/>
          <w:lang w:val="en-US"/>
        </w:rPr>
        <w:t>Co. Galway</w:t>
      </w:r>
    </w:p>
    <w:p w:rsidR="00DD6F54" w:rsidRPr="00EA7897" w:rsidRDefault="00EA7897" w:rsidP="00EA7897">
      <w:pPr>
        <w:ind w:left="851"/>
        <w:rPr>
          <w:sz w:val="24"/>
          <w:szCs w:val="24"/>
          <w:lang w:val="en-US"/>
        </w:rPr>
      </w:pPr>
      <w:proofErr w:type="spellStart"/>
      <w:r w:rsidRPr="00EA7897">
        <w:rPr>
          <w:sz w:val="24"/>
          <w:szCs w:val="24"/>
          <w:lang w:val="en-US"/>
        </w:rPr>
        <w:t>Irland</w:t>
      </w:r>
      <w:proofErr w:type="spellEnd"/>
    </w:p>
    <w:p w:rsidR="00DD6F54" w:rsidRPr="00EA7897" w:rsidRDefault="00DD6F54" w:rsidP="00EA7897">
      <w:pPr>
        <w:tabs>
          <w:tab w:val="left" w:pos="851"/>
          <w:tab w:val="left" w:pos="8222"/>
        </w:tabs>
        <w:ind w:left="851" w:hanging="851"/>
        <w:rPr>
          <w:b/>
          <w:sz w:val="24"/>
          <w:szCs w:val="24"/>
          <w:lang w:val="en-US"/>
        </w:rPr>
      </w:pPr>
    </w:p>
    <w:p w:rsidR="00EA7897" w:rsidRPr="00EA7897" w:rsidRDefault="00EA7897" w:rsidP="00EA7897">
      <w:pPr>
        <w:pStyle w:val="Style1"/>
        <w:ind w:left="851" w:hanging="851"/>
        <w:rPr>
          <w:sz w:val="24"/>
          <w:szCs w:val="24"/>
        </w:rPr>
      </w:pPr>
      <w:r w:rsidRPr="00EA7897">
        <w:rPr>
          <w:sz w:val="24"/>
          <w:szCs w:val="24"/>
        </w:rPr>
        <w:t>7.</w:t>
      </w:r>
      <w:r w:rsidRPr="00EA7897">
        <w:rPr>
          <w:sz w:val="24"/>
          <w:szCs w:val="24"/>
        </w:rPr>
        <w:tab/>
        <w:t>MARKEDSFØRINGSTILLADELSESNUMMER (-NUMRE)</w:t>
      </w:r>
    </w:p>
    <w:p w:rsidR="00EA7897" w:rsidRPr="00EA7897" w:rsidRDefault="00EA7897" w:rsidP="00EA7897">
      <w:pPr>
        <w:ind w:left="851"/>
        <w:rPr>
          <w:sz w:val="24"/>
          <w:szCs w:val="24"/>
        </w:rPr>
      </w:pPr>
      <w:bookmarkStart w:id="4" w:name="_Hlk131501774"/>
      <w:r w:rsidRPr="00EA7897">
        <w:rPr>
          <w:sz w:val="24"/>
          <w:szCs w:val="24"/>
        </w:rPr>
        <w:t>50173</w:t>
      </w:r>
    </w:p>
    <w:bookmarkEnd w:id="4"/>
    <w:p w:rsidR="00DD6F54" w:rsidRPr="00EA7897" w:rsidRDefault="00DD6F54" w:rsidP="00DD6F54">
      <w:pPr>
        <w:tabs>
          <w:tab w:val="left" w:pos="851"/>
          <w:tab w:val="left" w:pos="8222"/>
        </w:tabs>
        <w:ind w:left="851" w:hanging="851"/>
        <w:rPr>
          <w:sz w:val="24"/>
          <w:szCs w:val="24"/>
        </w:rPr>
      </w:pPr>
    </w:p>
    <w:p w:rsidR="00D52BF8" w:rsidRPr="00D52BF8" w:rsidRDefault="00D52BF8" w:rsidP="00D52BF8">
      <w:pPr>
        <w:pStyle w:val="Style1"/>
        <w:ind w:left="851" w:hanging="851"/>
        <w:rPr>
          <w:sz w:val="24"/>
          <w:szCs w:val="24"/>
        </w:rPr>
      </w:pPr>
      <w:r w:rsidRPr="00D52BF8">
        <w:rPr>
          <w:sz w:val="24"/>
          <w:szCs w:val="24"/>
        </w:rPr>
        <w:t>8.</w:t>
      </w:r>
      <w:r w:rsidRPr="00D52BF8">
        <w:rPr>
          <w:sz w:val="24"/>
          <w:szCs w:val="24"/>
        </w:rPr>
        <w:tab/>
        <w:t>DATO FOR FØRSTE TILLADELSE</w:t>
      </w:r>
    </w:p>
    <w:p w:rsidR="00D52BF8" w:rsidRPr="00D52BF8" w:rsidRDefault="00D52BF8" w:rsidP="00D52BF8">
      <w:pPr>
        <w:ind w:left="851"/>
        <w:rPr>
          <w:b/>
          <w:sz w:val="24"/>
          <w:szCs w:val="24"/>
        </w:rPr>
      </w:pPr>
      <w:r w:rsidRPr="00D52BF8">
        <w:rPr>
          <w:sz w:val="24"/>
          <w:szCs w:val="24"/>
        </w:rPr>
        <w:t>29. september 2014</w:t>
      </w:r>
    </w:p>
    <w:p w:rsidR="00DD6F54" w:rsidRPr="001D1D2D" w:rsidRDefault="00DD6F54" w:rsidP="00DD6F54">
      <w:pPr>
        <w:tabs>
          <w:tab w:val="left" w:pos="851"/>
          <w:tab w:val="left" w:pos="8222"/>
        </w:tabs>
        <w:ind w:left="851" w:hanging="851"/>
        <w:rPr>
          <w:sz w:val="24"/>
          <w:szCs w:val="24"/>
        </w:rPr>
      </w:pPr>
    </w:p>
    <w:p w:rsidR="00DD6F54" w:rsidRPr="001D1D2D" w:rsidRDefault="00D52BF8" w:rsidP="00DD6F54">
      <w:pPr>
        <w:tabs>
          <w:tab w:val="left" w:pos="851"/>
          <w:tab w:val="left" w:pos="8222"/>
        </w:tabs>
        <w:ind w:left="851" w:hanging="851"/>
        <w:rPr>
          <w:b/>
          <w:sz w:val="24"/>
          <w:szCs w:val="24"/>
        </w:rPr>
      </w:pPr>
      <w:r>
        <w:rPr>
          <w:b/>
          <w:sz w:val="24"/>
          <w:szCs w:val="24"/>
        </w:rPr>
        <w:t>9</w:t>
      </w:r>
      <w:r w:rsidR="00DD6F54" w:rsidRPr="001D1D2D">
        <w:rPr>
          <w:b/>
          <w:sz w:val="24"/>
          <w:szCs w:val="24"/>
        </w:rPr>
        <w:t>.</w:t>
      </w:r>
      <w:r w:rsidR="00DD6F54" w:rsidRPr="001D1D2D">
        <w:rPr>
          <w:b/>
          <w:sz w:val="24"/>
          <w:szCs w:val="24"/>
        </w:rPr>
        <w:tab/>
      </w:r>
      <w:r w:rsidRPr="00D52BF8">
        <w:rPr>
          <w:b/>
          <w:sz w:val="24"/>
          <w:szCs w:val="24"/>
        </w:rPr>
        <w:t>DATO FOR SENESTE ÆNDRING AF PRODUKTRESUMÉET</w:t>
      </w:r>
    </w:p>
    <w:p w:rsidR="00DD6F54" w:rsidRPr="001D1D2D" w:rsidRDefault="00DD6F54" w:rsidP="00DD6F54">
      <w:pPr>
        <w:tabs>
          <w:tab w:val="left" w:pos="851"/>
          <w:tab w:val="left" w:pos="8222"/>
        </w:tabs>
        <w:ind w:left="851" w:hanging="851"/>
        <w:rPr>
          <w:sz w:val="24"/>
          <w:szCs w:val="24"/>
        </w:rPr>
      </w:pPr>
      <w:r w:rsidRPr="001D1D2D">
        <w:rPr>
          <w:sz w:val="24"/>
          <w:szCs w:val="24"/>
        </w:rPr>
        <w:tab/>
      </w:r>
      <w:r w:rsidR="00D6685B">
        <w:rPr>
          <w:sz w:val="24"/>
          <w:szCs w:val="24"/>
        </w:rPr>
        <w:t>11</w:t>
      </w:r>
      <w:r w:rsidR="0077021D" w:rsidRPr="0077021D">
        <w:rPr>
          <w:sz w:val="24"/>
          <w:szCs w:val="24"/>
        </w:rPr>
        <w:t>. juni 2024</w:t>
      </w:r>
    </w:p>
    <w:p w:rsidR="00DD6F54" w:rsidRPr="001D1D2D" w:rsidRDefault="00DD6F54" w:rsidP="00DD6F54">
      <w:pPr>
        <w:tabs>
          <w:tab w:val="left" w:pos="851"/>
          <w:tab w:val="left" w:pos="8222"/>
        </w:tabs>
        <w:ind w:left="851" w:hanging="851"/>
        <w:rPr>
          <w:sz w:val="24"/>
          <w:szCs w:val="24"/>
        </w:rPr>
      </w:pPr>
    </w:p>
    <w:p w:rsidR="00D52BF8" w:rsidRPr="00D52BF8" w:rsidRDefault="00D52BF8" w:rsidP="00D52BF8">
      <w:pPr>
        <w:pStyle w:val="Style1"/>
        <w:ind w:left="851" w:hanging="851"/>
        <w:rPr>
          <w:sz w:val="24"/>
          <w:szCs w:val="24"/>
        </w:rPr>
      </w:pPr>
      <w:r w:rsidRPr="00D52BF8">
        <w:rPr>
          <w:sz w:val="24"/>
          <w:szCs w:val="24"/>
        </w:rPr>
        <w:t>10.</w:t>
      </w:r>
      <w:r w:rsidRPr="00D52BF8">
        <w:rPr>
          <w:sz w:val="24"/>
          <w:szCs w:val="24"/>
        </w:rPr>
        <w:tab/>
        <w:t>KLASSIFICERING AF VETERINÆRLÆGEMIDLER</w:t>
      </w:r>
    </w:p>
    <w:p w:rsidR="00D52BF8" w:rsidRPr="00D52BF8" w:rsidRDefault="00D52BF8" w:rsidP="00D52BF8">
      <w:pPr>
        <w:numPr>
          <w:ilvl w:val="12"/>
          <w:numId w:val="0"/>
        </w:numPr>
        <w:ind w:left="851"/>
        <w:rPr>
          <w:sz w:val="24"/>
          <w:szCs w:val="24"/>
        </w:rPr>
      </w:pPr>
      <w:r w:rsidRPr="00D52BF8">
        <w:rPr>
          <w:sz w:val="24"/>
          <w:szCs w:val="24"/>
        </w:rPr>
        <w:t xml:space="preserve">A. </w:t>
      </w:r>
    </w:p>
    <w:p w:rsidR="00D52BF8" w:rsidRPr="00D52BF8" w:rsidRDefault="00D52BF8" w:rsidP="00D52BF8">
      <w:pPr>
        <w:ind w:left="851" w:right="-318"/>
        <w:rPr>
          <w:sz w:val="24"/>
          <w:szCs w:val="24"/>
        </w:rPr>
      </w:pPr>
    </w:p>
    <w:p w:rsidR="0003527F" w:rsidRPr="00D52BF8" w:rsidRDefault="00D52BF8" w:rsidP="00D52BF8">
      <w:pPr>
        <w:tabs>
          <w:tab w:val="left" w:pos="851"/>
          <w:tab w:val="left" w:pos="8222"/>
        </w:tabs>
        <w:ind w:left="851"/>
        <w:rPr>
          <w:sz w:val="24"/>
          <w:szCs w:val="24"/>
        </w:rPr>
      </w:pPr>
      <w:bookmarkStart w:id="5" w:name="_Hlk73467306"/>
      <w:r w:rsidRPr="00D52BF8">
        <w:rPr>
          <w:sz w:val="24"/>
          <w:szCs w:val="24"/>
        </w:rPr>
        <w:t>Der findes detaljerede oplysninger om dette veterinærlægemiddel i EU-lægemiddeldatabasen.</w:t>
      </w:r>
      <w:bookmarkEnd w:id="5"/>
    </w:p>
    <w:sectPr w:rsidR="0003527F" w:rsidRPr="00D52BF8"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F54" w:rsidRDefault="00DD6F54">
      <w:r>
        <w:separator/>
      </w:r>
    </w:p>
  </w:endnote>
  <w:endnote w:type="continuationSeparator" w:id="0">
    <w:p w:rsidR="00DD6F54" w:rsidRDefault="00DD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iddenHorzOCR">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021D">
      <w:rPr>
        <w:i/>
        <w:noProof/>
        <w:snapToGrid w:val="0"/>
        <w:sz w:val="18"/>
      </w:rPr>
      <w:t>Epityl, tabletter 60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021D">
      <w:rPr>
        <w:i/>
        <w:noProof/>
        <w:snapToGrid w:val="0"/>
        <w:sz w:val="18"/>
      </w:rPr>
      <w:t>Epityl, tabletter 60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F54" w:rsidRDefault="00DD6F54">
      <w:r>
        <w:separator/>
      </w:r>
    </w:p>
  </w:footnote>
  <w:footnote w:type="continuationSeparator" w:id="0">
    <w:p w:rsidR="00DD6F54" w:rsidRDefault="00DD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C3D"/>
    <w:multiLevelType w:val="hybridMultilevel"/>
    <w:tmpl w:val="CD0A7D00"/>
    <w:lvl w:ilvl="0" w:tplc="B42C910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111D2B"/>
    <w:multiLevelType w:val="hybridMultilevel"/>
    <w:tmpl w:val="D4A428C2"/>
    <w:lvl w:ilvl="0" w:tplc="B42C910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834D5"/>
    <w:multiLevelType w:val="hybridMultilevel"/>
    <w:tmpl w:val="94DAEC4A"/>
    <w:lvl w:ilvl="0" w:tplc="1258FF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95874"/>
    <w:multiLevelType w:val="hybridMultilevel"/>
    <w:tmpl w:val="60FC3C32"/>
    <w:lvl w:ilvl="0" w:tplc="04060001">
      <w:start w:val="1"/>
      <w:numFmt w:val="bullet"/>
      <w:lvlText w:val=""/>
      <w:lvlJc w:val="left"/>
      <w:pPr>
        <w:ind w:left="27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54"/>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7021D"/>
    <w:rsid w:val="007E2A00"/>
    <w:rsid w:val="008010F2"/>
    <w:rsid w:val="009202AE"/>
    <w:rsid w:val="00932676"/>
    <w:rsid w:val="009D66C6"/>
    <w:rsid w:val="00A96525"/>
    <w:rsid w:val="00AE29E5"/>
    <w:rsid w:val="00AE5757"/>
    <w:rsid w:val="00B25EB8"/>
    <w:rsid w:val="00BC634B"/>
    <w:rsid w:val="00BF2AE0"/>
    <w:rsid w:val="00C479BF"/>
    <w:rsid w:val="00D52BF8"/>
    <w:rsid w:val="00D567AA"/>
    <w:rsid w:val="00D6685B"/>
    <w:rsid w:val="00DD6D71"/>
    <w:rsid w:val="00DD6F54"/>
    <w:rsid w:val="00DF32BE"/>
    <w:rsid w:val="00E14F0A"/>
    <w:rsid w:val="00EA7897"/>
    <w:rsid w:val="00EB5778"/>
    <w:rsid w:val="00EE5253"/>
    <w:rsid w:val="00FA5B46"/>
    <w:rsid w:val="00FA66E4"/>
    <w:rsid w:val="00FB0C87"/>
    <w:rsid w:val="00FB2107"/>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A31246"/>
  <w15:chartTrackingRefBased/>
  <w15:docId w15:val="{E101FB11-A853-4DA1-A51D-3978E8DF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D6F54"/>
    <w:pPr>
      <w:ind w:left="720"/>
    </w:pPr>
    <w:rPr>
      <w:rFonts w:ascii="Calibri" w:eastAsia="Calibri" w:hAnsi="Calibri"/>
      <w:sz w:val="22"/>
      <w:szCs w:val="22"/>
      <w:lang w:val="en-US"/>
    </w:rPr>
  </w:style>
  <w:style w:type="paragraph" w:styleId="Brdtekstindrykning">
    <w:name w:val="Body Text Indent"/>
    <w:basedOn w:val="Normal"/>
    <w:link w:val="BrdtekstindrykningTegn"/>
    <w:uiPriority w:val="99"/>
    <w:semiHidden/>
    <w:unhideWhenUsed/>
    <w:rsid w:val="00DD6F54"/>
    <w:pPr>
      <w:tabs>
        <w:tab w:val="left" w:pos="567"/>
      </w:tabs>
      <w:spacing w:after="120" w:line="260" w:lineRule="exact"/>
      <w:ind w:left="283"/>
    </w:pPr>
    <w:rPr>
      <w:sz w:val="22"/>
      <w:szCs w:val="22"/>
    </w:rPr>
  </w:style>
  <w:style w:type="character" w:customStyle="1" w:styleId="BrdtekstindrykningTegn">
    <w:name w:val="Brødtekstindrykning Tegn"/>
    <w:basedOn w:val="Standardskrifttypeiafsnit"/>
    <w:link w:val="Brdtekstindrykning"/>
    <w:uiPriority w:val="99"/>
    <w:semiHidden/>
    <w:rsid w:val="00DD6F54"/>
    <w:rPr>
      <w:sz w:val="22"/>
      <w:szCs w:val="22"/>
      <w:lang w:eastAsia="en-US"/>
    </w:rPr>
  </w:style>
  <w:style w:type="paragraph" w:customStyle="1" w:styleId="Style1">
    <w:name w:val="Style1"/>
    <w:basedOn w:val="Normal"/>
    <w:qFormat/>
    <w:rsid w:val="0077021D"/>
    <w:pPr>
      <w:tabs>
        <w:tab w:val="left" w:pos="0"/>
      </w:tabs>
      <w:ind w:left="567" w:hanging="567"/>
    </w:pPr>
    <w:rPr>
      <w:b/>
      <w:sz w:val="22"/>
      <w:szCs w:val="22"/>
    </w:rPr>
  </w:style>
  <w:style w:type="paragraph" w:customStyle="1" w:styleId="Style5">
    <w:name w:val="Style5"/>
    <w:basedOn w:val="Normal"/>
    <w:qFormat/>
    <w:rsid w:val="00EA7897"/>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2160</Words>
  <Characters>14649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2022082666_x000d_
Opdatering til QRD9.</dc:description>
  <cp:lastModifiedBy>Marianne Ott Jensen</cp:lastModifiedBy>
  <cp:revision>4</cp:revision>
  <dcterms:created xsi:type="dcterms:W3CDTF">2024-06-05T13:11:00Z</dcterms:created>
  <dcterms:modified xsi:type="dcterms:W3CDTF">2024-06-11T07:21:00Z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