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036" w:rsidRPr="008F49E1" w:rsidRDefault="005B0036" w:rsidP="005B0036">
      <w:pPr>
        <w:rPr>
          <w:sz w:val="24"/>
          <w:szCs w:val="24"/>
        </w:rPr>
      </w:pPr>
      <w:bookmarkStart w:id="0" w:name="_GoBack"/>
      <w:bookmarkEnd w:id="0"/>
      <w:r w:rsidRPr="005B0036">
        <w:rPr>
          <w:noProof/>
          <w:sz w:val="24"/>
          <w:szCs w:val="24"/>
          <w:lang w:eastAsia="da-DK"/>
        </w:rPr>
        <w:drawing>
          <wp:inline distT="0" distB="0" distL="0" distR="0" wp14:anchorId="417F1A69" wp14:editId="578A875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Default="00C479BF" w:rsidP="005B0036">
      <w:pPr>
        <w:rPr>
          <w:sz w:val="24"/>
          <w:szCs w:val="24"/>
        </w:rPr>
      </w:pPr>
    </w:p>
    <w:p w:rsidR="005B0036" w:rsidRPr="00406EE7" w:rsidRDefault="005B0036" w:rsidP="005B0036">
      <w:pPr>
        <w:tabs>
          <w:tab w:val="right" w:pos="9356"/>
        </w:tabs>
        <w:rPr>
          <w:b/>
          <w:sz w:val="24"/>
          <w:szCs w:val="24"/>
        </w:rPr>
      </w:pPr>
      <w:r>
        <w:rPr>
          <w:b/>
          <w:sz w:val="24"/>
          <w:szCs w:val="24"/>
        </w:rPr>
        <w:tab/>
      </w:r>
      <w:r w:rsidR="009C5F29">
        <w:rPr>
          <w:b/>
          <w:sz w:val="24"/>
          <w:szCs w:val="24"/>
        </w:rPr>
        <w:t>19</w:t>
      </w:r>
      <w:r w:rsidR="00031CDA">
        <w:rPr>
          <w:b/>
          <w:sz w:val="24"/>
          <w:szCs w:val="24"/>
        </w:rPr>
        <w:t xml:space="preserve">. </w:t>
      </w:r>
      <w:r w:rsidR="009C5F29">
        <w:rPr>
          <w:b/>
          <w:sz w:val="24"/>
          <w:szCs w:val="24"/>
        </w:rPr>
        <w:t>december</w:t>
      </w:r>
      <w:r w:rsidR="00031CDA">
        <w:rPr>
          <w:b/>
          <w:sz w:val="24"/>
          <w:szCs w:val="24"/>
        </w:rPr>
        <w:t xml:space="preserve"> 2019</w:t>
      </w:r>
    </w:p>
    <w:p w:rsidR="005B0036" w:rsidRPr="00406EE7" w:rsidRDefault="005B0036" w:rsidP="005B0036">
      <w:pPr>
        <w:rPr>
          <w:sz w:val="24"/>
          <w:szCs w:val="24"/>
        </w:rPr>
      </w:pPr>
    </w:p>
    <w:p w:rsidR="005B0036" w:rsidRPr="00406EE7" w:rsidRDefault="005B0036" w:rsidP="005B0036">
      <w:pPr>
        <w:rPr>
          <w:sz w:val="24"/>
          <w:szCs w:val="24"/>
        </w:rPr>
      </w:pPr>
    </w:p>
    <w:p w:rsidR="005B0036" w:rsidRPr="00406EE7" w:rsidRDefault="005B0036" w:rsidP="005B0036">
      <w:pPr>
        <w:tabs>
          <w:tab w:val="left" w:pos="8222"/>
        </w:tabs>
        <w:jc w:val="center"/>
        <w:rPr>
          <w:b/>
          <w:sz w:val="24"/>
          <w:szCs w:val="24"/>
        </w:rPr>
      </w:pPr>
      <w:r w:rsidRPr="00406EE7">
        <w:rPr>
          <w:b/>
          <w:sz w:val="24"/>
          <w:szCs w:val="24"/>
        </w:rPr>
        <w:t>PRODUKTRESUMÉ</w:t>
      </w:r>
    </w:p>
    <w:p w:rsidR="005B0036" w:rsidRPr="00406EE7" w:rsidRDefault="005B0036"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proofErr w:type="gramStart"/>
      <w:r w:rsidRPr="00406EE7">
        <w:rPr>
          <w:b/>
          <w:sz w:val="24"/>
          <w:szCs w:val="24"/>
        </w:rPr>
        <w:t>for</w:t>
      </w:r>
      <w:proofErr w:type="gramEnd"/>
    </w:p>
    <w:p w:rsidR="005B0036" w:rsidRPr="00406EE7" w:rsidRDefault="005B0036" w:rsidP="005B0036">
      <w:pPr>
        <w:tabs>
          <w:tab w:val="left" w:pos="8222"/>
        </w:tabs>
        <w:jc w:val="center"/>
        <w:rPr>
          <w:b/>
          <w:sz w:val="24"/>
          <w:szCs w:val="24"/>
        </w:rPr>
      </w:pPr>
    </w:p>
    <w:p w:rsidR="005B0036" w:rsidRPr="00565A74" w:rsidRDefault="006B38BB" w:rsidP="005B0036">
      <w:pPr>
        <w:tabs>
          <w:tab w:val="left" w:pos="8222"/>
        </w:tabs>
        <w:jc w:val="center"/>
        <w:rPr>
          <w:b/>
          <w:sz w:val="24"/>
          <w:szCs w:val="24"/>
        </w:rPr>
      </w:pPr>
      <w:proofErr w:type="spellStart"/>
      <w:r>
        <w:rPr>
          <w:b/>
          <w:sz w:val="24"/>
          <w:szCs w:val="24"/>
        </w:rPr>
        <w:t>Equipred</w:t>
      </w:r>
      <w:proofErr w:type="spellEnd"/>
      <w:r>
        <w:rPr>
          <w:b/>
          <w:sz w:val="24"/>
          <w:szCs w:val="24"/>
        </w:rPr>
        <w:t xml:space="preserve"> </w:t>
      </w:r>
      <w:proofErr w:type="spellStart"/>
      <w:proofErr w:type="gramStart"/>
      <w:r>
        <w:rPr>
          <w:b/>
          <w:sz w:val="24"/>
          <w:szCs w:val="24"/>
        </w:rPr>
        <w:t>Vet</w:t>
      </w:r>
      <w:proofErr w:type="spellEnd"/>
      <w:r>
        <w:rPr>
          <w:b/>
          <w:sz w:val="24"/>
          <w:szCs w:val="24"/>
        </w:rPr>
        <w:t>.,</w:t>
      </w:r>
      <w:proofErr w:type="gramEnd"/>
      <w:r>
        <w:rPr>
          <w:b/>
          <w:sz w:val="24"/>
          <w:szCs w:val="24"/>
        </w:rPr>
        <w:t xml:space="preserve"> tabletter</w:t>
      </w: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5B0036" w:rsidRPr="00406EE7" w:rsidRDefault="00540DB9" w:rsidP="005B0036">
      <w:pPr>
        <w:tabs>
          <w:tab w:val="left" w:pos="8222"/>
        </w:tabs>
        <w:ind w:left="851"/>
        <w:rPr>
          <w:sz w:val="24"/>
          <w:szCs w:val="24"/>
        </w:rPr>
      </w:pPr>
      <w:r>
        <w:rPr>
          <w:sz w:val="24"/>
          <w:szCs w:val="24"/>
        </w:rPr>
        <w:t>31392</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5B0036" w:rsidRPr="00406EE7" w:rsidRDefault="00540DB9" w:rsidP="005B0036">
      <w:pPr>
        <w:tabs>
          <w:tab w:val="left" w:pos="8222"/>
        </w:tabs>
        <w:ind w:left="851"/>
        <w:rPr>
          <w:sz w:val="24"/>
          <w:szCs w:val="24"/>
        </w:rPr>
      </w:pPr>
      <w:proofErr w:type="spellStart"/>
      <w:r>
        <w:rPr>
          <w:sz w:val="24"/>
          <w:szCs w:val="24"/>
        </w:rPr>
        <w:t>Equipred</w:t>
      </w:r>
      <w:proofErr w:type="spellEnd"/>
      <w:r>
        <w:rPr>
          <w:sz w:val="24"/>
          <w:szCs w:val="24"/>
        </w:rPr>
        <w:t xml:space="preserve"> </w:t>
      </w:r>
      <w:proofErr w:type="spellStart"/>
      <w:r>
        <w:rPr>
          <w:sz w:val="24"/>
          <w:szCs w:val="24"/>
        </w:rPr>
        <w:t>Vet</w:t>
      </w:r>
      <w:proofErr w:type="spellEnd"/>
      <w:r>
        <w:rPr>
          <w:sz w:val="24"/>
          <w:szCs w:val="24"/>
        </w:rPr>
        <w:t>.</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540DB9" w:rsidRPr="00540DB9" w:rsidRDefault="00540DB9" w:rsidP="00540DB9">
      <w:pPr>
        <w:ind w:left="851"/>
        <w:rPr>
          <w:rFonts w:eastAsia="MS Mincho"/>
          <w:sz w:val="24"/>
          <w:szCs w:val="24"/>
        </w:rPr>
      </w:pPr>
      <w:r w:rsidRPr="00540DB9">
        <w:rPr>
          <w:rFonts w:eastAsia="MS Mincho"/>
          <w:sz w:val="24"/>
        </w:rPr>
        <w:t>Hver tablet indeholder:</w:t>
      </w:r>
    </w:p>
    <w:p w:rsidR="00540DB9" w:rsidRPr="00540DB9" w:rsidRDefault="00540DB9" w:rsidP="00540DB9">
      <w:pPr>
        <w:ind w:left="851"/>
        <w:rPr>
          <w:rFonts w:eastAsia="MS Mincho"/>
          <w:sz w:val="24"/>
          <w:szCs w:val="24"/>
        </w:rPr>
      </w:pPr>
    </w:p>
    <w:p w:rsidR="00540DB9" w:rsidRPr="00540DB9" w:rsidRDefault="00784829" w:rsidP="00540DB9">
      <w:pPr>
        <w:ind w:left="851"/>
        <w:rPr>
          <w:rFonts w:eastAsia="MS Mincho"/>
          <w:sz w:val="24"/>
          <w:szCs w:val="24"/>
          <w:u w:val="single"/>
        </w:rPr>
      </w:pPr>
      <w:r>
        <w:rPr>
          <w:rFonts w:eastAsia="MS Mincho"/>
          <w:sz w:val="24"/>
          <w:szCs w:val="24"/>
          <w:u w:val="single"/>
        </w:rPr>
        <w:t>Aktivt stof</w:t>
      </w:r>
    </w:p>
    <w:p w:rsidR="00540DB9" w:rsidRPr="00540DB9" w:rsidRDefault="00540DB9" w:rsidP="00540DB9">
      <w:pPr>
        <w:tabs>
          <w:tab w:val="left" w:pos="2835"/>
        </w:tabs>
        <w:ind w:left="851"/>
        <w:rPr>
          <w:rFonts w:eastAsia="MS Mincho"/>
          <w:sz w:val="24"/>
          <w:szCs w:val="24"/>
        </w:rPr>
      </w:pPr>
      <w:r w:rsidRPr="00540DB9">
        <w:rPr>
          <w:rFonts w:eastAsia="MS Mincho"/>
          <w:sz w:val="24"/>
        </w:rPr>
        <w:t xml:space="preserve">50 mg </w:t>
      </w:r>
      <w:proofErr w:type="spellStart"/>
      <w:r w:rsidRPr="00540DB9">
        <w:rPr>
          <w:rFonts w:eastAsia="MS Mincho"/>
          <w:sz w:val="24"/>
        </w:rPr>
        <w:t>prednisolon</w:t>
      </w:r>
      <w:proofErr w:type="spellEnd"/>
    </w:p>
    <w:p w:rsidR="00540DB9" w:rsidRPr="00540DB9" w:rsidRDefault="00540DB9" w:rsidP="00540DB9">
      <w:pPr>
        <w:tabs>
          <w:tab w:val="left" w:pos="2835"/>
        </w:tabs>
        <w:ind w:left="851"/>
        <w:rPr>
          <w:rFonts w:eastAsia="MS Mincho"/>
          <w:sz w:val="24"/>
          <w:szCs w:val="24"/>
        </w:rPr>
      </w:pPr>
    </w:p>
    <w:p w:rsidR="00540DB9" w:rsidRPr="00540DB9" w:rsidRDefault="00540DB9" w:rsidP="00540DB9">
      <w:pPr>
        <w:ind w:left="851"/>
        <w:rPr>
          <w:rFonts w:eastAsia="MS Mincho"/>
          <w:sz w:val="24"/>
          <w:szCs w:val="24"/>
        </w:rPr>
      </w:pPr>
      <w:r w:rsidRPr="00540DB9">
        <w:rPr>
          <w:rFonts w:eastAsia="MS Mincho"/>
          <w:sz w:val="24"/>
        </w:rPr>
        <w:t>Alle hjælpestoffer er anført under pkt. 6.1</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3.</w:t>
      </w:r>
      <w:r w:rsidRPr="00406EE7">
        <w:rPr>
          <w:b/>
          <w:sz w:val="24"/>
          <w:szCs w:val="24"/>
        </w:rPr>
        <w:tab/>
        <w:t>LÆGEMIDDELFORM</w:t>
      </w:r>
    </w:p>
    <w:p w:rsidR="00784829" w:rsidRDefault="00784829" w:rsidP="00784829">
      <w:pPr>
        <w:ind w:left="851"/>
        <w:rPr>
          <w:rFonts w:eastAsia="MS Mincho"/>
          <w:sz w:val="24"/>
        </w:rPr>
      </w:pPr>
      <w:r>
        <w:rPr>
          <w:rFonts w:eastAsia="MS Mincho"/>
          <w:sz w:val="24"/>
        </w:rPr>
        <w:t>Tabletter</w:t>
      </w:r>
    </w:p>
    <w:p w:rsidR="00784829" w:rsidRPr="00784829" w:rsidRDefault="00784829" w:rsidP="00784829">
      <w:pPr>
        <w:ind w:left="851"/>
        <w:rPr>
          <w:rFonts w:eastAsia="MS Mincho"/>
          <w:sz w:val="24"/>
          <w:szCs w:val="24"/>
        </w:rPr>
      </w:pPr>
    </w:p>
    <w:p w:rsidR="00784829" w:rsidRPr="00784829" w:rsidRDefault="00784829" w:rsidP="00784829">
      <w:pPr>
        <w:ind w:left="851"/>
        <w:rPr>
          <w:rFonts w:eastAsia="MS Mincho"/>
          <w:sz w:val="24"/>
          <w:szCs w:val="24"/>
        </w:rPr>
      </w:pPr>
      <w:r w:rsidRPr="00784829">
        <w:rPr>
          <w:rFonts w:eastAsia="MS Mincho"/>
          <w:sz w:val="24"/>
        </w:rPr>
        <w:t xml:space="preserve">Hvid, konveks </w:t>
      </w:r>
      <w:r>
        <w:rPr>
          <w:rFonts w:eastAsia="MS Mincho"/>
          <w:sz w:val="24"/>
        </w:rPr>
        <w:t xml:space="preserve">tablet </w:t>
      </w:r>
      <w:r w:rsidRPr="00784829">
        <w:rPr>
          <w:rFonts w:eastAsia="MS Mincho"/>
          <w:sz w:val="24"/>
        </w:rPr>
        <w:t>præget med "50".</w:t>
      </w:r>
    </w:p>
    <w:p w:rsidR="005B0036" w:rsidRPr="00784829" w:rsidRDefault="00784829" w:rsidP="00784829">
      <w:pPr>
        <w:ind w:left="851"/>
        <w:rPr>
          <w:rFonts w:eastAsia="MS Mincho"/>
          <w:sz w:val="24"/>
          <w:szCs w:val="24"/>
        </w:rPr>
      </w:pPr>
      <w:r>
        <w:rPr>
          <w:rFonts w:eastAsia="MS Mincho"/>
          <w:sz w:val="24"/>
        </w:rPr>
        <w:t>Tablett</w:t>
      </w:r>
      <w:r w:rsidRPr="00784829">
        <w:rPr>
          <w:rFonts w:eastAsia="MS Mincho"/>
          <w:sz w:val="24"/>
        </w:rPr>
        <w:t>e</w:t>
      </w:r>
      <w:r>
        <w:rPr>
          <w:rFonts w:eastAsia="MS Mincho"/>
          <w:sz w:val="24"/>
        </w:rPr>
        <w:t>n</w:t>
      </w:r>
      <w:r w:rsidRPr="00784829">
        <w:rPr>
          <w:rFonts w:eastAsia="MS Mincho"/>
          <w:sz w:val="24"/>
        </w:rPr>
        <w:t xml:space="preserve"> kan deles i halve og kvarter.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4.</w:t>
      </w:r>
      <w:r w:rsidRPr="00406EE7">
        <w:rPr>
          <w:b/>
          <w:sz w:val="24"/>
          <w:szCs w:val="24"/>
        </w:rPr>
        <w:tab/>
        <w:t>KLINISKE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u w:val="single"/>
        </w:rPr>
      </w:pPr>
      <w:r w:rsidRPr="00406EE7">
        <w:rPr>
          <w:b/>
          <w:sz w:val="24"/>
          <w:szCs w:val="24"/>
        </w:rPr>
        <w:t>4.1</w:t>
      </w:r>
      <w:r w:rsidRPr="00406EE7">
        <w:rPr>
          <w:b/>
          <w:sz w:val="24"/>
          <w:szCs w:val="24"/>
        </w:rPr>
        <w:tab/>
        <w:t>Dyrearter</w:t>
      </w:r>
    </w:p>
    <w:p w:rsidR="005B0036" w:rsidRPr="00406EE7" w:rsidRDefault="00392920" w:rsidP="005B0036">
      <w:pPr>
        <w:tabs>
          <w:tab w:val="left" w:pos="8222"/>
        </w:tabs>
        <w:ind w:left="851"/>
        <w:rPr>
          <w:sz w:val="24"/>
          <w:szCs w:val="24"/>
        </w:rPr>
      </w:pPr>
      <w:r>
        <w:rPr>
          <w:sz w:val="24"/>
          <w:szCs w:val="24"/>
        </w:rPr>
        <w:t>Hest</w:t>
      </w:r>
    </w:p>
    <w:p w:rsidR="005B0036" w:rsidRPr="00406EE7" w:rsidRDefault="005B0036" w:rsidP="005B0036">
      <w:pPr>
        <w:tabs>
          <w:tab w:val="left" w:pos="8222"/>
        </w:tabs>
        <w:ind w:left="851"/>
        <w:rPr>
          <w:sz w:val="24"/>
          <w:szCs w:val="24"/>
        </w:rPr>
      </w:pPr>
    </w:p>
    <w:p w:rsidR="005B0036" w:rsidRPr="00406EE7" w:rsidRDefault="005B0036" w:rsidP="005B0036">
      <w:pPr>
        <w:pStyle w:val="Sidehoved"/>
        <w:tabs>
          <w:tab w:val="clear" w:pos="4819"/>
          <w:tab w:val="left" w:pos="8222"/>
        </w:tabs>
        <w:ind w:left="851" w:hanging="851"/>
        <w:rPr>
          <w:b/>
          <w:szCs w:val="24"/>
        </w:rPr>
      </w:pPr>
      <w:r w:rsidRPr="00406EE7">
        <w:rPr>
          <w:b/>
          <w:szCs w:val="24"/>
        </w:rPr>
        <w:t>4.2</w:t>
      </w:r>
      <w:r w:rsidRPr="00406EE7">
        <w:rPr>
          <w:b/>
          <w:szCs w:val="24"/>
        </w:rPr>
        <w:tab/>
        <w:t>Terapeutiske indikationer</w:t>
      </w:r>
    </w:p>
    <w:p w:rsidR="005B0036" w:rsidRPr="00C957FF" w:rsidRDefault="00C957FF" w:rsidP="00C957FF">
      <w:pPr>
        <w:autoSpaceDE w:val="0"/>
        <w:autoSpaceDN w:val="0"/>
        <w:adjustRightInd w:val="0"/>
        <w:ind w:left="851"/>
        <w:rPr>
          <w:rFonts w:eastAsia="MS Mincho"/>
          <w:sz w:val="24"/>
          <w:szCs w:val="24"/>
        </w:rPr>
      </w:pPr>
      <w:r w:rsidRPr="00C957FF">
        <w:rPr>
          <w:rFonts w:eastAsia="MS Mincho"/>
          <w:sz w:val="24"/>
        </w:rPr>
        <w:t>Lindring af inflammatoriske og kliniske parametre i forbindelse med tilbagevendende blokering af luftvejene (RAO – svær astma) hos heste kombineret med kontrol af omgivelserne.</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pStyle w:val="Sidehoved"/>
        <w:tabs>
          <w:tab w:val="clear" w:pos="4819"/>
          <w:tab w:val="left" w:pos="851"/>
          <w:tab w:val="left" w:pos="8222"/>
        </w:tabs>
        <w:rPr>
          <w:b/>
          <w:szCs w:val="24"/>
        </w:rPr>
      </w:pPr>
      <w:r w:rsidRPr="00406EE7">
        <w:rPr>
          <w:b/>
          <w:szCs w:val="24"/>
        </w:rPr>
        <w:t>4.3</w:t>
      </w:r>
      <w:r w:rsidRPr="00406EE7">
        <w:rPr>
          <w:b/>
          <w:szCs w:val="24"/>
        </w:rPr>
        <w:tab/>
        <w:t>Kontraindikationer</w:t>
      </w:r>
    </w:p>
    <w:p w:rsidR="00BF2E6C" w:rsidRPr="00BF2E6C" w:rsidRDefault="00BF2E6C" w:rsidP="00BF2E6C">
      <w:pPr>
        <w:autoSpaceDE w:val="0"/>
        <w:autoSpaceDN w:val="0"/>
        <w:adjustRightInd w:val="0"/>
        <w:ind w:left="851"/>
        <w:rPr>
          <w:rFonts w:eastAsia="MS Mincho"/>
          <w:sz w:val="24"/>
          <w:szCs w:val="24"/>
        </w:rPr>
      </w:pPr>
      <w:r w:rsidRPr="00BF2E6C">
        <w:rPr>
          <w:rFonts w:eastAsia="MS Mincho"/>
          <w:sz w:val="24"/>
        </w:rPr>
        <w:t xml:space="preserve">Bør ikke anvendes i tilfælde af overfølsomhed over for det aktive stof, over for </w:t>
      </w:r>
      <w:proofErr w:type="spellStart"/>
      <w:r w:rsidRPr="00BF2E6C">
        <w:rPr>
          <w:rFonts w:eastAsia="MS Mincho"/>
          <w:sz w:val="24"/>
        </w:rPr>
        <w:t>kortikosteroider</w:t>
      </w:r>
      <w:proofErr w:type="spellEnd"/>
      <w:r w:rsidRPr="00BF2E6C">
        <w:rPr>
          <w:rFonts w:eastAsia="MS Mincho"/>
          <w:sz w:val="24"/>
        </w:rPr>
        <w:t xml:space="preserve"> eller over for et eller flere af hjælpestofferne.</w:t>
      </w:r>
    </w:p>
    <w:p w:rsidR="00BF2E6C" w:rsidRPr="00BF2E6C" w:rsidRDefault="00BF2E6C" w:rsidP="00BF2E6C">
      <w:pPr>
        <w:autoSpaceDE w:val="0"/>
        <w:autoSpaceDN w:val="0"/>
        <w:adjustRightInd w:val="0"/>
        <w:ind w:left="851"/>
        <w:rPr>
          <w:rFonts w:eastAsia="MS Mincho"/>
          <w:sz w:val="24"/>
          <w:szCs w:val="24"/>
        </w:rPr>
      </w:pPr>
      <w:r w:rsidRPr="00BF2E6C">
        <w:rPr>
          <w:rFonts w:eastAsia="MS Mincho"/>
          <w:sz w:val="24"/>
        </w:rPr>
        <w:t xml:space="preserve">Bør ikke anvendes i forbindelse med </w:t>
      </w:r>
      <w:proofErr w:type="spellStart"/>
      <w:r w:rsidRPr="00BF2E6C">
        <w:rPr>
          <w:rFonts w:eastAsia="MS Mincho"/>
          <w:sz w:val="24"/>
        </w:rPr>
        <w:t>virale</w:t>
      </w:r>
      <w:proofErr w:type="spellEnd"/>
      <w:r w:rsidRPr="00BF2E6C">
        <w:rPr>
          <w:rFonts w:eastAsia="MS Mincho"/>
          <w:sz w:val="24"/>
        </w:rPr>
        <w:t xml:space="preserve"> infektioner i det </w:t>
      </w:r>
      <w:proofErr w:type="spellStart"/>
      <w:r w:rsidRPr="00BF2E6C">
        <w:rPr>
          <w:rFonts w:eastAsia="MS Mincho"/>
          <w:sz w:val="24"/>
        </w:rPr>
        <w:t>viræmiske</w:t>
      </w:r>
      <w:proofErr w:type="spellEnd"/>
      <w:r w:rsidRPr="00BF2E6C">
        <w:rPr>
          <w:rFonts w:eastAsia="MS Mincho"/>
          <w:sz w:val="24"/>
        </w:rPr>
        <w:t xml:space="preserve"> stadium eller i tilfælde af systemiske </w:t>
      </w:r>
      <w:proofErr w:type="spellStart"/>
      <w:r w:rsidRPr="00BF2E6C">
        <w:rPr>
          <w:rFonts w:eastAsia="MS Mincho"/>
          <w:sz w:val="24"/>
        </w:rPr>
        <w:t>mykoser</w:t>
      </w:r>
      <w:proofErr w:type="spellEnd"/>
      <w:r w:rsidRPr="00BF2E6C">
        <w:rPr>
          <w:rFonts w:eastAsia="MS Mincho"/>
          <w:sz w:val="24"/>
        </w:rPr>
        <w:t>.</w:t>
      </w:r>
    </w:p>
    <w:p w:rsidR="00BF2E6C" w:rsidRPr="00BF2E6C" w:rsidRDefault="00BF2E6C" w:rsidP="00BF2E6C">
      <w:pPr>
        <w:autoSpaceDE w:val="0"/>
        <w:autoSpaceDN w:val="0"/>
        <w:adjustRightInd w:val="0"/>
        <w:ind w:left="851"/>
        <w:rPr>
          <w:rFonts w:eastAsia="MS Mincho"/>
          <w:sz w:val="24"/>
          <w:szCs w:val="24"/>
        </w:rPr>
      </w:pPr>
      <w:r w:rsidRPr="00BF2E6C">
        <w:rPr>
          <w:rFonts w:eastAsia="MS Mincho"/>
          <w:sz w:val="24"/>
        </w:rPr>
        <w:lastRenderedPageBreak/>
        <w:t xml:space="preserve">Bør ikke anvendes til dyr med </w:t>
      </w:r>
      <w:proofErr w:type="spellStart"/>
      <w:r w:rsidRPr="00BF2E6C">
        <w:rPr>
          <w:rFonts w:eastAsia="MS Mincho"/>
          <w:sz w:val="24"/>
        </w:rPr>
        <w:t>gastrointestinalt</w:t>
      </w:r>
      <w:proofErr w:type="spellEnd"/>
      <w:r w:rsidRPr="00BF2E6C">
        <w:rPr>
          <w:rFonts w:eastAsia="MS Mincho"/>
          <w:sz w:val="24"/>
        </w:rPr>
        <w:t xml:space="preserve"> </w:t>
      </w:r>
      <w:proofErr w:type="spellStart"/>
      <w:r w:rsidRPr="00BF2E6C">
        <w:rPr>
          <w:rFonts w:eastAsia="MS Mincho"/>
          <w:sz w:val="24"/>
        </w:rPr>
        <w:t>ulcus</w:t>
      </w:r>
      <w:proofErr w:type="spellEnd"/>
      <w:r w:rsidRPr="00BF2E6C">
        <w:rPr>
          <w:rFonts w:eastAsia="MS Mincho"/>
          <w:sz w:val="24"/>
        </w:rPr>
        <w:t>.</w:t>
      </w:r>
    </w:p>
    <w:p w:rsidR="00BF2E6C" w:rsidRPr="00BF2E6C" w:rsidRDefault="00BF2E6C" w:rsidP="00BF2E6C">
      <w:pPr>
        <w:autoSpaceDE w:val="0"/>
        <w:autoSpaceDN w:val="0"/>
        <w:adjustRightInd w:val="0"/>
        <w:ind w:left="851"/>
        <w:rPr>
          <w:rFonts w:eastAsia="MS Mincho"/>
          <w:sz w:val="24"/>
          <w:szCs w:val="24"/>
        </w:rPr>
      </w:pPr>
      <w:r w:rsidRPr="00BF2E6C">
        <w:rPr>
          <w:rFonts w:eastAsia="MS Mincho"/>
          <w:sz w:val="24"/>
        </w:rPr>
        <w:t>Bør ikke anvendes til dyr med hornhindesår.</w:t>
      </w:r>
    </w:p>
    <w:p w:rsidR="005B0036" w:rsidRPr="00406EE7" w:rsidRDefault="00BF2E6C" w:rsidP="00BF2E6C">
      <w:pPr>
        <w:ind w:left="851"/>
        <w:rPr>
          <w:szCs w:val="24"/>
        </w:rPr>
      </w:pPr>
      <w:r w:rsidRPr="00BF2E6C">
        <w:rPr>
          <w:rFonts w:eastAsia="MS Mincho"/>
          <w:sz w:val="24"/>
        </w:rPr>
        <w:t>Bør</w:t>
      </w:r>
      <w:r>
        <w:rPr>
          <w:rFonts w:eastAsia="MS Mincho"/>
          <w:sz w:val="24"/>
        </w:rPr>
        <w:t xml:space="preserve"> ikke anvendes under drægtighed (se pkt. 4.7).</w:t>
      </w:r>
      <w:r w:rsidRPr="00406EE7">
        <w:rPr>
          <w:szCs w:val="24"/>
        </w:rPr>
        <w:t xml:space="preserve"> </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4.4</w:t>
      </w:r>
      <w:r w:rsidRPr="00406EE7">
        <w:rPr>
          <w:b/>
          <w:sz w:val="24"/>
          <w:szCs w:val="24"/>
        </w:rPr>
        <w:tab/>
        <w:t>Særlige advarsler</w:t>
      </w:r>
    </w:p>
    <w:p w:rsidR="00BF2E6C" w:rsidRPr="00BF2E6C" w:rsidRDefault="00BF2E6C" w:rsidP="00BF2E6C">
      <w:pPr>
        <w:autoSpaceDE w:val="0"/>
        <w:autoSpaceDN w:val="0"/>
        <w:adjustRightInd w:val="0"/>
        <w:ind w:left="851"/>
        <w:rPr>
          <w:rFonts w:eastAsia="MS Mincho"/>
          <w:sz w:val="24"/>
          <w:szCs w:val="24"/>
        </w:rPr>
      </w:pPr>
      <w:proofErr w:type="spellStart"/>
      <w:r w:rsidRPr="00BF2E6C">
        <w:rPr>
          <w:rFonts w:eastAsia="MS Mincho"/>
          <w:sz w:val="24"/>
        </w:rPr>
        <w:t>Kortikoidadministration</w:t>
      </w:r>
      <w:proofErr w:type="spellEnd"/>
      <w:r w:rsidRPr="00BF2E6C">
        <w:rPr>
          <w:rFonts w:eastAsia="MS Mincho"/>
          <w:sz w:val="24"/>
        </w:rPr>
        <w:t xml:space="preserve"> skal fremkalde forbedring i kliniske tegn snarere end helbredelse. Behandlingen bør kombineres med kontrol af omgivelserne.</w:t>
      </w:r>
    </w:p>
    <w:p w:rsidR="00BF2E6C" w:rsidRPr="00BF2E6C" w:rsidRDefault="00BF2E6C" w:rsidP="00BF2E6C">
      <w:pPr>
        <w:autoSpaceDE w:val="0"/>
        <w:autoSpaceDN w:val="0"/>
        <w:adjustRightInd w:val="0"/>
        <w:ind w:left="851"/>
        <w:rPr>
          <w:rFonts w:eastAsia="MS Mincho"/>
          <w:sz w:val="24"/>
          <w:szCs w:val="24"/>
        </w:rPr>
      </w:pPr>
      <w:r w:rsidRPr="00BF2E6C">
        <w:rPr>
          <w:rFonts w:eastAsia="MS Mincho"/>
          <w:sz w:val="24"/>
        </w:rPr>
        <w:t xml:space="preserve">Hvert tilfælde bør vurderes individuelt af dyrlæger, og der bør fastlægges et passende behandlingsprogram. Behandling med </w:t>
      </w:r>
      <w:proofErr w:type="spellStart"/>
      <w:r w:rsidRPr="00BF2E6C">
        <w:rPr>
          <w:rFonts w:eastAsia="MS Mincho"/>
          <w:sz w:val="24"/>
        </w:rPr>
        <w:t>prednisolon</w:t>
      </w:r>
      <w:proofErr w:type="spellEnd"/>
      <w:r w:rsidRPr="00BF2E6C">
        <w:rPr>
          <w:rFonts w:eastAsia="MS Mincho"/>
          <w:sz w:val="24"/>
        </w:rPr>
        <w:t xml:space="preserve"> bør kun påbegyndes, når der ikke er opnået tilfredsstillende lindring af kliniske symptomer, eller når det er usandsynligt, at de opnås ved kontrol af omgivelserne alene.</w:t>
      </w:r>
    </w:p>
    <w:p w:rsidR="005B0036" w:rsidRPr="00BF2E6C" w:rsidRDefault="00BF2E6C" w:rsidP="00BF2E6C">
      <w:pPr>
        <w:autoSpaceDE w:val="0"/>
        <w:autoSpaceDN w:val="0"/>
        <w:adjustRightInd w:val="0"/>
        <w:ind w:left="851"/>
        <w:rPr>
          <w:rFonts w:eastAsia="MS Mincho"/>
          <w:sz w:val="24"/>
          <w:szCs w:val="24"/>
        </w:rPr>
      </w:pPr>
      <w:r w:rsidRPr="00BF2E6C">
        <w:rPr>
          <w:rFonts w:eastAsia="MS Mincho"/>
          <w:sz w:val="24"/>
        </w:rPr>
        <w:t xml:space="preserve">Behandling med </w:t>
      </w:r>
      <w:proofErr w:type="spellStart"/>
      <w:r w:rsidRPr="00BF2E6C">
        <w:rPr>
          <w:rFonts w:eastAsia="MS Mincho"/>
          <w:sz w:val="24"/>
        </w:rPr>
        <w:t>prednisolon</w:t>
      </w:r>
      <w:proofErr w:type="spellEnd"/>
      <w:r w:rsidRPr="00BF2E6C">
        <w:rPr>
          <w:rFonts w:eastAsia="MS Mincho"/>
          <w:sz w:val="24"/>
        </w:rPr>
        <w:t xml:space="preserve"> genopbygger muligvis ikke åndedrætsfunktionen tilstrækkeligt i alle tilfælde, og i hvert enkelt tilfælde kan det være nødvendigt at overveje brug af et hurtigere virkende lægemiddel.</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4.5</w:t>
      </w:r>
      <w:r w:rsidRPr="00406EE7">
        <w:rPr>
          <w:b/>
          <w:sz w:val="24"/>
          <w:szCs w:val="24"/>
        </w:rPr>
        <w:tab/>
        <w:t>Særlige forsigtighedsregler vedrørende brugen</w:t>
      </w:r>
    </w:p>
    <w:p w:rsidR="005B0036" w:rsidRPr="002374DA"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dyret</w:t>
      </w:r>
    </w:p>
    <w:p w:rsidR="00BF2E6C" w:rsidRPr="00BF2E6C" w:rsidRDefault="00BF2E6C" w:rsidP="00BF2E6C">
      <w:pPr>
        <w:autoSpaceDE w:val="0"/>
        <w:autoSpaceDN w:val="0"/>
        <w:adjustRightInd w:val="0"/>
        <w:ind w:left="851"/>
        <w:rPr>
          <w:rFonts w:eastAsia="MS Mincho"/>
          <w:sz w:val="24"/>
          <w:szCs w:val="24"/>
        </w:rPr>
      </w:pPr>
      <w:r w:rsidRPr="00BF2E6C">
        <w:rPr>
          <w:rFonts w:eastAsia="MS Mincho"/>
          <w:sz w:val="24"/>
        </w:rPr>
        <w:t xml:space="preserve">Må ikke bruges til dyr, der lider af diabetes mellitus, nyreinsufficiens, hjerteinsufficiens, </w:t>
      </w:r>
      <w:proofErr w:type="spellStart"/>
      <w:r w:rsidRPr="00BF2E6C">
        <w:rPr>
          <w:rFonts w:eastAsia="MS Mincho"/>
          <w:sz w:val="24"/>
        </w:rPr>
        <w:t>hyperadrenokorticisme</w:t>
      </w:r>
      <w:proofErr w:type="spellEnd"/>
      <w:r w:rsidRPr="00BF2E6C">
        <w:rPr>
          <w:rFonts w:eastAsia="MS Mincho"/>
          <w:sz w:val="24"/>
        </w:rPr>
        <w:t xml:space="preserve"> eller </w:t>
      </w:r>
      <w:proofErr w:type="spellStart"/>
      <w:r w:rsidRPr="00BF2E6C">
        <w:rPr>
          <w:rFonts w:eastAsia="MS Mincho"/>
          <w:sz w:val="24"/>
        </w:rPr>
        <w:t>osteoporose</w:t>
      </w:r>
      <w:proofErr w:type="spellEnd"/>
      <w:r w:rsidRPr="00BF2E6C">
        <w:rPr>
          <w:rFonts w:eastAsia="MS Mincho"/>
          <w:sz w:val="24"/>
        </w:rPr>
        <w:t>, medmindre der er tale om nødsituationer.</w:t>
      </w:r>
    </w:p>
    <w:p w:rsidR="00BF2E6C" w:rsidRPr="00BF2E6C" w:rsidRDefault="00BF2E6C" w:rsidP="00BF2E6C">
      <w:pPr>
        <w:autoSpaceDE w:val="0"/>
        <w:autoSpaceDN w:val="0"/>
        <w:adjustRightInd w:val="0"/>
        <w:ind w:left="851"/>
        <w:rPr>
          <w:rFonts w:eastAsia="MS Mincho"/>
          <w:sz w:val="24"/>
          <w:szCs w:val="24"/>
        </w:rPr>
      </w:pPr>
      <w:r w:rsidRPr="00BF2E6C">
        <w:rPr>
          <w:rFonts w:eastAsia="MS Mincho"/>
          <w:sz w:val="24"/>
        </w:rPr>
        <w:t>Enkelte høje doser tåles generelt godt, men de kan medføre alvorlige bivirkninger ved langvarig brug. Dosering ved mellemlang eller lang behandlingstid bør derfor generelt begrænses til det nødvendige minimum for at kontrollere symptomerne.</w:t>
      </w:r>
    </w:p>
    <w:p w:rsidR="00BF2E6C" w:rsidRPr="00BF2E6C" w:rsidRDefault="00BF2E6C" w:rsidP="00BF2E6C">
      <w:pPr>
        <w:autoSpaceDE w:val="0"/>
        <w:autoSpaceDN w:val="0"/>
        <w:adjustRightInd w:val="0"/>
        <w:ind w:left="851"/>
        <w:rPr>
          <w:rFonts w:eastAsia="MS Mincho"/>
          <w:sz w:val="24"/>
          <w:szCs w:val="24"/>
        </w:rPr>
      </w:pPr>
      <w:r w:rsidRPr="00BF2E6C">
        <w:rPr>
          <w:rFonts w:eastAsia="MS Mincho"/>
          <w:sz w:val="24"/>
        </w:rPr>
        <w:t xml:space="preserve">På grund af </w:t>
      </w:r>
      <w:proofErr w:type="spellStart"/>
      <w:r w:rsidRPr="00BF2E6C">
        <w:rPr>
          <w:rFonts w:eastAsia="MS Mincho"/>
          <w:sz w:val="24"/>
        </w:rPr>
        <w:t>prednisolons</w:t>
      </w:r>
      <w:proofErr w:type="spellEnd"/>
      <w:r w:rsidRPr="00BF2E6C">
        <w:rPr>
          <w:rFonts w:eastAsia="MS Mincho"/>
          <w:sz w:val="24"/>
        </w:rPr>
        <w:t xml:space="preserve"> farmakologiske egenskaber bør der udvises særlig forsigtighed </w:t>
      </w:r>
    </w:p>
    <w:p w:rsidR="005B0036" w:rsidRPr="00BF2E6C" w:rsidRDefault="00BF2E6C" w:rsidP="00BF2E6C">
      <w:pPr>
        <w:ind w:left="851"/>
        <w:rPr>
          <w:rFonts w:eastAsia="MS Mincho"/>
          <w:sz w:val="24"/>
          <w:szCs w:val="24"/>
        </w:rPr>
      </w:pPr>
      <w:proofErr w:type="gramStart"/>
      <w:r w:rsidRPr="00BF2E6C">
        <w:rPr>
          <w:rFonts w:eastAsia="MS Mincho"/>
          <w:sz w:val="24"/>
        </w:rPr>
        <w:t>ved</w:t>
      </w:r>
      <w:proofErr w:type="gramEnd"/>
      <w:r w:rsidRPr="00BF2E6C">
        <w:rPr>
          <w:rFonts w:eastAsia="MS Mincho"/>
          <w:sz w:val="24"/>
        </w:rPr>
        <w:t xml:space="preserve"> brug af veterinærlægemidlet hos dyr med et svagt immunsystem.</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personer, der administrerer lægemidlet</w:t>
      </w:r>
    </w:p>
    <w:p w:rsidR="00ED1935" w:rsidRPr="00ED1935" w:rsidRDefault="00ED1935" w:rsidP="00ED1935">
      <w:pPr>
        <w:autoSpaceDE w:val="0"/>
        <w:autoSpaceDN w:val="0"/>
        <w:adjustRightInd w:val="0"/>
        <w:ind w:left="851"/>
        <w:rPr>
          <w:rFonts w:eastAsia="MS Mincho"/>
          <w:sz w:val="24"/>
          <w:szCs w:val="24"/>
        </w:rPr>
      </w:pPr>
      <w:r w:rsidRPr="00ED1935">
        <w:rPr>
          <w:rFonts w:eastAsia="MS Mincho"/>
          <w:sz w:val="24"/>
        </w:rPr>
        <w:t xml:space="preserve">Dette produkt kan fremkalde allergiske reaktioner. Personer, som har en kendt overfølsomhed over for </w:t>
      </w:r>
      <w:proofErr w:type="spellStart"/>
      <w:r w:rsidRPr="00ED1935">
        <w:rPr>
          <w:rFonts w:eastAsia="MS Mincho"/>
          <w:sz w:val="24"/>
        </w:rPr>
        <w:t>prednisolon</w:t>
      </w:r>
      <w:proofErr w:type="spellEnd"/>
      <w:r w:rsidRPr="00ED1935">
        <w:rPr>
          <w:rFonts w:eastAsia="MS Mincho"/>
          <w:sz w:val="24"/>
        </w:rPr>
        <w:t xml:space="preserve"> eller andre </w:t>
      </w:r>
      <w:proofErr w:type="spellStart"/>
      <w:r w:rsidRPr="00ED1935">
        <w:rPr>
          <w:rFonts w:eastAsia="MS Mincho"/>
          <w:sz w:val="24"/>
        </w:rPr>
        <w:t>kortikosteroider</w:t>
      </w:r>
      <w:proofErr w:type="spellEnd"/>
      <w:r w:rsidRPr="00ED1935">
        <w:rPr>
          <w:rFonts w:eastAsia="MS Mincho"/>
          <w:sz w:val="24"/>
        </w:rPr>
        <w:t xml:space="preserve"> eller nogle af hjælpestofferne, bør undgå kontakt med veterinærlægemidlet.</w:t>
      </w:r>
    </w:p>
    <w:p w:rsidR="00ED1935" w:rsidRPr="00ED1935" w:rsidRDefault="00ED1935" w:rsidP="00ED1935">
      <w:pPr>
        <w:ind w:left="851"/>
        <w:rPr>
          <w:rFonts w:eastAsia="MS Mincho"/>
          <w:iCs/>
          <w:sz w:val="24"/>
          <w:szCs w:val="24"/>
        </w:rPr>
      </w:pPr>
      <w:r w:rsidRPr="00ED1935">
        <w:rPr>
          <w:rFonts w:eastAsia="MS Mincho"/>
          <w:sz w:val="24"/>
        </w:rPr>
        <w:t xml:space="preserve">Dette produkt kan irritere øjnene. Undgå, at hænderne kommer i kontakt med øjnene. I tilfælde af kontakt med øjnene skylles med rigelige mængder vand. Søg læge ved vedvarende irritation. </w:t>
      </w:r>
    </w:p>
    <w:p w:rsidR="00ED1935" w:rsidRPr="00ED1935" w:rsidRDefault="00ED1935" w:rsidP="00ED1935">
      <w:pPr>
        <w:autoSpaceDE w:val="0"/>
        <w:autoSpaceDN w:val="0"/>
        <w:adjustRightInd w:val="0"/>
        <w:ind w:left="851"/>
        <w:rPr>
          <w:rFonts w:eastAsia="MS Mincho"/>
          <w:sz w:val="24"/>
          <w:szCs w:val="24"/>
        </w:rPr>
      </w:pPr>
      <w:r w:rsidRPr="00ED1935">
        <w:rPr>
          <w:rFonts w:eastAsia="MS Mincho"/>
          <w:sz w:val="24"/>
        </w:rPr>
        <w:t>Dette produkt kan forårsage skade, hvis det indtages. Undgå at spise og drikke, når der arbejdes med produktet. Ikke anvendte tabletdele bør lægges tilbage i blisterpakningen og kartonet og holdes uden for børns rækkevidde. Opbevares i et lukket skab. I tilfælde af utilsigtet indtagelse skal der straks søges lægehjælp, og indlægssedlen eller etikken bør vises til lægen. Vask hænder efter kontakt med tabletterne.</w:t>
      </w:r>
    </w:p>
    <w:p w:rsidR="005B0036" w:rsidRPr="00ED1935" w:rsidRDefault="00ED1935" w:rsidP="00ED1935">
      <w:pPr>
        <w:autoSpaceDE w:val="0"/>
        <w:autoSpaceDN w:val="0"/>
        <w:adjustRightInd w:val="0"/>
        <w:ind w:left="851"/>
        <w:rPr>
          <w:rFonts w:eastAsia="MS Mincho"/>
          <w:sz w:val="24"/>
          <w:szCs w:val="24"/>
        </w:rPr>
      </w:pPr>
      <w:proofErr w:type="spellStart"/>
      <w:r w:rsidRPr="00ED1935">
        <w:rPr>
          <w:rFonts w:eastAsia="MS Mincho"/>
          <w:sz w:val="24"/>
        </w:rPr>
        <w:t>Kortikosteroider</w:t>
      </w:r>
      <w:proofErr w:type="spellEnd"/>
      <w:r w:rsidRPr="00ED1935">
        <w:rPr>
          <w:rFonts w:eastAsia="MS Mincho"/>
          <w:sz w:val="24"/>
        </w:rPr>
        <w:t xml:space="preserve"> kan føre til fostermisdannelser. Derfor anbefales det, at gravide kvinder undgår kontakt med veterinærlægemidlet.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4.6</w:t>
      </w:r>
      <w:r w:rsidRPr="00406EE7">
        <w:rPr>
          <w:b/>
          <w:sz w:val="24"/>
          <w:szCs w:val="24"/>
        </w:rPr>
        <w:tab/>
        <w:t>Bivirkninger</w:t>
      </w:r>
    </w:p>
    <w:p w:rsidR="00126C78" w:rsidRPr="00126C78" w:rsidRDefault="00126C78" w:rsidP="00126C78">
      <w:pPr>
        <w:autoSpaceDE w:val="0"/>
        <w:autoSpaceDN w:val="0"/>
        <w:adjustRightInd w:val="0"/>
        <w:ind w:left="851"/>
        <w:rPr>
          <w:rFonts w:eastAsia="MS Mincho"/>
          <w:sz w:val="24"/>
          <w:szCs w:val="24"/>
        </w:rPr>
      </w:pPr>
      <w:r w:rsidRPr="00126C78">
        <w:rPr>
          <w:rFonts w:eastAsia="MS Mincho"/>
          <w:sz w:val="24"/>
        </w:rPr>
        <w:t xml:space="preserve">Der er konstateret sjældne tilfælde af </w:t>
      </w:r>
      <w:proofErr w:type="spellStart"/>
      <w:r w:rsidRPr="00126C78">
        <w:rPr>
          <w:rFonts w:eastAsia="MS Mincho"/>
          <w:sz w:val="24"/>
        </w:rPr>
        <w:t>laminitis</w:t>
      </w:r>
      <w:proofErr w:type="spellEnd"/>
      <w:r w:rsidRPr="00126C78">
        <w:rPr>
          <w:rFonts w:eastAsia="MS Mincho"/>
          <w:sz w:val="24"/>
        </w:rPr>
        <w:t xml:space="preserve"> efter brug af produktet. Heste bør derfor</w:t>
      </w:r>
    </w:p>
    <w:p w:rsidR="00126C78" w:rsidRPr="00126C78" w:rsidRDefault="00126C78" w:rsidP="00126C78">
      <w:pPr>
        <w:autoSpaceDE w:val="0"/>
        <w:autoSpaceDN w:val="0"/>
        <w:adjustRightInd w:val="0"/>
        <w:ind w:left="851"/>
        <w:rPr>
          <w:rFonts w:eastAsia="MS Mincho"/>
          <w:sz w:val="24"/>
          <w:szCs w:val="24"/>
        </w:rPr>
      </w:pPr>
      <w:proofErr w:type="gramStart"/>
      <w:r w:rsidRPr="00126C78">
        <w:rPr>
          <w:rFonts w:eastAsia="MS Mincho"/>
          <w:sz w:val="24"/>
        </w:rPr>
        <w:t>tilses</w:t>
      </w:r>
      <w:proofErr w:type="gramEnd"/>
      <w:r w:rsidRPr="00126C78">
        <w:rPr>
          <w:rFonts w:eastAsia="MS Mincho"/>
          <w:sz w:val="24"/>
        </w:rPr>
        <w:t xml:space="preserve"> ofte i behandlingsperioden.</w:t>
      </w:r>
    </w:p>
    <w:p w:rsidR="00126C78" w:rsidRPr="00126C78" w:rsidRDefault="00126C78" w:rsidP="00126C78">
      <w:pPr>
        <w:autoSpaceDE w:val="0"/>
        <w:autoSpaceDN w:val="0"/>
        <w:adjustRightInd w:val="0"/>
        <w:ind w:left="851"/>
        <w:rPr>
          <w:rFonts w:eastAsia="MS Mincho"/>
          <w:sz w:val="24"/>
          <w:szCs w:val="24"/>
        </w:rPr>
      </w:pPr>
      <w:r w:rsidRPr="00126C78">
        <w:rPr>
          <w:rFonts w:eastAsia="MS Mincho"/>
          <w:sz w:val="24"/>
        </w:rPr>
        <w:t xml:space="preserve">I meget sjældne tilfælde er der konstateret neurologiske tegn såsom </w:t>
      </w:r>
      <w:proofErr w:type="spellStart"/>
      <w:r w:rsidRPr="00126C78">
        <w:rPr>
          <w:rFonts w:eastAsia="MS Mincho"/>
          <w:sz w:val="24"/>
        </w:rPr>
        <w:t>ataksi</w:t>
      </w:r>
      <w:proofErr w:type="spellEnd"/>
      <w:r w:rsidRPr="00126C78">
        <w:rPr>
          <w:rFonts w:eastAsia="MS Mincho"/>
          <w:sz w:val="24"/>
        </w:rPr>
        <w:t>, manglende evne til at rejse sig, hovedtiltning, rastløshed og manglende koordineringsevne efter brug af produktet.</w:t>
      </w:r>
      <w:r w:rsidRPr="00126C78">
        <w:rPr>
          <w:rFonts w:eastAsia="MS Mincho"/>
          <w:sz w:val="24"/>
        </w:rPr>
        <w:br/>
      </w:r>
    </w:p>
    <w:p w:rsidR="00126C78" w:rsidRPr="00126C78" w:rsidRDefault="00126C78" w:rsidP="00126C78">
      <w:pPr>
        <w:autoSpaceDE w:val="0"/>
        <w:autoSpaceDN w:val="0"/>
        <w:adjustRightInd w:val="0"/>
        <w:ind w:left="851"/>
        <w:rPr>
          <w:rFonts w:eastAsia="MS Mincho"/>
          <w:sz w:val="24"/>
          <w:szCs w:val="24"/>
        </w:rPr>
      </w:pPr>
      <w:r w:rsidRPr="00126C78">
        <w:rPr>
          <w:rFonts w:eastAsia="MS Mincho"/>
          <w:sz w:val="24"/>
        </w:rPr>
        <w:t xml:space="preserve">Den betydelige dosisafhængige </w:t>
      </w:r>
      <w:proofErr w:type="spellStart"/>
      <w:r w:rsidRPr="00126C78">
        <w:rPr>
          <w:rFonts w:eastAsia="MS Mincho"/>
          <w:sz w:val="24"/>
        </w:rPr>
        <w:t>kortisolsuppression</w:t>
      </w:r>
      <w:proofErr w:type="spellEnd"/>
      <w:r w:rsidRPr="00126C78">
        <w:rPr>
          <w:rFonts w:eastAsia="MS Mincho"/>
          <w:sz w:val="24"/>
        </w:rPr>
        <w:t xml:space="preserve">, der er meget almindeligt forekommende under behandlingen, er en følge af, at effektive doser dæmper </w:t>
      </w:r>
      <w:proofErr w:type="spellStart"/>
      <w:r w:rsidRPr="00126C78">
        <w:rPr>
          <w:rFonts w:eastAsia="MS Mincho"/>
          <w:sz w:val="24"/>
        </w:rPr>
        <w:t>hypothalamus</w:t>
      </w:r>
      <w:proofErr w:type="spellEnd"/>
      <w:r w:rsidRPr="00126C78">
        <w:rPr>
          <w:rFonts w:eastAsia="MS Mincho"/>
          <w:sz w:val="24"/>
        </w:rPr>
        <w:t xml:space="preserve">-hypofyse-binyre aksen. </w:t>
      </w:r>
    </w:p>
    <w:p w:rsidR="00126C78" w:rsidRPr="00126C78" w:rsidRDefault="00126C78" w:rsidP="00126C78">
      <w:pPr>
        <w:autoSpaceDE w:val="0"/>
        <w:autoSpaceDN w:val="0"/>
        <w:adjustRightInd w:val="0"/>
        <w:ind w:left="851"/>
        <w:rPr>
          <w:rFonts w:eastAsia="MS Mincho"/>
          <w:sz w:val="24"/>
          <w:szCs w:val="24"/>
        </w:rPr>
      </w:pPr>
      <w:r w:rsidRPr="00126C78">
        <w:rPr>
          <w:rFonts w:eastAsia="MS Mincho"/>
          <w:sz w:val="24"/>
        </w:rPr>
        <w:lastRenderedPageBreak/>
        <w:t xml:space="preserve">Efter behandlingens ophør kan der opstå tegn på binyreinsufficiens, som fører til </w:t>
      </w:r>
      <w:proofErr w:type="spellStart"/>
      <w:r w:rsidRPr="00126C78">
        <w:rPr>
          <w:rFonts w:eastAsia="MS Mincho"/>
          <w:sz w:val="24"/>
        </w:rPr>
        <w:t>adrenokortikal</w:t>
      </w:r>
      <w:proofErr w:type="spellEnd"/>
      <w:r w:rsidRPr="00126C78">
        <w:rPr>
          <w:rFonts w:eastAsia="MS Mincho"/>
          <w:sz w:val="24"/>
        </w:rPr>
        <w:t xml:space="preserve"> atrofi, hvilket kan gøre dyret ude af stand til at tackle stressende situationer på tilfredsstillende vis. </w:t>
      </w:r>
    </w:p>
    <w:p w:rsidR="00126C78" w:rsidRPr="00126C78" w:rsidRDefault="00126C78" w:rsidP="00126C78">
      <w:pPr>
        <w:autoSpaceDE w:val="0"/>
        <w:autoSpaceDN w:val="0"/>
        <w:adjustRightInd w:val="0"/>
        <w:ind w:left="851"/>
        <w:rPr>
          <w:rFonts w:eastAsia="MS Mincho"/>
          <w:sz w:val="24"/>
          <w:szCs w:val="24"/>
        </w:rPr>
      </w:pPr>
      <w:r w:rsidRPr="00126C78">
        <w:rPr>
          <w:rFonts w:eastAsia="MS Mincho"/>
          <w:sz w:val="24"/>
        </w:rPr>
        <w:t xml:space="preserve">En kraftigt forhøjet koncentration af triglycerider er hyppigt forekommende. Det kan føre til en betydelig ændring af fedt-, kulhydrat-, protein- og mineralmetabolisme, f.eks. omfordeling af kropsfedt, forøget kropsvægt, muskelsvaghed og -nedbrydning samt </w:t>
      </w:r>
      <w:proofErr w:type="spellStart"/>
      <w:r w:rsidRPr="00126C78">
        <w:rPr>
          <w:rFonts w:eastAsia="MS Mincho"/>
          <w:sz w:val="24"/>
        </w:rPr>
        <w:t>osteoporose</w:t>
      </w:r>
      <w:proofErr w:type="spellEnd"/>
      <w:r w:rsidRPr="00126C78">
        <w:rPr>
          <w:rFonts w:eastAsia="MS Mincho"/>
          <w:sz w:val="24"/>
        </w:rPr>
        <w:t>.</w:t>
      </w:r>
    </w:p>
    <w:p w:rsidR="00126C78" w:rsidRPr="00126C78" w:rsidRDefault="00126C78" w:rsidP="00126C78">
      <w:pPr>
        <w:autoSpaceDE w:val="0"/>
        <w:autoSpaceDN w:val="0"/>
        <w:adjustRightInd w:val="0"/>
        <w:ind w:left="851"/>
        <w:rPr>
          <w:rFonts w:eastAsia="MS Mincho"/>
          <w:sz w:val="24"/>
          <w:szCs w:val="24"/>
        </w:rPr>
      </w:pPr>
      <w:r w:rsidRPr="00126C78">
        <w:rPr>
          <w:rFonts w:eastAsia="MS Mincho"/>
          <w:sz w:val="24"/>
        </w:rPr>
        <w:t xml:space="preserve">Forøgelsen af alkalisk fosfatase forårsaget af </w:t>
      </w:r>
      <w:proofErr w:type="spellStart"/>
      <w:r w:rsidRPr="00126C78">
        <w:rPr>
          <w:rFonts w:eastAsia="MS Mincho"/>
          <w:sz w:val="24"/>
        </w:rPr>
        <w:t>glokukortikoider</w:t>
      </w:r>
      <w:proofErr w:type="spellEnd"/>
      <w:r w:rsidRPr="00126C78">
        <w:rPr>
          <w:rFonts w:eastAsia="MS Mincho"/>
          <w:sz w:val="24"/>
        </w:rPr>
        <w:t xml:space="preserve"> ses sjældent og kunne være forbundet med forstørrelse af leveren (</w:t>
      </w:r>
      <w:proofErr w:type="spellStart"/>
      <w:r w:rsidRPr="00126C78">
        <w:rPr>
          <w:rFonts w:eastAsia="MS Mincho"/>
          <w:sz w:val="24"/>
        </w:rPr>
        <w:t>hepatomegali</w:t>
      </w:r>
      <w:proofErr w:type="spellEnd"/>
      <w:r w:rsidRPr="00126C78">
        <w:rPr>
          <w:rFonts w:eastAsia="MS Mincho"/>
          <w:sz w:val="24"/>
        </w:rPr>
        <w:t xml:space="preserve">) med stigning i </w:t>
      </w:r>
      <w:proofErr w:type="spellStart"/>
      <w:r w:rsidRPr="00126C78">
        <w:rPr>
          <w:rFonts w:eastAsia="MS Mincho"/>
          <w:sz w:val="24"/>
        </w:rPr>
        <w:t>hepatiske</w:t>
      </w:r>
      <w:proofErr w:type="spellEnd"/>
      <w:r w:rsidRPr="00126C78">
        <w:rPr>
          <w:rFonts w:eastAsia="MS Mincho"/>
          <w:sz w:val="24"/>
        </w:rPr>
        <w:t xml:space="preserve"> enzymer i serum.</w:t>
      </w:r>
    </w:p>
    <w:p w:rsidR="00126C78" w:rsidRPr="00126C78" w:rsidRDefault="00126C78" w:rsidP="00126C78">
      <w:pPr>
        <w:autoSpaceDE w:val="0"/>
        <w:autoSpaceDN w:val="0"/>
        <w:adjustRightInd w:val="0"/>
        <w:ind w:left="851"/>
        <w:rPr>
          <w:rFonts w:eastAsia="MS Mincho"/>
          <w:sz w:val="24"/>
          <w:szCs w:val="24"/>
        </w:rPr>
      </w:pPr>
    </w:p>
    <w:p w:rsidR="00126C78" w:rsidRPr="00126C78" w:rsidRDefault="00126C78" w:rsidP="00126C78">
      <w:pPr>
        <w:autoSpaceDE w:val="0"/>
        <w:autoSpaceDN w:val="0"/>
        <w:adjustRightInd w:val="0"/>
        <w:ind w:left="851"/>
        <w:rPr>
          <w:rFonts w:eastAsia="MS Mincho"/>
          <w:sz w:val="24"/>
          <w:szCs w:val="24"/>
        </w:rPr>
      </w:pPr>
      <w:r w:rsidRPr="00126C78">
        <w:rPr>
          <w:rFonts w:eastAsia="MS Mincho"/>
          <w:sz w:val="24"/>
        </w:rPr>
        <w:t xml:space="preserve">Der har været sjældne tilfælde af </w:t>
      </w:r>
      <w:proofErr w:type="spellStart"/>
      <w:r w:rsidRPr="00126C78">
        <w:rPr>
          <w:rFonts w:eastAsia="MS Mincho"/>
          <w:sz w:val="24"/>
        </w:rPr>
        <w:t>gastrointestinal</w:t>
      </w:r>
      <w:proofErr w:type="spellEnd"/>
      <w:r w:rsidRPr="00126C78">
        <w:rPr>
          <w:rFonts w:eastAsia="MS Mincho"/>
          <w:sz w:val="24"/>
        </w:rPr>
        <w:t xml:space="preserve"> </w:t>
      </w:r>
      <w:proofErr w:type="spellStart"/>
      <w:r w:rsidRPr="00126C78">
        <w:rPr>
          <w:rFonts w:eastAsia="MS Mincho"/>
          <w:sz w:val="24"/>
        </w:rPr>
        <w:t>ulceration</w:t>
      </w:r>
      <w:proofErr w:type="spellEnd"/>
      <w:r w:rsidRPr="00126C78">
        <w:rPr>
          <w:rFonts w:eastAsia="MS Mincho"/>
          <w:sz w:val="24"/>
        </w:rPr>
        <w:t xml:space="preserve">, og </w:t>
      </w:r>
      <w:proofErr w:type="spellStart"/>
      <w:r w:rsidRPr="00126C78">
        <w:rPr>
          <w:rFonts w:eastAsia="MS Mincho"/>
          <w:sz w:val="24"/>
        </w:rPr>
        <w:t>gastrointestinal</w:t>
      </w:r>
      <w:proofErr w:type="spellEnd"/>
      <w:r w:rsidRPr="00126C78">
        <w:rPr>
          <w:rFonts w:eastAsia="MS Mincho"/>
          <w:sz w:val="24"/>
        </w:rPr>
        <w:t xml:space="preserve"> </w:t>
      </w:r>
      <w:proofErr w:type="spellStart"/>
      <w:r w:rsidRPr="00126C78">
        <w:rPr>
          <w:rFonts w:eastAsia="MS Mincho"/>
          <w:sz w:val="24"/>
        </w:rPr>
        <w:t>ulceration</w:t>
      </w:r>
      <w:proofErr w:type="spellEnd"/>
      <w:r w:rsidRPr="00126C78">
        <w:rPr>
          <w:rFonts w:eastAsia="MS Mincho"/>
          <w:sz w:val="24"/>
        </w:rPr>
        <w:t xml:space="preserve"> kan forværres af steroider hos dyr, der får </w:t>
      </w:r>
      <w:proofErr w:type="spellStart"/>
      <w:r w:rsidRPr="00126C78">
        <w:rPr>
          <w:rFonts w:eastAsia="MS Mincho"/>
          <w:sz w:val="24"/>
        </w:rPr>
        <w:t>nonsteroide</w:t>
      </w:r>
      <w:proofErr w:type="spellEnd"/>
      <w:r w:rsidRPr="00126C78">
        <w:rPr>
          <w:rFonts w:eastAsia="MS Mincho"/>
          <w:sz w:val="24"/>
        </w:rPr>
        <w:t xml:space="preserve"> antiinflammatoriske lægemidler.</w:t>
      </w:r>
    </w:p>
    <w:p w:rsidR="00126C78" w:rsidRPr="00126C78" w:rsidRDefault="00126C78" w:rsidP="00126C78">
      <w:pPr>
        <w:autoSpaceDE w:val="0"/>
        <w:autoSpaceDN w:val="0"/>
        <w:adjustRightInd w:val="0"/>
        <w:ind w:left="851"/>
        <w:rPr>
          <w:rFonts w:eastAsia="MS Mincho"/>
          <w:sz w:val="24"/>
          <w:szCs w:val="24"/>
        </w:rPr>
      </w:pPr>
      <w:r w:rsidRPr="00126C78">
        <w:rPr>
          <w:rFonts w:eastAsia="MS Mincho"/>
          <w:sz w:val="24"/>
        </w:rPr>
        <w:t xml:space="preserve">Andre tilfælde af sjældne </w:t>
      </w:r>
      <w:proofErr w:type="spellStart"/>
      <w:r w:rsidRPr="00126C78">
        <w:rPr>
          <w:rFonts w:eastAsia="MS Mincho"/>
          <w:sz w:val="24"/>
        </w:rPr>
        <w:t>gastrointestinale</w:t>
      </w:r>
      <w:proofErr w:type="spellEnd"/>
      <w:r w:rsidRPr="00126C78">
        <w:rPr>
          <w:rFonts w:eastAsia="MS Mincho"/>
          <w:sz w:val="24"/>
        </w:rPr>
        <w:t xml:space="preserve"> symptomer er kolik og anoreksi.</w:t>
      </w:r>
    </w:p>
    <w:p w:rsidR="00126C78" w:rsidRPr="00126C78" w:rsidRDefault="00126C78" w:rsidP="00126C78">
      <w:pPr>
        <w:autoSpaceDE w:val="0"/>
        <w:autoSpaceDN w:val="0"/>
        <w:adjustRightInd w:val="0"/>
        <w:ind w:left="851"/>
        <w:rPr>
          <w:rFonts w:eastAsia="MS Mincho"/>
          <w:sz w:val="24"/>
          <w:szCs w:val="24"/>
        </w:rPr>
      </w:pPr>
      <w:r w:rsidRPr="00126C78">
        <w:rPr>
          <w:rFonts w:eastAsia="MS Mincho"/>
          <w:sz w:val="24"/>
        </w:rPr>
        <w:t xml:space="preserve">Overdreven svedproduktion er konstateret i meget sjældne tilfælde. </w:t>
      </w:r>
      <w:proofErr w:type="spellStart"/>
      <w:r w:rsidRPr="00126C78">
        <w:rPr>
          <w:rFonts w:eastAsia="MS Mincho"/>
          <w:sz w:val="24"/>
        </w:rPr>
        <w:t>Urticaria</w:t>
      </w:r>
      <w:proofErr w:type="spellEnd"/>
      <w:r w:rsidRPr="00126C78">
        <w:rPr>
          <w:rFonts w:eastAsia="MS Mincho"/>
          <w:sz w:val="24"/>
        </w:rPr>
        <w:t xml:space="preserve"> er konstateret i meget sjældne tilfælde. </w:t>
      </w:r>
    </w:p>
    <w:p w:rsidR="00126C78" w:rsidRPr="00126C78" w:rsidRDefault="00126C78" w:rsidP="00126C78">
      <w:pPr>
        <w:autoSpaceDE w:val="0"/>
        <w:autoSpaceDN w:val="0"/>
        <w:adjustRightInd w:val="0"/>
        <w:ind w:left="851"/>
        <w:rPr>
          <w:rFonts w:eastAsia="MS Mincho"/>
          <w:sz w:val="24"/>
          <w:szCs w:val="24"/>
        </w:rPr>
      </w:pPr>
    </w:p>
    <w:p w:rsidR="00126C78" w:rsidRPr="00126C78" w:rsidRDefault="00126C78" w:rsidP="00126C78">
      <w:pPr>
        <w:autoSpaceDE w:val="0"/>
        <w:autoSpaceDN w:val="0"/>
        <w:adjustRightInd w:val="0"/>
        <w:ind w:left="851"/>
        <w:rPr>
          <w:rFonts w:eastAsia="MS Mincho"/>
          <w:color w:val="000000"/>
          <w:sz w:val="24"/>
          <w:szCs w:val="24"/>
          <w:u w:val="single"/>
        </w:rPr>
      </w:pPr>
      <w:r w:rsidRPr="00126C78">
        <w:rPr>
          <w:rFonts w:eastAsia="MS Mincho"/>
          <w:color w:val="000000"/>
          <w:sz w:val="24"/>
          <w:szCs w:val="24"/>
          <w:u w:val="single"/>
        </w:rPr>
        <w:t>Hyppigheden af</w:t>
      </w:r>
      <w:r>
        <w:rPr>
          <w:rFonts w:eastAsia="MS Mincho"/>
          <w:color w:val="000000"/>
          <w:sz w:val="24"/>
          <w:szCs w:val="24"/>
          <w:u w:val="single"/>
        </w:rPr>
        <w:t xml:space="preserve"> bivirkninger er defineret som</w:t>
      </w:r>
    </w:p>
    <w:p w:rsidR="00126C78" w:rsidRPr="00126C78" w:rsidRDefault="00126C78" w:rsidP="00126C78">
      <w:pPr>
        <w:pStyle w:val="Listeafsnit"/>
        <w:numPr>
          <w:ilvl w:val="0"/>
          <w:numId w:val="4"/>
        </w:numPr>
        <w:autoSpaceDE w:val="0"/>
        <w:autoSpaceDN w:val="0"/>
        <w:adjustRightInd w:val="0"/>
        <w:ind w:left="1134" w:hanging="283"/>
        <w:rPr>
          <w:rFonts w:eastAsia="MS Mincho"/>
          <w:color w:val="000000"/>
          <w:sz w:val="24"/>
          <w:szCs w:val="24"/>
        </w:rPr>
      </w:pPr>
      <w:r w:rsidRPr="00126C78">
        <w:rPr>
          <w:rFonts w:eastAsia="MS Mincho"/>
          <w:color w:val="000000"/>
          <w:sz w:val="24"/>
          <w:szCs w:val="24"/>
        </w:rPr>
        <w:t xml:space="preserve">Meget almindelig (flere end 1 ud af 10 behandlede dyr, der viser bivirkninger i løbet af en behandling) </w:t>
      </w:r>
    </w:p>
    <w:p w:rsidR="00126C78" w:rsidRPr="00126C78" w:rsidRDefault="00126C78" w:rsidP="00126C78">
      <w:pPr>
        <w:pStyle w:val="Listeafsnit"/>
        <w:numPr>
          <w:ilvl w:val="0"/>
          <w:numId w:val="4"/>
        </w:numPr>
        <w:autoSpaceDE w:val="0"/>
        <w:autoSpaceDN w:val="0"/>
        <w:adjustRightInd w:val="0"/>
        <w:ind w:left="1134" w:hanging="283"/>
        <w:rPr>
          <w:rFonts w:eastAsia="MS Mincho"/>
          <w:color w:val="000000"/>
          <w:sz w:val="24"/>
          <w:szCs w:val="24"/>
        </w:rPr>
      </w:pPr>
      <w:r w:rsidRPr="00126C78">
        <w:rPr>
          <w:rFonts w:eastAsia="MS Mincho"/>
          <w:color w:val="000000"/>
          <w:sz w:val="24"/>
          <w:szCs w:val="24"/>
        </w:rPr>
        <w:t xml:space="preserve">Almindelig (flere end 1, men færre end 10 dyr af 100 behandlede dyr) </w:t>
      </w:r>
    </w:p>
    <w:p w:rsidR="00126C78" w:rsidRPr="00126C78" w:rsidRDefault="00126C78" w:rsidP="00126C78">
      <w:pPr>
        <w:pStyle w:val="Listeafsnit"/>
        <w:numPr>
          <w:ilvl w:val="0"/>
          <w:numId w:val="4"/>
        </w:numPr>
        <w:autoSpaceDE w:val="0"/>
        <w:autoSpaceDN w:val="0"/>
        <w:adjustRightInd w:val="0"/>
        <w:ind w:left="1134" w:hanging="283"/>
        <w:rPr>
          <w:rFonts w:eastAsia="MS Mincho"/>
          <w:color w:val="000000"/>
          <w:sz w:val="24"/>
          <w:szCs w:val="24"/>
        </w:rPr>
      </w:pPr>
      <w:r w:rsidRPr="00126C78">
        <w:rPr>
          <w:rFonts w:eastAsia="MS Mincho"/>
          <w:color w:val="000000"/>
          <w:sz w:val="24"/>
          <w:szCs w:val="24"/>
        </w:rPr>
        <w:t xml:space="preserve">Ikke almindelig (flere end 1, men færre end 10 dyr af 1.000 behandlede dyr) </w:t>
      </w:r>
    </w:p>
    <w:p w:rsidR="00126C78" w:rsidRPr="00126C78" w:rsidRDefault="00126C78" w:rsidP="00126C78">
      <w:pPr>
        <w:pStyle w:val="Listeafsnit"/>
        <w:numPr>
          <w:ilvl w:val="0"/>
          <w:numId w:val="4"/>
        </w:numPr>
        <w:autoSpaceDE w:val="0"/>
        <w:autoSpaceDN w:val="0"/>
        <w:adjustRightInd w:val="0"/>
        <w:ind w:left="1134" w:hanging="283"/>
        <w:rPr>
          <w:rFonts w:eastAsia="MS Mincho"/>
          <w:color w:val="000000"/>
          <w:sz w:val="24"/>
          <w:szCs w:val="24"/>
        </w:rPr>
      </w:pPr>
      <w:r w:rsidRPr="00126C78">
        <w:rPr>
          <w:rFonts w:eastAsia="MS Mincho"/>
          <w:color w:val="000000"/>
          <w:sz w:val="24"/>
          <w:szCs w:val="24"/>
        </w:rPr>
        <w:t xml:space="preserve">Sjælden (flere end 1, men færre end 10 dyr ud af 10.000 behandlede dyr) </w:t>
      </w:r>
    </w:p>
    <w:p w:rsidR="005B0036" w:rsidRPr="00126C78" w:rsidRDefault="00126C78" w:rsidP="00126C78">
      <w:pPr>
        <w:pStyle w:val="Listeafsnit"/>
        <w:numPr>
          <w:ilvl w:val="0"/>
          <w:numId w:val="4"/>
        </w:numPr>
        <w:ind w:left="1134" w:hanging="283"/>
        <w:rPr>
          <w:rFonts w:eastAsia="MS Mincho"/>
          <w:sz w:val="24"/>
          <w:szCs w:val="24"/>
        </w:rPr>
      </w:pPr>
      <w:r w:rsidRPr="00126C78">
        <w:rPr>
          <w:rFonts w:eastAsia="MS Mincho"/>
          <w:sz w:val="24"/>
        </w:rPr>
        <w:t>Meget sjælden (færre end 1 dyr ud af 10.000 behandlede dyr, herunder isolerede rapporter).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4.7</w:t>
      </w:r>
      <w:r w:rsidRPr="00406EE7">
        <w:rPr>
          <w:b/>
          <w:sz w:val="24"/>
          <w:szCs w:val="24"/>
        </w:rPr>
        <w:tab/>
        <w:t>Drægtighed, diegivning eller æglægning</w:t>
      </w:r>
    </w:p>
    <w:p w:rsidR="006D08C7" w:rsidRPr="006D08C7" w:rsidRDefault="006D08C7" w:rsidP="006D08C7">
      <w:pPr>
        <w:autoSpaceDE w:val="0"/>
        <w:autoSpaceDN w:val="0"/>
        <w:adjustRightInd w:val="0"/>
        <w:ind w:left="851"/>
        <w:rPr>
          <w:rFonts w:eastAsia="MS Mincho"/>
          <w:sz w:val="24"/>
          <w:szCs w:val="24"/>
        </w:rPr>
      </w:pPr>
      <w:r w:rsidRPr="006D08C7">
        <w:rPr>
          <w:rFonts w:eastAsia="MS Mincho"/>
          <w:sz w:val="24"/>
        </w:rPr>
        <w:t>Lægemidlets sikkerhed hos hopper under drægtighed og laktation er ikke fastlagt.</w:t>
      </w:r>
    </w:p>
    <w:p w:rsidR="006D08C7" w:rsidRPr="006D08C7" w:rsidRDefault="006D08C7" w:rsidP="006D08C7">
      <w:pPr>
        <w:autoSpaceDE w:val="0"/>
        <w:autoSpaceDN w:val="0"/>
        <w:adjustRightInd w:val="0"/>
        <w:ind w:left="851"/>
        <w:rPr>
          <w:rFonts w:eastAsia="MS Mincho"/>
          <w:sz w:val="24"/>
          <w:szCs w:val="24"/>
        </w:rPr>
      </w:pPr>
    </w:p>
    <w:p w:rsidR="006D08C7" w:rsidRPr="006D08C7" w:rsidRDefault="006D08C7" w:rsidP="006D08C7">
      <w:pPr>
        <w:ind w:left="851"/>
        <w:rPr>
          <w:rFonts w:eastAsia="MS Mincho"/>
          <w:sz w:val="24"/>
          <w:u w:val="single"/>
        </w:rPr>
      </w:pPr>
      <w:r w:rsidRPr="006D08C7">
        <w:rPr>
          <w:rFonts w:eastAsia="MS Mincho"/>
          <w:sz w:val="24"/>
          <w:u w:val="single"/>
        </w:rPr>
        <w:t>Drægtighed</w:t>
      </w:r>
    </w:p>
    <w:p w:rsidR="006D08C7" w:rsidRPr="006D08C7" w:rsidRDefault="006D08C7" w:rsidP="006D08C7">
      <w:pPr>
        <w:autoSpaceDE w:val="0"/>
        <w:autoSpaceDN w:val="0"/>
        <w:adjustRightInd w:val="0"/>
        <w:ind w:left="851"/>
        <w:rPr>
          <w:rFonts w:eastAsia="MS Mincho"/>
          <w:sz w:val="24"/>
          <w:szCs w:val="24"/>
        </w:rPr>
      </w:pPr>
      <w:r w:rsidRPr="006D08C7">
        <w:rPr>
          <w:rFonts w:eastAsia="MS Mincho"/>
          <w:sz w:val="24"/>
        </w:rPr>
        <w:t>Der er påvist fostermisdannelser hos forsøgsdyr ved indgivelse i begyndelsen af drægtighedsperioden.</w:t>
      </w:r>
    </w:p>
    <w:p w:rsidR="006D08C7" w:rsidRPr="006D08C7" w:rsidRDefault="006D08C7" w:rsidP="006D08C7">
      <w:pPr>
        <w:autoSpaceDE w:val="0"/>
        <w:autoSpaceDN w:val="0"/>
        <w:adjustRightInd w:val="0"/>
        <w:ind w:left="851"/>
        <w:rPr>
          <w:rFonts w:eastAsia="MS Mincho"/>
          <w:sz w:val="24"/>
          <w:szCs w:val="24"/>
        </w:rPr>
      </w:pPr>
      <w:r w:rsidRPr="006D08C7">
        <w:rPr>
          <w:rFonts w:eastAsia="MS Mincho"/>
          <w:sz w:val="24"/>
        </w:rPr>
        <w:t xml:space="preserve">Indgivelse sent i </w:t>
      </w:r>
      <w:proofErr w:type="spellStart"/>
      <w:r w:rsidRPr="006D08C7">
        <w:rPr>
          <w:rFonts w:eastAsia="MS Mincho"/>
          <w:sz w:val="24"/>
        </w:rPr>
        <w:t>dræftighedsperioden</w:t>
      </w:r>
      <w:proofErr w:type="spellEnd"/>
      <w:r w:rsidRPr="006D08C7">
        <w:rPr>
          <w:rFonts w:eastAsia="MS Mincho"/>
          <w:sz w:val="24"/>
        </w:rPr>
        <w:t xml:space="preserve"> vil typisk forårsage abort eller tidlig kælvning hos drøvtyggere og kan have lignende virkning hos andre arter.</w:t>
      </w:r>
    </w:p>
    <w:p w:rsidR="006D08C7" w:rsidRPr="006D08C7" w:rsidRDefault="006D08C7" w:rsidP="006D08C7">
      <w:pPr>
        <w:ind w:left="851"/>
        <w:rPr>
          <w:rFonts w:eastAsia="MS Mincho"/>
          <w:sz w:val="24"/>
        </w:rPr>
      </w:pPr>
      <w:r w:rsidRPr="006D08C7">
        <w:rPr>
          <w:rFonts w:eastAsia="MS Mincho"/>
          <w:sz w:val="24"/>
        </w:rPr>
        <w:t>Bør ikke anvendes under drægtighed</w:t>
      </w:r>
      <w:r w:rsidRPr="006D08C7" w:rsidDel="001E70A3">
        <w:rPr>
          <w:rFonts w:eastAsia="MS Mincho"/>
          <w:sz w:val="24"/>
        </w:rPr>
        <w:t xml:space="preserve"> </w:t>
      </w:r>
      <w:r w:rsidRPr="006D08C7">
        <w:rPr>
          <w:rFonts w:eastAsia="MS Mincho"/>
          <w:sz w:val="24"/>
        </w:rPr>
        <w:t>(se pkt. 4.3)</w:t>
      </w:r>
    </w:p>
    <w:p w:rsidR="006D08C7" w:rsidRPr="006D08C7" w:rsidRDefault="006D08C7" w:rsidP="006D08C7">
      <w:pPr>
        <w:ind w:left="851"/>
        <w:rPr>
          <w:rFonts w:eastAsia="MS Mincho"/>
          <w:sz w:val="24"/>
        </w:rPr>
      </w:pPr>
    </w:p>
    <w:p w:rsidR="006D08C7" w:rsidRPr="006D08C7" w:rsidRDefault="006D08C7" w:rsidP="006D08C7">
      <w:pPr>
        <w:ind w:left="851"/>
        <w:rPr>
          <w:rFonts w:eastAsia="MS Mincho"/>
          <w:sz w:val="24"/>
          <w:u w:val="single"/>
        </w:rPr>
      </w:pPr>
      <w:r w:rsidRPr="006D08C7">
        <w:rPr>
          <w:rFonts w:eastAsia="MS Mincho"/>
          <w:sz w:val="24"/>
          <w:u w:val="single"/>
        </w:rPr>
        <w:t>Laktation</w:t>
      </w:r>
    </w:p>
    <w:p w:rsidR="005B0036" w:rsidRPr="006D08C7" w:rsidRDefault="006D08C7" w:rsidP="006D08C7">
      <w:pPr>
        <w:ind w:left="851"/>
        <w:rPr>
          <w:rFonts w:eastAsia="MS Mincho"/>
          <w:sz w:val="24"/>
        </w:rPr>
      </w:pPr>
      <w:r w:rsidRPr="006D08C7">
        <w:rPr>
          <w:rFonts w:eastAsia="MS Mincho"/>
          <w:sz w:val="24"/>
        </w:rPr>
        <w:t>Anvendelse skal derfor ske i henhold til den ansvarlige dyrlæges vurdering af fordele/risici.</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4.8</w:t>
      </w:r>
      <w:r w:rsidRPr="00406EE7">
        <w:rPr>
          <w:b/>
          <w:sz w:val="24"/>
          <w:szCs w:val="24"/>
        </w:rPr>
        <w:tab/>
        <w:t>Interaktion med andre lægemidler og andre former for interaktion</w:t>
      </w:r>
    </w:p>
    <w:p w:rsidR="00F676E7" w:rsidRPr="00F676E7" w:rsidRDefault="00F676E7" w:rsidP="00F676E7">
      <w:pPr>
        <w:autoSpaceDE w:val="0"/>
        <w:autoSpaceDN w:val="0"/>
        <w:adjustRightInd w:val="0"/>
        <w:ind w:left="851"/>
        <w:rPr>
          <w:rFonts w:eastAsia="MS Mincho"/>
          <w:sz w:val="24"/>
          <w:szCs w:val="24"/>
        </w:rPr>
      </w:pPr>
      <w:r w:rsidRPr="00F676E7">
        <w:rPr>
          <w:rFonts w:eastAsia="MS Mincho"/>
          <w:sz w:val="24"/>
        </w:rPr>
        <w:t xml:space="preserve">Brug af dette veterinærlægemiddel samtidig med </w:t>
      </w:r>
      <w:proofErr w:type="spellStart"/>
      <w:r w:rsidRPr="00F676E7">
        <w:rPr>
          <w:rFonts w:eastAsia="MS Mincho"/>
          <w:sz w:val="24"/>
        </w:rPr>
        <w:t>nonsteroide</w:t>
      </w:r>
      <w:proofErr w:type="spellEnd"/>
      <w:r w:rsidRPr="00F676E7">
        <w:rPr>
          <w:rFonts w:eastAsia="MS Mincho"/>
          <w:sz w:val="24"/>
        </w:rPr>
        <w:t xml:space="preserve"> antiinflammatoriske lægemidler kan forværre </w:t>
      </w:r>
      <w:proofErr w:type="spellStart"/>
      <w:r w:rsidRPr="00F676E7">
        <w:rPr>
          <w:rFonts w:eastAsia="MS Mincho"/>
          <w:sz w:val="24"/>
        </w:rPr>
        <w:t>gastrointestinal</w:t>
      </w:r>
      <w:proofErr w:type="spellEnd"/>
      <w:r w:rsidRPr="00F676E7">
        <w:rPr>
          <w:rFonts w:eastAsia="MS Mincho"/>
          <w:sz w:val="24"/>
        </w:rPr>
        <w:t xml:space="preserve"> </w:t>
      </w:r>
      <w:proofErr w:type="spellStart"/>
      <w:r w:rsidRPr="00F676E7">
        <w:rPr>
          <w:rFonts w:eastAsia="MS Mincho"/>
          <w:sz w:val="24"/>
        </w:rPr>
        <w:t>ulceration</w:t>
      </w:r>
      <w:proofErr w:type="spellEnd"/>
      <w:r w:rsidRPr="00F676E7">
        <w:rPr>
          <w:rFonts w:eastAsia="MS Mincho"/>
          <w:sz w:val="24"/>
        </w:rPr>
        <w:t xml:space="preserve">. Eftersom </w:t>
      </w:r>
      <w:proofErr w:type="spellStart"/>
      <w:r w:rsidRPr="00F676E7">
        <w:rPr>
          <w:rFonts w:eastAsia="MS Mincho"/>
          <w:sz w:val="24"/>
        </w:rPr>
        <w:t>kortikosteroider</w:t>
      </w:r>
      <w:proofErr w:type="spellEnd"/>
      <w:r w:rsidRPr="00F676E7">
        <w:rPr>
          <w:rFonts w:eastAsia="MS Mincho"/>
          <w:sz w:val="24"/>
        </w:rPr>
        <w:t xml:space="preserve"> kan reducere immunrespons på vaccination, bør </w:t>
      </w:r>
      <w:proofErr w:type="spellStart"/>
      <w:r w:rsidRPr="00F676E7">
        <w:rPr>
          <w:rFonts w:eastAsia="MS Mincho"/>
          <w:sz w:val="24"/>
        </w:rPr>
        <w:t>prednisolon</w:t>
      </w:r>
      <w:proofErr w:type="spellEnd"/>
      <w:r w:rsidRPr="00F676E7">
        <w:rPr>
          <w:rFonts w:eastAsia="MS Mincho"/>
          <w:sz w:val="24"/>
        </w:rPr>
        <w:t xml:space="preserve"> ikke anvendes i kombination med vacciner eller</w:t>
      </w:r>
      <w:r>
        <w:rPr>
          <w:rFonts w:eastAsia="MS Mincho"/>
          <w:sz w:val="24"/>
        </w:rPr>
        <w:t xml:space="preserve"> </w:t>
      </w:r>
      <w:r w:rsidRPr="00F676E7">
        <w:rPr>
          <w:rFonts w:eastAsia="MS Mincho"/>
          <w:sz w:val="24"/>
        </w:rPr>
        <w:t>inden for to uger efter vaccination.</w:t>
      </w:r>
    </w:p>
    <w:p w:rsidR="00F676E7" w:rsidRPr="00F676E7" w:rsidRDefault="00F676E7" w:rsidP="00F676E7">
      <w:pPr>
        <w:autoSpaceDE w:val="0"/>
        <w:autoSpaceDN w:val="0"/>
        <w:adjustRightInd w:val="0"/>
        <w:ind w:left="851"/>
        <w:rPr>
          <w:rFonts w:eastAsia="MS Mincho"/>
          <w:sz w:val="24"/>
          <w:szCs w:val="24"/>
        </w:rPr>
      </w:pPr>
      <w:r w:rsidRPr="00F676E7">
        <w:rPr>
          <w:rFonts w:eastAsia="MS Mincho"/>
          <w:sz w:val="24"/>
        </w:rPr>
        <w:t xml:space="preserve">Indgivelse af </w:t>
      </w:r>
      <w:proofErr w:type="spellStart"/>
      <w:r w:rsidRPr="00F676E7">
        <w:rPr>
          <w:rFonts w:eastAsia="MS Mincho"/>
          <w:sz w:val="24"/>
        </w:rPr>
        <w:t>prednisolon</w:t>
      </w:r>
      <w:proofErr w:type="spellEnd"/>
      <w:r w:rsidRPr="00F676E7">
        <w:rPr>
          <w:rFonts w:eastAsia="MS Mincho"/>
          <w:sz w:val="24"/>
        </w:rPr>
        <w:t xml:space="preserve"> kan medføre </w:t>
      </w:r>
      <w:proofErr w:type="spellStart"/>
      <w:r w:rsidRPr="00F676E7">
        <w:rPr>
          <w:rFonts w:eastAsia="MS Mincho"/>
          <w:sz w:val="24"/>
        </w:rPr>
        <w:t>hypokaliæmi</w:t>
      </w:r>
      <w:proofErr w:type="spellEnd"/>
      <w:r w:rsidRPr="00F676E7">
        <w:rPr>
          <w:rFonts w:eastAsia="MS Mincho"/>
          <w:sz w:val="24"/>
        </w:rPr>
        <w:t xml:space="preserve"> og således øge risikoen for toksicitet af kardiale glykosider. Risikoen for </w:t>
      </w:r>
      <w:proofErr w:type="spellStart"/>
      <w:r w:rsidRPr="00F676E7">
        <w:rPr>
          <w:rFonts w:eastAsia="MS Mincho"/>
          <w:sz w:val="24"/>
        </w:rPr>
        <w:t>hypokaliæmi</w:t>
      </w:r>
      <w:proofErr w:type="spellEnd"/>
      <w:r w:rsidRPr="00F676E7">
        <w:rPr>
          <w:rFonts w:eastAsia="MS Mincho"/>
          <w:sz w:val="24"/>
        </w:rPr>
        <w:t xml:space="preserve"> kan øges, hvis </w:t>
      </w:r>
      <w:proofErr w:type="spellStart"/>
      <w:r w:rsidRPr="00F676E7">
        <w:rPr>
          <w:rFonts w:eastAsia="MS Mincho"/>
          <w:sz w:val="24"/>
        </w:rPr>
        <w:t>prednisolon</w:t>
      </w:r>
      <w:proofErr w:type="spellEnd"/>
      <w:r w:rsidRPr="00F676E7">
        <w:rPr>
          <w:rFonts w:eastAsia="MS Mincho"/>
          <w:sz w:val="24"/>
        </w:rPr>
        <w:t xml:space="preserve"> administreres sammen med</w:t>
      </w:r>
      <w:r>
        <w:rPr>
          <w:rFonts w:eastAsia="MS Mincho"/>
          <w:sz w:val="24"/>
        </w:rPr>
        <w:t xml:space="preserve"> </w:t>
      </w:r>
      <w:proofErr w:type="spellStart"/>
      <w:r w:rsidRPr="00F676E7">
        <w:rPr>
          <w:rFonts w:eastAsia="MS Mincho"/>
          <w:sz w:val="24"/>
        </w:rPr>
        <w:t>kaliumdepleterende</w:t>
      </w:r>
      <w:proofErr w:type="spellEnd"/>
      <w:r w:rsidRPr="00F676E7">
        <w:rPr>
          <w:rFonts w:eastAsia="MS Mincho"/>
          <w:sz w:val="24"/>
        </w:rPr>
        <w:t xml:space="preserve"> </w:t>
      </w:r>
      <w:proofErr w:type="spellStart"/>
      <w:r w:rsidRPr="00F676E7">
        <w:rPr>
          <w:rFonts w:eastAsia="MS Mincho"/>
          <w:sz w:val="24"/>
        </w:rPr>
        <w:t>diuretika</w:t>
      </w:r>
      <w:proofErr w:type="spellEnd"/>
      <w:r w:rsidRPr="00F676E7">
        <w:rPr>
          <w:rFonts w:eastAsia="MS Mincho"/>
          <w:sz w:val="24"/>
        </w:rPr>
        <w:t>.</w:t>
      </w:r>
    </w:p>
    <w:p w:rsidR="00F676E7" w:rsidRDefault="00F676E7">
      <w:pPr>
        <w:rPr>
          <w:rFonts w:eastAsia="MS Mincho"/>
          <w:sz w:val="24"/>
          <w:szCs w:val="24"/>
        </w:rPr>
      </w:pPr>
      <w:r>
        <w:rPr>
          <w:rFonts w:eastAsia="MS Mincho"/>
          <w:sz w:val="24"/>
          <w:szCs w:val="24"/>
        </w:rPr>
        <w:br w:type="page"/>
      </w:r>
    </w:p>
    <w:p w:rsidR="00F676E7" w:rsidRPr="00F676E7" w:rsidRDefault="00F676E7" w:rsidP="00F676E7">
      <w:pPr>
        <w:ind w:left="851"/>
        <w:rPr>
          <w:rFonts w:eastAsia="MS Mincho"/>
          <w:sz w:val="24"/>
          <w:szCs w:val="24"/>
        </w:rPr>
      </w:pPr>
    </w:p>
    <w:p w:rsidR="005B0036" w:rsidRPr="00406EE7" w:rsidRDefault="005B0036" w:rsidP="005B0036">
      <w:pPr>
        <w:tabs>
          <w:tab w:val="left" w:pos="851"/>
          <w:tab w:val="left" w:pos="8222"/>
        </w:tabs>
        <w:rPr>
          <w:b/>
          <w:sz w:val="24"/>
          <w:szCs w:val="24"/>
        </w:rPr>
      </w:pPr>
      <w:r w:rsidRPr="00406EE7">
        <w:rPr>
          <w:b/>
          <w:sz w:val="24"/>
          <w:szCs w:val="24"/>
        </w:rPr>
        <w:t>4.9</w:t>
      </w:r>
      <w:r w:rsidRPr="00406EE7">
        <w:rPr>
          <w:b/>
          <w:sz w:val="24"/>
          <w:szCs w:val="24"/>
        </w:rPr>
        <w:tab/>
        <w:t>Dosering og indgivelsesmåde</w:t>
      </w:r>
    </w:p>
    <w:p w:rsidR="000832C8" w:rsidRPr="000832C8" w:rsidRDefault="000832C8" w:rsidP="000832C8">
      <w:pPr>
        <w:autoSpaceDE w:val="0"/>
        <w:autoSpaceDN w:val="0"/>
        <w:adjustRightInd w:val="0"/>
        <w:ind w:left="851"/>
        <w:rPr>
          <w:rFonts w:eastAsia="MS Mincho"/>
          <w:sz w:val="24"/>
          <w:szCs w:val="24"/>
        </w:rPr>
      </w:pPr>
      <w:r w:rsidRPr="000832C8">
        <w:rPr>
          <w:rFonts w:eastAsia="MS Mincho"/>
          <w:sz w:val="24"/>
        </w:rPr>
        <w:t>Til oral anvendelse.</w:t>
      </w:r>
    </w:p>
    <w:p w:rsidR="000832C8" w:rsidRPr="000832C8" w:rsidRDefault="000832C8" w:rsidP="000832C8">
      <w:pPr>
        <w:autoSpaceDE w:val="0"/>
        <w:autoSpaceDN w:val="0"/>
        <w:adjustRightInd w:val="0"/>
        <w:ind w:left="851"/>
        <w:rPr>
          <w:rFonts w:eastAsia="MS Mincho"/>
          <w:sz w:val="24"/>
          <w:szCs w:val="24"/>
        </w:rPr>
      </w:pPr>
      <w:r w:rsidRPr="000832C8">
        <w:rPr>
          <w:rFonts w:eastAsia="MS Mincho"/>
          <w:sz w:val="24"/>
        </w:rPr>
        <w:t>Produktet bør iblandes små mængder foder.</w:t>
      </w:r>
    </w:p>
    <w:p w:rsidR="000832C8" w:rsidRPr="000832C8" w:rsidRDefault="000832C8" w:rsidP="000832C8">
      <w:pPr>
        <w:autoSpaceDE w:val="0"/>
        <w:autoSpaceDN w:val="0"/>
        <w:adjustRightInd w:val="0"/>
        <w:ind w:left="851"/>
        <w:rPr>
          <w:rFonts w:eastAsia="MS Mincho"/>
          <w:sz w:val="24"/>
          <w:szCs w:val="24"/>
        </w:rPr>
      </w:pPr>
      <w:r w:rsidRPr="000832C8">
        <w:rPr>
          <w:rFonts w:eastAsia="MS Mincho"/>
          <w:sz w:val="24"/>
        </w:rPr>
        <w:t xml:space="preserve">For at opnå den korrekte dosis bør kropsvægten fastlægges så nøjagtigt som </w:t>
      </w:r>
    </w:p>
    <w:p w:rsidR="000832C8" w:rsidRPr="000832C8" w:rsidRDefault="000832C8" w:rsidP="000832C8">
      <w:pPr>
        <w:autoSpaceDE w:val="0"/>
        <w:autoSpaceDN w:val="0"/>
        <w:adjustRightInd w:val="0"/>
        <w:ind w:left="851"/>
        <w:rPr>
          <w:rFonts w:eastAsia="MS Mincho"/>
          <w:sz w:val="24"/>
          <w:szCs w:val="24"/>
        </w:rPr>
      </w:pPr>
      <w:proofErr w:type="gramStart"/>
      <w:r w:rsidRPr="000832C8">
        <w:rPr>
          <w:rFonts w:eastAsia="MS Mincho"/>
          <w:sz w:val="24"/>
        </w:rPr>
        <w:t>muligt</w:t>
      </w:r>
      <w:proofErr w:type="gramEnd"/>
      <w:r w:rsidRPr="000832C8">
        <w:rPr>
          <w:rFonts w:eastAsia="MS Mincho"/>
          <w:sz w:val="24"/>
        </w:rPr>
        <w:t>, så under- eller overdosering undgås. Tabletterne kan deles langs delekærven for at muliggøre en nøjagtig dosering.</w:t>
      </w:r>
    </w:p>
    <w:p w:rsidR="000832C8" w:rsidRPr="000832C8" w:rsidRDefault="000832C8" w:rsidP="000832C8">
      <w:pPr>
        <w:autoSpaceDE w:val="0"/>
        <w:autoSpaceDN w:val="0"/>
        <w:adjustRightInd w:val="0"/>
        <w:ind w:left="851"/>
        <w:rPr>
          <w:rFonts w:eastAsia="MS Mincho"/>
          <w:sz w:val="24"/>
          <w:szCs w:val="24"/>
        </w:rPr>
      </w:pPr>
      <w:r w:rsidRPr="000832C8">
        <w:rPr>
          <w:rFonts w:eastAsia="MS Mincho"/>
          <w:sz w:val="24"/>
        </w:rPr>
        <w:t xml:space="preserve">En enkelt dosis på 1 mg </w:t>
      </w:r>
      <w:proofErr w:type="spellStart"/>
      <w:r w:rsidRPr="000832C8">
        <w:rPr>
          <w:rFonts w:eastAsia="MS Mincho"/>
          <w:sz w:val="24"/>
        </w:rPr>
        <w:t>prednisol</w:t>
      </w:r>
      <w:proofErr w:type="spellEnd"/>
      <w:r w:rsidRPr="000832C8">
        <w:rPr>
          <w:rFonts w:eastAsia="MS Mincho"/>
          <w:sz w:val="24"/>
        </w:rPr>
        <w:t>/kg kropsvægt pr. dag svarende til 2 tabletter pr. 100 kg kropsvægt.</w:t>
      </w:r>
    </w:p>
    <w:p w:rsidR="000832C8" w:rsidRPr="000832C8" w:rsidRDefault="000832C8" w:rsidP="000832C8">
      <w:pPr>
        <w:autoSpaceDE w:val="0"/>
        <w:autoSpaceDN w:val="0"/>
        <w:adjustRightInd w:val="0"/>
        <w:ind w:left="851"/>
        <w:rPr>
          <w:rFonts w:eastAsia="MS Mincho"/>
          <w:sz w:val="24"/>
          <w:szCs w:val="24"/>
        </w:rPr>
      </w:pPr>
      <w:r w:rsidRPr="000832C8">
        <w:rPr>
          <w:rFonts w:eastAsia="MS Mincho"/>
          <w:sz w:val="24"/>
        </w:rPr>
        <w:t>Behandling kan gentages med 24 timers intervaller i 10 på hinanden følgende dage.</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4.10</w:t>
      </w:r>
      <w:r w:rsidRPr="00406EE7">
        <w:rPr>
          <w:b/>
          <w:sz w:val="24"/>
          <w:szCs w:val="24"/>
        </w:rPr>
        <w:tab/>
        <w:t>Overdosering</w:t>
      </w:r>
    </w:p>
    <w:p w:rsidR="00BA6CFB" w:rsidRPr="00BA6CFB" w:rsidRDefault="00BA6CFB" w:rsidP="00BA6CFB">
      <w:pPr>
        <w:ind w:left="851"/>
        <w:rPr>
          <w:rFonts w:eastAsia="MS Mincho"/>
          <w:sz w:val="24"/>
          <w:szCs w:val="24"/>
        </w:rPr>
      </w:pPr>
      <w:r w:rsidRPr="00BA6CFB">
        <w:rPr>
          <w:rFonts w:eastAsia="MS Mincho"/>
          <w:sz w:val="24"/>
        </w:rPr>
        <w:t>En overdosis kan medføre sløvhed hos heste.</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4.11</w:t>
      </w:r>
      <w:r w:rsidRPr="00406EE7">
        <w:rPr>
          <w:b/>
          <w:sz w:val="24"/>
          <w:szCs w:val="24"/>
        </w:rPr>
        <w:tab/>
        <w:t>Tilbageholdelsestid</w:t>
      </w:r>
    </w:p>
    <w:p w:rsidR="00BA6CFB" w:rsidRPr="00BA6CFB" w:rsidRDefault="00BA6CFB" w:rsidP="00BA6CFB">
      <w:pPr>
        <w:autoSpaceDE w:val="0"/>
        <w:autoSpaceDN w:val="0"/>
        <w:adjustRightInd w:val="0"/>
        <w:ind w:left="851"/>
        <w:rPr>
          <w:rFonts w:eastAsia="MS Mincho"/>
          <w:sz w:val="24"/>
          <w:szCs w:val="24"/>
        </w:rPr>
      </w:pPr>
      <w:r w:rsidRPr="00BA6CFB">
        <w:rPr>
          <w:rFonts w:eastAsia="MS Mincho"/>
          <w:sz w:val="24"/>
        </w:rPr>
        <w:t>Slagtning: 10 dage.</w:t>
      </w:r>
    </w:p>
    <w:p w:rsidR="005B0036" w:rsidRPr="00BA6CFB" w:rsidRDefault="00BA6CFB" w:rsidP="00BA6CFB">
      <w:pPr>
        <w:ind w:left="851"/>
        <w:rPr>
          <w:rFonts w:eastAsia="MS Mincho"/>
          <w:sz w:val="24"/>
          <w:szCs w:val="24"/>
        </w:rPr>
      </w:pPr>
      <w:r w:rsidRPr="00BA6CFB">
        <w:rPr>
          <w:rFonts w:eastAsia="MS Mincho"/>
          <w:sz w:val="24"/>
        </w:rPr>
        <w:t>Må ikke anvendes til hopper, hvis mælk er bestemt til menneskeføde.</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ind w:left="851"/>
        <w:rPr>
          <w:sz w:val="24"/>
          <w:szCs w:val="24"/>
        </w:rPr>
      </w:pPr>
    </w:p>
    <w:p w:rsidR="005B0036" w:rsidRPr="00F31EAE" w:rsidRDefault="005B0036" w:rsidP="005B0036">
      <w:pPr>
        <w:tabs>
          <w:tab w:val="left" w:pos="8222"/>
        </w:tabs>
        <w:ind w:left="851" w:hanging="851"/>
        <w:rPr>
          <w:b/>
          <w:sz w:val="24"/>
          <w:szCs w:val="24"/>
        </w:rPr>
      </w:pPr>
      <w:r w:rsidRPr="00F31EAE">
        <w:rPr>
          <w:b/>
          <w:sz w:val="24"/>
          <w:szCs w:val="24"/>
        </w:rPr>
        <w:t>5.</w:t>
      </w:r>
      <w:r w:rsidRPr="00F31EAE">
        <w:rPr>
          <w:b/>
          <w:sz w:val="24"/>
          <w:szCs w:val="24"/>
        </w:rPr>
        <w:tab/>
        <w:t>FARMAKOLOGISKE EGENSKABER</w:t>
      </w:r>
    </w:p>
    <w:p w:rsidR="005B0036" w:rsidRPr="00F31EAE" w:rsidRDefault="005B0036" w:rsidP="005B0036">
      <w:pPr>
        <w:tabs>
          <w:tab w:val="left" w:pos="8222"/>
        </w:tabs>
        <w:ind w:left="851"/>
        <w:rPr>
          <w:sz w:val="24"/>
          <w:szCs w:val="24"/>
        </w:rPr>
      </w:pPr>
    </w:p>
    <w:p w:rsidR="00F31EAE" w:rsidRPr="00F31EAE" w:rsidRDefault="00F31EAE" w:rsidP="00F31EAE">
      <w:pPr>
        <w:autoSpaceDE w:val="0"/>
        <w:autoSpaceDN w:val="0"/>
        <w:adjustRightInd w:val="0"/>
        <w:ind w:left="851"/>
        <w:rPr>
          <w:rFonts w:eastAsia="MS Mincho"/>
          <w:sz w:val="24"/>
          <w:szCs w:val="24"/>
        </w:rPr>
      </w:pPr>
      <w:proofErr w:type="spellStart"/>
      <w:r w:rsidRPr="00F31EAE">
        <w:rPr>
          <w:rFonts w:eastAsia="MS Mincho"/>
          <w:sz w:val="24"/>
        </w:rPr>
        <w:t>Farmakoterapeutisk</w:t>
      </w:r>
      <w:proofErr w:type="spellEnd"/>
      <w:r w:rsidRPr="00F31EAE">
        <w:rPr>
          <w:rFonts w:eastAsia="MS Mincho"/>
          <w:sz w:val="24"/>
        </w:rPr>
        <w:t xml:space="preserve"> gruppe: </w:t>
      </w:r>
      <w:proofErr w:type="spellStart"/>
      <w:r w:rsidRPr="00F31EAE">
        <w:rPr>
          <w:rFonts w:eastAsia="MS Mincho"/>
          <w:sz w:val="24"/>
        </w:rPr>
        <w:t>Kortikosteroider</w:t>
      </w:r>
      <w:proofErr w:type="spellEnd"/>
      <w:r w:rsidRPr="00F31EAE">
        <w:rPr>
          <w:rFonts w:eastAsia="MS Mincho"/>
          <w:sz w:val="24"/>
        </w:rPr>
        <w:t xml:space="preserve"> til systemisk brug, </w:t>
      </w:r>
      <w:proofErr w:type="spellStart"/>
      <w:r w:rsidRPr="00F31EAE">
        <w:rPr>
          <w:rFonts w:eastAsia="MS Mincho"/>
          <w:sz w:val="24"/>
        </w:rPr>
        <w:t>glukokortikoid</w:t>
      </w:r>
      <w:proofErr w:type="spellEnd"/>
      <w:r w:rsidRPr="00F31EAE">
        <w:rPr>
          <w:rFonts w:eastAsia="MS Mincho"/>
          <w:sz w:val="24"/>
        </w:rPr>
        <w:t xml:space="preserve">, </w:t>
      </w:r>
      <w:proofErr w:type="spellStart"/>
      <w:r w:rsidRPr="00F31EAE">
        <w:rPr>
          <w:rFonts w:eastAsia="MS Mincho"/>
          <w:sz w:val="24"/>
        </w:rPr>
        <w:t>prednisolon</w:t>
      </w:r>
      <w:proofErr w:type="spellEnd"/>
      <w:r w:rsidRPr="00F31EAE">
        <w:rPr>
          <w:rFonts w:eastAsia="MS Mincho"/>
          <w:sz w:val="24"/>
        </w:rPr>
        <w:t>.</w:t>
      </w:r>
    </w:p>
    <w:p w:rsidR="005B0036" w:rsidRPr="00F31EAE" w:rsidRDefault="00F31EAE" w:rsidP="00F31EAE">
      <w:pPr>
        <w:ind w:left="851"/>
        <w:rPr>
          <w:sz w:val="24"/>
          <w:szCs w:val="24"/>
        </w:rPr>
      </w:pPr>
      <w:proofErr w:type="spellStart"/>
      <w:r w:rsidRPr="00F31EAE">
        <w:rPr>
          <w:rFonts w:eastAsia="MS Mincho"/>
          <w:sz w:val="24"/>
        </w:rPr>
        <w:t>ATCvet</w:t>
      </w:r>
      <w:proofErr w:type="spellEnd"/>
      <w:r w:rsidRPr="00F31EAE">
        <w:rPr>
          <w:rFonts w:eastAsia="MS Mincho"/>
          <w:sz w:val="24"/>
        </w:rPr>
        <w:t>-kode: QH</w:t>
      </w:r>
      <w:r>
        <w:rPr>
          <w:rFonts w:eastAsia="MS Mincho"/>
          <w:sz w:val="24"/>
        </w:rPr>
        <w:t xml:space="preserve"> </w:t>
      </w:r>
      <w:r w:rsidRPr="00F31EAE">
        <w:rPr>
          <w:rFonts w:eastAsia="MS Mincho"/>
          <w:sz w:val="24"/>
        </w:rPr>
        <w:t>02</w:t>
      </w:r>
      <w:r>
        <w:rPr>
          <w:rFonts w:eastAsia="MS Mincho"/>
          <w:sz w:val="24"/>
        </w:rPr>
        <w:t xml:space="preserve"> </w:t>
      </w:r>
      <w:r w:rsidRPr="00F31EAE">
        <w:rPr>
          <w:rFonts w:eastAsia="MS Mincho"/>
          <w:sz w:val="24"/>
        </w:rPr>
        <w:t>AB</w:t>
      </w:r>
      <w:r>
        <w:rPr>
          <w:rFonts w:eastAsia="MS Mincho"/>
          <w:sz w:val="24"/>
        </w:rPr>
        <w:t xml:space="preserve"> </w:t>
      </w:r>
      <w:r w:rsidRPr="00F31EAE">
        <w:rPr>
          <w:rFonts w:eastAsia="MS Mincho"/>
          <w:sz w:val="24"/>
        </w:rPr>
        <w:t>06</w:t>
      </w:r>
      <w:r>
        <w:rPr>
          <w:rFonts w:eastAsia="MS Mincho"/>
          <w:sz w:val="24"/>
        </w:rPr>
        <w:t>.</w:t>
      </w:r>
      <w:r w:rsidRPr="00F31EAE">
        <w:rPr>
          <w:sz w:val="24"/>
          <w:szCs w:val="24"/>
        </w:rPr>
        <w:t xml:space="preserve"> </w:t>
      </w:r>
    </w:p>
    <w:p w:rsidR="005B0036" w:rsidRPr="00F31EAE" w:rsidRDefault="005B0036" w:rsidP="005B0036">
      <w:pPr>
        <w:tabs>
          <w:tab w:val="left" w:pos="8222"/>
        </w:tabs>
        <w:ind w:left="851"/>
        <w:rPr>
          <w:sz w:val="24"/>
          <w:szCs w:val="24"/>
        </w:rPr>
      </w:pPr>
    </w:p>
    <w:p w:rsidR="005B0036" w:rsidRPr="00F31EAE" w:rsidRDefault="005B0036" w:rsidP="005B0036">
      <w:pPr>
        <w:tabs>
          <w:tab w:val="left" w:pos="851"/>
          <w:tab w:val="left" w:pos="8222"/>
        </w:tabs>
        <w:rPr>
          <w:b/>
          <w:sz w:val="24"/>
          <w:szCs w:val="24"/>
        </w:rPr>
      </w:pPr>
      <w:r w:rsidRPr="00F31EAE">
        <w:rPr>
          <w:b/>
          <w:sz w:val="24"/>
          <w:szCs w:val="24"/>
        </w:rPr>
        <w:t>5.1</w:t>
      </w:r>
      <w:r w:rsidRPr="00F31EAE">
        <w:rPr>
          <w:b/>
          <w:sz w:val="24"/>
          <w:szCs w:val="24"/>
        </w:rPr>
        <w:tab/>
      </w:r>
      <w:proofErr w:type="spellStart"/>
      <w:r w:rsidRPr="00F31EAE">
        <w:rPr>
          <w:b/>
          <w:sz w:val="24"/>
          <w:szCs w:val="24"/>
        </w:rPr>
        <w:t>Farmakodynamiske</w:t>
      </w:r>
      <w:proofErr w:type="spellEnd"/>
      <w:r w:rsidRPr="00F31EAE">
        <w:rPr>
          <w:b/>
          <w:sz w:val="24"/>
          <w:szCs w:val="24"/>
        </w:rPr>
        <w:t xml:space="preserve"> egenskaber</w:t>
      </w:r>
    </w:p>
    <w:p w:rsidR="003B0798" w:rsidRPr="003B0798" w:rsidRDefault="003B0798" w:rsidP="003B0798">
      <w:pPr>
        <w:autoSpaceDE w:val="0"/>
        <w:autoSpaceDN w:val="0"/>
        <w:adjustRightInd w:val="0"/>
        <w:ind w:left="851"/>
        <w:rPr>
          <w:rFonts w:eastAsia="MS Mincho"/>
          <w:sz w:val="24"/>
          <w:szCs w:val="24"/>
        </w:rPr>
      </w:pPr>
      <w:proofErr w:type="spellStart"/>
      <w:r w:rsidRPr="003B0798">
        <w:rPr>
          <w:rFonts w:eastAsia="MS Mincho"/>
          <w:sz w:val="24"/>
        </w:rPr>
        <w:t>Prednisolon</w:t>
      </w:r>
      <w:proofErr w:type="spellEnd"/>
      <w:r w:rsidRPr="003B0798">
        <w:rPr>
          <w:rFonts w:eastAsia="MS Mincho"/>
          <w:sz w:val="24"/>
        </w:rPr>
        <w:t xml:space="preserve"> er et </w:t>
      </w:r>
      <w:proofErr w:type="spellStart"/>
      <w:r w:rsidRPr="003B0798">
        <w:rPr>
          <w:rFonts w:eastAsia="MS Mincho"/>
          <w:sz w:val="24"/>
        </w:rPr>
        <w:t>kortikosteroid</w:t>
      </w:r>
      <w:proofErr w:type="spellEnd"/>
      <w:r w:rsidRPr="003B0798">
        <w:rPr>
          <w:rFonts w:eastAsia="MS Mincho"/>
          <w:sz w:val="24"/>
        </w:rPr>
        <w:t xml:space="preserve"> med mellemlang virkning. Dets antiinflammatoriske virkning er ca. 4 gange virkningen af </w:t>
      </w:r>
      <w:proofErr w:type="spellStart"/>
      <w:r w:rsidRPr="003B0798">
        <w:rPr>
          <w:rFonts w:eastAsia="MS Mincho"/>
          <w:sz w:val="24"/>
        </w:rPr>
        <w:t>kortisol</w:t>
      </w:r>
      <w:proofErr w:type="spellEnd"/>
      <w:r w:rsidRPr="003B0798">
        <w:rPr>
          <w:rFonts w:eastAsia="MS Mincho"/>
          <w:sz w:val="24"/>
        </w:rPr>
        <w:t xml:space="preserve">, mens dets natriumretentionsvirkning er 0,8 gange virkningen af </w:t>
      </w:r>
      <w:proofErr w:type="spellStart"/>
      <w:r w:rsidRPr="003B0798">
        <w:rPr>
          <w:rFonts w:eastAsia="MS Mincho"/>
          <w:sz w:val="24"/>
        </w:rPr>
        <w:t>kortisol</w:t>
      </w:r>
      <w:proofErr w:type="spellEnd"/>
      <w:r w:rsidRPr="003B0798">
        <w:rPr>
          <w:rFonts w:eastAsia="MS Mincho"/>
          <w:sz w:val="24"/>
        </w:rPr>
        <w:t xml:space="preserve">. </w:t>
      </w:r>
      <w:proofErr w:type="spellStart"/>
      <w:r w:rsidRPr="003B0798">
        <w:rPr>
          <w:rFonts w:eastAsia="MS Mincho"/>
          <w:sz w:val="24"/>
        </w:rPr>
        <w:t>Kortikosteroider</w:t>
      </w:r>
      <w:proofErr w:type="spellEnd"/>
      <w:r w:rsidRPr="003B0798">
        <w:rPr>
          <w:rFonts w:eastAsia="MS Mincho"/>
          <w:sz w:val="24"/>
        </w:rPr>
        <w:t xml:space="preserve"> undertrykker immunresponsen ved at hæmme dilatation af kapillærerne, migration og funktion af leukocytter samt fagocytose. </w:t>
      </w:r>
      <w:proofErr w:type="spellStart"/>
      <w:r w:rsidRPr="003B0798">
        <w:rPr>
          <w:rFonts w:eastAsia="MS Mincho"/>
          <w:sz w:val="24"/>
        </w:rPr>
        <w:t>Glukokortikoider</w:t>
      </w:r>
      <w:proofErr w:type="spellEnd"/>
      <w:r w:rsidRPr="003B0798">
        <w:rPr>
          <w:rFonts w:eastAsia="MS Mincho"/>
          <w:sz w:val="24"/>
        </w:rPr>
        <w:t xml:space="preserve"> indvirker på metabolismen ved at øge </w:t>
      </w:r>
      <w:proofErr w:type="spellStart"/>
      <w:r w:rsidRPr="003B0798">
        <w:rPr>
          <w:rFonts w:eastAsia="MS Mincho"/>
          <w:sz w:val="24"/>
        </w:rPr>
        <w:t>glukoneogenesen</w:t>
      </w:r>
      <w:proofErr w:type="spellEnd"/>
      <w:r w:rsidRPr="003B0798">
        <w:rPr>
          <w:rFonts w:eastAsia="MS Mincho"/>
          <w:sz w:val="24"/>
        </w:rPr>
        <w:t>.</w:t>
      </w:r>
    </w:p>
    <w:p w:rsidR="005B0036" w:rsidRPr="003B0798" w:rsidRDefault="003B0798" w:rsidP="003B0798">
      <w:pPr>
        <w:autoSpaceDE w:val="0"/>
        <w:autoSpaceDN w:val="0"/>
        <w:adjustRightInd w:val="0"/>
        <w:ind w:left="851"/>
        <w:rPr>
          <w:rFonts w:eastAsia="MS Mincho"/>
          <w:sz w:val="24"/>
          <w:szCs w:val="24"/>
        </w:rPr>
      </w:pPr>
      <w:r w:rsidRPr="003B0798">
        <w:rPr>
          <w:rFonts w:eastAsia="MS Mincho"/>
          <w:sz w:val="24"/>
        </w:rPr>
        <w:t xml:space="preserve">Hvis der kræves medicinsk behandling af heste med RAO (svær astma), er </w:t>
      </w:r>
      <w:proofErr w:type="spellStart"/>
      <w:r w:rsidRPr="003B0798">
        <w:rPr>
          <w:rFonts w:eastAsia="MS Mincho"/>
          <w:sz w:val="24"/>
        </w:rPr>
        <w:t>glukokortikoider</w:t>
      </w:r>
      <w:proofErr w:type="spellEnd"/>
      <w:r w:rsidRPr="003B0798">
        <w:rPr>
          <w:rFonts w:eastAsia="MS Mincho"/>
          <w:sz w:val="24"/>
        </w:rPr>
        <w:t xml:space="preserve"> effektive til at kontrollere kliniske tegn og reducere </w:t>
      </w:r>
      <w:proofErr w:type="spellStart"/>
      <w:r w:rsidRPr="003B0798">
        <w:rPr>
          <w:rFonts w:eastAsia="MS Mincho"/>
          <w:sz w:val="24"/>
        </w:rPr>
        <w:t>neutrofili</w:t>
      </w:r>
      <w:proofErr w:type="spellEnd"/>
      <w:r w:rsidRPr="003B0798">
        <w:rPr>
          <w:rFonts w:eastAsia="MS Mincho"/>
          <w:sz w:val="24"/>
        </w:rPr>
        <w:t xml:space="preserve"> i luftvejene.</w:t>
      </w:r>
    </w:p>
    <w:p w:rsidR="005B0036" w:rsidRPr="00F31EAE" w:rsidRDefault="005B0036" w:rsidP="005B0036">
      <w:pPr>
        <w:tabs>
          <w:tab w:val="left" w:pos="851"/>
          <w:tab w:val="left" w:pos="8222"/>
        </w:tabs>
        <w:ind w:left="851"/>
        <w:rPr>
          <w:sz w:val="24"/>
          <w:szCs w:val="24"/>
        </w:rPr>
      </w:pPr>
    </w:p>
    <w:p w:rsidR="005B0036" w:rsidRPr="00F31EAE" w:rsidRDefault="005B0036" w:rsidP="005B0036">
      <w:pPr>
        <w:tabs>
          <w:tab w:val="left" w:pos="851"/>
          <w:tab w:val="left" w:pos="8222"/>
        </w:tabs>
        <w:rPr>
          <w:b/>
          <w:sz w:val="24"/>
          <w:szCs w:val="24"/>
        </w:rPr>
      </w:pPr>
      <w:r w:rsidRPr="00F31EAE">
        <w:rPr>
          <w:b/>
          <w:sz w:val="24"/>
          <w:szCs w:val="24"/>
        </w:rPr>
        <w:t>5.2</w:t>
      </w:r>
      <w:r w:rsidRPr="00F31EAE">
        <w:rPr>
          <w:b/>
          <w:sz w:val="24"/>
          <w:szCs w:val="24"/>
        </w:rPr>
        <w:tab/>
      </w:r>
      <w:proofErr w:type="spellStart"/>
      <w:r w:rsidRPr="00F31EAE">
        <w:rPr>
          <w:b/>
          <w:sz w:val="24"/>
          <w:szCs w:val="24"/>
        </w:rPr>
        <w:t>Farmakokinetiske</w:t>
      </w:r>
      <w:proofErr w:type="spellEnd"/>
      <w:r w:rsidRPr="00F31EAE">
        <w:rPr>
          <w:b/>
          <w:sz w:val="24"/>
          <w:szCs w:val="24"/>
        </w:rPr>
        <w:t xml:space="preserve"> egenskaber</w:t>
      </w:r>
    </w:p>
    <w:p w:rsidR="00B40886" w:rsidRPr="00B40886" w:rsidRDefault="00B40886" w:rsidP="00B40886">
      <w:pPr>
        <w:autoSpaceDE w:val="0"/>
        <w:autoSpaceDN w:val="0"/>
        <w:adjustRightInd w:val="0"/>
        <w:ind w:left="851"/>
        <w:rPr>
          <w:rFonts w:eastAsia="MS Mincho"/>
          <w:sz w:val="24"/>
          <w:szCs w:val="24"/>
        </w:rPr>
      </w:pPr>
      <w:r w:rsidRPr="00B40886">
        <w:rPr>
          <w:rFonts w:eastAsia="MS Mincho"/>
          <w:sz w:val="24"/>
        </w:rPr>
        <w:t xml:space="preserve">Efter oral administration til heste absorberes </w:t>
      </w:r>
      <w:proofErr w:type="spellStart"/>
      <w:r w:rsidRPr="00B40886">
        <w:rPr>
          <w:rFonts w:eastAsia="MS Mincho"/>
          <w:sz w:val="24"/>
        </w:rPr>
        <w:t>prednisolon</w:t>
      </w:r>
      <w:proofErr w:type="spellEnd"/>
      <w:r w:rsidRPr="00B40886">
        <w:rPr>
          <w:rFonts w:eastAsia="MS Mincho"/>
          <w:sz w:val="24"/>
        </w:rPr>
        <w:t xml:space="preserve"> hurtigt og giver en hurtig respons, der holder sig i ca. 24 timer. Den totale gennemsnitlige </w:t>
      </w:r>
      <w:proofErr w:type="spellStart"/>
      <w:r w:rsidRPr="00B40886">
        <w:rPr>
          <w:rFonts w:eastAsia="MS Mincho"/>
          <w:sz w:val="24"/>
        </w:rPr>
        <w:t>T</w:t>
      </w:r>
      <w:r w:rsidRPr="00B40886">
        <w:rPr>
          <w:rFonts w:eastAsia="MS Mincho"/>
          <w:sz w:val="24"/>
          <w:szCs w:val="24"/>
          <w:vertAlign w:val="subscript"/>
        </w:rPr>
        <w:t>max</w:t>
      </w:r>
      <w:proofErr w:type="spellEnd"/>
      <w:r w:rsidRPr="00B40886">
        <w:rPr>
          <w:rFonts w:eastAsia="MS Mincho"/>
          <w:sz w:val="24"/>
        </w:rPr>
        <w:t xml:space="preserve"> er 2,5 ± 3,1 timer, </w:t>
      </w:r>
      <w:proofErr w:type="spellStart"/>
      <w:r w:rsidRPr="00B40886">
        <w:rPr>
          <w:rFonts w:eastAsia="MS Mincho"/>
          <w:sz w:val="24"/>
        </w:rPr>
        <w:t>C</w:t>
      </w:r>
      <w:r w:rsidRPr="00B40886">
        <w:rPr>
          <w:rFonts w:eastAsia="MS Mincho"/>
          <w:sz w:val="24"/>
          <w:szCs w:val="24"/>
          <w:vertAlign w:val="subscript"/>
        </w:rPr>
        <w:t>max</w:t>
      </w:r>
      <w:proofErr w:type="spellEnd"/>
      <w:r w:rsidRPr="00B40886">
        <w:rPr>
          <w:rFonts w:eastAsia="MS Mincho"/>
          <w:sz w:val="24"/>
        </w:rPr>
        <w:t xml:space="preserve"> er 237 ± 154 </w:t>
      </w:r>
      <w:proofErr w:type="spellStart"/>
      <w:r w:rsidRPr="00B40886">
        <w:rPr>
          <w:rFonts w:eastAsia="MS Mincho"/>
          <w:sz w:val="24"/>
        </w:rPr>
        <w:t>ng</w:t>
      </w:r>
      <w:proofErr w:type="spellEnd"/>
      <w:r w:rsidRPr="00B40886">
        <w:rPr>
          <w:rFonts w:eastAsia="MS Mincho"/>
          <w:sz w:val="24"/>
        </w:rPr>
        <w:t xml:space="preserve">/ml og </w:t>
      </w:r>
      <w:proofErr w:type="spellStart"/>
      <w:r w:rsidRPr="00B40886">
        <w:rPr>
          <w:rFonts w:eastAsia="MS Mincho"/>
          <w:sz w:val="24"/>
        </w:rPr>
        <w:t>AUC</w:t>
      </w:r>
      <w:r w:rsidRPr="00B40886">
        <w:rPr>
          <w:rFonts w:eastAsia="MS Mincho"/>
          <w:sz w:val="24"/>
          <w:szCs w:val="24"/>
          <w:vertAlign w:val="subscript"/>
        </w:rPr>
        <w:t>t</w:t>
      </w:r>
      <w:proofErr w:type="spellEnd"/>
      <w:r w:rsidRPr="00B40886">
        <w:rPr>
          <w:rFonts w:eastAsia="MS Mincho"/>
          <w:sz w:val="24"/>
        </w:rPr>
        <w:t xml:space="preserve"> er 989 ± 234 </w:t>
      </w:r>
      <w:proofErr w:type="spellStart"/>
      <w:r w:rsidRPr="00B40886">
        <w:rPr>
          <w:rFonts w:eastAsia="MS Mincho"/>
          <w:sz w:val="24"/>
        </w:rPr>
        <w:t>ng·h</w:t>
      </w:r>
      <w:proofErr w:type="spellEnd"/>
      <w:r w:rsidRPr="00B40886">
        <w:rPr>
          <w:rFonts w:eastAsia="MS Mincho"/>
          <w:sz w:val="24"/>
        </w:rPr>
        <w:t>/ml. T</w:t>
      </w:r>
      <w:r w:rsidRPr="00B40886">
        <w:rPr>
          <w:rFonts w:eastAsia="MS Mincho"/>
          <w:sz w:val="24"/>
          <w:szCs w:val="24"/>
          <w:vertAlign w:val="subscript"/>
        </w:rPr>
        <w:t xml:space="preserve">1/2 </w:t>
      </w:r>
      <w:r w:rsidRPr="00B40886">
        <w:rPr>
          <w:rFonts w:eastAsia="MS Mincho"/>
          <w:sz w:val="24"/>
        </w:rPr>
        <w:t xml:space="preserve">er 3,1 ± 2,3 timer. </w:t>
      </w:r>
    </w:p>
    <w:p w:rsidR="00B40886" w:rsidRPr="00B40886" w:rsidRDefault="00B40886" w:rsidP="00B40886">
      <w:pPr>
        <w:autoSpaceDE w:val="0"/>
        <w:autoSpaceDN w:val="0"/>
        <w:adjustRightInd w:val="0"/>
        <w:ind w:left="851"/>
        <w:rPr>
          <w:rFonts w:eastAsia="MS Mincho"/>
          <w:sz w:val="24"/>
          <w:szCs w:val="24"/>
        </w:rPr>
      </w:pPr>
      <w:r w:rsidRPr="00B40886">
        <w:rPr>
          <w:rFonts w:eastAsia="MS Mincho"/>
          <w:sz w:val="24"/>
        </w:rPr>
        <w:t xml:space="preserve">Biotilgængeligheden efter oral administration er ca. 60 %. </w:t>
      </w:r>
      <w:proofErr w:type="spellStart"/>
      <w:r w:rsidRPr="00B40886">
        <w:rPr>
          <w:rFonts w:eastAsia="MS Mincho"/>
          <w:sz w:val="24"/>
        </w:rPr>
        <w:t>Prednisolon</w:t>
      </w:r>
      <w:proofErr w:type="spellEnd"/>
      <w:r w:rsidRPr="00B40886">
        <w:rPr>
          <w:rFonts w:eastAsia="MS Mincho"/>
          <w:sz w:val="24"/>
        </w:rPr>
        <w:t xml:space="preserve"> </w:t>
      </w:r>
      <w:proofErr w:type="spellStart"/>
      <w:r w:rsidRPr="00B40886">
        <w:rPr>
          <w:rFonts w:eastAsia="MS Mincho"/>
          <w:sz w:val="24"/>
        </w:rPr>
        <w:t>metaboliseres</w:t>
      </w:r>
      <w:proofErr w:type="spellEnd"/>
      <w:r w:rsidRPr="00B40886">
        <w:rPr>
          <w:rFonts w:eastAsia="MS Mincho"/>
          <w:sz w:val="24"/>
        </w:rPr>
        <w:t xml:space="preserve"> delvis til det biologisk inaktive </w:t>
      </w:r>
      <w:proofErr w:type="spellStart"/>
      <w:r w:rsidRPr="00B40886">
        <w:rPr>
          <w:rFonts w:eastAsia="MS Mincho"/>
          <w:sz w:val="24"/>
        </w:rPr>
        <w:t>prednison</w:t>
      </w:r>
      <w:proofErr w:type="spellEnd"/>
      <w:r w:rsidRPr="00B40886">
        <w:rPr>
          <w:rFonts w:eastAsia="MS Mincho"/>
          <w:sz w:val="24"/>
        </w:rPr>
        <w:t xml:space="preserve">. I urinen findes lige store mængder af </w:t>
      </w:r>
      <w:proofErr w:type="spellStart"/>
      <w:r w:rsidRPr="00B40886">
        <w:rPr>
          <w:rFonts w:eastAsia="MS Mincho"/>
          <w:sz w:val="24"/>
        </w:rPr>
        <w:t>prednisolon</w:t>
      </w:r>
      <w:proofErr w:type="spellEnd"/>
      <w:r w:rsidRPr="00B40886">
        <w:rPr>
          <w:rFonts w:eastAsia="MS Mincho"/>
          <w:sz w:val="24"/>
        </w:rPr>
        <w:t xml:space="preserve">, </w:t>
      </w:r>
      <w:proofErr w:type="spellStart"/>
      <w:r w:rsidRPr="00B40886">
        <w:rPr>
          <w:rFonts w:eastAsia="MS Mincho"/>
          <w:sz w:val="24"/>
        </w:rPr>
        <w:t>prednison</w:t>
      </w:r>
      <w:proofErr w:type="spellEnd"/>
      <w:r w:rsidRPr="00B40886">
        <w:rPr>
          <w:rFonts w:eastAsia="MS Mincho"/>
          <w:sz w:val="24"/>
        </w:rPr>
        <w:t>, 20</w:t>
      </w:r>
      <w:r w:rsidRPr="00B40886">
        <w:rPr>
          <w:rFonts w:eastAsia="MS Mincho"/>
          <w:bCs/>
          <w:sz w:val="24"/>
          <w:szCs w:val="24"/>
        </w:rPr>
        <w:t>β</w:t>
      </w:r>
      <w:r w:rsidRPr="00B40886">
        <w:rPr>
          <w:rFonts w:eastAsia="MS Mincho"/>
          <w:sz w:val="24"/>
        </w:rPr>
        <w:t>-</w:t>
      </w:r>
      <w:proofErr w:type="spellStart"/>
      <w:r w:rsidRPr="00B40886">
        <w:rPr>
          <w:rFonts w:eastAsia="MS Mincho"/>
          <w:sz w:val="24"/>
        </w:rPr>
        <w:t>dihydroprednisolon</w:t>
      </w:r>
      <w:proofErr w:type="spellEnd"/>
      <w:r w:rsidRPr="00B40886">
        <w:rPr>
          <w:rFonts w:eastAsia="MS Mincho"/>
          <w:sz w:val="24"/>
        </w:rPr>
        <w:t xml:space="preserve"> og 20</w:t>
      </w:r>
      <w:r w:rsidRPr="00B40886">
        <w:rPr>
          <w:rFonts w:eastAsia="MS Mincho"/>
          <w:bCs/>
          <w:sz w:val="24"/>
          <w:szCs w:val="24"/>
        </w:rPr>
        <w:t>β</w:t>
      </w:r>
      <w:r w:rsidRPr="00B40886">
        <w:rPr>
          <w:rFonts w:eastAsia="MS Mincho"/>
          <w:sz w:val="24"/>
        </w:rPr>
        <w:t>-</w:t>
      </w:r>
      <w:proofErr w:type="spellStart"/>
      <w:r w:rsidRPr="00B40886">
        <w:rPr>
          <w:rFonts w:eastAsia="MS Mincho"/>
          <w:sz w:val="24"/>
        </w:rPr>
        <w:t>dihydroprednison</w:t>
      </w:r>
      <w:proofErr w:type="spellEnd"/>
      <w:r w:rsidRPr="00B40886">
        <w:rPr>
          <w:rFonts w:eastAsia="MS Mincho"/>
          <w:sz w:val="24"/>
        </w:rPr>
        <w:t xml:space="preserve">. </w:t>
      </w:r>
      <w:proofErr w:type="spellStart"/>
      <w:r w:rsidRPr="00B40886">
        <w:rPr>
          <w:rFonts w:eastAsia="MS Mincho"/>
          <w:sz w:val="24"/>
        </w:rPr>
        <w:t>Prednisolon</w:t>
      </w:r>
      <w:proofErr w:type="spellEnd"/>
      <w:r w:rsidRPr="00B40886">
        <w:rPr>
          <w:rFonts w:eastAsia="MS Mincho"/>
          <w:sz w:val="24"/>
        </w:rPr>
        <w:t xml:space="preserve"> udskilles fuldstændigt inden for 3 dage.</w:t>
      </w:r>
    </w:p>
    <w:p w:rsidR="005B0036" w:rsidRPr="00B40886" w:rsidRDefault="00B40886" w:rsidP="00B40886">
      <w:pPr>
        <w:ind w:left="851"/>
        <w:rPr>
          <w:rFonts w:eastAsia="MS Mincho"/>
          <w:sz w:val="24"/>
          <w:szCs w:val="24"/>
        </w:rPr>
      </w:pPr>
      <w:r w:rsidRPr="00B40886">
        <w:rPr>
          <w:rFonts w:eastAsia="MS Mincho"/>
          <w:sz w:val="24"/>
        </w:rPr>
        <w:t xml:space="preserve">Gentagen dosering medfører ikke akkumulering af </w:t>
      </w:r>
      <w:proofErr w:type="spellStart"/>
      <w:r w:rsidRPr="00B40886">
        <w:rPr>
          <w:rFonts w:eastAsia="MS Mincho"/>
          <w:sz w:val="24"/>
        </w:rPr>
        <w:t>prednisolon</w:t>
      </w:r>
      <w:proofErr w:type="spellEnd"/>
      <w:r w:rsidRPr="00B40886">
        <w:rPr>
          <w:rFonts w:eastAsia="MS Mincho"/>
          <w:sz w:val="24"/>
        </w:rPr>
        <w:t xml:space="preserve"> i plasma.</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w:t>
      </w:r>
      <w:r w:rsidRPr="00406EE7">
        <w:rPr>
          <w:b/>
          <w:sz w:val="24"/>
          <w:szCs w:val="24"/>
        </w:rPr>
        <w:tab/>
        <w:t>FARMACEUTISKE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6.1</w:t>
      </w:r>
      <w:r w:rsidRPr="00406EE7">
        <w:rPr>
          <w:b/>
          <w:sz w:val="24"/>
          <w:szCs w:val="24"/>
        </w:rPr>
        <w:tab/>
        <w:t>Hjælpestoffer</w:t>
      </w:r>
    </w:p>
    <w:p w:rsidR="00773A50" w:rsidRPr="00773A50" w:rsidRDefault="00773A50" w:rsidP="00773A50">
      <w:pPr>
        <w:ind w:left="851"/>
        <w:rPr>
          <w:rFonts w:eastAsia="MS Mincho"/>
          <w:sz w:val="24"/>
          <w:szCs w:val="24"/>
        </w:rPr>
      </w:pPr>
      <w:proofErr w:type="spellStart"/>
      <w:r w:rsidRPr="00773A50">
        <w:rPr>
          <w:rFonts w:eastAsia="MS Mincho"/>
          <w:sz w:val="24"/>
        </w:rPr>
        <w:t>Lactosemonohydrat</w:t>
      </w:r>
      <w:proofErr w:type="spellEnd"/>
    </w:p>
    <w:p w:rsidR="00773A50" w:rsidRPr="00773A50" w:rsidRDefault="00773A50" w:rsidP="00773A50">
      <w:pPr>
        <w:ind w:left="851"/>
        <w:rPr>
          <w:rFonts w:eastAsia="MS Mincho"/>
          <w:sz w:val="24"/>
          <w:szCs w:val="24"/>
        </w:rPr>
      </w:pPr>
      <w:r w:rsidRPr="00773A50">
        <w:rPr>
          <w:rFonts w:eastAsia="MS Mincho"/>
          <w:sz w:val="24"/>
        </w:rPr>
        <w:t>Cellulose</w:t>
      </w:r>
    </w:p>
    <w:p w:rsidR="00773A50" w:rsidRPr="00773A50" w:rsidRDefault="00773A50" w:rsidP="00773A50">
      <w:pPr>
        <w:ind w:left="851"/>
        <w:rPr>
          <w:rFonts w:eastAsia="MS Mincho"/>
          <w:sz w:val="24"/>
          <w:szCs w:val="24"/>
        </w:rPr>
      </w:pPr>
      <w:proofErr w:type="spellStart"/>
      <w:r w:rsidRPr="00773A50">
        <w:rPr>
          <w:rFonts w:eastAsia="MS Mincho"/>
          <w:sz w:val="24"/>
        </w:rPr>
        <w:t>Silica</w:t>
      </w:r>
      <w:proofErr w:type="spellEnd"/>
      <w:r w:rsidRPr="00773A50">
        <w:rPr>
          <w:rFonts w:eastAsia="MS Mincho"/>
          <w:sz w:val="24"/>
        </w:rPr>
        <w:t>, kolloid vandfri</w:t>
      </w:r>
    </w:p>
    <w:p w:rsidR="00773A50" w:rsidRPr="00031CDA" w:rsidRDefault="00773A50" w:rsidP="00773A50">
      <w:pPr>
        <w:ind w:left="851"/>
        <w:rPr>
          <w:rFonts w:eastAsia="MS Mincho"/>
          <w:sz w:val="24"/>
          <w:szCs w:val="24"/>
        </w:rPr>
      </w:pPr>
      <w:proofErr w:type="spellStart"/>
      <w:r w:rsidRPr="00031CDA">
        <w:rPr>
          <w:rFonts w:eastAsia="MS Mincho"/>
          <w:sz w:val="24"/>
        </w:rPr>
        <w:t>Croscarmellosenatrium</w:t>
      </w:r>
      <w:proofErr w:type="spellEnd"/>
    </w:p>
    <w:p w:rsidR="00773A50" w:rsidRPr="00031CDA" w:rsidRDefault="00773A50" w:rsidP="00773A50">
      <w:pPr>
        <w:ind w:left="851"/>
        <w:rPr>
          <w:rFonts w:eastAsia="MS Mincho"/>
          <w:sz w:val="24"/>
          <w:szCs w:val="24"/>
        </w:rPr>
      </w:pPr>
      <w:proofErr w:type="spellStart"/>
      <w:r w:rsidRPr="00031CDA">
        <w:rPr>
          <w:rFonts w:eastAsia="MS Mincho"/>
          <w:sz w:val="24"/>
        </w:rPr>
        <w:t>Natriumstivelsesglycol</w:t>
      </w:r>
      <w:proofErr w:type="spellEnd"/>
    </w:p>
    <w:p w:rsidR="00773A50" w:rsidRPr="00773A50" w:rsidRDefault="00773A50" w:rsidP="00773A50">
      <w:pPr>
        <w:ind w:left="851"/>
        <w:rPr>
          <w:rFonts w:eastAsia="MS Mincho"/>
          <w:sz w:val="24"/>
          <w:szCs w:val="24"/>
        </w:rPr>
      </w:pPr>
      <w:proofErr w:type="spellStart"/>
      <w:r w:rsidRPr="00773A50">
        <w:rPr>
          <w:rFonts w:eastAsia="MS Mincho"/>
          <w:sz w:val="24"/>
        </w:rPr>
        <w:t>Magnesiumstearat</w:t>
      </w:r>
      <w:proofErr w:type="spellEnd"/>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6.2</w:t>
      </w:r>
      <w:r w:rsidRPr="00406EE7">
        <w:rPr>
          <w:b/>
          <w:sz w:val="24"/>
          <w:szCs w:val="24"/>
        </w:rPr>
        <w:tab/>
        <w:t>Uforligeligheder</w:t>
      </w:r>
    </w:p>
    <w:p w:rsidR="001939C9" w:rsidRPr="001939C9" w:rsidRDefault="001939C9" w:rsidP="001939C9">
      <w:pPr>
        <w:autoSpaceDE w:val="0"/>
        <w:autoSpaceDN w:val="0"/>
        <w:adjustRightInd w:val="0"/>
        <w:ind w:left="851"/>
        <w:rPr>
          <w:rFonts w:eastAsia="MS Mincho"/>
          <w:sz w:val="24"/>
          <w:szCs w:val="24"/>
        </w:rPr>
      </w:pPr>
      <w:r w:rsidRPr="001939C9">
        <w:rPr>
          <w:rFonts w:eastAsia="MS Mincho"/>
          <w:sz w:val="24"/>
        </w:rPr>
        <w:t>Da der ikke foreligger undersøgelser vedrørende eventuelle uforligeligheder, bør dette lægemiddel ikke blandes med andre lægemidler.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6.3</w:t>
      </w:r>
      <w:r w:rsidRPr="00406EE7">
        <w:rPr>
          <w:b/>
          <w:sz w:val="24"/>
          <w:szCs w:val="24"/>
        </w:rPr>
        <w:tab/>
        <w:t>Opbevaringstid</w:t>
      </w:r>
    </w:p>
    <w:p w:rsidR="001939C9" w:rsidRPr="001939C9" w:rsidRDefault="001939C9" w:rsidP="001939C9">
      <w:pPr>
        <w:autoSpaceDE w:val="0"/>
        <w:autoSpaceDN w:val="0"/>
        <w:adjustRightInd w:val="0"/>
        <w:ind w:left="851"/>
        <w:rPr>
          <w:rFonts w:eastAsia="MS Mincho"/>
          <w:color w:val="000000"/>
          <w:sz w:val="24"/>
          <w:szCs w:val="24"/>
        </w:rPr>
      </w:pPr>
      <w:r>
        <w:rPr>
          <w:rFonts w:eastAsia="MS Mincho"/>
          <w:color w:val="000000"/>
          <w:sz w:val="24"/>
          <w:szCs w:val="24"/>
        </w:rPr>
        <w:t>I</w:t>
      </w:r>
      <w:r w:rsidRPr="001939C9">
        <w:rPr>
          <w:rFonts w:eastAsia="MS Mincho"/>
          <w:color w:val="000000"/>
          <w:sz w:val="24"/>
          <w:szCs w:val="24"/>
        </w:rPr>
        <w:t xml:space="preserve"> salgspakning: 3 år.</w:t>
      </w:r>
    </w:p>
    <w:p w:rsidR="001939C9" w:rsidRDefault="001939C9" w:rsidP="001939C9">
      <w:pPr>
        <w:ind w:left="851" w:right="-318"/>
        <w:rPr>
          <w:rFonts w:eastAsia="MS Mincho"/>
          <w:color w:val="000000"/>
          <w:sz w:val="24"/>
          <w:szCs w:val="24"/>
        </w:rPr>
      </w:pPr>
    </w:p>
    <w:p w:rsidR="005B0036" w:rsidRPr="001939C9" w:rsidRDefault="001939C9" w:rsidP="001939C9">
      <w:pPr>
        <w:ind w:left="851" w:right="-318"/>
        <w:rPr>
          <w:rFonts w:eastAsia="MS Mincho"/>
          <w:color w:val="000000"/>
          <w:sz w:val="24"/>
          <w:szCs w:val="24"/>
        </w:rPr>
      </w:pPr>
      <w:r>
        <w:rPr>
          <w:rFonts w:eastAsia="MS Mincho"/>
          <w:color w:val="000000"/>
          <w:sz w:val="24"/>
          <w:szCs w:val="24"/>
        </w:rPr>
        <w:t>F</w:t>
      </w:r>
      <w:r w:rsidRPr="001939C9">
        <w:rPr>
          <w:rFonts w:eastAsia="MS Mincho"/>
          <w:color w:val="000000"/>
          <w:sz w:val="24"/>
          <w:szCs w:val="24"/>
        </w:rPr>
        <w:t>or halve tabletter efter første åbning af den indre emballage: 3 dage.</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6.4</w:t>
      </w:r>
      <w:r w:rsidRPr="00406EE7">
        <w:rPr>
          <w:b/>
          <w:sz w:val="24"/>
          <w:szCs w:val="24"/>
        </w:rPr>
        <w:tab/>
        <w:t>Særlige opbevaringsforhold</w:t>
      </w:r>
    </w:p>
    <w:p w:rsidR="003F6330" w:rsidRDefault="003F6330" w:rsidP="003F6330">
      <w:pPr>
        <w:ind w:left="851"/>
        <w:rPr>
          <w:rFonts w:eastAsia="MS Mincho"/>
          <w:sz w:val="24"/>
        </w:rPr>
      </w:pPr>
      <w:r w:rsidRPr="003F6330">
        <w:rPr>
          <w:rFonts w:eastAsia="MS Mincho"/>
          <w:sz w:val="24"/>
        </w:rPr>
        <w:t>Der er ingen særlige krav vedrørende opbevaringstemperaturer for dette lægemiddel.</w:t>
      </w:r>
    </w:p>
    <w:p w:rsidR="003F6330" w:rsidRPr="003F6330" w:rsidRDefault="003F6330" w:rsidP="003F6330">
      <w:pPr>
        <w:ind w:left="851"/>
        <w:rPr>
          <w:rFonts w:eastAsia="MS Mincho"/>
          <w:noProof/>
          <w:sz w:val="24"/>
          <w:szCs w:val="24"/>
        </w:rPr>
      </w:pPr>
    </w:p>
    <w:p w:rsidR="005B0036" w:rsidRPr="003F6330" w:rsidRDefault="003F6330" w:rsidP="003F6330">
      <w:pPr>
        <w:ind w:left="851" w:right="-318"/>
        <w:rPr>
          <w:rFonts w:eastAsia="MS Mincho"/>
          <w:color w:val="000000"/>
          <w:sz w:val="24"/>
          <w:szCs w:val="24"/>
        </w:rPr>
      </w:pPr>
      <w:r w:rsidRPr="003F6330">
        <w:rPr>
          <w:rFonts w:eastAsia="MS Mincho"/>
          <w:color w:val="000000"/>
          <w:sz w:val="24"/>
          <w:szCs w:val="24"/>
        </w:rPr>
        <w:t>Læg eventuelle halve tabletter tilbage i den åbnede blisterpakning.</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6.5</w:t>
      </w:r>
      <w:r w:rsidRPr="00406EE7">
        <w:rPr>
          <w:b/>
          <w:sz w:val="24"/>
          <w:szCs w:val="24"/>
        </w:rPr>
        <w:tab/>
        <w:t>Emballage</w:t>
      </w:r>
    </w:p>
    <w:p w:rsidR="003F6330" w:rsidRDefault="003F6330" w:rsidP="003F6330">
      <w:pPr>
        <w:ind w:left="851"/>
        <w:rPr>
          <w:rFonts w:eastAsia="MS Mincho"/>
          <w:color w:val="000000"/>
          <w:sz w:val="24"/>
          <w:szCs w:val="24"/>
        </w:rPr>
      </w:pPr>
      <w:r>
        <w:rPr>
          <w:rFonts w:eastAsia="MS Mincho"/>
          <w:sz w:val="24"/>
        </w:rPr>
        <w:t>PVC/PVDC/</w:t>
      </w:r>
      <w:proofErr w:type="spellStart"/>
      <w:r>
        <w:rPr>
          <w:rFonts w:eastAsia="MS Mincho"/>
          <w:sz w:val="24"/>
        </w:rPr>
        <w:t>Alu</w:t>
      </w:r>
      <w:proofErr w:type="spellEnd"/>
      <w:r>
        <w:rPr>
          <w:rFonts w:eastAsia="MS Mincho"/>
          <w:sz w:val="24"/>
        </w:rPr>
        <w:t>-blisterpakning</w:t>
      </w:r>
      <w:r>
        <w:rPr>
          <w:rFonts w:eastAsia="MS Mincho"/>
          <w:color w:val="000000"/>
          <w:sz w:val="24"/>
          <w:szCs w:val="24"/>
        </w:rPr>
        <w:t xml:space="preserve"> inde</w:t>
      </w:r>
      <w:r w:rsidR="00315590">
        <w:rPr>
          <w:rFonts w:eastAsia="MS Mincho"/>
          <w:color w:val="000000"/>
          <w:sz w:val="24"/>
          <w:szCs w:val="24"/>
        </w:rPr>
        <w:t>holdende 10 tabletter.</w:t>
      </w:r>
    </w:p>
    <w:p w:rsidR="003F6330" w:rsidRPr="003F6330" w:rsidRDefault="003F6330" w:rsidP="003F6330">
      <w:pPr>
        <w:ind w:left="851"/>
        <w:rPr>
          <w:rFonts w:eastAsia="MS Mincho"/>
          <w:color w:val="000000"/>
          <w:sz w:val="24"/>
          <w:szCs w:val="24"/>
        </w:rPr>
      </w:pPr>
    </w:p>
    <w:p w:rsidR="003F6330" w:rsidRPr="003F6330" w:rsidRDefault="003F6330" w:rsidP="003F6330">
      <w:pPr>
        <w:ind w:left="851"/>
        <w:rPr>
          <w:rFonts w:eastAsia="MS Mincho"/>
          <w:color w:val="000000"/>
          <w:sz w:val="24"/>
          <w:szCs w:val="24"/>
        </w:rPr>
      </w:pPr>
      <w:r>
        <w:rPr>
          <w:rFonts w:eastAsia="MS Mincho"/>
          <w:color w:val="000000"/>
          <w:sz w:val="24"/>
          <w:szCs w:val="24"/>
        </w:rPr>
        <w:t xml:space="preserve">Pakningsstørrelser: </w:t>
      </w:r>
      <w:r w:rsidRPr="003F6330">
        <w:rPr>
          <w:rFonts w:eastAsia="MS Mincho"/>
          <w:color w:val="000000"/>
          <w:sz w:val="24"/>
          <w:szCs w:val="24"/>
        </w:rPr>
        <w:t xml:space="preserve">50, 100 </w:t>
      </w:r>
      <w:r>
        <w:rPr>
          <w:rFonts w:eastAsia="MS Mincho"/>
          <w:color w:val="000000"/>
          <w:sz w:val="24"/>
          <w:szCs w:val="24"/>
        </w:rPr>
        <w:t>og</w:t>
      </w:r>
      <w:r w:rsidRPr="003F6330">
        <w:rPr>
          <w:rFonts w:eastAsia="MS Mincho"/>
          <w:color w:val="000000"/>
          <w:sz w:val="24"/>
          <w:szCs w:val="24"/>
        </w:rPr>
        <w:t xml:space="preserve"> 200 tabletter</w:t>
      </w:r>
      <w:r w:rsidR="00315590">
        <w:rPr>
          <w:rFonts w:eastAsia="MS Mincho"/>
          <w:color w:val="000000"/>
          <w:sz w:val="24"/>
          <w:szCs w:val="24"/>
        </w:rPr>
        <w:t>, i karton.</w:t>
      </w:r>
    </w:p>
    <w:p w:rsidR="005B0036" w:rsidRPr="00315590" w:rsidRDefault="003F6330" w:rsidP="00315590">
      <w:pPr>
        <w:ind w:left="851"/>
        <w:rPr>
          <w:rFonts w:eastAsia="MS Mincho"/>
          <w:color w:val="000000"/>
          <w:sz w:val="24"/>
          <w:szCs w:val="24"/>
        </w:rPr>
      </w:pPr>
      <w:r w:rsidRPr="003F6330">
        <w:rPr>
          <w:rFonts w:eastAsia="MS Mincho"/>
          <w:color w:val="000000"/>
          <w:sz w:val="24"/>
          <w:szCs w:val="24"/>
        </w:rPr>
        <w:t>Ikke alle pakningsstørrelser er nødvendigvis markedsført.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6.6</w:t>
      </w:r>
      <w:r w:rsidRPr="00406EE7">
        <w:rPr>
          <w:b/>
          <w:sz w:val="24"/>
          <w:szCs w:val="24"/>
        </w:rPr>
        <w:tab/>
        <w:t>Særlige forholdsregler ved bortskaffelse af rester af lægemidlet eller affald</w:t>
      </w:r>
    </w:p>
    <w:p w:rsidR="00121BB0" w:rsidRPr="0097225B" w:rsidRDefault="00121BB0" w:rsidP="00121BB0">
      <w:pPr>
        <w:autoSpaceDE w:val="0"/>
        <w:autoSpaceDN w:val="0"/>
        <w:adjustRightInd w:val="0"/>
        <w:ind w:left="851"/>
        <w:rPr>
          <w:rFonts w:eastAsia="MS Mincho"/>
          <w:sz w:val="24"/>
          <w:szCs w:val="24"/>
        </w:rPr>
      </w:pPr>
      <w:r w:rsidRPr="0097225B">
        <w:rPr>
          <w:rFonts w:eastAsia="MS Mincho"/>
          <w:sz w:val="24"/>
        </w:rPr>
        <w:t>Ikke anvendte veterinærlægemidler samt affald heraf bør destrueres i henhold til lokale retningslinjer.</w:t>
      </w:r>
    </w:p>
    <w:p w:rsidR="005B0036" w:rsidRPr="00070728"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7.</w:t>
      </w:r>
      <w:r w:rsidRPr="00406EE7">
        <w:rPr>
          <w:b/>
          <w:sz w:val="24"/>
          <w:szCs w:val="24"/>
        </w:rPr>
        <w:tab/>
        <w:t>INDEHAVER AF MARKEDSFØRINGSTILLADELSEN</w:t>
      </w:r>
    </w:p>
    <w:p w:rsidR="00121BB0" w:rsidRPr="00A11A0B" w:rsidRDefault="00121BB0" w:rsidP="00121BB0">
      <w:pPr>
        <w:ind w:left="851"/>
        <w:rPr>
          <w:rFonts w:eastAsia="MS Mincho"/>
          <w:sz w:val="24"/>
          <w:szCs w:val="24"/>
        </w:rPr>
      </w:pPr>
      <w:r w:rsidRPr="00A11A0B">
        <w:rPr>
          <w:rFonts w:eastAsia="MS Mincho"/>
          <w:sz w:val="24"/>
        </w:rPr>
        <w:t xml:space="preserve">CP-Pharma </w:t>
      </w:r>
      <w:proofErr w:type="spellStart"/>
      <w:r w:rsidRPr="00A11A0B">
        <w:rPr>
          <w:rFonts w:eastAsia="MS Mincho"/>
          <w:sz w:val="24"/>
        </w:rPr>
        <w:t>Handelsgesellschaft</w:t>
      </w:r>
      <w:proofErr w:type="spellEnd"/>
      <w:r w:rsidRPr="00A11A0B">
        <w:rPr>
          <w:rFonts w:eastAsia="MS Mincho"/>
          <w:sz w:val="24"/>
        </w:rPr>
        <w:t xml:space="preserve"> </w:t>
      </w:r>
      <w:proofErr w:type="spellStart"/>
      <w:r w:rsidRPr="00A11A0B">
        <w:rPr>
          <w:rFonts w:eastAsia="MS Mincho"/>
          <w:sz w:val="24"/>
        </w:rPr>
        <w:t>mbH</w:t>
      </w:r>
      <w:proofErr w:type="spellEnd"/>
    </w:p>
    <w:p w:rsidR="00121BB0" w:rsidRPr="00A11A0B" w:rsidRDefault="00121BB0" w:rsidP="00121BB0">
      <w:pPr>
        <w:ind w:left="851"/>
        <w:rPr>
          <w:rFonts w:eastAsia="MS Mincho"/>
          <w:sz w:val="24"/>
          <w:szCs w:val="24"/>
        </w:rPr>
      </w:pPr>
      <w:proofErr w:type="spellStart"/>
      <w:r w:rsidRPr="00A11A0B">
        <w:rPr>
          <w:rFonts w:eastAsia="MS Mincho"/>
          <w:sz w:val="24"/>
        </w:rPr>
        <w:t>Ostlandring</w:t>
      </w:r>
      <w:proofErr w:type="spellEnd"/>
      <w:r w:rsidRPr="00A11A0B">
        <w:rPr>
          <w:rFonts w:eastAsia="MS Mincho"/>
          <w:sz w:val="24"/>
        </w:rPr>
        <w:t xml:space="preserve"> 13</w:t>
      </w:r>
    </w:p>
    <w:p w:rsidR="00121BB0" w:rsidRPr="00A11A0B" w:rsidRDefault="00121BB0" w:rsidP="00121BB0">
      <w:pPr>
        <w:ind w:left="851"/>
        <w:rPr>
          <w:rFonts w:eastAsia="MS Mincho"/>
          <w:sz w:val="24"/>
          <w:szCs w:val="24"/>
        </w:rPr>
      </w:pPr>
      <w:r>
        <w:rPr>
          <w:rFonts w:eastAsia="MS Mincho"/>
          <w:sz w:val="24"/>
        </w:rPr>
        <w:t>31303 Burgdorf</w:t>
      </w:r>
    </w:p>
    <w:p w:rsidR="00121BB0" w:rsidRDefault="00121BB0" w:rsidP="00121BB0">
      <w:pPr>
        <w:ind w:left="851"/>
        <w:rPr>
          <w:rFonts w:eastAsia="MS Mincho"/>
          <w:sz w:val="24"/>
        </w:rPr>
      </w:pPr>
      <w:r w:rsidRPr="00A11A0B">
        <w:rPr>
          <w:rFonts w:eastAsia="MS Mincho"/>
          <w:sz w:val="24"/>
        </w:rPr>
        <w:t>Tyskland</w:t>
      </w:r>
    </w:p>
    <w:p w:rsidR="009C5F29" w:rsidRDefault="009C5F29" w:rsidP="00121BB0">
      <w:pPr>
        <w:ind w:left="851"/>
        <w:rPr>
          <w:rFonts w:eastAsia="MS Mincho"/>
          <w:sz w:val="24"/>
        </w:rPr>
      </w:pPr>
    </w:p>
    <w:p w:rsidR="009C5F29" w:rsidRDefault="009C5F29" w:rsidP="00121BB0">
      <w:pPr>
        <w:ind w:left="851"/>
        <w:rPr>
          <w:rFonts w:eastAsia="MS Mincho"/>
          <w:sz w:val="24"/>
        </w:rPr>
      </w:pPr>
      <w:r>
        <w:rPr>
          <w:rFonts w:eastAsia="MS Mincho"/>
          <w:b/>
          <w:sz w:val="24"/>
        </w:rPr>
        <w:t>Repræsentant</w:t>
      </w:r>
    </w:p>
    <w:p w:rsidR="009C5F29" w:rsidRPr="009C5F29" w:rsidRDefault="009C5F29" w:rsidP="009C5F29">
      <w:pPr>
        <w:ind w:left="851"/>
        <w:rPr>
          <w:rFonts w:eastAsia="MS Mincho"/>
          <w:sz w:val="24"/>
          <w:szCs w:val="24"/>
          <w:lang w:val="en-US"/>
        </w:rPr>
      </w:pPr>
      <w:proofErr w:type="spellStart"/>
      <w:r w:rsidRPr="009C5F29">
        <w:rPr>
          <w:rFonts w:eastAsia="MS Mincho"/>
          <w:sz w:val="24"/>
          <w:szCs w:val="24"/>
          <w:lang w:val="en-US"/>
        </w:rPr>
        <w:t>ScanVet</w:t>
      </w:r>
      <w:proofErr w:type="spellEnd"/>
      <w:r w:rsidRPr="009C5F29">
        <w:rPr>
          <w:rFonts w:eastAsia="MS Mincho"/>
          <w:sz w:val="24"/>
          <w:szCs w:val="24"/>
          <w:lang w:val="en-US"/>
        </w:rPr>
        <w:t xml:space="preserve"> Animal Health A/S</w:t>
      </w:r>
    </w:p>
    <w:p w:rsidR="009C5F29" w:rsidRPr="009C5F29" w:rsidRDefault="009C5F29" w:rsidP="009C5F29">
      <w:pPr>
        <w:ind w:left="851"/>
        <w:rPr>
          <w:rFonts w:eastAsia="MS Mincho"/>
          <w:sz w:val="24"/>
          <w:szCs w:val="24"/>
          <w:lang w:val="en-US"/>
        </w:rPr>
      </w:pPr>
      <w:proofErr w:type="spellStart"/>
      <w:r w:rsidRPr="009C5F29">
        <w:rPr>
          <w:rFonts w:eastAsia="MS Mincho"/>
          <w:sz w:val="24"/>
          <w:szCs w:val="24"/>
          <w:lang w:val="en-US"/>
        </w:rPr>
        <w:t>Kongevejen</w:t>
      </w:r>
      <w:proofErr w:type="spellEnd"/>
      <w:r w:rsidRPr="009C5F29">
        <w:rPr>
          <w:rFonts w:eastAsia="MS Mincho"/>
          <w:sz w:val="24"/>
          <w:szCs w:val="24"/>
          <w:lang w:val="en-US"/>
        </w:rPr>
        <w:t xml:space="preserve"> 66</w:t>
      </w:r>
    </w:p>
    <w:p w:rsidR="009C5F29" w:rsidRPr="009C5F29" w:rsidRDefault="009C5F29" w:rsidP="009C5F29">
      <w:pPr>
        <w:ind w:left="851"/>
        <w:rPr>
          <w:rFonts w:eastAsia="MS Mincho"/>
          <w:sz w:val="24"/>
          <w:szCs w:val="24"/>
        </w:rPr>
      </w:pPr>
      <w:r w:rsidRPr="009C5F29">
        <w:rPr>
          <w:rFonts w:eastAsia="MS Mincho"/>
          <w:sz w:val="24"/>
          <w:szCs w:val="24"/>
        </w:rPr>
        <w:t>3480 Fredensborg</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8.</w:t>
      </w:r>
      <w:r w:rsidRPr="00406EE7">
        <w:rPr>
          <w:b/>
          <w:sz w:val="24"/>
          <w:szCs w:val="24"/>
        </w:rPr>
        <w:tab/>
        <w:t>MARKEDSFØRINGSTILLADELSESNUMMER (NUMRE)</w:t>
      </w:r>
    </w:p>
    <w:p w:rsidR="005B0036" w:rsidRDefault="00121BB0" w:rsidP="005B0036">
      <w:pPr>
        <w:tabs>
          <w:tab w:val="left" w:pos="851"/>
          <w:tab w:val="left" w:pos="8222"/>
        </w:tabs>
        <w:ind w:left="851"/>
        <w:rPr>
          <w:sz w:val="24"/>
          <w:szCs w:val="24"/>
        </w:rPr>
      </w:pPr>
      <w:r>
        <w:rPr>
          <w:sz w:val="24"/>
          <w:szCs w:val="24"/>
        </w:rPr>
        <w:t>61900</w:t>
      </w:r>
    </w:p>
    <w:p w:rsidR="00121BB0" w:rsidRPr="00406EE7" w:rsidRDefault="00121BB0"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9.</w:t>
      </w:r>
      <w:r w:rsidRPr="00406EE7">
        <w:rPr>
          <w:b/>
          <w:sz w:val="24"/>
          <w:szCs w:val="24"/>
        </w:rPr>
        <w:tab/>
        <w:t>DATO FOR FØRSTE MARKEDSFØRINGSTILLADELSE</w:t>
      </w:r>
    </w:p>
    <w:p w:rsidR="005B0036" w:rsidRPr="00406EE7" w:rsidRDefault="00031CDA" w:rsidP="005B0036">
      <w:pPr>
        <w:tabs>
          <w:tab w:val="left" w:pos="851"/>
          <w:tab w:val="left" w:pos="8222"/>
        </w:tabs>
        <w:ind w:left="851"/>
        <w:rPr>
          <w:sz w:val="24"/>
          <w:szCs w:val="24"/>
        </w:rPr>
      </w:pPr>
      <w:r>
        <w:rPr>
          <w:sz w:val="24"/>
          <w:szCs w:val="24"/>
        </w:rPr>
        <w:t>28. oktober 2019</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10.</w:t>
      </w:r>
      <w:r w:rsidRPr="00406EE7">
        <w:rPr>
          <w:b/>
          <w:sz w:val="24"/>
          <w:szCs w:val="24"/>
        </w:rPr>
        <w:tab/>
        <w:t>DATO FOR ÆNDRING AF TEKSTEN</w:t>
      </w:r>
    </w:p>
    <w:p w:rsidR="005B0036" w:rsidRPr="00406EE7" w:rsidRDefault="009C5F29" w:rsidP="005B0036">
      <w:pPr>
        <w:tabs>
          <w:tab w:val="left" w:pos="851"/>
          <w:tab w:val="left" w:pos="8222"/>
        </w:tabs>
        <w:ind w:left="851"/>
        <w:rPr>
          <w:sz w:val="24"/>
          <w:szCs w:val="24"/>
        </w:rPr>
      </w:pPr>
      <w:r>
        <w:rPr>
          <w:sz w:val="24"/>
          <w:szCs w:val="24"/>
        </w:rPr>
        <w:t>19. december 2019</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11.</w:t>
      </w:r>
      <w:r w:rsidRPr="00406EE7">
        <w:rPr>
          <w:b/>
          <w:sz w:val="24"/>
          <w:szCs w:val="24"/>
        </w:rPr>
        <w:tab/>
        <w:t>UDLEVERINGSBESTEMMELSE</w:t>
      </w:r>
    </w:p>
    <w:p w:rsidR="0003527F" w:rsidRPr="003969DC" w:rsidRDefault="003969DC" w:rsidP="003969DC">
      <w:pPr>
        <w:pStyle w:val="Sidehoved"/>
        <w:tabs>
          <w:tab w:val="clear" w:pos="4819"/>
          <w:tab w:val="left" w:pos="851"/>
          <w:tab w:val="left" w:pos="8222"/>
        </w:tabs>
        <w:ind w:left="851"/>
        <w:rPr>
          <w:szCs w:val="24"/>
        </w:rPr>
      </w:pPr>
      <w:r>
        <w:rPr>
          <w:szCs w:val="24"/>
        </w:rPr>
        <w:t>BP</w:t>
      </w:r>
    </w:p>
    <w:sectPr w:rsidR="0003527F" w:rsidRPr="003969DC"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8BB" w:rsidRDefault="006B38BB">
      <w:r>
        <w:separator/>
      </w:r>
    </w:p>
  </w:endnote>
  <w:endnote w:type="continuationSeparator" w:id="0">
    <w:p w:rsidR="006B38BB" w:rsidRDefault="006B3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31CDA">
      <w:rPr>
        <w:i/>
        <w:noProof/>
        <w:snapToGrid w:val="0"/>
        <w:sz w:val="18"/>
      </w:rPr>
      <w:t>Equipred Vet., tabletter 50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9C5F29">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9C5F29">
      <w:rPr>
        <w:i/>
        <w:noProof/>
        <w:snapToGrid w:val="0"/>
        <w:sz w:val="18"/>
      </w:rPr>
      <w:t>5</w:t>
    </w:r>
    <w:r>
      <w:rPr>
        <w:i/>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31CDA">
      <w:rPr>
        <w:i/>
        <w:noProof/>
        <w:snapToGrid w:val="0"/>
        <w:sz w:val="18"/>
      </w:rPr>
      <w:t>Equipred Vet., tabletter 50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031CDA">
      <w:rPr>
        <w:i/>
        <w:noProof/>
        <w:snapToGrid w:val="0"/>
        <w:sz w:val="18"/>
      </w:rPr>
      <w:t>5</w:t>
    </w:r>
    <w:r>
      <w:rPr>
        <w:i/>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8BB" w:rsidRDefault="006B38BB">
      <w:r>
        <w:separator/>
      </w:r>
    </w:p>
  </w:footnote>
  <w:footnote w:type="continuationSeparator" w:id="0">
    <w:p w:rsidR="006B38BB" w:rsidRDefault="006B3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hove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22FB5"/>
    <w:multiLevelType w:val="hybridMultilevel"/>
    <w:tmpl w:val="F888346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8BB"/>
    <w:rsid w:val="00031CDA"/>
    <w:rsid w:val="0003527F"/>
    <w:rsid w:val="00065C7D"/>
    <w:rsid w:val="000832C8"/>
    <w:rsid w:val="000C6CD4"/>
    <w:rsid w:val="00121BB0"/>
    <w:rsid w:val="00126C78"/>
    <w:rsid w:val="001577E4"/>
    <w:rsid w:val="001858CA"/>
    <w:rsid w:val="001939C9"/>
    <w:rsid w:val="001C4AEF"/>
    <w:rsid w:val="001D3CC5"/>
    <w:rsid w:val="00315590"/>
    <w:rsid w:val="00322BDE"/>
    <w:rsid w:val="00347D98"/>
    <w:rsid w:val="00392920"/>
    <w:rsid w:val="003969DC"/>
    <w:rsid w:val="003B0798"/>
    <w:rsid w:val="003F6330"/>
    <w:rsid w:val="00406EE7"/>
    <w:rsid w:val="00407013"/>
    <w:rsid w:val="004A62CC"/>
    <w:rsid w:val="00540DB9"/>
    <w:rsid w:val="00565A74"/>
    <w:rsid w:val="005B0036"/>
    <w:rsid w:val="005F5831"/>
    <w:rsid w:val="00662012"/>
    <w:rsid w:val="00666B01"/>
    <w:rsid w:val="006B1539"/>
    <w:rsid w:val="006B38BB"/>
    <w:rsid w:val="006D08C7"/>
    <w:rsid w:val="006F5621"/>
    <w:rsid w:val="00773A50"/>
    <w:rsid w:val="00784829"/>
    <w:rsid w:val="007E2A00"/>
    <w:rsid w:val="008010F2"/>
    <w:rsid w:val="008068B8"/>
    <w:rsid w:val="009202AE"/>
    <w:rsid w:val="0097225B"/>
    <w:rsid w:val="009C5F29"/>
    <w:rsid w:val="009D66C6"/>
    <w:rsid w:val="00A11A0B"/>
    <w:rsid w:val="00A96525"/>
    <w:rsid w:val="00AE29E5"/>
    <w:rsid w:val="00AE5757"/>
    <w:rsid w:val="00B25EB8"/>
    <w:rsid w:val="00B40886"/>
    <w:rsid w:val="00B5361C"/>
    <w:rsid w:val="00BA6CFB"/>
    <w:rsid w:val="00BC634B"/>
    <w:rsid w:val="00BF2AE0"/>
    <w:rsid w:val="00BF2E6C"/>
    <w:rsid w:val="00C479BF"/>
    <w:rsid w:val="00C957FF"/>
    <w:rsid w:val="00DD6D71"/>
    <w:rsid w:val="00DF32BE"/>
    <w:rsid w:val="00E14F0A"/>
    <w:rsid w:val="00EB5778"/>
    <w:rsid w:val="00ED1935"/>
    <w:rsid w:val="00EE5253"/>
    <w:rsid w:val="00F31EAE"/>
    <w:rsid w:val="00F676E7"/>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1873CC-934B-4B86-926E-FC20256D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Default">
    <w:name w:val="Default"/>
    <w:rsid w:val="00126C78"/>
    <w:pPr>
      <w:autoSpaceDE w:val="0"/>
      <w:autoSpaceDN w:val="0"/>
      <w:adjustRightInd w:val="0"/>
    </w:pPr>
    <w:rPr>
      <w:rFonts w:eastAsia="MS Mincho"/>
      <w:color w:val="000000"/>
      <w:sz w:val="24"/>
      <w:szCs w:val="24"/>
      <w:lang w:eastAsia="en-US"/>
    </w:rPr>
  </w:style>
  <w:style w:type="paragraph" w:styleId="Listeafsnit">
    <w:name w:val="List Paragraph"/>
    <w:basedOn w:val="Normal"/>
    <w:uiPriority w:val="34"/>
    <w:qFormat/>
    <w:rsid w:val="00126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SPC%20Vet.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75A8D-2C3E-424B-8872-BAEF8BA3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 Vet</Template>
  <TotalTime>1</TotalTime>
  <Pages>5</Pages>
  <Words>1336</Words>
  <Characters>8721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10037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 </dc:creator>
  <cp:keywords/>
  <dc:description>2019122268
Tilføjelse af lokal repræsentant </dc:description>
  <cp:lastModifiedBy>Marianne Ott Jensen</cp:lastModifiedBy>
  <cp:revision>4</cp:revision>
  <cp:lastPrinted>2019-10-28T09:04:00Z</cp:lastPrinted>
  <dcterms:created xsi:type="dcterms:W3CDTF">2019-12-19T11:31:00Z</dcterms:created>
  <dcterms:modified xsi:type="dcterms:W3CDTF">2019-12-19T11:32:00Z</dcterms:modified>
</cp:coreProperties>
</file>