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ADF" w:rsidRDefault="00624FD0" w:rsidP="00C65ADF">
      <w:pPr>
        <w:tabs>
          <w:tab w:val="left" w:pos="6804"/>
        </w:tabs>
        <w:rPr>
          <w:b/>
        </w:rPr>
      </w:pPr>
      <w:r w:rsidRPr="009260DE">
        <w:rPr>
          <w:noProof/>
          <w:sz w:val="24"/>
          <w:szCs w:val="24"/>
          <w:lang w:eastAsia="da-DK"/>
        </w:rPr>
        <w:drawing>
          <wp:anchor distT="0" distB="0" distL="114300" distR="114300" simplePos="0" relativeHeight="251659264" behindDoc="0" locked="0" layoutInCell="1" allowOverlap="1" wp14:anchorId="2C9223D5" wp14:editId="7D75709A">
            <wp:simplePos x="0" y="0"/>
            <wp:positionH relativeFrom="column">
              <wp:posOffset>0</wp:posOffset>
            </wp:positionH>
            <wp:positionV relativeFrom="paragraph">
              <wp:posOffset>161290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p>
    <w:p w:rsidR="00C65ADF" w:rsidRDefault="00C65ADF" w:rsidP="00C65ADF">
      <w:pPr>
        <w:tabs>
          <w:tab w:val="left" w:pos="6804"/>
        </w:tabs>
        <w:rPr>
          <w:b/>
        </w:rPr>
      </w:pPr>
    </w:p>
    <w:p w:rsidR="00624FD0" w:rsidRDefault="00624FD0" w:rsidP="00C65ADF">
      <w:pPr>
        <w:tabs>
          <w:tab w:val="left" w:pos="6804"/>
        </w:tabs>
        <w:jc w:val="right"/>
        <w:rPr>
          <w:b/>
        </w:rPr>
      </w:pPr>
    </w:p>
    <w:p w:rsidR="00624FD0" w:rsidRDefault="00624FD0" w:rsidP="00C65ADF">
      <w:pPr>
        <w:tabs>
          <w:tab w:val="left" w:pos="6804"/>
        </w:tabs>
        <w:jc w:val="right"/>
        <w:rPr>
          <w:b/>
        </w:rPr>
      </w:pPr>
    </w:p>
    <w:p w:rsidR="00624FD0" w:rsidRDefault="00624FD0" w:rsidP="00C65ADF">
      <w:pPr>
        <w:tabs>
          <w:tab w:val="left" w:pos="6804"/>
        </w:tabs>
        <w:jc w:val="right"/>
        <w:rPr>
          <w:b/>
        </w:rPr>
      </w:pPr>
    </w:p>
    <w:p w:rsidR="00624FD0" w:rsidRDefault="00624FD0" w:rsidP="00C65ADF">
      <w:pPr>
        <w:tabs>
          <w:tab w:val="left" w:pos="6804"/>
        </w:tabs>
        <w:jc w:val="right"/>
        <w:rPr>
          <w:b/>
        </w:rPr>
      </w:pPr>
    </w:p>
    <w:p w:rsidR="00C65ADF" w:rsidRPr="00072FD8" w:rsidRDefault="00654AD7" w:rsidP="00C65ADF">
      <w:pPr>
        <w:tabs>
          <w:tab w:val="left" w:pos="6804"/>
        </w:tabs>
        <w:jc w:val="right"/>
        <w:rPr>
          <w:b/>
          <w:sz w:val="24"/>
          <w:szCs w:val="24"/>
        </w:rPr>
      </w:pPr>
      <w:r>
        <w:rPr>
          <w:b/>
          <w:sz w:val="24"/>
          <w:szCs w:val="24"/>
        </w:rPr>
        <w:t>4. marts 2025</w:t>
      </w:r>
    </w:p>
    <w:p w:rsidR="00C65ADF" w:rsidRDefault="00C65ADF" w:rsidP="00C65ADF">
      <w:pPr>
        <w:tabs>
          <w:tab w:val="left" w:pos="8222"/>
        </w:tabs>
        <w:rPr>
          <w:sz w:val="24"/>
          <w:szCs w:val="24"/>
        </w:rPr>
      </w:pPr>
    </w:p>
    <w:p w:rsidR="00C65ADF" w:rsidRDefault="00C65ADF" w:rsidP="00C65ADF">
      <w:pPr>
        <w:tabs>
          <w:tab w:val="left" w:pos="8222"/>
        </w:tabs>
        <w:rPr>
          <w:sz w:val="24"/>
          <w:szCs w:val="24"/>
        </w:rPr>
      </w:pPr>
    </w:p>
    <w:p w:rsidR="00C65ADF" w:rsidRDefault="00C65ADF" w:rsidP="00C65ADF">
      <w:pPr>
        <w:tabs>
          <w:tab w:val="left" w:pos="8222"/>
        </w:tabs>
        <w:rPr>
          <w:sz w:val="24"/>
          <w:szCs w:val="24"/>
        </w:rPr>
      </w:pPr>
    </w:p>
    <w:p w:rsidR="00C65ADF" w:rsidRDefault="00C65ADF" w:rsidP="00C65ADF">
      <w:pPr>
        <w:tabs>
          <w:tab w:val="left" w:pos="8222"/>
        </w:tabs>
        <w:jc w:val="center"/>
        <w:rPr>
          <w:b/>
          <w:sz w:val="24"/>
          <w:szCs w:val="24"/>
        </w:rPr>
      </w:pPr>
      <w:r>
        <w:rPr>
          <w:b/>
          <w:sz w:val="24"/>
          <w:szCs w:val="24"/>
        </w:rPr>
        <w:t>PRODUKTRESUMÉ</w:t>
      </w:r>
    </w:p>
    <w:p w:rsidR="00C65ADF" w:rsidRDefault="00C65ADF" w:rsidP="00C65ADF">
      <w:pPr>
        <w:tabs>
          <w:tab w:val="left" w:pos="8222"/>
        </w:tabs>
        <w:jc w:val="center"/>
        <w:rPr>
          <w:b/>
          <w:sz w:val="24"/>
          <w:szCs w:val="24"/>
        </w:rPr>
      </w:pPr>
    </w:p>
    <w:p w:rsidR="00C65ADF" w:rsidRDefault="00C65ADF" w:rsidP="00C65ADF">
      <w:pPr>
        <w:tabs>
          <w:tab w:val="left" w:pos="8222"/>
        </w:tabs>
        <w:jc w:val="center"/>
        <w:rPr>
          <w:b/>
          <w:sz w:val="24"/>
          <w:szCs w:val="24"/>
        </w:rPr>
      </w:pPr>
      <w:r>
        <w:rPr>
          <w:b/>
          <w:sz w:val="24"/>
          <w:szCs w:val="24"/>
        </w:rPr>
        <w:t>for</w:t>
      </w:r>
    </w:p>
    <w:p w:rsidR="00C65ADF" w:rsidRDefault="00C65ADF" w:rsidP="00C65ADF">
      <w:pPr>
        <w:tabs>
          <w:tab w:val="left" w:pos="8222"/>
        </w:tabs>
        <w:jc w:val="center"/>
        <w:rPr>
          <w:b/>
          <w:sz w:val="24"/>
          <w:szCs w:val="24"/>
        </w:rPr>
      </w:pPr>
    </w:p>
    <w:p w:rsidR="00C65ADF" w:rsidRDefault="00C65ADF" w:rsidP="00C65ADF">
      <w:pPr>
        <w:tabs>
          <w:tab w:val="left" w:pos="8222"/>
        </w:tabs>
        <w:jc w:val="center"/>
        <w:rPr>
          <w:b/>
          <w:sz w:val="24"/>
          <w:szCs w:val="24"/>
        </w:rPr>
      </w:pPr>
      <w:bookmarkStart w:id="0" w:name="_GoBack"/>
      <w:proofErr w:type="spellStart"/>
      <w:r>
        <w:rPr>
          <w:b/>
          <w:sz w:val="24"/>
          <w:szCs w:val="24"/>
        </w:rPr>
        <w:t>Erybac</w:t>
      </w:r>
      <w:proofErr w:type="spellEnd"/>
      <w:r>
        <w:rPr>
          <w:b/>
          <w:sz w:val="24"/>
          <w:szCs w:val="24"/>
        </w:rPr>
        <w:t xml:space="preserve"> Uno </w:t>
      </w:r>
      <w:proofErr w:type="spellStart"/>
      <w:r>
        <w:rPr>
          <w:b/>
          <w:sz w:val="24"/>
          <w:szCs w:val="24"/>
        </w:rPr>
        <w:t>Vet</w:t>
      </w:r>
      <w:proofErr w:type="spellEnd"/>
      <w:r>
        <w:rPr>
          <w:b/>
          <w:sz w:val="24"/>
          <w:szCs w:val="24"/>
        </w:rPr>
        <w:t xml:space="preserve">., </w:t>
      </w:r>
      <w:bookmarkEnd w:id="0"/>
      <w:r>
        <w:rPr>
          <w:b/>
          <w:sz w:val="24"/>
          <w:szCs w:val="24"/>
        </w:rPr>
        <w:t>injektionsvæske, emulsion</w:t>
      </w:r>
    </w:p>
    <w:p w:rsidR="00C65ADF" w:rsidRDefault="00C65ADF" w:rsidP="00C65ADF">
      <w:pPr>
        <w:tabs>
          <w:tab w:val="left" w:pos="8222"/>
        </w:tabs>
        <w:jc w:val="both"/>
        <w:rPr>
          <w:sz w:val="24"/>
          <w:szCs w:val="24"/>
        </w:rPr>
      </w:pPr>
    </w:p>
    <w:p w:rsidR="00C65ADF" w:rsidRPr="00131697" w:rsidRDefault="00C65ADF" w:rsidP="00C65ADF">
      <w:pPr>
        <w:ind w:left="851" w:hanging="851"/>
        <w:jc w:val="both"/>
        <w:rPr>
          <w:sz w:val="24"/>
          <w:szCs w:val="24"/>
        </w:rPr>
      </w:pPr>
    </w:p>
    <w:p w:rsidR="00C65ADF" w:rsidRPr="00131697" w:rsidRDefault="00C65ADF" w:rsidP="00654AD7">
      <w:pPr>
        <w:tabs>
          <w:tab w:val="left" w:pos="567"/>
        </w:tabs>
        <w:ind w:left="851" w:hanging="851"/>
        <w:rPr>
          <w:b/>
          <w:sz w:val="24"/>
          <w:szCs w:val="24"/>
        </w:rPr>
      </w:pPr>
      <w:r w:rsidRPr="00131697">
        <w:rPr>
          <w:b/>
          <w:sz w:val="24"/>
          <w:szCs w:val="24"/>
        </w:rPr>
        <w:t>0.</w:t>
      </w:r>
      <w:r w:rsidRPr="00131697">
        <w:rPr>
          <w:b/>
          <w:sz w:val="24"/>
          <w:szCs w:val="24"/>
        </w:rPr>
        <w:tab/>
        <w:t>D.SP.NR</w:t>
      </w:r>
    </w:p>
    <w:p w:rsidR="00C65ADF" w:rsidRPr="00131697" w:rsidRDefault="00C65ADF" w:rsidP="00654AD7">
      <w:pPr>
        <w:ind w:left="567" w:hanging="567"/>
        <w:jc w:val="both"/>
        <w:rPr>
          <w:sz w:val="24"/>
          <w:szCs w:val="24"/>
        </w:rPr>
      </w:pPr>
      <w:r>
        <w:rPr>
          <w:sz w:val="24"/>
          <w:szCs w:val="24"/>
        </w:rPr>
        <w:tab/>
      </w:r>
      <w:r w:rsidRPr="00131697">
        <w:rPr>
          <w:sz w:val="24"/>
          <w:szCs w:val="24"/>
        </w:rPr>
        <w:t>27082</w:t>
      </w:r>
    </w:p>
    <w:p w:rsidR="00C65ADF" w:rsidRPr="00131697" w:rsidRDefault="00C65ADF" w:rsidP="00C65ADF">
      <w:pPr>
        <w:ind w:left="851" w:hanging="851"/>
        <w:jc w:val="both"/>
        <w:rPr>
          <w:sz w:val="24"/>
          <w:szCs w:val="24"/>
        </w:rPr>
      </w:pPr>
    </w:p>
    <w:p w:rsidR="00654AD7" w:rsidRPr="00053995" w:rsidRDefault="00654AD7" w:rsidP="00654AD7">
      <w:pPr>
        <w:pStyle w:val="Style1"/>
      </w:pPr>
      <w:r w:rsidRPr="00053995">
        <w:t>1.</w:t>
      </w:r>
      <w:r w:rsidRPr="00053995">
        <w:tab/>
        <w:t>VETERINÆRLÆGEMIDLETS NAVN</w:t>
      </w:r>
    </w:p>
    <w:p w:rsidR="00654AD7" w:rsidRPr="00053995" w:rsidRDefault="00654AD7" w:rsidP="00654AD7">
      <w:pPr>
        <w:rPr>
          <w:szCs w:val="22"/>
        </w:rPr>
      </w:pPr>
    </w:p>
    <w:p w:rsidR="00654AD7" w:rsidRDefault="00654AD7" w:rsidP="00654AD7">
      <w:pPr>
        <w:ind w:left="567"/>
        <w:rPr>
          <w:szCs w:val="22"/>
        </w:rPr>
      </w:pPr>
      <w:proofErr w:type="spellStart"/>
      <w:r w:rsidRPr="00053995">
        <w:rPr>
          <w:szCs w:val="22"/>
        </w:rPr>
        <w:t>Erybac</w:t>
      </w:r>
      <w:proofErr w:type="spellEnd"/>
      <w:r w:rsidRPr="00053995">
        <w:rPr>
          <w:szCs w:val="22"/>
        </w:rPr>
        <w:t xml:space="preserve"> Uno </w:t>
      </w:r>
      <w:proofErr w:type="spellStart"/>
      <w:r w:rsidRPr="00053995">
        <w:rPr>
          <w:szCs w:val="22"/>
        </w:rPr>
        <w:t>Vet</w:t>
      </w:r>
      <w:proofErr w:type="spellEnd"/>
      <w:r w:rsidRPr="00053995">
        <w:rPr>
          <w:szCs w:val="22"/>
        </w:rPr>
        <w:t xml:space="preserve">., </w:t>
      </w:r>
    </w:p>
    <w:p w:rsidR="00654AD7" w:rsidRDefault="00654AD7" w:rsidP="00654AD7">
      <w:pPr>
        <w:ind w:left="567"/>
        <w:rPr>
          <w:szCs w:val="22"/>
        </w:rPr>
      </w:pPr>
    </w:p>
    <w:p w:rsidR="00654AD7" w:rsidRPr="00053995" w:rsidRDefault="00654AD7" w:rsidP="00654AD7">
      <w:pPr>
        <w:ind w:left="567"/>
        <w:rPr>
          <w:szCs w:val="22"/>
        </w:rPr>
      </w:pPr>
      <w:r>
        <w:rPr>
          <w:szCs w:val="22"/>
        </w:rPr>
        <w:t>Lægemiddelform:  Injektionsvæske, emulsion</w:t>
      </w:r>
    </w:p>
    <w:p w:rsidR="00654AD7" w:rsidRPr="00053995" w:rsidRDefault="00654AD7" w:rsidP="00654AD7">
      <w:pPr>
        <w:rPr>
          <w:szCs w:val="22"/>
        </w:rPr>
      </w:pPr>
    </w:p>
    <w:p w:rsidR="00654AD7" w:rsidRPr="00053995" w:rsidRDefault="00654AD7" w:rsidP="00654AD7">
      <w:pPr>
        <w:rPr>
          <w:szCs w:val="22"/>
        </w:rPr>
      </w:pPr>
    </w:p>
    <w:p w:rsidR="00654AD7" w:rsidRPr="00053995" w:rsidRDefault="00654AD7" w:rsidP="00654AD7">
      <w:pPr>
        <w:pStyle w:val="Style1"/>
      </w:pPr>
      <w:r w:rsidRPr="00053995">
        <w:t>2.</w:t>
      </w:r>
      <w:r w:rsidRPr="00053995">
        <w:tab/>
        <w:t>KVALITATIV OG KVANTITATIV SAMMENSÆTNING</w:t>
      </w:r>
    </w:p>
    <w:p w:rsidR="00654AD7" w:rsidRPr="00053995" w:rsidRDefault="00654AD7" w:rsidP="00654AD7">
      <w:pPr>
        <w:rPr>
          <w:szCs w:val="22"/>
        </w:rPr>
      </w:pPr>
    </w:p>
    <w:p w:rsidR="00654AD7" w:rsidRPr="00053995" w:rsidRDefault="00654AD7" w:rsidP="00654AD7">
      <w:pPr>
        <w:ind w:left="567"/>
        <w:rPr>
          <w:szCs w:val="22"/>
        </w:rPr>
      </w:pPr>
      <w:r w:rsidRPr="00053995">
        <w:rPr>
          <w:szCs w:val="22"/>
        </w:rPr>
        <w:t>2 ml indeholder:</w:t>
      </w:r>
    </w:p>
    <w:p w:rsidR="00654AD7" w:rsidRPr="00053995" w:rsidRDefault="00654AD7" w:rsidP="00654AD7">
      <w:pPr>
        <w:ind w:left="567"/>
        <w:rPr>
          <w:b/>
          <w:szCs w:val="22"/>
        </w:rPr>
      </w:pPr>
      <w:r w:rsidRPr="00053995">
        <w:rPr>
          <w:b/>
          <w:szCs w:val="22"/>
        </w:rPr>
        <w:t>Aktive stoffer:</w:t>
      </w:r>
    </w:p>
    <w:tbl>
      <w:tblPr>
        <w:tblW w:w="5000" w:type="pct"/>
        <w:tblInd w:w="567" w:type="dxa"/>
        <w:tblBorders>
          <w:insideV w:val="single" w:sz="4" w:space="0" w:color="auto"/>
        </w:tblBorders>
        <w:tblLook w:val="04A0" w:firstRow="1" w:lastRow="0" w:firstColumn="1" w:lastColumn="0" w:noHBand="0" w:noVBand="1"/>
      </w:tblPr>
      <w:tblGrid>
        <w:gridCol w:w="7228"/>
        <w:gridCol w:w="2410"/>
      </w:tblGrid>
      <w:tr w:rsidR="00654AD7" w:rsidRPr="00053995" w:rsidTr="00654AD7">
        <w:trPr>
          <w:trHeight w:val="680"/>
        </w:trPr>
        <w:tc>
          <w:tcPr>
            <w:tcW w:w="3750" w:type="pct"/>
            <w:tcBorders>
              <w:top w:val="nil"/>
              <w:left w:val="nil"/>
              <w:bottom w:val="nil"/>
              <w:right w:val="nil"/>
            </w:tcBorders>
            <w:vAlign w:val="center"/>
            <w:hideMark/>
          </w:tcPr>
          <w:p w:rsidR="00654AD7" w:rsidRDefault="00654AD7" w:rsidP="00252324">
            <w:pPr>
              <w:tabs>
                <w:tab w:val="left" w:pos="0"/>
              </w:tabs>
              <w:rPr>
                <w:szCs w:val="22"/>
              </w:rPr>
            </w:pPr>
            <w:proofErr w:type="spellStart"/>
            <w:r w:rsidRPr="00053995">
              <w:rPr>
                <w:i/>
                <w:szCs w:val="22"/>
              </w:rPr>
              <w:t>Erysipelothrix</w:t>
            </w:r>
            <w:proofErr w:type="spellEnd"/>
            <w:r w:rsidRPr="00053995">
              <w:rPr>
                <w:i/>
                <w:szCs w:val="22"/>
              </w:rPr>
              <w:t xml:space="preserve"> </w:t>
            </w:r>
            <w:proofErr w:type="spellStart"/>
            <w:r w:rsidRPr="00053995">
              <w:rPr>
                <w:i/>
                <w:szCs w:val="22"/>
              </w:rPr>
              <w:t>rhusiopathiae</w:t>
            </w:r>
            <w:proofErr w:type="spellEnd"/>
            <w:r w:rsidRPr="00053995">
              <w:rPr>
                <w:szCs w:val="22"/>
              </w:rPr>
              <w:t xml:space="preserve"> stamme 2-64, </w:t>
            </w:r>
            <w:proofErr w:type="spellStart"/>
            <w:r w:rsidRPr="00053995">
              <w:rPr>
                <w:szCs w:val="22"/>
              </w:rPr>
              <w:t>serotype</w:t>
            </w:r>
            <w:proofErr w:type="spellEnd"/>
            <w:r w:rsidRPr="00053995">
              <w:rPr>
                <w:szCs w:val="22"/>
              </w:rPr>
              <w:t xml:space="preserve"> 2a, inaktiveret</w:t>
            </w:r>
          </w:p>
          <w:p w:rsidR="00654AD7" w:rsidRPr="008E074C" w:rsidRDefault="00654AD7" w:rsidP="00252324">
            <w:pPr>
              <w:tabs>
                <w:tab w:val="left" w:pos="0"/>
              </w:tabs>
              <w:rPr>
                <w:szCs w:val="22"/>
              </w:rPr>
            </w:pPr>
            <w:r w:rsidRPr="00053995">
              <w:rPr>
                <w:szCs w:val="22"/>
              </w:rPr>
              <w:t>(min. 5∙10</w:t>
            </w:r>
            <w:r w:rsidRPr="00053995">
              <w:rPr>
                <w:szCs w:val="22"/>
                <w:vertAlign w:val="superscript"/>
              </w:rPr>
              <w:t xml:space="preserve">9 </w:t>
            </w:r>
            <w:r w:rsidRPr="00053995">
              <w:rPr>
                <w:szCs w:val="22"/>
              </w:rPr>
              <w:t>CFU max. 5 ∙10</w:t>
            </w:r>
            <w:r w:rsidRPr="00053995">
              <w:rPr>
                <w:szCs w:val="22"/>
                <w:vertAlign w:val="superscript"/>
              </w:rPr>
              <w:t xml:space="preserve">10 </w:t>
            </w:r>
            <w:r w:rsidRPr="00053995">
              <w:rPr>
                <w:szCs w:val="22"/>
              </w:rPr>
              <w:t>CFU)</w:t>
            </w:r>
          </w:p>
        </w:tc>
        <w:tc>
          <w:tcPr>
            <w:tcW w:w="1250" w:type="pct"/>
            <w:vMerge w:val="restart"/>
            <w:tcBorders>
              <w:top w:val="nil"/>
              <w:left w:val="nil"/>
              <w:bottom w:val="nil"/>
              <w:right w:val="nil"/>
            </w:tcBorders>
            <w:vAlign w:val="center"/>
            <w:hideMark/>
          </w:tcPr>
          <w:p w:rsidR="00654AD7" w:rsidRDefault="00654AD7" w:rsidP="00252324">
            <w:pPr>
              <w:tabs>
                <w:tab w:val="left" w:pos="0"/>
              </w:tabs>
              <w:jc w:val="center"/>
              <w:rPr>
                <w:szCs w:val="22"/>
              </w:rPr>
            </w:pPr>
            <w:r w:rsidRPr="00053995">
              <w:rPr>
                <w:szCs w:val="22"/>
              </w:rPr>
              <w:t xml:space="preserve">RP </w:t>
            </w:r>
            <w:r w:rsidRPr="00053995">
              <w:rPr>
                <w:szCs w:val="22"/>
                <w:u w:val="single"/>
              </w:rPr>
              <w:t>&gt;</w:t>
            </w:r>
            <w:r w:rsidRPr="00053995">
              <w:rPr>
                <w:szCs w:val="22"/>
              </w:rPr>
              <w:t>1*</w:t>
            </w:r>
          </w:p>
          <w:p w:rsidR="00654AD7" w:rsidRPr="00053995" w:rsidRDefault="00654AD7" w:rsidP="00252324">
            <w:pPr>
              <w:tabs>
                <w:tab w:val="left" w:pos="0"/>
              </w:tabs>
              <w:jc w:val="center"/>
              <w:rPr>
                <w:i/>
                <w:szCs w:val="22"/>
              </w:rPr>
            </w:pPr>
          </w:p>
        </w:tc>
      </w:tr>
      <w:tr w:rsidR="00654AD7" w:rsidRPr="00053995" w:rsidTr="00654AD7">
        <w:trPr>
          <w:trHeight w:val="680"/>
        </w:trPr>
        <w:tc>
          <w:tcPr>
            <w:tcW w:w="3750" w:type="pct"/>
            <w:tcBorders>
              <w:top w:val="nil"/>
              <w:left w:val="nil"/>
              <w:bottom w:val="nil"/>
              <w:right w:val="nil"/>
            </w:tcBorders>
            <w:vAlign w:val="center"/>
            <w:hideMark/>
          </w:tcPr>
          <w:p w:rsidR="00654AD7" w:rsidRDefault="00654AD7" w:rsidP="00252324">
            <w:pPr>
              <w:tabs>
                <w:tab w:val="left" w:pos="0"/>
              </w:tabs>
              <w:rPr>
                <w:szCs w:val="22"/>
              </w:rPr>
            </w:pPr>
            <w:proofErr w:type="spellStart"/>
            <w:r w:rsidRPr="00053995">
              <w:rPr>
                <w:i/>
                <w:szCs w:val="22"/>
              </w:rPr>
              <w:t>Erysipelothrix</w:t>
            </w:r>
            <w:proofErr w:type="spellEnd"/>
            <w:r w:rsidRPr="00053995">
              <w:rPr>
                <w:i/>
                <w:szCs w:val="22"/>
              </w:rPr>
              <w:t xml:space="preserve"> </w:t>
            </w:r>
            <w:proofErr w:type="spellStart"/>
            <w:r w:rsidRPr="00053995">
              <w:rPr>
                <w:i/>
                <w:szCs w:val="22"/>
              </w:rPr>
              <w:t>rhusiopathiae</w:t>
            </w:r>
            <w:proofErr w:type="spellEnd"/>
            <w:r w:rsidRPr="00053995">
              <w:rPr>
                <w:szCs w:val="22"/>
              </w:rPr>
              <w:t xml:space="preserve"> stamme 2-5, </w:t>
            </w:r>
            <w:proofErr w:type="spellStart"/>
            <w:r w:rsidRPr="00053995">
              <w:rPr>
                <w:szCs w:val="22"/>
              </w:rPr>
              <w:t>serotype</w:t>
            </w:r>
            <w:proofErr w:type="spellEnd"/>
            <w:r w:rsidRPr="00053995">
              <w:rPr>
                <w:szCs w:val="22"/>
              </w:rPr>
              <w:t xml:space="preserve"> 2a, inaktiveret</w:t>
            </w:r>
          </w:p>
          <w:p w:rsidR="00654AD7" w:rsidRPr="008E074C" w:rsidRDefault="00654AD7" w:rsidP="00252324">
            <w:pPr>
              <w:tabs>
                <w:tab w:val="left" w:pos="0"/>
              </w:tabs>
              <w:rPr>
                <w:szCs w:val="22"/>
              </w:rPr>
            </w:pPr>
            <w:r w:rsidRPr="00053995">
              <w:rPr>
                <w:szCs w:val="22"/>
              </w:rPr>
              <w:t>(min. 5∙10</w:t>
            </w:r>
            <w:r w:rsidRPr="00053995">
              <w:rPr>
                <w:szCs w:val="22"/>
                <w:vertAlign w:val="superscript"/>
              </w:rPr>
              <w:t xml:space="preserve">9 </w:t>
            </w:r>
            <w:r w:rsidRPr="00053995">
              <w:rPr>
                <w:szCs w:val="22"/>
              </w:rPr>
              <w:t>CFU max. 5 ∙10</w:t>
            </w:r>
            <w:r w:rsidRPr="00053995">
              <w:rPr>
                <w:szCs w:val="22"/>
                <w:vertAlign w:val="superscript"/>
              </w:rPr>
              <w:t xml:space="preserve">10 </w:t>
            </w:r>
            <w:r w:rsidRPr="00053995">
              <w:rPr>
                <w:szCs w:val="22"/>
              </w:rPr>
              <w:t>CFU)</w:t>
            </w:r>
          </w:p>
        </w:tc>
        <w:tc>
          <w:tcPr>
            <w:tcW w:w="1250" w:type="pct"/>
            <w:vMerge/>
            <w:tcBorders>
              <w:top w:val="nil"/>
              <w:left w:val="nil"/>
              <w:bottom w:val="nil"/>
              <w:right w:val="nil"/>
            </w:tcBorders>
            <w:vAlign w:val="center"/>
            <w:hideMark/>
          </w:tcPr>
          <w:p w:rsidR="00654AD7" w:rsidRPr="00053995" w:rsidRDefault="00654AD7" w:rsidP="00252324">
            <w:pPr>
              <w:tabs>
                <w:tab w:val="left" w:pos="0"/>
              </w:tabs>
              <w:rPr>
                <w:i/>
                <w:szCs w:val="22"/>
              </w:rPr>
            </w:pPr>
          </w:p>
        </w:tc>
      </w:tr>
      <w:tr w:rsidR="00654AD7" w:rsidRPr="00053995" w:rsidTr="00654AD7">
        <w:trPr>
          <w:trHeight w:val="680"/>
        </w:trPr>
        <w:tc>
          <w:tcPr>
            <w:tcW w:w="3750" w:type="pct"/>
            <w:tcBorders>
              <w:top w:val="nil"/>
              <w:left w:val="nil"/>
              <w:bottom w:val="nil"/>
              <w:right w:val="nil"/>
            </w:tcBorders>
            <w:vAlign w:val="center"/>
            <w:hideMark/>
          </w:tcPr>
          <w:p w:rsidR="00654AD7" w:rsidRDefault="00654AD7" w:rsidP="00252324">
            <w:pPr>
              <w:tabs>
                <w:tab w:val="left" w:pos="0"/>
              </w:tabs>
              <w:rPr>
                <w:szCs w:val="22"/>
              </w:rPr>
            </w:pPr>
            <w:proofErr w:type="spellStart"/>
            <w:r w:rsidRPr="00053995">
              <w:rPr>
                <w:i/>
                <w:szCs w:val="22"/>
              </w:rPr>
              <w:t>Erysipelothrix</w:t>
            </w:r>
            <w:proofErr w:type="spellEnd"/>
            <w:r w:rsidRPr="00053995">
              <w:rPr>
                <w:i/>
                <w:szCs w:val="22"/>
              </w:rPr>
              <w:t xml:space="preserve"> </w:t>
            </w:r>
            <w:proofErr w:type="spellStart"/>
            <w:r w:rsidRPr="00053995">
              <w:rPr>
                <w:i/>
                <w:szCs w:val="22"/>
              </w:rPr>
              <w:t>rhusiopathiae</w:t>
            </w:r>
            <w:proofErr w:type="spellEnd"/>
            <w:r w:rsidRPr="00053995">
              <w:rPr>
                <w:szCs w:val="22"/>
              </w:rPr>
              <w:t xml:space="preserve"> stamme 2-II, </w:t>
            </w:r>
            <w:proofErr w:type="spellStart"/>
            <w:r w:rsidRPr="00053995">
              <w:rPr>
                <w:szCs w:val="22"/>
              </w:rPr>
              <w:t>serotype</w:t>
            </w:r>
            <w:proofErr w:type="spellEnd"/>
            <w:r w:rsidRPr="00053995">
              <w:rPr>
                <w:szCs w:val="22"/>
              </w:rPr>
              <w:t xml:space="preserve"> 2a, inaktiveret</w:t>
            </w:r>
          </w:p>
          <w:p w:rsidR="00654AD7" w:rsidRPr="008E074C" w:rsidRDefault="00654AD7" w:rsidP="00252324">
            <w:pPr>
              <w:tabs>
                <w:tab w:val="left" w:pos="0"/>
              </w:tabs>
              <w:rPr>
                <w:szCs w:val="22"/>
              </w:rPr>
            </w:pPr>
            <w:r w:rsidRPr="00053995">
              <w:rPr>
                <w:szCs w:val="22"/>
              </w:rPr>
              <w:t>(min. 5∙10</w:t>
            </w:r>
            <w:r w:rsidRPr="00053995">
              <w:rPr>
                <w:szCs w:val="22"/>
                <w:vertAlign w:val="superscript"/>
              </w:rPr>
              <w:t xml:space="preserve">9 </w:t>
            </w:r>
            <w:r w:rsidRPr="00053995">
              <w:rPr>
                <w:szCs w:val="22"/>
              </w:rPr>
              <w:t>CFU max. 5 ∙10</w:t>
            </w:r>
            <w:r w:rsidRPr="00053995">
              <w:rPr>
                <w:szCs w:val="22"/>
                <w:vertAlign w:val="superscript"/>
              </w:rPr>
              <w:t xml:space="preserve">10 </w:t>
            </w:r>
            <w:r w:rsidRPr="00053995">
              <w:rPr>
                <w:szCs w:val="22"/>
              </w:rPr>
              <w:t>CFU)</w:t>
            </w:r>
          </w:p>
        </w:tc>
        <w:tc>
          <w:tcPr>
            <w:tcW w:w="1250" w:type="pct"/>
            <w:vMerge/>
            <w:tcBorders>
              <w:top w:val="nil"/>
              <w:left w:val="nil"/>
              <w:bottom w:val="nil"/>
              <w:right w:val="nil"/>
            </w:tcBorders>
            <w:vAlign w:val="center"/>
            <w:hideMark/>
          </w:tcPr>
          <w:p w:rsidR="00654AD7" w:rsidRPr="00053995" w:rsidRDefault="00654AD7" w:rsidP="00252324">
            <w:pPr>
              <w:tabs>
                <w:tab w:val="left" w:pos="0"/>
              </w:tabs>
              <w:rPr>
                <w:i/>
                <w:szCs w:val="22"/>
              </w:rPr>
            </w:pPr>
          </w:p>
        </w:tc>
      </w:tr>
      <w:tr w:rsidR="00654AD7" w:rsidRPr="00053995" w:rsidTr="00654AD7">
        <w:trPr>
          <w:trHeight w:val="680"/>
        </w:trPr>
        <w:tc>
          <w:tcPr>
            <w:tcW w:w="3750" w:type="pct"/>
            <w:tcBorders>
              <w:top w:val="nil"/>
              <w:left w:val="nil"/>
              <w:bottom w:val="nil"/>
              <w:right w:val="nil"/>
            </w:tcBorders>
            <w:vAlign w:val="center"/>
            <w:hideMark/>
          </w:tcPr>
          <w:p w:rsidR="00654AD7" w:rsidRDefault="00654AD7" w:rsidP="00252324">
            <w:pPr>
              <w:tabs>
                <w:tab w:val="left" w:pos="0"/>
              </w:tabs>
              <w:rPr>
                <w:szCs w:val="22"/>
              </w:rPr>
            </w:pPr>
            <w:proofErr w:type="spellStart"/>
            <w:r w:rsidRPr="00053995">
              <w:rPr>
                <w:i/>
                <w:szCs w:val="22"/>
              </w:rPr>
              <w:t>Erysipelothrix</w:t>
            </w:r>
            <w:proofErr w:type="spellEnd"/>
            <w:r w:rsidRPr="00053995">
              <w:rPr>
                <w:i/>
                <w:szCs w:val="22"/>
              </w:rPr>
              <w:t xml:space="preserve"> </w:t>
            </w:r>
            <w:proofErr w:type="spellStart"/>
            <w:r w:rsidRPr="00053995">
              <w:rPr>
                <w:i/>
                <w:szCs w:val="22"/>
              </w:rPr>
              <w:t>rhusiopathiae</w:t>
            </w:r>
            <w:proofErr w:type="spellEnd"/>
            <w:r w:rsidRPr="00053995">
              <w:rPr>
                <w:szCs w:val="22"/>
              </w:rPr>
              <w:t xml:space="preserve"> stamme 1-203, </w:t>
            </w:r>
            <w:proofErr w:type="spellStart"/>
            <w:r w:rsidRPr="00053995">
              <w:rPr>
                <w:szCs w:val="22"/>
              </w:rPr>
              <w:t>serotype</w:t>
            </w:r>
            <w:proofErr w:type="spellEnd"/>
            <w:r w:rsidRPr="00053995">
              <w:rPr>
                <w:szCs w:val="22"/>
              </w:rPr>
              <w:t xml:space="preserve"> 1a, inaktiveret</w:t>
            </w:r>
          </w:p>
          <w:p w:rsidR="00654AD7" w:rsidRPr="00053995" w:rsidRDefault="00654AD7" w:rsidP="00252324">
            <w:pPr>
              <w:tabs>
                <w:tab w:val="left" w:pos="0"/>
              </w:tabs>
              <w:rPr>
                <w:i/>
                <w:szCs w:val="22"/>
              </w:rPr>
            </w:pPr>
            <w:r w:rsidRPr="00053995">
              <w:rPr>
                <w:szCs w:val="22"/>
              </w:rPr>
              <w:t>(min. 5∙10</w:t>
            </w:r>
            <w:r w:rsidRPr="00053995">
              <w:rPr>
                <w:szCs w:val="22"/>
                <w:vertAlign w:val="superscript"/>
              </w:rPr>
              <w:t xml:space="preserve">9 </w:t>
            </w:r>
            <w:r w:rsidRPr="00053995">
              <w:rPr>
                <w:szCs w:val="22"/>
              </w:rPr>
              <w:t>CFU max. 5 ∙10</w:t>
            </w:r>
            <w:r w:rsidRPr="00053995">
              <w:rPr>
                <w:szCs w:val="22"/>
                <w:vertAlign w:val="superscript"/>
              </w:rPr>
              <w:t xml:space="preserve">10 </w:t>
            </w:r>
            <w:r w:rsidRPr="00053995">
              <w:rPr>
                <w:szCs w:val="22"/>
              </w:rPr>
              <w:t>CFU)</w:t>
            </w:r>
          </w:p>
        </w:tc>
        <w:tc>
          <w:tcPr>
            <w:tcW w:w="1250" w:type="pct"/>
            <w:vMerge/>
            <w:tcBorders>
              <w:top w:val="nil"/>
              <w:left w:val="nil"/>
              <w:bottom w:val="nil"/>
              <w:right w:val="nil"/>
            </w:tcBorders>
            <w:vAlign w:val="center"/>
            <w:hideMark/>
          </w:tcPr>
          <w:p w:rsidR="00654AD7" w:rsidRPr="00053995" w:rsidRDefault="00654AD7" w:rsidP="00252324">
            <w:pPr>
              <w:tabs>
                <w:tab w:val="left" w:pos="0"/>
              </w:tabs>
              <w:rPr>
                <w:i/>
                <w:szCs w:val="22"/>
              </w:rPr>
            </w:pPr>
          </w:p>
        </w:tc>
      </w:tr>
    </w:tbl>
    <w:p w:rsidR="00654AD7" w:rsidRPr="00053995" w:rsidRDefault="00654AD7" w:rsidP="00654AD7">
      <w:pPr>
        <w:tabs>
          <w:tab w:val="left" w:pos="0"/>
        </w:tabs>
        <w:ind w:left="567"/>
        <w:rPr>
          <w:b/>
          <w:szCs w:val="22"/>
        </w:rPr>
      </w:pPr>
    </w:p>
    <w:p w:rsidR="00654AD7" w:rsidRPr="00053995" w:rsidRDefault="00654AD7" w:rsidP="00654AD7">
      <w:pPr>
        <w:tabs>
          <w:tab w:val="left" w:pos="0"/>
        </w:tabs>
        <w:ind w:left="567"/>
        <w:rPr>
          <w:szCs w:val="22"/>
        </w:rPr>
      </w:pPr>
      <w:bookmarkStart w:id="1" w:name="OLE_LINK2"/>
      <w:bookmarkStart w:id="2" w:name="OLE_LINK1"/>
      <w:r w:rsidRPr="00053995">
        <w:rPr>
          <w:szCs w:val="22"/>
        </w:rPr>
        <w:t xml:space="preserve">*) Relativ styrke (RP) bestemmes ved sammenligning med referencepræparat i overensstemmelse med </w:t>
      </w:r>
      <w:proofErr w:type="spellStart"/>
      <w:r w:rsidRPr="00053995">
        <w:rPr>
          <w:szCs w:val="22"/>
        </w:rPr>
        <w:t>challengetest</w:t>
      </w:r>
      <w:proofErr w:type="spellEnd"/>
      <w:r w:rsidRPr="00053995">
        <w:rPr>
          <w:szCs w:val="22"/>
        </w:rPr>
        <w:t xml:space="preserve"> på målgruppedyr svarende til kravene i gældende </w:t>
      </w:r>
      <w:proofErr w:type="spellStart"/>
      <w:r w:rsidRPr="00053995">
        <w:rPr>
          <w:szCs w:val="22"/>
        </w:rPr>
        <w:t>Ph</w:t>
      </w:r>
      <w:proofErr w:type="spellEnd"/>
      <w:r w:rsidRPr="00053995">
        <w:rPr>
          <w:szCs w:val="22"/>
        </w:rPr>
        <w:t xml:space="preserve">. </w:t>
      </w:r>
      <w:proofErr w:type="spellStart"/>
      <w:r w:rsidRPr="00053995">
        <w:rPr>
          <w:szCs w:val="22"/>
        </w:rPr>
        <w:t>Eur</w:t>
      </w:r>
      <w:proofErr w:type="spellEnd"/>
      <w:r w:rsidRPr="00053995">
        <w:rPr>
          <w:szCs w:val="22"/>
        </w:rPr>
        <w:t>. monografi.</w:t>
      </w:r>
      <w:bookmarkEnd w:id="1"/>
      <w:bookmarkEnd w:id="2"/>
    </w:p>
    <w:p w:rsidR="00654AD7" w:rsidRPr="00053995" w:rsidRDefault="00654AD7" w:rsidP="00654AD7">
      <w:pPr>
        <w:ind w:left="567"/>
        <w:rPr>
          <w:iCs/>
          <w:szCs w:val="22"/>
        </w:rPr>
      </w:pPr>
    </w:p>
    <w:p w:rsidR="00654AD7" w:rsidRPr="00053995" w:rsidRDefault="00654AD7" w:rsidP="00654AD7">
      <w:pPr>
        <w:ind w:left="567"/>
        <w:rPr>
          <w:szCs w:val="22"/>
        </w:rPr>
      </w:pPr>
      <w:proofErr w:type="spellStart"/>
      <w:r w:rsidRPr="00053995">
        <w:rPr>
          <w:b/>
          <w:szCs w:val="22"/>
        </w:rPr>
        <w:t>Adjuvans</w:t>
      </w:r>
      <w:proofErr w:type="spellEnd"/>
      <w:r w:rsidRPr="00053995">
        <w:rPr>
          <w:b/>
          <w:szCs w:val="22"/>
        </w:rPr>
        <w:t>:</w:t>
      </w:r>
      <w:r w:rsidRPr="00053995">
        <w:rPr>
          <w:szCs w:val="22"/>
        </w:rPr>
        <w:t xml:space="preserve"> Montanide ISA 25VG (blanding af mineralsk olie og </w:t>
      </w:r>
      <w:proofErr w:type="spellStart"/>
      <w:r w:rsidRPr="00053995">
        <w:rPr>
          <w:szCs w:val="22"/>
        </w:rPr>
        <w:t>anhydromannitol</w:t>
      </w:r>
      <w:proofErr w:type="spellEnd"/>
      <w:r w:rsidRPr="00053995">
        <w:rPr>
          <w:szCs w:val="22"/>
        </w:rPr>
        <w:t xml:space="preserve"> </w:t>
      </w:r>
      <w:proofErr w:type="spellStart"/>
      <w:r w:rsidRPr="00053995">
        <w:rPr>
          <w:szCs w:val="22"/>
        </w:rPr>
        <w:t>octadecanoatether</w:t>
      </w:r>
      <w:proofErr w:type="spellEnd"/>
      <w:r w:rsidRPr="00053995">
        <w:rPr>
          <w:szCs w:val="22"/>
        </w:rPr>
        <w:t>) 0,5 ml</w:t>
      </w:r>
    </w:p>
    <w:p w:rsidR="00654AD7" w:rsidRPr="00053995" w:rsidRDefault="00654AD7" w:rsidP="00654AD7">
      <w:pPr>
        <w:ind w:left="567"/>
        <w:rPr>
          <w:szCs w:val="22"/>
        </w:rPr>
      </w:pPr>
    </w:p>
    <w:p w:rsidR="00654AD7" w:rsidRPr="00053995" w:rsidRDefault="00654AD7" w:rsidP="00654AD7">
      <w:pPr>
        <w:ind w:left="567"/>
        <w:rPr>
          <w:szCs w:val="22"/>
        </w:rPr>
      </w:pPr>
      <w:r w:rsidRPr="00053995">
        <w:rPr>
          <w:b/>
          <w:szCs w:val="22"/>
        </w:rPr>
        <w:t>Hjælpestoffer:</w:t>
      </w:r>
    </w:p>
    <w:p w:rsidR="00654AD7" w:rsidRPr="00053995" w:rsidRDefault="00654AD7" w:rsidP="00654AD7">
      <w:pPr>
        <w:rPr>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7"/>
        <w:gridCol w:w="4524"/>
      </w:tblGrid>
      <w:tr w:rsidR="00654AD7" w:rsidRPr="00053995" w:rsidTr="00654AD7">
        <w:tc>
          <w:tcPr>
            <w:tcW w:w="4537" w:type="dxa"/>
            <w:shd w:val="clear" w:color="auto" w:fill="auto"/>
            <w:vAlign w:val="center"/>
          </w:tcPr>
          <w:p w:rsidR="00654AD7" w:rsidRPr="00053995" w:rsidRDefault="00654AD7" w:rsidP="00252324">
            <w:pPr>
              <w:spacing w:before="60" w:after="60"/>
              <w:rPr>
                <w:b/>
                <w:bCs/>
                <w:iCs/>
                <w:szCs w:val="22"/>
              </w:rPr>
            </w:pPr>
            <w:r w:rsidRPr="00053995">
              <w:rPr>
                <w:b/>
                <w:bCs/>
                <w:iCs/>
                <w:szCs w:val="22"/>
              </w:rPr>
              <w:lastRenderedPageBreak/>
              <w:t>Kvalitativ sammensætning af hjælpestoffer og andre bestanddele</w:t>
            </w:r>
          </w:p>
        </w:tc>
        <w:tc>
          <w:tcPr>
            <w:tcW w:w="4524" w:type="dxa"/>
            <w:shd w:val="clear" w:color="auto" w:fill="auto"/>
            <w:vAlign w:val="center"/>
          </w:tcPr>
          <w:p w:rsidR="00654AD7" w:rsidRPr="00053995" w:rsidRDefault="00654AD7" w:rsidP="00252324">
            <w:pPr>
              <w:spacing w:before="60" w:after="60"/>
              <w:rPr>
                <w:b/>
                <w:bCs/>
                <w:iCs/>
                <w:szCs w:val="22"/>
              </w:rPr>
            </w:pPr>
            <w:r w:rsidRPr="00053995">
              <w:rPr>
                <w:b/>
                <w:bCs/>
                <w:iCs/>
                <w:szCs w:val="22"/>
              </w:rPr>
              <w:t>Kvantitativ sammensætning, hvis oplysningen er vigtig for korrekt administration af veterinærlægemidlet</w:t>
            </w:r>
          </w:p>
        </w:tc>
      </w:tr>
      <w:tr w:rsidR="00654AD7" w:rsidRPr="00053995" w:rsidTr="00654AD7">
        <w:tc>
          <w:tcPr>
            <w:tcW w:w="4537" w:type="dxa"/>
            <w:shd w:val="clear" w:color="auto" w:fill="auto"/>
            <w:vAlign w:val="center"/>
          </w:tcPr>
          <w:p w:rsidR="00654AD7" w:rsidRPr="00053995" w:rsidRDefault="00654AD7" w:rsidP="00252324">
            <w:pPr>
              <w:spacing w:before="60" w:after="60"/>
              <w:ind w:left="567" w:hanging="567"/>
              <w:rPr>
                <w:iCs/>
                <w:szCs w:val="22"/>
              </w:rPr>
            </w:pPr>
            <w:r w:rsidRPr="00053995">
              <w:rPr>
                <w:szCs w:val="22"/>
              </w:rPr>
              <w:t xml:space="preserve">Formaldehydopløsning 35% </w:t>
            </w:r>
          </w:p>
        </w:tc>
        <w:tc>
          <w:tcPr>
            <w:tcW w:w="4524" w:type="dxa"/>
            <w:shd w:val="clear" w:color="auto" w:fill="auto"/>
            <w:vAlign w:val="center"/>
          </w:tcPr>
          <w:p w:rsidR="00654AD7" w:rsidRPr="00053995" w:rsidRDefault="00654AD7" w:rsidP="00252324">
            <w:pPr>
              <w:spacing w:before="60" w:after="60"/>
              <w:rPr>
                <w:iCs/>
                <w:szCs w:val="22"/>
              </w:rPr>
            </w:pPr>
            <w:r w:rsidRPr="00053995">
              <w:rPr>
                <w:szCs w:val="22"/>
              </w:rPr>
              <w:t>max.</w:t>
            </w:r>
            <w:r>
              <w:rPr>
                <w:szCs w:val="22"/>
              </w:rPr>
              <w:t xml:space="preserve"> </w:t>
            </w:r>
            <w:r w:rsidRPr="00053995">
              <w:rPr>
                <w:szCs w:val="22"/>
              </w:rPr>
              <w:t>3,8 mg</w:t>
            </w:r>
          </w:p>
        </w:tc>
      </w:tr>
      <w:tr w:rsidR="00654AD7" w:rsidRPr="00053995" w:rsidTr="00654AD7">
        <w:tc>
          <w:tcPr>
            <w:tcW w:w="4537" w:type="dxa"/>
            <w:shd w:val="clear" w:color="auto" w:fill="auto"/>
            <w:vAlign w:val="center"/>
          </w:tcPr>
          <w:p w:rsidR="00654AD7" w:rsidRPr="00053995" w:rsidRDefault="00654AD7" w:rsidP="00252324">
            <w:pPr>
              <w:spacing w:before="60" w:after="60"/>
              <w:rPr>
                <w:iCs/>
                <w:szCs w:val="22"/>
              </w:rPr>
            </w:pPr>
            <w:proofErr w:type="spellStart"/>
            <w:r w:rsidRPr="00053995">
              <w:rPr>
                <w:szCs w:val="22"/>
              </w:rPr>
              <w:t>Thiomersal</w:t>
            </w:r>
            <w:proofErr w:type="spellEnd"/>
            <w:r w:rsidRPr="00053995">
              <w:rPr>
                <w:szCs w:val="22"/>
              </w:rPr>
              <w:t xml:space="preserve"> </w:t>
            </w:r>
          </w:p>
        </w:tc>
        <w:tc>
          <w:tcPr>
            <w:tcW w:w="4524" w:type="dxa"/>
            <w:shd w:val="clear" w:color="auto" w:fill="auto"/>
            <w:vAlign w:val="center"/>
          </w:tcPr>
          <w:p w:rsidR="00654AD7" w:rsidRPr="00053995" w:rsidRDefault="00654AD7" w:rsidP="00252324">
            <w:pPr>
              <w:spacing w:before="60" w:after="60"/>
              <w:rPr>
                <w:iCs/>
                <w:szCs w:val="22"/>
              </w:rPr>
            </w:pPr>
            <w:r w:rsidRPr="00053995">
              <w:rPr>
                <w:szCs w:val="22"/>
              </w:rPr>
              <w:t>0,2 mg</w:t>
            </w:r>
          </w:p>
        </w:tc>
      </w:tr>
      <w:tr w:rsidR="00654AD7" w:rsidRPr="00053995" w:rsidTr="00654AD7">
        <w:tc>
          <w:tcPr>
            <w:tcW w:w="4537" w:type="dxa"/>
            <w:shd w:val="clear" w:color="auto" w:fill="auto"/>
            <w:vAlign w:val="center"/>
          </w:tcPr>
          <w:p w:rsidR="00654AD7" w:rsidRPr="00053995" w:rsidRDefault="00654AD7" w:rsidP="00252324">
            <w:pPr>
              <w:spacing w:before="60" w:after="60"/>
              <w:rPr>
                <w:iCs/>
                <w:szCs w:val="22"/>
              </w:rPr>
            </w:pPr>
            <w:proofErr w:type="spellStart"/>
            <w:r w:rsidRPr="00053995">
              <w:rPr>
                <w:szCs w:val="22"/>
              </w:rPr>
              <w:t>Natriumchlorid</w:t>
            </w:r>
            <w:proofErr w:type="spellEnd"/>
            <w:r w:rsidRPr="00053995">
              <w:rPr>
                <w:szCs w:val="22"/>
              </w:rPr>
              <w:t xml:space="preserve"> </w:t>
            </w:r>
          </w:p>
        </w:tc>
        <w:tc>
          <w:tcPr>
            <w:tcW w:w="4524" w:type="dxa"/>
            <w:shd w:val="clear" w:color="auto" w:fill="auto"/>
            <w:vAlign w:val="center"/>
          </w:tcPr>
          <w:p w:rsidR="00654AD7" w:rsidRPr="00053995" w:rsidRDefault="00654AD7" w:rsidP="00252324">
            <w:pPr>
              <w:spacing w:before="60" w:after="60"/>
              <w:rPr>
                <w:iCs/>
                <w:szCs w:val="22"/>
              </w:rPr>
            </w:pPr>
            <w:r w:rsidRPr="00053995">
              <w:rPr>
                <w:szCs w:val="22"/>
              </w:rPr>
              <w:t>max. 13,5 mg</w:t>
            </w:r>
          </w:p>
        </w:tc>
      </w:tr>
    </w:tbl>
    <w:p w:rsidR="00654AD7" w:rsidRPr="00053995" w:rsidRDefault="00654AD7" w:rsidP="00654AD7">
      <w:pPr>
        <w:rPr>
          <w:szCs w:val="22"/>
        </w:rPr>
      </w:pPr>
    </w:p>
    <w:p w:rsidR="00654AD7" w:rsidRPr="00053995" w:rsidRDefault="00654AD7" w:rsidP="00654AD7">
      <w:pPr>
        <w:ind w:firstLine="567"/>
        <w:rPr>
          <w:szCs w:val="22"/>
        </w:rPr>
      </w:pPr>
      <w:r w:rsidRPr="00053995">
        <w:rPr>
          <w:szCs w:val="22"/>
        </w:rPr>
        <w:t>Hvid til grålig, uklar væske, svagt bundfald kan forekomme.</w:t>
      </w:r>
    </w:p>
    <w:p w:rsidR="00654AD7" w:rsidRPr="00053995" w:rsidRDefault="00654AD7" w:rsidP="00654AD7">
      <w:pPr>
        <w:rPr>
          <w:szCs w:val="22"/>
        </w:rPr>
      </w:pPr>
    </w:p>
    <w:p w:rsidR="00654AD7" w:rsidRPr="00053995" w:rsidRDefault="00654AD7" w:rsidP="00654AD7">
      <w:pPr>
        <w:pStyle w:val="Style1"/>
      </w:pPr>
      <w:r w:rsidRPr="00053995">
        <w:t>3.</w:t>
      </w:r>
      <w:r w:rsidRPr="00053995">
        <w:tab/>
        <w:t>KLINISKE OPLYSNINGER</w:t>
      </w:r>
    </w:p>
    <w:p w:rsidR="00654AD7" w:rsidRPr="00053995" w:rsidRDefault="00654AD7" w:rsidP="00654AD7">
      <w:pPr>
        <w:rPr>
          <w:szCs w:val="22"/>
        </w:rPr>
      </w:pPr>
    </w:p>
    <w:p w:rsidR="00654AD7" w:rsidRPr="00053995" w:rsidRDefault="00654AD7" w:rsidP="00654AD7">
      <w:pPr>
        <w:pStyle w:val="Style1"/>
      </w:pPr>
      <w:r w:rsidRPr="00053995">
        <w:t>3.1</w:t>
      </w:r>
      <w:r w:rsidRPr="00053995">
        <w:tab/>
        <w:t>Dyrearter, som lægemidlet er beregnet til</w:t>
      </w:r>
    </w:p>
    <w:p w:rsidR="00654AD7" w:rsidRPr="00053995" w:rsidRDefault="00654AD7" w:rsidP="00654AD7">
      <w:pPr>
        <w:pStyle w:val="Style1"/>
      </w:pPr>
    </w:p>
    <w:p w:rsidR="00654AD7" w:rsidRPr="00053995" w:rsidRDefault="00654AD7" w:rsidP="00654AD7">
      <w:pPr>
        <w:ind w:left="851" w:hanging="284"/>
        <w:jc w:val="both"/>
        <w:rPr>
          <w:szCs w:val="22"/>
        </w:rPr>
      </w:pPr>
      <w:r w:rsidRPr="00053995">
        <w:rPr>
          <w:szCs w:val="22"/>
        </w:rPr>
        <w:t>Svin.</w:t>
      </w:r>
    </w:p>
    <w:p w:rsidR="00654AD7" w:rsidRPr="00053995" w:rsidRDefault="00654AD7" w:rsidP="00654AD7">
      <w:pPr>
        <w:rPr>
          <w:szCs w:val="22"/>
        </w:rPr>
      </w:pPr>
    </w:p>
    <w:p w:rsidR="00654AD7" w:rsidRPr="00053995" w:rsidRDefault="00654AD7" w:rsidP="00654AD7">
      <w:pPr>
        <w:pStyle w:val="Style1"/>
      </w:pPr>
      <w:r w:rsidRPr="00053995">
        <w:t>3.2</w:t>
      </w:r>
      <w:r w:rsidRPr="00053995">
        <w:tab/>
        <w:t>Terapeutiske indikationer for hver dyreart, som lægemidlet er beregnet til</w:t>
      </w:r>
    </w:p>
    <w:p w:rsidR="00654AD7" w:rsidRPr="00053995" w:rsidRDefault="00654AD7" w:rsidP="00654AD7">
      <w:pPr>
        <w:rPr>
          <w:szCs w:val="22"/>
        </w:rPr>
      </w:pPr>
    </w:p>
    <w:p w:rsidR="00654AD7" w:rsidRPr="00053995" w:rsidRDefault="00654AD7" w:rsidP="00654AD7">
      <w:pPr>
        <w:ind w:left="567"/>
        <w:rPr>
          <w:szCs w:val="22"/>
        </w:rPr>
      </w:pPr>
      <w:r w:rsidRPr="00053995">
        <w:rPr>
          <w:szCs w:val="22"/>
        </w:rPr>
        <w:t xml:space="preserve">Til immunisering af svin mod </w:t>
      </w:r>
      <w:proofErr w:type="spellStart"/>
      <w:r w:rsidRPr="00053995">
        <w:rPr>
          <w:szCs w:val="22"/>
        </w:rPr>
        <w:t>erysipelas</w:t>
      </w:r>
      <w:proofErr w:type="spellEnd"/>
      <w:r w:rsidRPr="00053995">
        <w:rPr>
          <w:szCs w:val="22"/>
        </w:rPr>
        <w:t>.</w:t>
      </w:r>
    </w:p>
    <w:p w:rsidR="00654AD7" w:rsidRPr="00053995" w:rsidRDefault="00654AD7" w:rsidP="00654AD7">
      <w:pPr>
        <w:ind w:left="567"/>
        <w:rPr>
          <w:szCs w:val="22"/>
        </w:rPr>
      </w:pPr>
      <w:r w:rsidRPr="00053995">
        <w:rPr>
          <w:szCs w:val="22"/>
        </w:rPr>
        <w:t>Indtræden af immunitet: Immuniteten er fuldt udviklet 21 dage efter vaccinationen.</w:t>
      </w:r>
    </w:p>
    <w:p w:rsidR="00654AD7" w:rsidRPr="00053995" w:rsidRDefault="00654AD7" w:rsidP="00654AD7">
      <w:pPr>
        <w:ind w:left="567"/>
        <w:rPr>
          <w:szCs w:val="22"/>
        </w:rPr>
      </w:pPr>
      <w:r w:rsidRPr="00053995">
        <w:rPr>
          <w:szCs w:val="22"/>
        </w:rPr>
        <w:t>Varighed af immunitet: 6 måneder.</w:t>
      </w:r>
    </w:p>
    <w:p w:rsidR="00654AD7" w:rsidRPr="00053995" w:rsidRDefault="00654AD7" w:rsidP="00654AD7">
      <w:pPr>
        <w:rPr>
          <w:szCs w:val="22"/>
        </w:rPr>
      </w:pPr>
    </w:p>
    <w:p w:rsidR="00654AD7" w:rsidRPr="00053995" w:rsidRDefault="00654AD7" w:rsidP="00654AD7">
      <w:pPr>
        <w:pStyle w:val="Style1"/>
      </w:pPr>
      <w:r w:rsidRPr="00053995">
        <w:t>3.3</w:t>
      </w:r>
      <w:r w:rsidRPr="00053995">
        <w:tab/>
        <w:t>Kontraindikationer</w:t>
      </w:r>
    </w:p>
    <w:p w:rsidR="00654AD7" w:rsidRPr="00053995" w:rsidRDefault="00654AD7" w:rsidP="00654AD7">
      <w:pPr>
        <w:rPr>
          <w:szCs w:val="22"/>
        </w:rPr>
      </w:pPr>
    </w:p>
    <w:p w:rsidR="00654AD7" w:rsidRPr="00053995" w:rsidRDefault="00654AD7" w:rsidP="00654AD7">
      <w:pPr>
        <w:ind w:left="567"/>
        <w:rPr>
          <w:szCs w:val="22"/>
        </w:rPr>
      </w:pPr>
      <w:r w:rsidRPr="00053995">
        <w:rPr>
          <w:szCs w:val="22"/>
        </w:rPr>
        <w:t>Undgå at vaccinere svin med kliniske symptomer på sygdommen og pattegrise, der er under 8 uger gamle.</w:t>
      </w:r>
    </w:p>
    <w:p w:rsidR="00654AD7" w:rsidRDefault="00654AD7" w:rsidP="00654AD7">
      <w:pPr>
        <w:ind w:left="567"/>
        <w:rPr>
          <w:szCs w:val="22"/>
        </w:rPr>
      </w:pPr>
    </w:p>
    <w:p w:rsidR="00654AD7" w:rsidRPr="00053995" w:rsidRDefault="00654AD7" w:rsidP="00654AD7">
      <w:pPr>
        <w:ind w:left="567"/>
        <w:rPr>
          <w:szCs w:val="22"/>
        </w:rPr>
      </w:pPr>
      <w:r w:rsidRPr="00F93723">
        <w:rPr>
          <w:szCs w:val="22"/>
        </w:rPr>
        <w:t xml:space="preserve">Må ikke anvendes i tilfælde af overfølsomhed over for de aktive stoffer, </w:t>
      </w:r>
      <w:proofErr w:type="spellStart"/>
      <w:r w:rsidRPr="00F93723">
        <w:rPr>
          <w:szCs w:val="22"/>
        </w:rPr>
        <w:t>adjuvans</w:t>
      </w:r>
      <w:proofErr w:type="spellEnd"/>
      <w:r w:rsidRPr="00F93723">
        <w:rPr>
          <w:szCs w:val="22"/>
        </w:rPr>
        <w:t xml:space="preserve"> eller over for et eller flere af hjælpestofferne.</w:t>
      </w:r>
    </w:p>
    <w:p w:rsidR="00654AD7" w:rsidRPr="00053995" w:rsidRDefault="00654AD7" w:rsidP="00654AD7">
      <w:pPr>
        <w:rPr>
          <w:szCs w:val="22"/>
        </w:rPr>
      </w:pPr>
    </w:p>
    <w:p w:rsidR="00654AD7" w:rsidRPr="00053995" w:rsidRDefault="00654AD7" w:rsidP="00654AD7">
      <w:pPr>
        <w:pStyle w:val="Style1"/>
      </w:pPr>
      <w:r w:rsidRPr="00053995">
        <w:t>3.4</w:t>
      </w:r>
      <w:r w:rsidRPr="00053995">
        <w:tab/>
        <w:t>Særlige advarsler</w:t>
      </w:r>
    </w:p>
    <w:p w:rsidR="00654AD7" w:rsidRPr="00053995" w:rsidRDefault="00654AD7" w:rsidP="00654AD7">
      <w:pPr>
        <w:rPr>
          <w:szCs w:val="22"/>
        </w:rPr>
      </w:pPr>
    </w:p>
    <w:p w:rsidR="00654AD7" w:rsidRPr="00053995" w:rsidRDefault="00654AD7" w:rsidP="00654AD7">
      <w:pPr>
        <w:ind w:firstLine="567"/>
        <w:rPr>
          <w:szCs w:val="22"/>
        </w:rPr>
      </w:pPr>
      <w:r w:rsidRPr="00F93723">
        <w:rPr>
          <w:szCs w:val="22"/>
        </w:rPr>
        <w:t>Kun raske dyr må vaccineres.</w:t>
      </w:r>
      <w:r w:rsidRPr="00053995">
        <w:rPr>
          <w:szCs w:val="22"/>
        </w:rPr>
        <w:t xml:space="preserve"> </w:t>
      </w:r>
    </w:p>
    <w:p w:rsidR="00654AD7" w:rsidRPr="00053995" w:rsidRDefault="00654AD7" w:rsidP="00654AD7">
      <w:pPr>
        <w:rPr>
          <w:szCs w:val="22"/>
        </w:rPr>
      </w:pPr>
    </w:p>
    <w:p w:rsidR="00654AD7" w:rsidRPr="00053995" w:rsidRDefault="00654AD7" w:rsidP="00654AD7">
      <w:pPr>
        <w:pStyle w:val="Style1"/>
      </w:pPr>
      <w:r w:rsidRPr="00053995">
        <w:t>3.5</w:t>
      </w:r>
      <w:r w:rsidRPr="00053995">
        <w:tab/>
        <w:t>Særlige forholdsregler vedrørende brugen</w:t>
      </w:r>
    </w:p>
    <w:p w:rsidR="00654AD7" w:rsidRPr="00053995" w:rsidRDefault="00654AD7" w:rsidP="00654AD7">
      <w:pPr>
        <w:rPr>
          <w:szCs w:val="22"/>
        </w:rPr>
      </w:pPr>
    </w:p>
    <w:p w:rsidR="00654AD7" w:rsidRPr="00053995" w:rsidRDefault="00654AD7" w:rsidP="00654AD7">
      <w:pPr>
        <w:ind w:left="567"/>
        <w:rPr>
          <w:szCs w:val="22"/>
          <w:u w:val="single"/>
        </w:rPr>
      </w:pPr>
      <w:r w:rsidRPr="00053995">
        <w:rPr>
          <w:szCs w:val="22"/>
          <w:u w:val="single"/>
        </w:rPr>
        <w:t>Særlige forholdsregler vedrørende sikker brug hos de dyrearter, som lægemidlet er beregnet til:</w:t>
      </w:r>
    </w:p>
    <w:p w:rsidR="00654AD7" w:rsidRPr="00053995" w:rsidRDefault="00654AD7" w:rsidP="00654AD7">
      <w:pPr>
        <w:ind w:left="567"/>
        <w:rPr>
          <w:szCs w:val="22"/>
        </w:rPr>
      </w:pPr>
    </w:p>
    <w:p w:rsidR="00654AD7" w:rsidRPr="00053995" w:rsidRDefault="00654AD7" w:rsidP="00654AD7">
      <w:pPr>
        <w:ind w:left="567"/>
        <w:rPr>
          <w:szCs w:val="22"/>
        </w:rPr>
      </w:pPr>
      <w:r w:rsidRPr="00053995">
        <w:rPr>
          <w:szCs w:val="22"/>
        </w:rPr>
        <w:t>Ikke relevant.</w:t>
      </w:r>
    </w:p>
    <w:p w:rsidR="00654AD7" w:rsidRPr="00053995" w:rsidRDefault="00654AD7" w:rsidP="00654AD7">
      <w:pPr>
        <w:ind w:left="567"/>
        <w:rPr>
          <w:szCs w:val="22"/>
        </w:rPr>
      </w:pPr>
    </w:p>
    <w:p w:rsidR="00654AD7" w:rsidRPr="00053995" w:rsidRDefault="00654AD7" w:rsidP="00654AD7">
      <w:pPr>
        <w:ind w:left="567"/>
        <w:rPr>
          <w:szCs w:val="22"/>
          <w:u w:val="single"/>
        </w:rPr>
      </w:pPr>
      <w:r w:rsidRPr="00053995">
        <w:rPr>
          <w:szCs w:val="22"/>
          <w:u w:val="single"/>
        </w:rPr>
        <w:t>Særlige forholdsregler for personer, der administrerer veterinærlægemidlet til dyr:</w:t>
      </w:r>
    </w:p>
    <w:p w:rsidR="00654AD7" w:rsidRPr="00053995" w:rsidRDefault="00654AD7" w:rsidP="00654AD7">
      <w:pPr>
        <w:ind w:left="567"/>
        <w:rPr>
          <w:szCs w:val="22"/>
        </w:rPr>
      </w:pPr>
    </w:p>
    <w:p w:rsidR="00654AD7" w:rsidRPr="00053995" w:rsidRDefault="00654AD7" w:rsidP="00654AD7">
      <w:pPr>
        <w:autoSpaceDE w:val="0"/>
        <w:autoSpaceDN w:val="0"/>
        <w:adjustRightInd w:val="0"/>
        <w:ind w:left="567"/>
        <w:rPr>
          <w:szCs w:val="22"/>
        </w:rPr>
      </w:pPr>
      <w:r w:rsidRPr="00053995">
        <w:rPr>
          <w:szCs w:val="22"/>
        </w:rPr>
        <w:t>Til brugeren:</w:t>
      </w:r>
    </w:p>
    <w:p w:rsidR="00654AD7" w:rsidRPr="00053995" w:rsidRDefault="00654AD7" w:rsidP="00654AD7">
      <w:pPr>
        <w:autoSpaceDE w:val="0"/>
        <w:autoSpaceDN w:val="0"/>
        <w:adjustRightInd w:val="0"/>
        <w:ind w:left="567"/>
        <w:rPr>
          <w:szCs w:val="22"/>
        </w:rPr>
      </w:pPr>
      <w:r w:rsidRPr="00053995">
        <w:rPr>
          <w:szCs w:val="22"/>
        </w:rPr>
        <w:t>Dette veterinærlægemiddel indeholder mineralolie. Utilsigtet injektion/selvinjektion kan medføre alvorlige smerter og hævelser, navnlig ved injektion i led eller fingre, og kan i sjældne tilfælde medføre tab af den pågældende finger, hvis den ikke behandles omgående. Hvis du utilsigtet injiceres med dette veterinærlægemiddel, skal du omgående søge lægehjælp, også selvom det kun drejer sig om en meget lille mængde, og tage indlægssedlen med. Hvis smerten fortsætter i over 12 timer efter lægeundersøgelsen, skal du søge lægehjælp igen.</w:t>
      </w:r>
    </w:p>
    <w:p w:rsidR="00654AD7" w:rsidRPr="00053995" w:rsidRDefault="00654AD7" w:rsidP="00654AD7">
      <w:pPr>
        <w:autoSpaceDE w:val="0"/>
        <w:autoSpaceDN w:val="0"/>
        <w:adjustRightInd w:val="0"/>
        <w:ind w:left="567"/>
        <w:rPr>
          <w:szCs w:val="22"/>
        </w:rPr>
      </w:pPr>
    </w:p>
    <w:p w:rsidR="00654AD7" w:rsidRPr="00053995" w:rsidRDefault="00654AD7" w:rsidP="00654AD7">
      <w:pPr>
        <w:autoSpaceDE w:val="0"/>
        <w:autoSpaceDN w:val="0"/>
        <w:adjustRightInd w:val="0"/>
        <w:ind w:left="567"/>
        <w:rPr>
          <w:szCs w:val="22"/>
        </w:rPr>
      </w:pPr>
      <w:r w:rsidRPr="00053995">
        <w:rPr>
          <w:szCs w:val="22"/>
        </w:rPr>
        <w:t>Til lægen:</w:t>
      </w:r>
    </w:p>
    <w:p w:rsidR="00654AD7" w:rsidRPr="00053995" w:rsidRDefault="00654AD7" w:rsidP="00654AD7">
      <w:pPr>
        <w:autoSpaceDE w:val="0"/>
        <w:autoSpaceDN w:val="0"/>
        <w:adjustRightInd w:val="0"/>
        <w:ind w:left="567"/>
        <w:rPr>
          <w:szCs w:val="22"/>
        </w:rPr>
      </w:pPr>
      <w:r w:rsidRPr="00053995">
        <w:rPr>
          <w:szCs w:val="22"/>
        </w:rPr>
        <w:lastRenderedPageBreak/>
        <w:t xml:space="preserve">Dette veterinærlægemiddel indeholder mineralolie. Selv hvis der er tale om små injicerede mængder, kan utilsigtet injektion af produktet medføre kraftige hævelser, der eksempelvis kan resultere i iskæmisk nekrose og endog tab af en finger. Der kræves ØJEBLIKKELIG kirurgisk behandling, og der kan opstå behov for tidlig </w:t>
      </w:r>
      <w:proofErr w:type="spellStart"/>
      <w:r w:rsidRPr="00053995">
        <w:rPr>
          <w:szCs w:val="22"/>
        </w:rPr>
        <w:t>incision</w:t>
      </w:r>
      <w:proofErr w:type="spellEnd"/>
      <w:r w:rsidRPr="00053995">
        <w:rPr>
          <w:szCs w:val="22"/>
        </w:rPr>
        <w:t xml:space="preserve"> og </w:t>
      </w:r>
      <w:proofErr w:type="spellStart"/>
      <w:r w:rsidRPr="00053995">
        <w:rPr>
          <w:szCs w:val="22"/>
        </w:rPr>
        <w:t>irrigation</w:t>
      </w:r>
      <w:proofErr w:type="spellEnd"/>
      <w:r w:rsidRPr="00053995">
        <w:rPr>
          <w:szCs w:val="22"/>
        </w:rPr>
        <w:t xml:space="preserve"> af det injicerede område, navnlig når det drejer sig om fingerbløddele eller -sener.</w:t>
      </w:r>
    </w:p>
    <w:p w:rsidR="00654AD7" w:rsidRPr="00053995" w:rsidRDefault="00654AD7" w:rsidP="00654AD7">
      <w:pPr>
        <w:ind w:left="567"/>
        <w:rPr>
          <w:szCs w:val="22"/>
        </w:rPr>
      </w:pPr>
    </w:p>
    <w:p w:rsidR="00654AD7" w:rsidRPr="00053995" w:rsidRDefault="00654AD7" w:rsidP="00654AD7">
      <w:pPr>
        <w:ind w:left="567"/>
        <w:rPr>
          <w:szCs w:val="22"/>
          <w:u w:val="single"/>
        </w:rPr>
      </w:pPr>
      <w:r w:rsidRPr="00053995">
        <w:rPr>
          <w:szCs w:val="22"/>
          <w:u w:val="single"/>
        </w:rPr>
        <w:t>Særlige forholdsregler vedrørende beskyttelse af miljøet:</w:t>
      </w:r>
    </w:p>
    <w:p w:rsidR="00654AD7" w:rsidRPr="00053995" w:rsidRDefault="00654AD7" w:rsidP="00654AD7">
      <w:pPr>
        <w:ind w:left="567"/>
        <w:rPr>
          <w:szCs w:val="22"/>
        </w:rPr>
      </w:pPr>
    </w:p>
    <w:p w:rsidR="00654AD7" w:rsidRPr="00053995" w:rsidRDefault="00654AD7" w:rsidP="00654AD7">
      <w:pPr>
        <w:ind w:left="567"/>
        <w:rPr>
          <w:szCs w:val="22"/>
        </w:rPr>
      </w:pPr>
      <w:r w:rsidRPr="00053995">
        <w:rPr>
          <w:szCs w:val="22"/>
        </w:rPr>
        <w:t>Ikke relevant.</w:t>
      </w:r>
    </w:p>
    <w:p w:rsidR="00654AD7" w:rsidRPr="00053995" w:rsidRDefault="00654AD7" w:rsidP="00654AD7">
      <w:pPr>
        <w:rPr>
          <w:szCs w:val="22"/>
        </w:rPr>
      </w:pPr>
    </w:p>
    <w:p w:rsidR="00654AD7" w:rsidRPr="00053995" w:rsidRDefault="00654AD7" w:rsidP="00654AD7">
      <w:pPr>
        <w:pStyle w:val="Style1"/>
      </w:pPr>
      <w:r w:rsidRPr="00053995">
        <w:t>3</w:t>
      </w:r>
      <w:r w:rsidRPr="00654AD7">
        <w:t>.6</w:t>
      </w:r>
      <w:r w:rsidRPr="00654AD7">
        <w:tab/>
        <w:t>Bivirkninger</w:t>
      </w:r>
    </w:p>
    <w:p w:rsidR="00654AD7" w:rsidRPr="00053995" w:rsidRDefault="00654AD7" w:rsidP="00654AD7">
      <w:pPr>
        <w:rPr>
          <w:szCs w:val="22"/>
        </w:rPr>
      </w:pPr>
    </w:p>
    <w:p w:rsidR="00654AD7" w:rsidRPr="00053995" w:rsidRDefault="00654AD7" w:rsidP="00654AD7">
      <w:pPr>
        <w:ind w:firstLine="567"/>
        <w:rPr>
          <w:szCs w:val="22"/>
        </w:rPr>
      </w:pPr>
      <w:r w:rsidRPr="00053995">
        <w:rPr>
          <w:szCs w:val="22"/>
        </w:rPr>
        <w:t>Dyrearter: Svin</w:t>
      </w:r>
    </w:p>
    <w:p w:rsidR="00654AD7" w:rsidRPr="00053995" w:rsidRDefault="00654AD7" w:rsidP="00654AD7">
      <w:pPr>
        <w:rPr>
          <w:szCs w:val="22"/>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654AD7" w:rsidRPr="00053995" w:rsidTr="00654AD7">
        <w:tc>
          <w:tcPr>
            <w:tcW w:w="2266" w:type="pct"/>
          </w:tcPr>
          <w:p w:rsidR="00654AD7" w:rsidRPr="00053995" w:rsidRDefault="00654AD7" w:rsidP="00252324">
            <w:pPr>
              <w:spacing w:before="60" w:after="60"/>
              <w:rPr>
                <w:szCs w:val="22"/>
              </w:rPr>
            </w:pPr>
            <w:r w:rsidRPr="00053995">
              <w:rPr>
                <w:szCs w:val="22"/>
              </w:rPr>
              <w:t>Meget almindelig</w:t>
            </w:r>
          </w:p>
          <w:p w:rsidR="00654AD7" w:rsidRPr="00053995" w:rsidRDefault="00654AD7" w:rsidP="00252324">
            <w:pPr>
              <w:spacing w:before="60" w:after="60"/>
              <w:rPr>
                <w:szCs w:val="22"/>
              </w:rPr>
            </w:pPr>
            <w:r w:rsidRPr="00053995">
              <w:rPr>
                <w:szCs w:val="22"/>
              </w:rPr>
              <w:t>(&gt; 1 dyr ud af 10 behandlede dyr):</w:t>
            </w:r>
          </w:p>
        </w:tc>
        <w:tc>
          <w:tcPr>
            <w:tcW w:w="2734" w:type="pct"/>
            <w:hideMark/>
          </w:tcPr>
          <w:p w:rsidR="00654AD7" w:rsidRPr="00053995" w:rsidRDefault="00654AD7" w:rsidP="00252324">
            <w:pPr>
              <w:spacing w:before="60" w:after="60"/>
              <w:rPr>
                <w:iCs/>
                <w:szCs w:val="22"/>
              </w:rPr>
            </w:pPr>
            <w:r>
              <w:rPr>
                <w:szCs w:val="22"/>
              </w:rPr>
              <w:t xml:space="preserve">Gennemsnitlig </w:t>
            </w:r>
            <w:r w:rsidRPr="00053995">
              <w:rPr>
                <w:szCs w:val="22"/>
              </w:rPr>
              <w:t>temperaturstigning på gennemsnitligt 0,7°C</w:t>
            </w:r>
            <w:r w:rsidRPr="007748C6">
              <w:rPr>
                <w:szCs w:val="22"/>
                <w:vertAlign w:val="superscript"/>
              </w:rPr>
              <w:t xml:space="preserve"> </w:t>
            </w:r>
            <w:r w:rsidRPr="00654AD7">
              <w:rPr>
                <w:szCs w:val="22"/>
                <w:vertAlign w:val="superscript"/>
              </w:rPr>
              <w:t>1</w:t>
            </w:r>
            <w:r w:rsidRPr="00053995">
              <w:rPr>
                <w:szCs w:val="22"/>
              </w:rPr>
              <w:t xml:space="preserve"> </w:t>
            </w:r>
          </w:p>
        </w:tc>
      </w:tr>
      <w:tr w:rsidR="00654AD7" w:rsidRPr="00053995" w:rsidTr="00654AD7">
        <w:tc>
          <w:tcPr>
            <w:tcW w:w="2266" w:type="pct"/>
          </w:tcPr>
          <w:p w:rsidR="00654AD7" w:rsidRPr="00053995" w:rsidRDefault="00654AD7" w:rsidP="00252324">
            <w:pPr>
              <w:spacing w:before="60" w:after="60"/>
              <w:rPr>
                <w:szCs w:val="22"/>
              </w:rPr>
            </w:pPr>
            <w:r w:rsidRPr="00053995">
              <w:rPr>
                <w:szCs w:val="22"/>
              </w:rPr>
              <w:t>Almindelig</w:t>
            </w:r>
          </w:p>
          <w:p w:rsidR="00654AD7" w:rsidRPr="00053995" w:rsidRDefault="00654AD7" w:rsidP="00252324">
            <w:pPr>
              <w:spacing w:before="60" w:after="60"/>
              <w:rPr>
                <w:szCs w:val="22"/>
              </w:rPr>
            </w:pPr>
            <w:r w:rsidRPr="00053995">
              <w:rPr>
                <w:szCs w:val="22"/>
              </w:rPr>
              <w:t>(1 til 10 dyr ud af 100 behandlede dyr):</w:t>
            </w:r>
          </w:p>
        </w:tc>
        <w:tc>
          <w:tcPr>
            <w:tcW w:w="2734" w:type="pct"/>
          </w:tcPr>
          <w:p w:rsidR="00654AD7" w:rsidRDefault="00654AD7" w:rsidP="00252324">
            <w:pPr>
              <w:spacing w:before="60" w:after="60"/>
              <w:rPr>
                <w:szCs w:val="22"/>
              </w:rPr>
            </w:pPr>
            <w:r>
              <w:rPr>
                <w:szCs w:val="22"/>
              </w:rPr>
              <w:t>Gennemsnitlig</w:t>
            </w:r>
            <w:r w:rsidRPr="00053995">
              <w:rPr>
                <w:szCs w:val="22"/>
              </w:rPr>
              <w:t xml:space="preserve"> temperaturstigning</w:t>
            </w:r>
            <w:r>
              <w:rPr>
                <w:szCs w:val="22"/>
              </w:rPr>
              <w:t xml:space="preserve"> </w:t>
            </w:r>
            <w:r w:rsidRPr="00053995">
              <w:rPr>
                <w:szCs w:val="22"/>
              </w:rPr>
              <w:t>på op til 1,3°C</w:t>
            </w:r>
            <w:r w:rsidRPr="005E7C3C">
              <w:rPr>
                <w:szCs w:val="22"/>
                <w:vertAlign w:val="superscript"/>
              </w:rPr>
              <w:t xml:space="preserve"> </w:t>
            </w:r>
            <w:r w:rsidRPr="00654AD7">
              <w:rPr>
                <w:szCs w:val="22"/>
                <w:vertAlign w:val="superscript"/>
              </w:rPr>
              <w:t>2</w:t>
            </w:r>
            <w:r w:rsidRPr="00053995">
              <w:rPr>
                <w:szCs w:val="22"/>
              </w:rPr>
              <w:t xml:space="preserve"> </w:t>
            </w:r>
          </w:p>
          <w:p w:rsidR="00654AD7" w:rsidRPr="00053995" w:rsidRDefault="00654AD7" w:rsidP="00252324">
            <w:pPr>
              <w:spacing w:before="60" w:after="60"/>
              <w:rPr>
                <w:iCs/>
                <w:szCs w:val="22"/>
              </w:rPr>
            </w:pPr>
            <w:r>
              <w:rPr>
                <w:iCs/>
                <w:szCs w:val="22"/>
              </w:rPr>
              <w:t>Hævelse på injektionssted</w:t>
            </w:r>
            <w:r w:rsidRPr="00654AD7">
              <w:rPr>
                <w:iCs/>
                <w:szCs w:val="22"/>
                <w:vertAlign w:val="superscript"/>
              </w:rPr>
              <w:t>3</w:t>
            </w:r>
          </w:p>
        </w:tc>
      </w:tr>
    </w:tbl>
    <w:p w:rsidR="00654AD7" w:rsidRDefault="00654AD7" w:rsidP="00654AD7">
      <w:pPr>
        <w:ind w:left="567"/>
        <w:rPr>
          <w:szCs w:val="22"/>
        </w:rPr>
      </w:pPr>
      <w:bookmarkStart w:id="3" w:name="_Hlk66891708"/>
      <w:r w:rsidRPr="00654AD7">
        <w:rPr>
          <w:szCs w:val="22"/>
          <w:vertAlign w:val="superscript"/>
        </w:rPr>
        <w:t>1</w:t>
      </w:r>
      <w:r>
        <w:rPr>
          <w:szCs w:val="22"/>
        </w:rPr>
        <w:t xml:space="preserve"> </w:t>
      </w:r>
      <w:r w:rsidRPr="00053995">
        <w:rPr>
          <w:szCs w:val="22"/>
        </w:rPr>
        <w:t>Forbigående temperaturstigning på gennemsnitligt 0,7°C. Temperaturen falder til normalområdet indenfor 3 døgn efter vaccinationen.</w:t>
      </w:r>
    </w:p>
    <w:p w:rsidR="00654AD7" w:rsidRDefault="00654AD7" w:rsidP="00654AD7">
      <w:pPr>
        <w:ind w:left="567"/>
        <w:rPr>
          <w:szCs w:val="22"/>
        </w:rPr>
      </w:pPr>
      <w:r w:rsidRPr="00654AD7">
        <w:rPr>
          <w:szCs w:val="22"/>
          <w:vertAlign w:val="superscript"/>
        </w:rPr>
        <w:t xml:space="preserve">2 </w:t>
      </w:r>
      <w:r w:rsidRPr="00053995">
        <w:rPr>
          <w:szCs w:val="22"/>
        </w:rPr>
        <w:t>Forbigående temperaturstigning på op til 1,3°C. Temperaturen falder til normalområdet indenfor 3 døgn efter vaccinationen.</w:t>
      </w:r>
    </w:p>
    <w:p w:rsidR="00654AD7" w:rsidRPr="00053995" w:rsidRDefault="00654AD7" w:rsidP="00654AD7">
      <w:pPr>
        <w:ind w:left="567"/>
        <w:rPr>
          <w:szCs w:val="22"/>
        </w:rPr>
      </w:pPr>
      <w:r>
        <w:rPr>
          <w:szCs w:val="22"/>
          <w:vertAlign w:val="superscript"/>
        </w:rPr>
        <w:t xml:space="preserve">3 </w:t>
      </w:r>
      <w:r w:rsidRPr="00053995">
        <w:rPr>
          <w:szCs w:val="22"/>
        </w:rPr>
        <w:t xml:space="preserve">Der kan eventuelt i forbindelse med den udførte vaccination observeres udvikling af lokal hævelse, som skyldes indholdet af vaccinens </w:t>
      </w:r>
      <w:proofErr w:type="spellStart"/>
      <w:r w:rsidRPr="00053995">
        <w:rPr>
          <w:szCs w:val="22"/>
        </w:rPr>
        <w:t>adjuvanser</w:t>
      </w:r>
      <w:proofErr w:type="spellEnd"/>
      <w:r w:rsidRPr="00053995">
        <w:rPr>
          <w:szCs w:val="22"/>
        </w:rPr>
        <w:t xml:space="preserve">. Denne hævelse, som kan blive op til </w:t>
      </w:r>
      <w:smartTag w:uri="urn:schemas-microsoft-com:office:smarttags" w:element="metricconverter">
        <w:smartTagPr>
          <w:attr w:name="ProductID" w:val="4 cm"/>
        </w:smartTagPr>
        <w:r w:rsidRPr="00053995">
          <w:rPr>
            <w:szCs w:val="22"/>
          </w:rPr>
          <w:t>4 cm</w:t>
        </w:r>
      </w:smartTag>
      <w:r w:rsidRPr="00053995">
        <w:rPr>
          <w:szCs w:val="22"/>
        </w:rPr>
        <w:t>, forsvinder normalt inden for 6 dage efter vaccinationen.</w:t>
      </w:r>
    </w:p>
    <w:p w:rsidR="00654AD7" w:rsidRPr="00053995" w:rsidRDefault="00654AD7" w:rsidP="00654AD7">
      <w:pPr>
        <w:rPr>
          <w:szCs w:val="22"/>
        </w:rPr>
      </w:pPr>
    </w:p>
    <w:p w:rsidR="00654AD7" w:rsidRPr="00053995" w:rsidRDefault="00654AD7" w:rsidP="00654AD7">
      <w:pPr>
        <w:ind w:left="567"/>
        <w:rPr>
          <w:szCs w:val="22"/>
        </w:rPr>
      </w:pPr>
      <w:r w:rsidRPr="00053995">
        <w:rPr>
          <w:szCs w:val="22"/>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16 i indlægssedlen for de relevante kontaktoplysninger.</w:t>
      </w:r>
    </w:p>
    <w:bookmarkEnd w:id="3"/>
    <w:p w:rsidR="00654AD7" w:rsidRPr="00053995" w:rsidRDefault="00654AD7" w:rsidP="00654AD7">
      <w:pPr>
        <w:rPr>
          <w:szCs w:val="22"/>
        </w:rPr>
      </w:pPr>
    </w:p>
    <w:p w:rsidR="00654AD7" w:rsidRPr="00053995" w:rsidRDefault="00654AD7" w:rsidP="00654AD7">
      <w:pPr>
        <w:pStyle w:val="Style1"/>
      </w:pPr>
      <w:r w:rsidRPr="00053995">
        <w:t>3.7</w:t>
      </w:r>
      <w:r w:rsidRPr="00053995">
        <w:tab/>
        <w:t>Anvendelse under drægtighed, laktation eller æglægning</w:t>
      </w:r>
    </w:p>
    <w:p w:rsidR="00654AD7" w:rsidRPr="00053995" w:rsidRDefault="00654AD7" w:rsidP="00654AD7">
      <w:pPr>
        <w:rPr>
          <w:szCs w:val="22"/>
        </w:rPr>
      </w:pPr>
    </w:p>
    <w:p w:rsidR="00654AD7" w:rsidRDefault="00654AD7" w:rsidP="00654AD7">
      <w:pPr>
        <w:ind w:firstLine="567"/>
        <w:rPr>
          <w:szCs w:val="22"/>
        </w:rPr>
      </w:pPr>
      <w:r>
        <w:rPr>
          <w:szCs w:val="22"/>
        </w:rPr>
        <w:t>Ingen.</w:t>
      </w:r>
    </w:p>
    <w:p w:rsidR="00654AD7" w:rsidRPr="00053995" w:rsidRDefault="00654AD7" w:rsidP="00654AD7">
      <w:pPr>
        <w:rPr>
          <w:szCs w:val="22"/>
        </w:rPr>
      </w:pPr>
    </w:p>
    <w:p w:rsidR="00654AD7" w:rsidRPr="00053995" w:rsidRDefault="00654AD7" w:rsidP="00654AD7">
      <w:pPr>
        <w:pStyle w:val="Style1"/>
      </w:pPr>
      <w:r w:rsidRPr="00053995">
        <w:t>3.8</w:t>
      </w:r>
      <w:r w:rsidRPr="00053995">
        <w:tab/>
        <w:t>Interaktion med andre lægemidler og andre former for interaktion</w:t>
      </w:r>
    </w:p>
    <w:p w:rsidR="00654AD7" w:rsidRPr="00053995" w:rsidRDefault="00654AD7" w:rsidP="00654AD7">
      <w:pPr>
        <w:rPr>
          <w:szCs w:val="22"/>
        </w:rPr>
      </w:pPr>
    </w:p>
    <w:p w:rsidR="00654AD7" w:rsidRPr="00053995" w:rsidRDefault="00654AD7" w:rsidP="00654AD7">
      <w:pPr>
        <w:ind w:left="567" w:right="-143"/>
        <w:rPr>
          <w:szCs w:val="22"/>
        </w:rPr>
      </w:pPr>
      <w:r w:rsidRPr="00053995">
        <w:rPr>
          <w:szCs w:val="22"/>
        </w:rPr>
        <w:t>Der foreligger ingen oplysninger om sikkerhed og virkning ved brug af vaccinen sammen med andre veterinærlægemidler. En eventuel beslutning om at anvende vaccinen umiddelbart før eller efter brug af et andet veterinærlægemiddel skal derfor tages med udgangspunkt i det enkelte tilfælde.</w:t>
      </w:r>
    </w:p>
    <w:p w:rsidR="00654AD7" w:rsidRPr="00053995" w:rsidRDefault="00654AD7" w:rsidP="00654AD7">
      <w:pPr>
        <w:rPr>
          <w:szCs w:val="22"/>
        </w:rPr>
      </w:pPr>
    </w:p>
    <w:p w:rsidR="00654AD7" w:rsidRPr="00053995" w:rsidRDefault="00654AD7" w:rsidP="00654AD7">
      <w:pPr>
        <w:pStyle w:val="Style1"/>
      </w:pPr>
      <w:r w:rsidRPr="00053995">
        <w:t>3.9</w:t>
      </w:r>
      <w:r w:rsidRPr="00053995">
        <w:tab/>
        <w:t>Administrationsveje og dosering</w:t>
      </w:r>
    </w:p>
    <w:p w:rsidR="00654AD7" w:rsidRPr="00053995" w:rsidRDefault="00654AD7" w:rsidP="00654AD7">
      <w:pPr>
        <w:rPr>
          <w:szCs w:val="22"/>
        </w:rPr>
      </w:pPr>
    </w:p>
    <w:p w:rsidR="00654AD7" w:rsidRPr="00053995" w:rsidRDefault="00654AD7" w:rsidP="00654AD7">
      <w:pPr>
        <w:ind w:left="567"/>
        <w:rPr>
          <w:szCs w:val="22"/>
        </w:rPr>
      </w:pPr>
      <w:r w:rsidRPr="00053995">
        <w:rPr>
          <w:szCs w:val="22"/>
        </w:rPr>
        <w:t>2 ml subkutant.</w:t>
      </w:r>
    </w:p>
    <w:p w:rsidR="00654AD7" w:rsidRPr="00053995" w:rsidRDefault="00654AD7" w:rsidP="00654AD7">
      <w:pPr>
        <w:ind w:left="567"/>
        <w:rPr>
          <w:szCs w:val="22"/>
        </w:rPr>
      </w:pPr>
      <w:r w:rsidRPr="00053995">
        <w:rPr>
          <w:szCs w:val="22"/>
        </w:rPr>
        <w:t>Den første vaccination: Svin over 8 uger.</w:t>
      </w:r>
    </w:p>
    <w:p w:rsidR="00654AD7" w:rsidRPr="00053995" w:rsidRDefault="00654AD7" w:rsidP="00654AD7">
      <w:pPr>
        <w:ind w:left="567"/>
        <w:rPr>
          <w:szCs w:val="22"/>
        </w:rPr>
      </w:pPr>
      <w:r w:rsidRPr="00053995">
        <w:rPr>
          <w:szCs w:val="22"/>
        </w:rPr>
        <w:t>Avlssvin: Yderligere vaccination og revaccination altid efter 6 måneder.</w:t>
      </w:r>
    </w:p>
    <w:p w:rsidR="00654AD7" w:rsidRPr="00053995" w:rsidRDefault="00654AD7" w:rsidP="00654AD7">
      <w:pPr>
        <w:rPr>
          <w:szCs w:val="22"/>
        </w:rPr>
      </w:pPr>
    </w:p>
    <w:p w:rsidR="00654AD7" w:rsidRPr="00053995" w:rsidRDefault="00654AD7" w:rsidP="00654AD7">
      <w:pPr>
        <w:pStyle w:val="Style1"/>
      </w:pPr>
      <w:r w:rsidRPr="00053995">
        <w:t>3.10</w:t>
      </w:r>
      <w:r w:rsidRPr="00053995">
        <w:tab/>
        <w:t>Symptomer på overdosering (og, hvis relevant, nødforanstaltninger og modgift)</w:t>
      </w:r>
    </w:p>
    <w:p w:rsidR="00654AD7" w:rsidRPr="00053995" w:rsidRDefault="00654AD7" w:rsidP="00654AD7">
      <w:pPr>
        <w:rPr>
          <w:szCs w:val="22"/>
        </w:rPr>
      </w:pPr>
    </w:p>
    <w:p w:rsidR="00654AD7" w:rsidRPr="00053995" w:rsidRDefault="00654AD7" w:rsidP="00654AD7">
      <w:pPr>
        <w:ind w:left="567"/>
        <w:rPr>
          <w:szCs w:val="22"/>
        </w:rPr>
      </w:pPr>
      <w:r w:rsidRPr="00053995">
        <w:rPr>
          <w:szCs w:val="22"/>
        </w:rPr>
        <w:t>Efter administration af dobbelt vaccinedosis til dyr fra målgruppen er der ikke set andre bivirkninger, end de, der er beskrevet i pkt. 3.6.</w:t>
      </w:r>
    </w:p>
    <w:p w:rsidR="00654AD7" w:rsidRPr="00053995" w:rsidRDefault="00654AD7" w:rsidP="00654AD7">
      <w:pPr>
        <w:rPr>
          <w:szCs w:val="22"/>
        </w:rPr>
      </w:pPr>
    </w:p>
    <w:p w:rsidR="00654AD7" w:rsidRPr="00053995" w:rsidRDefault="00654AD7" w:rsidP="00654AD7">
      <w:pPr>
        <w:pStyle w:val="Style1"/>
      </w:pPr>
      <w:r w:rsidRPr="00053995">
        <w:t>3.11</w:t>
      </w:r>
      <w:r w:rsidRPr="00053995">
        <w:tab/>
        <w:t>Særlige begrænsninger og betingelser for anvendelse, herunder begrænsninger for anvendelsen af antimikrobielle og antiparasitære veterinærlægemidler for at begrænse risikoen for udvikling af resistens</w:t>
      </w:r>
    </w:p>
    <w:p w:rsidR="00654AD7" w:rsidRPr="00053995" w:rsidRDefault="00654AD7" w:rsidP="00654AD7">
      <w:pPr>
        <w:rPr>
          <w:szCs w:val="22"/>
        </w:rPr>
      </w:pPr>
    </w:p>
    <w:p w:rsidR="00654AD7" w:rsidRPr="00053995" w:rsidRDefault="00654AD7" w:rsidP="00654AD7">
      <w:pPr>
        <w:ind w:firstLine="567"/>
        <w:rPr>
          <w:szCs w:val="22"/>
        </w:rPr>
      </w:pPr>
      <w:r w:rsidRPr="00053995">
        <w:rPr>
          <w:szCs w:val="22"/>
        </w:rPr>
        <w:t>Ikke relevant.</w:t>
      </w:r>
    </w:p>
    <w:p w:rsidR="00654AD7" w:rsidRPr="00053995" w:rsidRDefault="00654AD7" w:rsidP="00654AD7">
      <w:pPr>
        <w:rPr>
          <w:szCs w:val="22"/>
        </w:rPr>
      </w:pPr>
    </w:p>
    <w:p w:rsidR="00654AD7" w:rsidRPr="00053995" w:rsidRDefault="00654AD7" w:rsidP="00654AD7">
      <w:pPr>
        <w:pStyle w:val="Style1"/>
      </w:pPr>
      <w:r w:rsidRPr="00053995">
        <w:t>3.12</w:t>
      </w:r>
      <w:r w:rsidRPr="00053995">
        <w:tab/>
        <w:t>Tilbageholdelsestid(er)</w:t>
      </w:r>
    </w:p>
    <w:p w:rsidR="00654AD7" w:rsidRPr="00053995" w:rsidRDefault="00654AD7" w:rsidP="00654AD7">
      <w:pPr>
        <w:rPr>
          <w:szCs w:val="22"/>
        </w:rPr>
      </w:pPr>
    </w:p>
    <w:p w:rsidR="00654AD7" w:rsidRDefault="00654AD7" w:rsidP="00654AD7">
      <w:pPr>
        <w:ind w:firstLine="567"/>
        <w:rPr>
          <w:szCs w:val="22"/>
        </w:rPr>
      </w:pPr>
      <w:r w:rsidRPr="00053995">
        <w:rPr>
          <w:szCs w:val="22"/>
        </w:rPr>
        <w:t xml:space="preserve">Slagtning: 0 dage </w:t>
      </w:r>
    </w:p>
    <w:p w:rsidR="00654AD7" w:rsidRPr="00053995" w:rsidRDefault="00654AD7" w:rsidP="00654AD7">
      <w:pPr>
        <w:rPr>
          <w:szCs w:val="22"/>
        </w:rPr>
      </w:pPr>
    </w:p>
    <w:p w:rsidR="00654AD7" w:rsidRPr="00053995" w:rsidRDefault="00654AD7" w:rsidP="00654AD7">
      <w:pPr>
        <w:rPr>
          <w:szCs w:val="22"/>
        </w:rPr>
      </w:pPr>
    </w:p>
    <w:p w:rsidR="00654AD7" w:rsidRPr="00053995" w:rsidRDefault="00654AD7" w:rsidP="00654AD7">
      <w:pPr>
        <w:pStyle w:val="Style1"/>
      </w:pPr>
      <w:r w:rsidRPr="00053995">
        <w:t>4.</w:t>
      </w:r>
      <w:r w:rsidRPr="00053995">
        <w:tab/>
        <w:t>IMMUNOLOGISKE OPLYSNINGER</w:t>
      </w:r>
    </w:p>
    <w:p w:rsidR="00654AD7" w:rsidRPr="00053995" w:rsidRDefault="00654AD7" w:rsidP="00654AD7">
      <w:pPr>
        <w:rPr>
          <w:szCs w:val="22"/>
        </w:rPr>
      </w:pPr>
    </w:p>
    <w:p w:rsidR="00654AD7" w:rsidRPr="00053995" w:rsidRDefault="00654AD7" w:rsidP="00654AD7">
      <w:pPr>
        <w:pStyle w:val="Style1"/>
      </w:pPr>
      <w:r w:rsidRPr="00053995">
        <w:t>4.1</w:t>
      </w:r>
      <w:r w:rsidRPr="00053995">
        <w:tab/>
      </w:r>
      <w:proofErr w:type="spellStart"/>
      <w:r w:rsidRPr="00053995">
        <w:t>ATCvet</w:t>
      </w:r>
      <w:proofErr w:type="spellEnd"/>
      <w:r w:rsidRPr="00053995">
        <w:t>-kode:</w:t>
      </w:r>
    </w:p>
    <w:p w:rsidR="00654AD7" w:rsidRDefault="00654AD7" w:rsidP="00654AD7">
      <w:pPr>
        <w:ind w:firstLine="567"/>
        <w:rPr>
          <w:szCs w:val="22"/>
        </w:rPr>
      </w:pPr>
    </w:p>
    <w:p w:rsidR="00654AD7" w:rsidRDefault="00654AD7" w:rsidP="00654AD7">
      <w:pPr>
        <w:ind w:firstLine="567"/>
        <w:rPr>
          <w:szCs w:val="22"/>
        </w:rPr>
      </w:pPr>
      <w:r w:rsidRPr="00053995">
        <w:rPr>
          <w:szCs w:val="22"/>
        </w:rPr>
        <w:t>QI09AB03</w:t>
      </w:r>
    </w:p>
    <w:p w:rsidR="00654AD7" w:rsidRDefault="00654AD7" w:rsidP="00654AD7">
      <w:pPr>
        <w:ind w:firstLine="567"/>
        <w:rPr>
          <w:bCs/>
        </w:rPr>
      </w:pPr>
    </w:p>
    <w:p w:rsidR="00654AD7" w:rsidRPr="00654AD7" w:rsidRDefault="00654AD7" w:rsidP="00654AD7">
      <w:pPr>
        <w:ind w:firstLine="567"/>
        <w:rPr>
          <w:szCs w:val="22"/>
        </w:rPr>
      </w:pPr>
      <w:r w:rsidRPr="00053995">
        <w:rPr>
          <w:bCs/>
        </w:rPr>
        <w:t>Virkningsmekanisme:</w:t>
      </w:r>
    </w:p>
    <w:p w:rsidR="00654AD7" w:rsidRDefault="00654AD7" w:rsidP="00654AD7">
      <w:pPr>
        <w:pStyle w:val="Style1"/>
        <w:tabs>
          <w:tab w:val="left" w:pos="567"/>
          <w:tab w:val="left" w:pos="709"/>
        </w:tabs>
        <w:ind w:firstLine="0"/>
        <w:rPr>
          <w:b w:val="0"/>
          <w:bCs/>
        </w:rPr>
      </w:pPr>
      <w:r w:rsidRPr="00053995">
        <w:rPr>
          <w:b w:val="0"/>
          <w:bCs/>
        </w:rPr>
        <w:t xml:space="preserve">Efter administration af vaccineantigen i dyrets krop dannes der specifikke antistoffer, som herefter beskytter det immuniserede dyr mod </w:t>
      </w:r>
      <w:proofErr w:type="spellStart"/>
      <w:r w:rsidRPr="00053995">
        <w:rPr>
          <w:b w:val="0"/>
          <w:bCs/>
        </w:rPr>
        <w:t>erysipelas</w:t>
      </w:r>
      <w:proofErr w:type="spellEnd"/>
      <w:r w:rsidRPr="00053995">
        <w:rPr>
          <w:b w:val="0"/>
          <w:bCs/>
        </w:rPr>
        <w:t>.</w:t>
      </w:r>
    </w:p>
    <w:p w:rsidR="00654AD7" w:rsidRPr="00053995" w:rsidRDefault="00654AD7" w:rsidP="00654AD7">
      <w:pPr>
        <w:pStyle w:val="Style1"/>
        <w:tabs>
          <w:tab w:val="left" w:pos="567"/>
          <w:tab w:val="left" w:pos="709"/>
        </w:tabs>
        <w:ind w:firstLine="0"/>
        <w:rPr>
          <w:b w:val="0"/>
          <w:bCs/>
        </w:rPr>
      </w:pPr>
      <w:r w:rsidRPr="00053995">
        <w:rPr>
          <w:b w:val="0"/>
          <w:bCs/>
        </w:rPr>
        <w:t>Immuniteten er fuldt udviklet 21 dage efter vaccinationen.</w:t>
      </w:r>
    </w:p>
    <w:p w:rsidR="00654AD7" w:rsidRPr="00053995" w:rsidRDefault="00654AD7" w:rsidP="00654AD7">
      <w:pPr>
        <w:pStyle w:val="Style1"/>
        <w:rPr>
          <w:b w:val="0"/>
          <w:bCs/>
        </w:rPr>
      </w:pPr>
    </w:p>
    <w:p w:rsidR="00654AD7" w:rsidRPr="00053995" w:rsidRDefault="00654AD7" w:rsidP="00654AD7">
      <w:pPr>
        <w:rPr>
          <w:szCs w:val="22"/>
        </w:rPr>
      </w:pPr>
    </w:p>
    <w:p w:rsidR="00654AD7" w:rsidRPr="00053995" w:rsidRDefault="00654AD7" w:rsidP="00654AD7">
      <w:pPr>
        <w:pStyle w:val="Style1"/>
      </w:pPr>
      <w:r w:rsidRPr="00053995">
        <w:t>5.</w:t>
      </w:r>
      <w:r w:rsidRPr="00053995">
        <w:tab/>
        <w:t>FARMACEUTISKE OPLYSNINGER</w:t>
      </w:r>
    </w:p>
    <w:p w:rsidR="00654AD7" w:rsidRPr="00053995" w:rsidRDefault="00654AD7" w:rsidP="00654AD7">
      <w:pPr>
        <w:rPr>
          <w:szCs w:val="22"/>
        </w:rPr>
      </w:pPr>
    </w:p>
    <w:p w:rsidR="00654AD7" w:rsidRPr="00053995" w:rsidRDefault="00654AD7" w:rsidP="00654AD7">
      <w:pPr>
        <w:pStyle w:val="Style1"/>
      </w:pPr>
      <w:r w:rsidRPr="00053995">
        <w:t>5.1</w:t>
      </w:r>
      <w:r w:rsidRPr="00053995">
        <w:tab/>
        <w:t>Væsentlige uforligeligheder</w:t>
      </w:r>
    </w:p>
    <w:p w:rsidR="00654AD7" w:rsidRPr="00053995" w:rsidRDefault="00654AD7" w:rsidP="00654AD7">
      <w:pPr>
        <w:rPr>
          <w:szCs w:val="22"/>
        </w:rPr>
      </w:pPr>
    </w:p>
    <w:p w:rsidR="00654AD7" w:rsidRPr="00053995" w:rsidRDefault="00654AD7" w:rsidP="00654AD7">
      <w:pPr>
        <w:ind w:left="567"/>
        <w:rPr>
          <w:szCs w:val="22"/>
        </w:rPr>
      </w:pPr>
      <w:r w:rsidRPr="00053995">
        <w:rPr>
          <w:szCs w:val="22"/>
        </w:rPr>
        <w:t>Da der ikke foreligger undersøgelser vedrørende eventuelle uforligeligheder, bør dette veterinærlægemiddel ikke blandes med andre veterinærlægemidler.</w:t>
      </w:r>
    </w:p>
    <w:p w:rsidR="00654AD7" w:rsidRPr="00053995" w:rsidRDefault="00654AD7" w:rsidP="00654AD7">
      <w:pPr>
        <w:rPr>
          <w:szCs w:val="22"/>
        </w:rPr>
      </w:pPr>
    </w:p>
    <w:p w:rsidR="00654AD7" w:rsidRPr="00053995" w:rsidRDefault="00654AD7" w:rsidP="00654AD7">
      <w:pPr>
        <w:pStyle w:val="Style1"/>
      </w:pPr>
      <w:r w:rsidRPr="00053995">
        <w:t>5.2</w:t>
      </w:r>
      <w:r w:rsidRPr="00053995">
        <w:tab/>
        <w:t>Opbevaringstid</w:t>
      </w:r>
    </w:p>
    <w:p w:rsidR="00654AD7" w:rsidRPr="00053995" w:rsidRDefault="00654AD7" w:rsidP="00654AD7">
      <w:pPr>
        <w:rPr>
          <w:szCs w:val="22"/>
        </w:rPr>
      </w:pPr>
    </w:p>
    <w:p w:rsidR="00654AD7" w:rsidRPr="00053995" w:rsidRDefault="00654AD7" w:rsidP="00654AD7">
      <w:pPr>
        <w:ind w:left="567"/>
        <w:rPr>
          <w:szCs w:val="22"/>
        </w:rPr>
      </w:pPr>
      <w:r w:rsidRPr="00053995">
        <w:rPr>
          <w:szCs w:val="22"/>
        </w:rPr>
        <w:t>Opbevaringstid for veterinærlægemidlet i salgspakning: 18 måneder.</w:t>
      </w:r>
    </w:p>
    <w:p w:rsidR="00654AD7" w:rsidRPr="00053995" w:rsidRDefault="00654AD7" w:rsidP="00654AD7">
      <w:pPr>
        <w:ind w:left="567"/>
        <w:rPr>
          <w:szCs w:val="22"/>
        </w:rPr>
      </w:pPr>
      <w:r w:rsidRPr="00053995">
        <w:rPr>
          <w:szCs w:val="22"/>
        </w:rPr>
        <w:t>Opbevaringstid efter første åbning af den indre emballage: 10 timer</w:t>
      </w:r>
    </w:p>
    <w:p w:rsidR="00654AD7" w:rsidRPr="00053995" w:rsidRDefault="00654AD7" w:rsidP="00654AD7">
      <w:pPr>
        <w:rPr>
          <w:szCs w:val="22"/>
        </w:rPr>
      </w:pPr>
    </w:p>
    <w:p w:rsidR="00654AD7" w:rsidRPr="00053995" w:rsidRDefault="00654AD7" w:rsidP="00654AD7">
      <w:pPr>
        <w:pStyle w:val="Style1"/>
      </w:pPr>
      <w:r w:rsidRPr="00053995">
        <w:t>5.3</w:t>
      </w:r>
      <w:r w:rsidRPr="00053995">
        <w:tab/>
        <w:t>Særlige forholdsregler vedrørende opbevaring</w:t>
      </w:r>
    </w:p>
    <w:p w:rsidR="00654AD7" w:rsidRPr="00053995" w:rsidRDefault="00654AD7" w:rsidP="00654AD7">
      <w:pPr>
        <w:rPr>
          <w:szCs w:val="22"/>
        </w:rPr>
      </w:pPr>
    </w:p>
    <w:p w:rsidR="00654AD7" w:rsidRPr="00053995" w:rsidRDefault="00654AD7" w:rsidP="00654AD7">
      <w:pPr>
        <w:pStyle w:val="Style5"/>
        <w:ind w:firstLine="567"/>
      </w:pPr>
      <w:r w:rsidRPr="00053995">
        <w:t>Opbevares i køleskab (2 °C – 8 °C).</w:t>
      </w:r>
    </w:p>
    <w:p w:rsidR="00654AD7" w:rsidRPr="00053995" w:rsidRDefault="00654AD7" w:rsidP="00654AD7">
      <w:pPr>
        <w:pStyle w:val="Style5"/>
      </w:pPr>
    </w:p>
    <w:p w:rsidR="00654AD7" w:rsidRPr="00053995" w:rsidRDefault="00654AD7" w:rsidP="00654AD7">
      <w:pPr>
        <w:pStyle w:val="Style1"/>
      </w:pPr>
      <w:r w:rsidRPr="00053995">
        <w:t>5.4</w:t>
      </w:r>
      <w:r w:rsidRPr="00053995">
        <w:tab/>
        <w:t>Den indre emballages art og indhold</w:t>
      </w:r>
    </w:p>
    <w:p w:rsidR="00654AD7" w:rsidRPr="00053995" w:rsidRDefault="00654AD7" w:rsidP="00654AD7">
      <w:pPr>
        <w:rPr>
          <w:szCs w:val="22"/>
        </w:rPr>
      </w:pPr>
    </w:p>
    <w:p w:rsidR="00654AD7" w:rsidRPr="00053995" w:rsidRDefault="00654AD7" w:rsidP="00654AD7">
      <w:pPr>
        <w:ind w:left="567"/>
        <w:rPr>
          <w:szCs w:val="22"/>
        </w:rPr>
      </w:pPr>
      <w:r w:rsidRPr="00053995">
        <w:rPr>
          <w:szCs w:val="22"/>
        </w:rPr>
        <w:t xml:space="preserve">Vaccinen leveres i hætteglas af farveløst glas type I (10 ml) og type II (20, 50, 100 ml), og HDPE plastikhætteglas (100 ml), hermetisk lukket med en </w:t>
      </w:r>
      <w:proofErr w:type="spellStart"/>
      <w:r w:rsidRPr="00053995">
        <w:rPr>
          <w:szCs w:val="22"/>
        </w:rPr>
        <w:t>penetrerbar</w:t>
      </w:r>
      <w:proofErr w:type="spellEnd"/>
      <w:r w:rsidRPr="00053995">
        <w:rPr>
          <w:szCs w:val="22"/>
        </w:rPr>
        <w:t xml:space="preserve"> gummiprop og forseglet med aluminiumhætte.</w:t>
      </w:r>
    </w:p>
    <w:p w:rsidR="00654AD7" w:rsidRPr="00053995" w:rsidRDefault="00654AD7" w:rsidP="00654AD7">
      <w:pPr>
        <w:ind w:left="567"/>
        <w:rPr>
          <w:szCs w:val="22"/>
        </w:rPr>
      </w:pPr>
      <w:r w:rsidRPr="00053995">
        <w:rPr>
          <w:szCs w:val="22"/>
        </w:rPr>
        <w:tab/>
      </w:r>
    </w:p>
    <w:p w:rsidR="00654AD7" w:rsidRPr="00053995" w:rsidRDefault="00654AD7" w:rsidP="00654AD7">
      <w:pPr>
        <w:ind w:left="567"/>
        <w:rPr>
          <w:szCs w:val="22"/>
        </w:rPr>
      </w:pPr>
      <w:r w:rsidRPr="00053995">
        <w:rPr>
          <w:szCs w:val="22"/>
        </w:rPr>
        <w:t>Vaccinen er pakket i æsker af plast eller karton:</w:t>
      </w:r>
    </w:p>
    <w:p w:rsidR="00654AD7" w:rsidRPr="00053995" w:rsidRDefault="00654AD7" w:rsidP="00654AD7">
      <w:pPr>
        <w:ind w:left="567"/>
        <w:rPr>
          <w:szCs w:val="22"/>
        </w:rPr>
      </w:pPr>
      <w:r w:rsidRPr="00053995">
        <w:rPr>
          <w:szCs w:val="22"/>
        </w:rPr>
        <w:t>Pakningsstørrelser: 1 x 10 ml, 10 x 10 ml, 5 x 20 ml, 1 x 50 ml, 1 x 100 ml.</w:t>
      </w:r>
    </w:p>
    <w:p w:rsidR="00654AD7" w:rsidRPr="00053995" w:rsidRDefault="00654AD7" w:rsidP="00654AD7">
      <w:pPr>
        <w:ind w:left="567"/>
        <w:rPr>
          <w:szCs w:val="22"/>
        </w:rPr>
      </w:pPr>
    </w:p>
    <w:p w:rsidR="00654AD7" w:rsidRPr="00053995" w:rsidRDefault="00654AD7" w:rsidP="00654AD7">
      <w:pPr>
        <w:ind w:left="567"/>
        <w:rPr>
          <w:szCs w:val="22"/>
        </w:rPr>
      </w:pPr>
      <w:r w:rsidRPr="00053995">
        <w:rPr>
          <w:szCs w:val="22"/>
        </w:rPr>
        <w:t>Ikke alle pakningsstørrelser er nødvendigvis markedsført.</w:t>
      </w:r>
    </w:p>
    <w:p w:rsidR="00654AD7" w:rsidRPr="00053995" w:rsidRDefault="00654AD7" w:rsidP="00654AD7">
      <w:pPr>
        <w:rPr>
          <w:szCs w:val="22"/>
        </w:rPr>
      </w:pPr>
    </w:p>
    <w:p w:rsidR="00654AD7" w:rsidRPr="00053995" w:rsidRDefault="00654AD7" w:rsidP="00654AD7">
      <w:pPr>
        <w:pStyle w:val="Style1"/>
      </w:pPr>
      <w:r w:rsidRPr="00053995">
        <w:t>5.5</w:t>
      </w:r>
      <w:r w:rsidRPr="00053995">
        <w:tab/>
        <w:t>Særlige forholdsregler vedrørende bortskaffelse af ubrugte veterinærlægemidler eller affaldsmaterialer fra brugen heraf</w:t>
      </w:r>
    </w:p>
    <w:p w:rsidR="00654AD7" w:rsidRPr="00053995" w:rsidRDefault="00654AD7" w:rsidP="00654AD7">
      <w:pPr>
        <w:rPr>
          <w:szCs w:val="22"/>
        </w:rPr>
      </w:pPr>
    </w:p>
    <w:p w:rsidR="00654AD7" w:rsidRPr="00053995" w:rsidRDefault="00654AD7" w:rsidP="00654AD7">
      <w:pPr>
        <w:ind w:left="567"/>
        <w:rPr>
          <w:szCs w:val="22"/>
        </w:rPr>
      </w:pPr>
      <w:r w:rsidRPr="00053995">
        <w:rPr>
          <w:szCs w:val="22"/>
        </w:rPr>
        <w:lastRenderedPageBreak/>
        <w:t>Lægemidler må ikke bortskaffes sammen med spildevand eller husholdningsaffald.</w:t>
      </w:r>
    </w:p>
    <w:p w:rsidR="00654AD7" w:rsidRPr="00053995" w:rsidRDefault="00654AD7" w:rsidP="00654AD7">
      <w:pPr>
        <w:ind w:left="567"/>
        <w:rPr>
          <w:szCs w:val="22"/>
        </w:rPr>
      </w:pPr>
    </w:p>
    <w:p w:rsidR="00654AD7" w:rsidRPr="00053995" w:rsidRDefault="00654AD7" w:rsidP="00654AD7">
      <w:pPr>
        <w:ind w:left="567" w:right="-143"/>
        <w:rPr>
          <w:szCs w:val="22"/>
        </w:rPr>
      </w:pPr>
      <w:r w:rsidRPr="00053995">
        <w:rPr>
          <w:szCs w:val="22"/>
        </w:rPr>
        <w:t>Benyt returordninger ved bortskaffelse af ubrugte veterinærlægemidler eller affaldsmaterialer herfra i henhold til lokale retningslinjer og nationale indsamlingsordninger, der er relevante for det pågældende veterinærlægemiddel.</w:t>
      </w:r>
    </w:p>
    <w:p w:rsidR="00654AD7" w:rsidRPr="00053995" w:rsidRDefault="00654AD7" w:rsidP="00654AD7">
      <w:pPr>
        <w:rPr>
          <w:szCs w:val="22"/>
        </w:rPr>
      </w:pPr>
    </w:p>
    <w:p w:rsidR="00654AD7" w:rsidRPr="00053995" w:rsidRDefault="00654AD7" w:rsidP="00654AD7">
      <w:pPr>
        <w:rPr>
          <w:szCs w:val="22"/>
        </w:rPr>
      </w:pPr>
    </w:p>
    <w:p w:rsidR="00654AD7" w:rsidRPr="00053995" w:rsidRDefault="00654AD7" w:rsidP="00654AD7">
      <w:pPr>
        <w:pStyle w:val="Style1"/>
      </w:pPr>
      <w:r w:rsidRPr="00053995">
        <w:t>6.</w:t>
      </w:r>
      <w:r w:rsidRPr="00053995">
        <w:tab/>
        <w:t>NAVN PÅ INDEHAVEREN AF MARKEDSFØRINGSTILLADELSEN</w:t>
      </w:r>
    </w:p>
    <w:p w:rsidR="00654AD7" w:rsidRPr="00053995" w:rsidRDefault="00654AD7" w:rsidP="00654AD7">
      <w:pPr>
        <w:rPr>
          <w:szCs w:val="22"/>
        </w:rPr>
      </w:pPr>
    </w:p>
    <w:p w:rsidR="00654AD7" w:rsidRPr="00053995" w:rsidRDefault="00654AD7" w:rsidP="00654AD7">
      <w:pPr>
        <w:ind w:firstLine="567"/>
        <w:rPr>
          <w:szCs w:val="22"/>
        </w:rPr>
      </w:pPr>
      <w:proofErr w:type="spellStart"/>
      <w:r w:rsidRPr="00053995">
        <w:rPr>
          <w:szCs w:val="22"/>
        </w:rPr>
        <w:t>Salfarm</w:t>
      </w:r>
      <w:proofErr w:type="spellEnd"/>
      <w:r w:rsidRPr="00053995">
        <w:rPr>
          <w:szCs w:val="22"/>
        </w:rPr>
        <w:t xml:space="preserve"> Danmark A/S</w:t>
      </w:r>
    </w:p>
    <w:p w:rsidR="00654AD7" w:rsidRPr="00053995" w:rsidRDefault="00654AD7" w:rsidP="00654AD7">
      <w:pPr>
        <w:rPr>
          <w:szCs w:val="22"/>
        </w:rPr>
      </w:pPr>
    </w:p>
    <w:p w:rsidR="00654AD7" w:rsidRPr="00053995" w:rsidRDefault="00654AD7" w:rsidP="00654AD7">
      <w:pPr>
        <w:rPr>
          <w:szCs w:val="22"/>
        </w:rPr>
      </w:pPr>
    </w:p>
    <w:p w:rsidR="00654AD7" w:rsidRPr="00053995" w:rsidRDefault="00654AD7" w:rsidP="00654AD7">
      <w:pPr>
        <w:pStyle w:val="Style1"/>
      </w:pPr>
      <w:r w:rsidRPr="00053995">
        <w:t>7.</w:t>
      </w:r>
      <w:r w:rsidRPr="00053995">
        <w:tab/>
        <w:t>MARKEDSFØRINGSTILLADELSESNUMMER (-NUMRE)</w:t>
      </w:r>
    </w:p>
    <w:p w:rsidR="00654AD7" w:rsidRPr="00053995" w:rsidRDefault="00654AD7" w:rsidP="00654AD7">
      <w:pPr>
        <w:rPr>
          <w:szCs w:val="22"/>
        </w:rPr>
      </w:pPr>
    </w:p>
    <w:p w:rsidR="00654AD7" w:rsidRPr="00053995" w:rsidRDefault="00654AD7" w:rsidP="00654AD7">
      <w:pPr>
        <w:ind w:firstLine="567"/>
        <w:rPr>
          <w:szCs w:val="22"/>
        </w:rPr>
      </w:pPr>
      <w:r w:rsidRPr="00053995">
        <w:rPr>
          <w:szCs w:val="22"/>
        </w:rPr>
        <w:t>50700</w:t>
      </w:r>
    </w:p>
    <w:p w:rsidR="00654AD7" w:rsidRPr="00053995" w:rsidRDefault="00654AD7" w:rsidP="00654AD7">
      <w:pPr>
        <w:rPr>
          <w:szCs w:val="22"/>
        </w:rPr>
      </w:pPr>
    </w:p>
    <w:p w:rsidR="00654AD7" w:rsidRPr="00053995" w:rsidRDefault="00654AD7" w:rsidP="00654AD7">
      <w:pPr>
        <w:pStyle w:val="Style1"/>
      </w:pPr>
    </w:p>
    <w:p w:rsidR="00654AD7" w:rsidRPr="00053995" w:rsidRDefault="00654AD7" w:rsidP="00654AD7">
      <w:pPr>
        <w:pStyle w:val="Style1"/>
      </w:pPr>
      <w:r w:rsidRPr="00053995">
        <w:t>8.</w:t>
      </w:r>
      <w:r w:rsidRPr="00053995">
        <w:tab/>
        <w:t>DATO FOR FØRSTE TILLADELSE</w:t>
      </w:r>
    </w:p>
    <w:p w:rsidR="00654AD7" w:rsidRPr="00053995" w:rsidRDefault="00654AD7" w:rsidP="00654AD7">
      <w:pPr>
        <w:rPr>
          <w:szCs w:val="22"/>
        </w:rPr>
      </w:pPr>
    </w:p>
    <w:p w:rsidR="00654AD7" w:rsidRPr="00053995" w:rsidRDefault="00654AD7" w:rsidP="00654AD7">
      <w:pPr>
        <w:ind w:firstLine="567"/>
        <w:rPr>
          <w:szCs w:val="22"/>
        </w:rPr>
      </w:pPr>
      <w:r w:rsidRPr="00053995">
        <w:rPr>
          <w:szCs w:val="22"/>
        </w:rPr>
        <w:t>Dato for første markedsføringstilladelse: 13. maj 2013.</w:t>
      </w:r>
    </w:p>
    <w:p w:rsidR="00654AD7" w:rsidRPr="00053995" w:rsidRDefault="00654AD7" w:rsidP="00654AD7">
      <w:pPr>
        <w:rPr>
          <w:szCs w:val="22"/>
        </w:rPr>
      </w:pPr>
    </w:p>
    <w:p w:rsidR="00654AD7" w:rsidRPr="00053995" w:rsidRDefault="00654AD7" w:rsidP="00654AD7">
      <w:pPr>
        <w:rPr>
          <w:szCs w:val="22"/>
        </w:rPr>
      </w:pPr>
    </w:p>
    <w:p w:rsidR="00654AD7" w:rsidRPr="00053995" w:rsidRDefault="00654AD7" w:rsidP="00654AD7">
      <w:pPr>
        <w:pStyle w:val="Style1"/>
      </w:pPr>
      <w:r w:rsidRPr="00053995">
        <w:t>9.</w:t>
      </w:r>
      <w:r w:rsidRPr="00053995">
        <w:tab/>
        <w:t>DATO FOR SENESTE ÆNDRING AF PRODUKTRESUMÉET</w:t>
      </w:r>
    </w:p>
    <w:p w:rsidR="00654AD7" w:rsidRPr="00053995" w:rsidRDefault="00654AD7" w:rsidP="00654AD7">
      <w:pPr>
        <w:rPr>
          <w:szCs w:val="22"/>
        </w:rPr>
      </w:pPr>
    </w:p>
    <w:p w:rsidR="00654AD7" w:rsidRPr="00654AD7" w:rsidRDefault="00654AD7" w:rsidP="00654AD7">
      <w:pPr>
        <w:ind w:firstLine="567"/>
        <w:rPr>
          <w:szCs w:val="22"/>
        </w:rPr>
      </w:pPr>
      <w:r>
        <w:rPr>
          <w:szCs w:val="22"/>
        </w:rPr>
        <w:t>4. marts 2025</w:t>
      </w:r>
    </w:p>
    <w:p w:rsidR="00654AD7" w:rsidRPr="00053995" w:rsidRDefault="00654AD7" w:rsidP="00654AD7">
      <w:pPr>
        <w:rPr>
          <w:szCs w:val="22"/>
        </w:rPr>
      </w:pPr>
    </w:p>
    <w:p w:rsidR="00654AD7" w:rsidRPr="00053995" w:rsidRDefault="00654AD7" w:rsidP="00654AD7">
      <w:pPr>
        <w:rPr>
          <w:szCs w:val="22"/>
        </w:rPr>
      </w:pPr>
    </w:p>
    <w:p w:rsidR="00654AD7" w:rsidRPr="00053995" w:rsidRDefault="00654AD7" w:rsidP="00654AD7">
      <w:pPr>
        <w:pStyle w:val="Style1"/>
      </w:pPr>
      <w:r w:rsidRPr="00053995">
        <w:t>10.</w:t>
      </w:r>
      <w:r w:rsidRPr="00053995">
        <w:tab/>
        <w:t>KLASSIFICERING AF VETERINÆRLÆGEMIDLER</w:t>
      </w:r>
    </w:p>
    <w:p w:rsidR="00654AD7" w:rsidRDefault="00654AD7" w:rsidP="00654AD7">
      <w:pPr>
        <w:rPr>
          <w:szCs w:val="22"/>
        </w:rPr>
      </w:pPr>
    </w:p>
    <w:p w:rsidR="00654AD7" w:rsidRPr="00053995" w:rsidRDefault="00654AD7" w:rsidP="00654AD7">
      <w:pPr>
        <w:rPr>
          <w:szCs w:val="22"/>
        </w:rPr>
      </w:pPr>
    </w:p>
    <w:p w:rsidR="00654AD7" w:rsidRPr="00A724CC" w:rsidRDefault="00654AD7" w:rsidP="00654AD7">
      <w:pPr>
        <w:numPr>
          <w:ilvl w:val="12"/>
          <w:numId w:val="0"/>
        </w:numPr>
        <w:tabs>
          <w:tab w:val="left" w:pos="567"/>
        </w:tabs>
        <w:rPr>
          <w:color w:val="5B9BD5" w:themeColor="accent1"/>
          <w:szCs w:val="22"/>
        </w:rPr>
      </w:pPr>
      <w:r>
        <w:rPr>
          <w:szCs w:val="22"/>
        </w:rPr>
        <w:t xml:space="preserve"> </w:t>
      </w:r>
      <w:r>
        <w:rPr>
          <w:szCs w:val="22"/>
        </w:rPr>
        <w:tab/>
        <w:t xml:space="preserve">BP </w:t>
      </w:r>
    </w:p>
    <w:p w:rsidR="00654AD7" w:rsidRPr="00053995" w:rsidRDefault="00654AD7" w:rsidP="00654AD7">
      <w:pPr>
        <w:ind w:right="-318"/>
        <w:rPr>
          <w:szCs w:val="22"/>
        </w:rPr>
      </w:pPr>
    </w:p>
    <w:p w:rsidR="0003527F" w:rsidRPr="00654AD7" w:rsidRDefault="00654AD7" w:rsidP="00654AD7">
      <w:pPr>
        <w:ind w:right="-318" w:firstLine="567"/>
        <w:rPr>
          <w:szCs w:val="22"/>
        </w:rPr>
      </w:pPr>
      <w:bookmarkStart w:id="4" w:name="_Hlk73467306"/>
      <w:r w:rsidRPr="00053995">
        <w:rPr>
          <w:szCs w:val="22"/>
        </w:rPr>
        <w:t>Der findes detaljerede oplysninger om dette veterinærlægemiddel i EU-lægemiddeldatabasen.</w:t>
      </w:r>
      <w:bookmarkEnd w:id="4"/>
    </w:p>
    <w:sectPr w:rsidR="0003527F" w:rsidRPr="00654AD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82D" w:rsidRDefault="007B682D">
      <w:r>
        <w:separator/>
      </w:r>
    </w:p>
  </w:endnote>
  <w:endnote w:type="continuationSeparator" w:id="0">
    <w:p w:rsidR="007B682D" w:rsidRDefault="007B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DC6920">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Erybac Uno Vet., injektionsvæske, emulsion</w:t>
    </w:r>
    <w:r>
      <w:rPr>
        <w:i/>
        <w:snapToGrid w:val="0"/>
        <w:sz w:val="18"/>
      </w:rPr>
      <w:fldChar w:fldCharType="end"/>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65ADF">
      <w:rPr>
        <w:i/>
        <w:noProof/>
        <w:snapToGrid w:val="0"/>
        <w:sz w:val="18"/>
      </w:rPr>
      <w:t>Dokument317</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82D" w:rsidRDefault="007B682D">
      <w:r>
        <w:separator/>
      </w:r>
    </w:p>
  </w:footnote>
  <w:footnote w:type="continuationSeparator" w:id="0">
    <w:p w:rsidR="007B682D" w:rsidRDefault="007B68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ADF"/>
    <w:rsid w:val="0003527F"/>
    <w:rsid w:val="00065C7D"/>
    <w:rsid w:val="00072FD8"/>
    <w:rsid w:val="000C6CD4"/>
    <w:rsid w:val="001577E4"/>
    <w:rsid w:val="001673B5"/>
    <w:rsid w:val="001858CA"/>
    <w:rsid w:val="001C4AEF"/>
    <w:rsid w:val="001D3CC5"/>
    <w:rsid w:val="00301010"/>
    <w:rsid w:val="00322BDE"/>
    <w:rsid w:val="00406EE7"/>
    <w:rsid w:val="00407013"/>
    <w:rsid w:val="004A62CC"/>
    <w:rsid w:val="00565A74"/>
    <w:rsid w:val="005B0036"/>
    <w:rsid w:val="005B5E77"/>
    <w:rsid w:val="005F5831"/>
    <w:rsid w:val="00624FD0"/>
    <w:rsid w:val="00654AD7"/>
    <w:rsid w:val="00662012"/>
    <w:rsid w:val="00666B01"/>
    <w:rsid w:val="006B1539"/>
    <w:rsid w:val="006D4B41"/>
    <w:rsid w:val="006F5621"/>
    <w:rsid w:val="007B682D"/>
    <w:rsid w:val="007E2A00"/>
    <w:rsid w:val="008010F2"/>
    <w:rsid w:val="009202AE"/>
    <w:rsid w:val="00932676"/>
    <w:rsid w:val="009D66C6"/>
    <w:rsid w:val="00A20089"/>
    <w:rsid w:val="00A23482"/>
    <w:rsid w:val="00A96525"/>
    <w:rsid w:val="00AE29E5"/>
    <w:rsid w:val="00AE5757"/>
    <w:rsid w:val="00B25EB8"/>
    <w:rsid w:val="00B71A87"/>
    <w:rsid w:val="00BC634B"/>
    <w:rsid w:val="00BF2AE0"/>
    <w:rsid w:val="00C479BF"/>
    <w:rsid w:val="00C65ADF"/>
    <w:rsid w:val="00D567AA"/>
    <w:rsid w:val="00DC6920"/>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A455B48-3D18-4FE5-A475-7DF65875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654AD7"/>
    <w:pPr>
      <w:tabs>
        <w:tab w:val="left" w:pos="0"/>
      </w:tabs>
      <w:ind w:left="567" w:hanging="567"/>
    </w:pPr>
    <w:rPr>
      <w:b/>
      <w:sz w:val="22"/>
      <w:szCs w:val="22"/>
    </w:rPr>
  </w:style>
  <w:style w:type="paragraph" w:customStyle="1" w:styleId="Style5">
    <w:name w:val="Style5"/>
    <w:basedOn w:val="Normal"/>
    <w:qFormat/>
    <w:rsid w:val="00654AD7"/>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995</Words>
  <Characters>6553</Characters>
  <Application>Microsoft Office Word</Application>
  <DocSecurity>4</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2023123550 QRD9</dc:description>
  <cp:lastModifiedBy>Gitte Ronnovius</cp:lastModifiedBy>
  <cp:revision>2</cp:revision>
  <dcterms:created xsi:type="dcterms:W3CDTF">2025-04-04T08:45:00Z</dcterms:created>
  <dcterms:modified xsi:type="dcterms:W3CDTF">2025-04-04T08:45:00Z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