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A66E4" w:rsidRDefault="006B4285" w:rsidP="00FA66E4">
      <w:pPr>
        <w:tabs>
          <w:tab w:val="left" w:pos="6804"/>
        </w:tabs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297172">
        <w:fldChar w:fldCharType="begin"/>
      </w:r>
      <w:r w:rsidR="00297172">
        <w:instrText xml:space="preserve"> </w:instrText>
      </w:r>
      <w:r w:rsidR="00297172">
        <w:instrText>INCLUDEPICTURE  "cid:image004.jpg@01D117E9.E5553340" \* MERGEFORMATINET</w:instrText>
      </w:r>
      <w:r w:rsidR="00297172">
        <w:instrText xml:space="preserve"> </w:instrText>
      </w:r>
      <w:r w:rsidR="00297172">
        <w:fldChar w:fldCharType="separate"/>
      </w:r>
      <w:r w:rsidR="002971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 w:rsidR="00297172">
        <w:fldChar w:fldCharType="end"/>
      </w:r>
      <w:r>
        <w:fldChar w:fldCharType="end"/>
      </w:r>
    </w:p>
    <w:p w:rsidR="00FA66E4" w:rsidRPr="00406EE7" w:rsidRDefault="00D46804" w:rsidP="00FA66E4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1. maj 2019</w:t>
      </w:r>
    </w:p>
    <w:p w:rsidR="00FA66E4" w:rsidRPr="00406EE7" w:rsidRDefault="00FA66E4" w:rsidP="00FA66E4">
      <w:pPr>
        <w:tabs>
          <w:tab w:val="left" w:pos="8222"/>
        </w:tabs>
        <w:rPr>
          <w:sz w:val="24"/>
          <w:szCs w:val="24"/>
        </w:rPr>
      </w:pPr>
    </w:p>
    <w:p w:rsidR="00FA66E4" w:rsidRPr="00406EE7" w:rsidRDefault="00FA66E4" w:rsidP="00FA66E4">
      <w:pPr>
        <w:tabs>
          <w:tab w:val="left" w:pos="8222"/>
        </w:tabs>
        <w:rPr>
          <w:sz w:val="24"/>
          <w:szCs w:val="24"/>
        </w:rPr>
      </w:pPr>
    </w:p>
    <w:p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A66E4" w:rsidRPr="003D01B2" w:rsidRDefault="00B22DC3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 w:rsidRPr="003D01B2">
        <w:rPr>
          <w:b/>
          <w:sz w:val="24"/>
          <w:szCs w:val="24"/>
        </w:rPr>
        <w:t>Espacox, oral suspension</w:t>
      </w:r>
    </w:p>
    <w:p w:rsidR="00FA66E4" w:rsidRPr="003D01B2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:rsidR="00FA66E4" w:rsidRPr="003D01B2" w:rsidRDefault="00FA66E4" w:rsidP="001D7978">
      <w:pPr>
        <w:ind w:left="851" w:hanging="851"/>
        <w:jc w:val="both"/>
        <w:rPr>
          <w:sz w:val="24"/>
          <w:szCs w:val="24"/>
        </w:rPr>
      </w:pPr>
    </w:p>
    <w:p w:rsidR="00FA66E4" w:rsidRPr="003D01B2" w:rsidRDefault="00FA66E4" w:rsidP="001D7978">
      <w:pPr>
        <w:ind w:left="851" w:hanging="851"/>
        <w:rPr>
          <w:b/>
          <w:sz w:val="24"/>
          <w:szCs w:val="24"/>
        </w:rPr>
      </w:pPr>
      <w:r w:rsidRPr="003D01B2">
        <w:rPr>
          <w:b/>
          <w:sz w:val="24"/>
          <w:szCs w:val="24"/>
        </w:rPr>
        <w:t>0.</w:t>
      </w:r>
      <w:r w:rsidRPr="003D01B2">
        <w:rPr>
          <w:b/>
          <w:sz w:val="24"/>
          <w:szCs w:val="24"/>
        </w:rPr>
        <w:tab/>
        <w:t>D.SP.NR</w:t>
      </w:r>
      <w:r w:rsidR="00406EE7" w:rsidRPr="003D01B2">
        <w:rPr>
          <w:b/>
          <w:sz w:val="24"/>
          <w:szCs w:val="24"/>
        </w:rPr>
        <w:t>.</w:t>
      </w:r>
    </w:p>
    <w:p w:rsidR="00FA66E4" w:rsidRPr="003D01B2" w:rsidRDefault="001D7978" w:rsidP="001D7978">
      <w:pPr>
        <w:ind w:left="851" w:hanging="851"/>
        <w:rPr>
          <w:sz w:val="24"/>
          <w:szCs w:val="24"/>
        </w:rPr>
      </w:pPr>
      <w:r w:rsidRPr="003D01B2">
        <w:rPr>
          <w:sz w:val="24"/>
          <w:szCs w:val="24"/>
        </w:rPr>
        <w:tab/>
      </w:r>
      <w:r w:rsidR="00B22DC3" w:rsidRPr="003D01B2">
        <w:rPr>
          <w:sz w:val="24"/>
          <w:szCs w:val="24"/>
        </w:rPr>
        <w:t>28788</w:t>
      </w:r>
    </w:p>
    <w:p w:rsidR="00FA66E4" w:rsidRPr="003D01B2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1.</w:t>
      </w:r>
      <w:r w:rsidRPr="001D7978">
        <w:rPr>
          <w:b/>
          <w:sz w:val="24"/>
          <w:szCs w:val="24"/>
        </w:rPr>
        <w:tab/>
        <w:t>VETERINÆRLÆGEMIDLETS NAVN</w:t>
      </w:r>
    </w:p>
    <w:p w:rsidR="00FA66E4" w:rsidRPr="001D7978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B22DC3" w:rsidRPr="001D7978">
        <w:rPr>
          <w:sz w:val="24"/>
          <w:szCs w:val="24"/>
        </w:rPr>
        <w:t>Espacox</w:t>
      </w:r>
      <w:proofErr w:type="spellEnd"/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2.</w:t>
      </w:r>
      <w:r w:rsidRPr="001D7978">
        <w:rPr>
          <w:b/>
          <w:sz w:val="24"/>
          <w:szCs w:val="24"/>
        </w:rPr>
        <w:tab/>
        <w:t>KVALITATIV OG KVANTITATIV SAMMENSÆTNING</w:t>
      </w:r>
    </w:p>
    <w:p w:rsidR="00B22DC3" w:rsidRPr="001D7978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Hver ml indeholder:</w:t>
      </w:r>
    </w:p>
    <w:p w:rsidR="00B22DC3" w:rsidRPr="001D7978" w:rsidRDefault="00B22DC3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</w:p>
    <w:p w:rsidR="00B22DC3" w:rsidRPr="001D7978" w:rsidRDefault="001D7978" w:rsidP="001D7978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22DC3" w:rsidRPr="001D7978">
        <w:rPr>
          <w:b/>
          <w:sz w:val="24"/>
          <w:szCs w:val="24"/>
        </w:rPr>
        <w:t>Aktivt stof:</w:t>
      </w:r>
      <w:r w:rsidR="00B22DC3" w:rsidRPr="001D7978">
        <w:rPr>
          <w:b/>
          <w:sz w:val="24"/>
          <w:szCs w:val="24"/>
        </w:rPr>
        <w:tab/>
      </w:r>
    </w:p>
    <w:p w:rsidR="00B22DC3" w:rsidRPr="001D7978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B22DC3" w:rsidRPr="001D7978">
        <w:rPr>
          <w:sz w:val="24"/>
          <w:szCs w:val="24"/>
        </w:rPr>
        <w:t>Toltrazuril</w:t>
      </w:r>
      <w:proofErr w:type="spellEnd"/>
      <w:r w:rsidR="00B22DC3" w:rsidRPr="001D797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50 mg</w:t>
      </w:r>
    </w:p>
    <w:p w:rsidR="00B22DC3" w:rsidRPr="001D7978" w:rsidRDefault="00B22DC3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</w:p>
    <w:p w:rsidR="00B22DC3" w:rsidRPr="001D7978" w:rsidRDefault="001D7978" w:rsidP="001D7978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22DC3" w:rsidRPr="001D7978">
        <w:rPr>
          <w:b/>
          <w:sz w:val="24"/>
          <w:szCs w:val="24"/>
        </w:rPr>
        <w:t>Hjælpestoffer:</w:t>
      </w:r>
      <w:r w:rsidR="00B22DC3" w:rsidRPr="001D7978">
        <w:rPr>
          <w:b/>
          <w:sz w:val="24"/>
          <w:szCs w:val="24"/>
        </w:rPr>
        <w:tab/>
      </w:r>
    </w:p>
    <w:p w:rsidR="00B22DC3" w:rsidRPr="003D01B2" w:rsidRDefault="001D7978" w:rsidP="001D7978">
      <w:pPr>
        <w:ind w:left="851" w:hanging="851"/>
        <w:rPr>
          <w:sz w:val="24"/>
          <w:szCs w:val="24"/>
          <w:lang w:val="en-US"/>
        </w:rPr>
      </w:pPr>
      <w:r w:rsidRPr="001D7978">
        <w:rPr>
          <w:sz w:val="24"/>
          <w:szCs w:val="24"/>
        </w:rPr>
        <w:tab/>
      </w:r>
      <w:r w:rsidR="00B22DC3" w:rsidRPr="003D01B2">
        <w:rPr>
          <w:sz w:val="24"/>
          <w:szCs w:val="24"/>
          <w:lang w:val="en-US"/>
        </w:rPr>
        <w:t>Natriumbenzoat (E211)</w:t>
      </w:r>
      <w:r w:rsidR="00B22DC3" w:rsidRPr="003D01B2">
        <w:rPr>
          <w:sz w:val="24"/>
          <w:szCs w:val="24"/>
          <w:lang w:val="en-US"/>
        </w:rPr>
        <w:tab/>
        <w:t>2,1 mg</w:t>
      </w:r>
    </w:p>
    <w:p w:rsidR="00B22DC3" w:rsidRPr="003D01B2" w:rsidRDefault="001D7978" w:rsidP="001D7978">
      <w:pPr>
        <w:ind w:left="851" w:hanging="851"/>
        <w:rPr>
          <w:sz w:val="24"/>
          <w:szCs w:val="24"/>
          <w:lang w:val="en-US"/>
        </w:rPr>
      </w:pPr>
      <w:r w:rsidRPr="003D01B2">
        <w:rPr>
          <w:sz w:val="24"/>
          <w:szCs w:val="24"/>
          <w:lang w:val="en-US"/>
        </w:rPr>
        <w:tab/>
      </w:r>
      <w:r w:rsidR="00B22DC3" w:rsidRPr="003D01B2">
        <w:rPr>
          <w:sz w:val="24"/>
          <w:szCs w:val="24"/>
          <w:lang w:val="en-US"/>
        </w:rPr>
        <w:t>Natriumpropionat (E281)</w:t>
      </w:r>
      <w:r w:rsidR="00B22DC3" w:rsidRPr="003D01B2">
        <w:rPr>
          <w:sz w:val="24"/>
          <w:szCs w:val="24"/>
          <w:lang w:val="en-US"/>
        </w:rPr>
        <w:tab/>
        <w:t>2,1 mg</w:t>
      </w:r>
    </w:p>
    <w:p w:rsidR="001D7978" w:rsidRPr="003D01B2" w:rsidRDefault="001D7978" w:rsidP="001D7978">
      <w:pPr>
        <w:ind w:left="851" w:hanging="851"/>
        <w:rPr>
          <w:sz w:val="24"/>
          <w:szCs w:val="24"/>
          <w:lang w:val="en-US"/>
        </w:rPr>
      </w:pPr>
      <w:r w:rsidRPr="003D01B2">
        <w:rPr>
          <w:sz w:val="24"/>
          <w:szCs w:val="24"/>
          <w:lang w:val="en-US"/>
        </w:rPr>
        <w:tab/>
      </w:r>
    </w:p>
    <w:p w:rsidR="00B22DC3" w:rsidRPr="001D7978" w:rsidRDefault="001D7978" w:rsidP="001D7978">
      <w:pPr>
        <w:ind w:left="851" w:hanging="851"/>
        <w:rPr>
          <w:sz w:val="24"/>
          <w:szCs w:val="24"/>
        </w:rPr>
      </w:pPr>
      <w:r w:rsidRPr="003D01B2">
        <w:rPr>
          <w:sz w:val="24"/>
          <w:szCs w:val="24"/>
          <w:lang w:val="en-US"/>
        </w:rPr>
        <w:tab/>
      </w:r>
      <w:r w:rsidR="00B22DC3" w:rsidRPr="001D7978">
        <w:rPr>
          <w:sz w:val="24"/>
          <w:szCs w:val="24"/>
        </w:rPr>
        <w:t>Alle hjælpestoffer er anført under pkt. 6.1.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3.</w:t>
      </w:r>
      <w:r w:rsidRPr="001D7978">
        <w:rPr>
          <w:b/>
          <w:sz w:val="24"/>
          <w:szCs w:val="24"/>
        </w:rPr>
        <w:tab/>
        <w:t>LÆGEMIDDELFORM</w:t>
      </w:r>
    </w:p>
    <w:p w:rsidR="00B22DC3" w:rsidRPr="001D7978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Oral suspension</w:t>
      </w:r>
      <w:r w:rsidR="00591A38">
        <w:rPr>
          <w:sz w:val="24"/>
          <w:szCs w:val="24"/>
        </w:rPr>
        <w:t>.</w:t>
      </w:r>
    </w:p>
    <w:p w:rsidR="00B22DC3" w:rsidRPr="001D7978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Hvid eller gullig suspension</w:t>
      </w:r>
      <w:r w:rsidR="00591A38">
        <w:rPr>
          <w:sz w:val="24"/>
          <w:szCs w:val="24"/>
        </w:rPr>
        <w:t>.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4.</w:t>
      </w:r>
      <w:r w:rsidRPr="001D7978">
        <w:rPr>
          <w:b/>
          <w:sz w:val="24"/>
          <w:szCs w:val="24"/>
        </w:rPr>
        <w:tab/>
        <w:t>KLINISKE OPLYSNINGER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  <w:u w:val="single"/>
        </w:rPr>
      </w:pPr>
      <w:r w:rsidRPr="001D7978">
        <w:rPr>
          <w:b/>
          <w:sz w:val="24"/>
          <w:szCs w:val="24"/>
        </w:rPr>
        <w:t>4.1</w:t>
      </w:r>
      <w:r w:rsidRPr="001D7978">
        <w:rPr>
          <w:b/>
          <w:sz w:val="24"/>
          <w:szCs w:val="24"/>
        </w:rPr>
        <w:tab/>
        <w:t>Dyrearter</w:t>
      </w:r>
    </w:p>
    <w:p w:rsidR="00B22DC3" w:rsidRPr="001D7978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Svin (Smågrise, 3 - 5 dage gamle)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1D7978">
        <w:rPr>
          <w:b/>
          <w:szCs w:val="24"/>
        </w:rPr>
        <w:t>4.2</w:t>
      </w:r>
      <w:r w:rsidRPr="001D7978">
        <w:rPr>
          <w:b/>
          <w:szCs w:val="24"/>
        </w:rPr>
        <w:tab/>
        <w:t>Terapeutiske indikationer</w:t>
      </w:r>
    </w:p>
    <w:p w:rsidR="00B22DC3" w:rsidRPr="001D7978" w:rsidRDefault="001D7978" w:rsidP="001D797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>
        <w:rPr>
          <w:szCs w:val="24"/>
        </w:rPr>
        <w:tab/>
      </w:r>
      <w:r w:rsidR="00B22DC3" w:rsidRPr="001D7978">
        <w:rPr>
          <w:szCs w:val="24"/>
        </w:rPr>
        <w:t xml:space="preserve">Til forebyggelse af kliniske tegn på </w:t>
      </w:r>
      <w:proofErr w:type="spellStart"/>
      <w:r w:rsidR="00B22DC3" w:rsidRPr="001D7978">
        <w:rPr>
          <w:szCs w:val="24"/>
        </w:rPr>
        <w:t>coccidiose</w:t>
      </w:r>
      <w:proofErr w:type="spellEnd"/>
      <w:r w:rsidR="00B22DC3" w:rsidRPr="001D7978">
        <w:rPr>
          <w:szCs w:val="24"/>
        </w:rPr>
        <w:t xml:space="preserve"> hos neonatale smågrise (3 - 5 dage gamle) på svinefarme med bekræftet tidligere </w:t>
      </w:r>
      <w:proofErr w:type="spellStart"/>
      <w:r w:rsidR="00B22DC3" w:rsidRPr="001D7978">
        <w:rPr>
          <w:szCs w:val="24"/>
        </w:rPr>
        <w:t>coccidiose</w:t>
      </w:r>
      <w:proofErr w:type="spellEnd"/>
      <w:r w:rsidR="00B22DC3" w:rsidRPr="001D7978">
        <w:rPr>
          <w:szCs w:val="24"/>
        </w:rPr>
        <w:t xml:space="preserve"> forårsaget af </w:t>
      </w:r>
      <w:proofErr w:type="spellStart"/>
      <w:r w:rsidR="00FD7BC0">
        <w:rPr>
          <w:i/>
          <w:color w:val="000000"/>
          <w:szCs w:val="22"/>
        </w:rPr>
        <w:t>Cystoisospora</w:t>
      </w:r>
      <w:proofErr w:type="spellEnd"/>
      <w:r w:rsidR="00FD7BC0">
        <w:rPr>
          <w:i/>
          <w:color w:val="000000"/>
          <w:szCs w:val="22"/>
        </w:rPr>
        <w:t xml:space="preserve"> </w:t>
      </w:r>
      <w:proofErr w:type="spellStart"/>
      <w:r w:rsidR="00FD7BC0">
        <w:rPr>
          <w:i/>
          <w:color w:val="000000"/>
          <w:szCs w:val="22"/>
        </w:rPr>
        <w:t>suis</w:t>
      </w:r>
      <w:proofErr w:type="spellEnd"/>
      <w:r w:rsidR="00FD7BC0">
        <w:rPr>
          <w:color w:val="000000"/>
          <w:szCs w:val="22"/>
        </w:rPr>
        <w:t xml:space="preserve"> (</w:t>
      </w:r>
      <w:proofErr w:type="spellStart"/>
      <w:r w:rsidR="00FD7BC0">
        <w:rPr>
          <w:i/>
          <w:color w:val="000000"/>
          <w:szCs w:val="22"/>
        </w:rPr>
        <w:t>Isospora</w:t>
      </w:r>
      <w:proofErr w:type="spellEnd"/>
      <w:r w:rsidR="00FD7BC0">
        <w:rPr>
          <w:i/>
          <w:color w:val="000000"/>
          <w:szCs w:val="22"/>
        </w:rPr>
        <w:t xml:space="preserve"> </w:t>
      </w:r>
      <w:proofErr w:type="spellStart"/>
      <w:r w:rsidR="00FD7BC0">
        <w:rPr>
          <w:i/>
          <w:color w:val="000000"/>
          <w:szCs w:val="22"/>
        </w:rPr>
        <w:t>suis</w:t>
      </w:r>
      <w:proofErr w:type="spellEnd"/>
      <w:r w:rsidR="00FD7BC0">
        <w:rPr>
          <w:color w:val="000000"/>
          <w:szCs w:val="22"/>
        </w:rPr>
        <w:t>)</w:t>
      </w:r>
      <w:r w:rsidR="00B22DC3" w:rsidRPr="001D7978">
        <w:rPr>
          <w:szCs w:val="24"/>
        </w:rPr>
        <w:t>.</w:t>
      </w:r>
    </w:p>
    <w:p w:rsidR="00FA66E4" w:rsidRPr="001D7978" w:rsidRDefault="00FA66E4" w:rsidP="001D797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A66E4" w:rsidRPr="001D7978" w:rsidRDefault="00FA66E4" w:rsidP="001D7978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1D7978">
        <w:rPr>
          <w:b/>
          <w:szCs w:val="24"/>
        </w:rPr>
        <w:t>4.3</w:t>
      </w:r>
      <w:r w:rsidRPr="001D7978">
        <w:rPr>
          <w:b/>
          <w:szCs w:val="24"/>
        </w:rPr>
        <w:tab/>
        <w:t>Kontraindikationer</w:t>
      </w:r>
    </w:p>
    <w:p w:rsidR="00B22DC3" w:rsidRPr="001D7978" w:rsidRDefault="001D7978" w:rsidP="001D797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>
        <w:rPr>
          <w:szCs w:val="24"/>
        </w:rPr>
        <w:tab/>
      </w:r>
      <w:r w:rsidR="00B22DC3" w:rsidRPr="001D7978">
        <w:rPr>
          <w:szCs w:val="24"/>
        </w:rPr>
        <w:t>Bør ikke anvendes i tilfælde af overfølsomhed over for det aktive stof eller over for et eller flere af hjælpestofferne.</w:t>
      </w:r>
    </w:p>
    <w:p w:rsidR="00591A38" w:rsidRDefault="00591A38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FA66E4" w:rsidRPr="001D7978" w:rsidRDefault="00FA66E4" w:rsidP="001D797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4.4</w:t>
      </w:r>
      <w:r w:rsidRPr="001D7978">
        <w:rPr>
          <w:b/>
          <w:sz w:val="24"/>
          <w:szCs w:val="24"/>
        </w:rPr>
        <w:tab/>
        <w:t>Særlige advarsler</w:t>
      </w:r>
    </w:p>
    <w:p w:rsidR="00D46804" w:rsidRDefault="00FA66E4" w:rsidP="00D46804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D46804">
        <w:rPr>
          <w:sz w:val="24"/>
          <w:szCs w:val="24"/>
        </w:rPr>
        <w:t xml:space="preserve">Hyppig og gentagen brug af </w:t>
      </w:r>
      <w:proofErr w:type="spellStart"/>
      <w:r w:rsidR="00D46804">
        <w:rPr>
          <w:sz w:val="24"/>
          <w:szCs w:val="24"/>
        </w:rPr>
        <w:t>antiprotozomidler</w:t>
      </w:r>
      <w:proofErr w:type="spellEnd"/>
      <w:r w:rsidR="00D46804">
        <w:rPr>
          <w:sz w:val="24"/>
          <w:szCs w:val="24"/>
        </w:rPr>
        <w:t xml:space="preserve"> fra samme gruppe aktive stoffer og underdosering, der kan skyldes underestimering af kropsvægt, kan, ligesom ved alle antiparasitære midler, føre til resistensudvikling.</w:t>
      </w:r>
    </w:p>
    <w:p w:rsidR="00D46804" w:rsidRDefault="00D46804" w:rsidP="00D4680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Det anbefales at behandle alle pattegrise i et kuld.</w:t>
      </w:r>
    </w:p>
    <w:p w:rsidR="00D46804" w:rsidRDefault="00D46804" w:rsidP="00D4680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Hygiejneforanstaltninger kan mindske risikoen for </w:t>
      </w:r>
      <w:proofErr w:type="spellStart"/>
      <w:r>
        <w:rPr>
          <w:sz w:val="24"/>
          <w:szCs w:val="24"/>
        </w:rPr>
        <w:t>coccidiose</w:t>
      </w:r>
      <w:proofErr w:type="spellEnd"/>
      <w:r>
        <w:rPr>
          <w:sz w:val="24"/>
          <w:szCs w:val="24"/>
        </w:rPr>
        <w:t>. Det anbefales derfor samtidigt at forbedre hygiejneforholdene i den berørte bedrift, specielt med hensyn til tørhed og renlighed.</w:t>
      </w:r>
    </w:p>
    <w:p w:rsidR="00FA66E4" w:rsidRDefault="00D46804" w:rsidP="00D46804">
      <w:pPr>
        <w:ind w:left="851" w:hanging="851"/>
        <w:rPr>
          <w:szCs w:val="24"/>
        </w:rPr>
      </w:pPr>
      <w:r>
        <w:rPr>
          <w:szCs w:val="24"/>
        </w:rPr>
        <w:tab/>
        <w:t xml:space="preserve">For at opnå størst virkning bør dyrene behandles før, der forventes udbrud af kliniske symptomer, dvs. i </w:t>
      </w:r>
      <w:proofErr w:type="spellStart"/>
      <w:r>
        <w:rPr>
          <w:szCs w:val="24"/>
        </w:rPr>
        <w:t>præpatensperioden</w:t>
      </w:r>
      <w:proofErr w:type="spellEnd"/>
      <w:r>
        <w:rPr>
          <w:szCs w:val="24"/>
        </w:rPr>
        <w:t>.</w:t>
      </w:r>
    </w:p>
    <w:p w:rsidR="00D46804" w:rsidRDefault="00D46804" w:rsidP="00D46804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For at ændre forløbet af en konstateret klinisk </w:t>
      </w:r>
      <w:proofErr w:type="spellStart"/>
      <w:r>
        <w:rPr>
          <w:sz w:val="24"/>
          <w:szCs w:val="24"/>
        </w:rPr>
        <w:t>coccidioseinfektion</w:t>
      </w:r>
      <w:proofErr w:type="spellEnd"/>
      <w:r>
        <w:rPr>
          <w:sz w:val="24"/>
          <w:szCs w:val="24"/>
        </w:rPr>
        <w:t xml:space="preserve"> kan det være nødvendigt med ekstra støttebehandling af enkelte dyr, som allerede udviser tegn på diarré.</w:t>
      </w:r>
    </w:p>
    <w:p w:rsidR="00FA66E4" w:rsidRPr="001D7978" w:rsidRDefault="00FA66E4" w:rsidP="001D797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4.5</w:t>
      </w:r>
      <w:r w:rsidRPr="001D7978">
        <w:rPr>
          <w:b/>
          <w:sz w:val="24"/>
          <w:szCs w:val="24"/>
        </w:rPr>
        <w:tab/>
        <w:t>Særlige forsigtighedsregler vedrørende brugen</w:t>
      </w: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ab/>
      </w: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ab/>
        <w:t>Særlige forsigtighedsregler for dyret</w:t>
      </w:r>
    </w:p>
    <w:p w:rsidR="00D46804" w:rsidRDefault="00FA66E4" w:rsidP="00D46804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D46804">
        <w:rPr>
          <w:sz w:val="24"/>
          <w:szCs w:val="24"/>
        </w:rPr>
        <w:t>Ikke relevant.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sz w:val="24"/>
          <w:szCs w:val="24"/>
        </w:rPr>
        <w:tab/>
      </w:r>
      <w:r w:rsidRPr="001D7978">
        <w:rPr>
          <w:b/>
          <w:sz w:val="24"/>
          <w:szCs w:val="24"/>
        </w:rPr>
        <w:t>Særlige forsigtighedsregler for personer, der administrerer lægemidlet</w:t>
      </w:r>
    </w:p>
    <w:p w:rsidR="00B22DC3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I tilfælde af indtagelse ved hændeligt uheld skal der straks søges lægehjælp, og indlægssedlen eller etiketten bør vises til lægen.</w:t>
      </w:r>
    </w:p>
    <w:p w:rsidR="00B22DC3" w:rsidRPr="001D7978" w:rsidRDefault="00B22DC3" w:rsidP="001D7978">
      <w:pPr>
        <w:ind w:left="851" w:hanging="851"/>
        <w:rPr>
          <w:sz w:val="24"/>
          <w:szCs w:val="24"/>
        </w:rPr>
      </w:pPr>
    </w:p>
    <w:p w:rsidR="00B22DC3" w:rsidRPr="001D7978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 xml:space="preserve">Ved overfølsomhed over for </w:t>
      </w:r>
      <w:proofErr w:type="spellStart"/>
      <w:r w:rsidR="00B22DC3" w:rsidRPr="001D7978">
        <w:rPr>
          <w:sz w:val="24"/>
          <w:szCs w:val="24"/>
        </w:rPr>
        <w:t>toltrazuril</w:t>
      </w:r>
      <w:proofErr w:type="spellEnd"/>
      <w:r w:rsidR="00B22DC3" w:rsidRPr="001D7978">
        <w:rPr>
          <w:sz w:val="24"/>
          <w:szCs w:val="24"/>
        </w:rPr>
        <w:t xml:space="preserve"> eller nogen af hjælpestofferne bør kontakt med veterinærlægemidlet undgås.</w:t>
      </w:r>
    </w:p>
    <w:p w:rsidR="00D46804" w:rsidRDefault="001D7978" w:rsidP="00D4680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D46804">
        <w:rPr>
          <w:sz w:val="24"/>
          <w:szCs w:val="24"/>
        </w:rPr>
        <w:t>Produktet kan forårsage irritation, hvis det kommer i kontakt med huden eller øjnene.</w:t>
      </w:r>
    </w:p>
    <w:p w:rsidR="00D46804" w:rsidRDefault="00D46804" w:rsidP="00D4680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Undgå hud- og øjenkontakt med produktet. </w:t>
      </w:r>
    </w:p>
    <w:p w:rsidR="00D46804" w:rsidRDefault="00D46804" w:rsidP="00D4680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I tilfælde af utilsigtet kontakt, eventuelle sprøjt på huden eller i øjnene vaskes omgående med vand.</w:t>
      </w:r>
    </w:p>
    <w:p w:rsidR="00D46804" w:rsidRDefault="00D46804" w:rsidP="00D4680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Vask hænder og eksponeret hud efter brug.</w:t>
      </w:r>
    </w:p>
    <w:p w:rsidR="00B22DC3" w:rsidRPr="001D7978" w:rsidRDefault="00D46804" w:rsidP="00D4680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Undgå at spise, drikke eller ryge under anvendelse af produktet.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sz w:val="24"/>
          <w:szCs w:val="24"/>
        </w:rPr>
        <w:tab/>
      </w:r>
      <w:r w:rsidRPr="001D7978">
        <w:rPr>
          <w:b/>
          <w:sz w:val="24"/>
          <w:szCs w:val="24"/>
        </w:rPr>
        <w:t>Andre forsigtighedsregler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-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4.6</w:t>
      </w:r>
      <w:r w:rsidRPr="001D7978">
        <w:rPr>
          <w:b/>
          <w:sz w:val="24"/>
          <w:szCs w:val="24"/>
        </w:rPr>
        <w:tab/>
        <w:t>Bivirkninger</w:t>
      </w:r>
    </w:p>
    <w:p w:rsidR="00B22DC3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Ingen kendte.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4.7</w:t>
      </w:r>
      <w:r w:rsidRPr="001D7978">
        <w:rPr>
          <w:b/>
          <w:sz w:val="24"/>
          <w:szCs w:val="24"/>
        </w:rPr>
        <w:tab/>
        <w:t>Drægtighed, diegivning eller æglægning</w:t>
      </w:r>
    </w:p>
    <w:p w:rsidR="00B22DC3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Ikke relevant</w:t>
      </w:r>
      <w:r w:rsidR="001D7978">
        <w:rPr>
          <w:sz w:val="24"/>
          <w:szCs w:val="24"/>
        </w:rPr>
        <w:t>.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4.8</w:t>
      </w:r>
      <w:r w:rsidRPr="001D7978">
        <w:rPr>
          <w:b/>
          <w:sz w:val="24"/>
          <w:szCs w:val="24"/>
        </w:rPr>
        <w:tab/>
        <w:t>Interaktion med andre lægemidler og andre former for interaktion</w:t>
      </w:r>
    </w:p>
    <w:p w:rsidR="00B22DC3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Ingen kendte.</w:t>
      </w:r>
    </w:p>
    <w:p w:rsidR="00B22DC3" w:rsidRPr="001D7978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Der er ingen interaktion ved kombination med jerntilskud</w:t>
      </w:r>
      <w:r>
        <w:rPr>
          <w:sz w:val="24"/>
          <w:szCs w:val="24"/>
        </w:rPr>
        <w:t>.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4.9</w:t>
      </w:r>
      <w:r w:rsidRPr="001D7978">
        <w:rPr>
          <w:b/>
          <w:sz w:val="24"/>
          <w:szCs w:val="24"/>
        </w:rPr>
        <w:tab/>
        <w:t>Dosering og indgivelsesmåde</w:t>
      </w:r>
    </w:p>
    <w:p w:rsidR="00B22DC3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Oral anvendelse</w:t>
      </w:r>
      <w:r w:rsidR="001D7978">
        <w:rPr>
          <w:sz w:val="24"/>
          <w:szCs w:val="24"/>
        </w:rPr>
        <w:t>.</w:t>
      </w:r>
    </w:p>
    <w:p w:rsidR="00B22DC3" w:rsidRPr="001D7978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Individuel behandling af dyr.</w:t>
      </w:r>
    </w:p>
    <w:p w:rsidR="00D46804" w:rsidRDefault="001D7978" w:rsidP="00D4680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D46804">
        <w:rPr>
          <w:sz w:val="24"/>
          <w:szCs w:val="24"/>
        </w:rPr>
        <w:t xml:space="preserve">Hver gris skal behandles på 3.-5. levedag med en enkelt oral dosis på 20 mg </w:t>
      </w:r>
      <w:proofErr w:type="spellStart"/>
      <w:r w:rsidR="00D46804">
        <w:rPr>
          <w:sz w:val="24"/>
          <w:szCs w:val="24"/>
        </w:rPr>
        <w:t>toltrazuril</w:t>
      </w:r>
      <w:proofErr w:type="spellEnd"/>
      <w:r w:rsidR="00D46804">
        <w:rPr>
          <w:sz w:val="24"/>
          <w:szCs w:val="24"/>
        </w:rPr>
        <w:t>/kg kropsvægt (svarende til 0,4 ml veterinærlægemiddel pr. kg kropsvægt).</w:t>
      </w:r>
    </w:p>
    <w:p w:rsidR="00B22DC3" w:rsidRPr="001D7978" w:rsidRDefault="00D46804" w:rsidP="00D4680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På grund af de små mængder, der skal til for at behandle de enkelte smågrise, anbefales det at anvende doseringsudstyr med en dosisnøjagtighed på 0,1 ml.</w:t>
      </w:r>
    </w:p>
    <w:p w:rsidR="00B22DC3" w:rsidRPr="001D7978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Den orale suspension skal omrystes før brug.</w:t>
      </w:r>
    </w:p>
    <w:p w:rsidR="00B22DC3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Behandling under et udbrud vil være af begrænset værdi for den enkelte gris på grund af allerede opståede skader på tyndtarmen.</w:t>
      </w:r>
    </w:p>
    <w:p w:rsidR="00D46804" w:rsidRDefault="00D46804" w:rsidP="00D4680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Dyrets vægt bør bestemmes nøjagtigt inden behandling.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4.10</w:t>
      </w:r>
      <w:r w:rsidRPr="001D7978">
        <w:rPr>
          <w:b/>
          <w:sz w:val="24"/>
          <w:szCs w:val="24"/>
        </w:rPr>
        <w:tab/>
        <w:t>Overdosering</w:t>
      </w:r>
    </w:p>
    <w:p w:rsidR="00B22DC3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 xml:space="preserve">Der er ikke observeret tegn på </w:t>
      </w:r>
      <w:proofErr w:type="spellStart"/>
      <w:r w:rsidR="00B22DC3" w:rsidRPr="001D7978">
        <w:rPr>
          <w:sz w:val="24"/>
          <w:szCs w:val="24"/>
        </w:rPr>
        <w:t>intolerans</w:t>
      </w:r>
      <w:proofErr w:type="spellEnd"/>
      <w:r w:rsidR="00B22DC3" w:rsidRPr="001D7978">
        <w:rPr>
          <w:sz w:val="24"/>
          <w:szCs w:val="24"/>
        </w:rPr>
        <w:t xml:space="preserve"> hos smågrise ved op til tredobbelt overdosis.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4.11</w:t>
      </w:r>
      <w:r w:rsidRPr="001D7978">
        <w:rPr>
          <w:b/>
          <w:sz w:val="24"/>
          <w:szCs w:val="24"/>
        </w:rPr>
        <w:tab/>
        <w:t>Tilbageholdelsestid</w:t>
      </w:r>
    </w:p>
    <w:p w:rsidR="00B22DC3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591A38">
        <w:rPr>
          <w:sz w:val="24"/>
          <w:szCs w:val="24"/>
        </w:rPr>
        <w:t>Slagtning</w:t>
      </w:r>
      <w:r w:rsidR="00B22DC3" w:rsidRPr="001D7978">
        <w:rPr>
          <w:sz w:val="24"/>
          <w:szCs w:val="24"/>
        </w:rPr>
        <w:t>: 73 dage</w:t>
      </w:r>
    </w:p>
    <w:p w:rsidR="00FA66E4" w:rsidRPr="001D7978" w:rsidRDefault="00FA66E4" w:rsidP="001D797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5.</w:t>
      </w:r>
      <w:r w:rsidRPr="001D7978">
        <w:rPr>
          <w:b/>
          <w:sz w:val="24"/>
          <w:szCs w:val="24"/>
        </w:rPr>
        <w:tab/>
        <w:t>FARMAKOLOGISKE EGENSKABER</w:t>
      </w:r>
    </w:p>
    <w:p w:rsidR="00B22DC3" w:rsidRPr="001D7978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B22DC3" w:rsidRPr="001D7978">
        <w:rPr>
          <w:sz w:val="24"/>
          <w:szCs w:val="24"/>
        </w:rPr>
        <w:t>Farmakoterapeutisk</w:t>
      </w:r>
      <w:proofErr w:type="spellEnd"/>
      <w:r w:rsidR="00B22DC3" w:rsidRPr="001D7978">
        <w:rPr>
          <w:sz w:val="24"/>
          <w:szCs w:val="24"/>
        </w:rPr>
        <w:t xml:space="preserve"> gruppe: </w:t>
      </w:r>
      <w:proofErr w:type="spellStart"/>
      <w:r w:rsidR="00B22DC3" w:rsidRPr="001D7978">
        <w:rPr>
          <w:sz w:val="24"/>
          <w:szCs w:val="24"/>
        </w:rPr>
        <w:t>Antiprotozomiddel</w:t>
      </w:r>
      <w:proofErr w:type="spellEnd"/>
      <w:r w:rsidR="00D46804">
        <w:rPr>
          <w:sz w:val="24"/>
          <w:szCs w:val="24"/>
        </w:rPr>
        <w:t xml:space="preserve">. </w:t>
      </w:r>
      <w:proofErr w:type="spellStart"/>
      <w:r w:rsidR="00D46804">
        <w:rPr>
          <w:sz w:val="24"/>
          <w:szCs w:val="24"/>
        </w:rPr>
        <w:t>Triaziner</w:t>
      </w:r>
      <w:proofErr w:type="spellEnd"/>
    </w:p>
    <w:p w:rsidR="00B22DC3" w:rsidRPr="001D7978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B22DC3" w:rsidRPr="001D7978">
        <w:rPr>
          <w:sz w:val="24"/>
          <w:szCs w:val="24"/>
        </w:rPr>
        <w:t>ATCvet</w:t>
      </w:r>
      <w:proofErr w:type="spellEnd"/>
      <w:r w:rsidR="00B22DC3" w:rsidRPr="001D7978">
        <w:rPr>
          <w:sz w:val="24"/>
          <w:szCs w:val="24"/>
        </w:rPr>
        <w:t>-kode: QP51AJ01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5.1</w:t>
      </w:r>
      <w:r w:rsidRPr="001D7978">
        <w:rPr>
          <w:b/>
          <w:sz w:val="24"/>
          <w:szCs w:val="24"/>
        </w:rPr>
        <w:tab/>
      </w:r>
      <w:proofErr w:type="spellStart"/>
      <w:r w:rsidRPr="001D7978">
        <w:rPr>
          <w:b/>
          <w:sz w:val="24"/>
          <w:szCs w:val="24"/>
        </w:rPr>
        <w:t>Farmakodynamiske</w:t>
      </w:r>
      <w:proofErr w:type="spellEnd"/>
      <w:r w:rsidRPr="001D7978">
        <w:rPr>
          <w:b/>
          <w:sz w:val="24"/>
          <w:szCs w:val="24"/>
        </w:rPr>
        <w:t xml:space="preserve"> egenskaber</w:t>
      </w:r>
    </w:p>
    <w:p w:rsidR="00B22DC3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proofErr w:type="spellStart"/>
      <w:r w:rsidR="00B22DC3" w:rsidRPr="001D7978">
        <w:rPr>
          <w:sz w:val="24"/>
          <w:szCs w:val="24"/>
        </w:rPr>
        <w:t>Toltrazuril</w:t>
      </w:r>
      <w:proofErr w:type="spellEnd"/>
      <w:r w:rsidR="00B22DC3" w:rsidRPr="001D7978">
        <w:rPr>
          <w:sz w:val="24"/>
          <w:szCs w:val="24"/>
        </w:rPr>
        <w:t xml:space="preserve"> er et </w:t>
      </w:r>
      <w:proofErr w:type="spellStart"/>
      <w:r w:rsidR="00B22DC3" w:rsidRPr="001D7978">
        <w:rPr>
          <w:sz w:val="24"/>
          <w:szCs w:val="24"/>
        </w:rPr>
        <w:t>triazinon</w:t>
      </w:r>
      <w:proofErr w:type="spellEnd"/>
      <w:r w:rsidR="00B22DC3" w:rsidRPr="001D7978">
        <w:rPr>
          <w:sz w:val="24"/>
          <w:szCs w:val="24"/>
        </w:rPr>
        <w:t xml:space="preserve">-derivat. Det virker mod </w:t>
      </w:r>
      <w:proofErr w:type="spellStart"/>
      <w:r w:rsidR="00B22DC3" w:rsidRPr="001D7978">
        <w:rPr>
          <w:sz w:val="24"/>
          <w:szCs w:val="24"/>
        </w:rPr>
        <w:t>coccidier</w:t>
      </w:r>
      <w:proofErr w:type="spellEnd"/>
      <w:r w:rsidR="00B22DC3" w:rsidRPr="001D7978">
        <w:rPr>
          <w:sz w:val="24"/>
          <w:szCs w:val="24"/>
        </w:rPr>
        <w:t xml:space="preserve"> af arten </w:t>
      </w:r>
      <w:proofErr w:type="spellStart"/>
      <w:r w:rsidR="00B22DC3" w:rsidRPr="001D7978">
        <w:rPr>
          <w:i/>
          <w:sz w:val="24"/>
          <w:szCs w:val="24"/>
        </w:rPr>
        <w:t>Isospora</w:t>
      </w:r>
      <w:proofErr w:type="spellEnd"/>
      <w:r w:rsidR="00B22DC3" w:rsidRPr="001D7978">
        <w:rPr>
          <w:sz w:val="24"/>
          <w:szCs w:val="24"/>
        </w:rPr>
        <w:t xml:space="preserve">. Det virker mod alle </w:t>
      </w:r>
      <w:proofErr w:type="spellStart"/>
      <w:r w:rsidR="00B22DC3" w:rsidRPr="001D7978">
        <w:rPr>
          <w:sz w:val="24"/>
          <w:szCs w:val="24"/>
        </w:rPr>
        <w:t>intracellulære</w:t>
      </w:r>
      <w:proofErr w:type="spellEnd"/>
      <w:r w:rsidR="00B22DC3" w:rsidRPr="001D7978">
        <w:rPr>
          <w:sz w:val="24"/>
          <w:szCs w:val="24"/>
        </w:rPr>
        <w:t xml:space="preserve"> udviklingstrin af </w:t>
      </w:r>
      <w:proofErr w:type="spellStart"/>
      <w:r w:rsidR="00B22DC3" w:rsidRPr="001D7978">
        <w:rPr>
          <w:sz w:val="24"/>
          <w:szCs w:val="24"/>
        </w:rPr>
        <w:t>coccidier</w:t>
      </w:r>
      <w:proofErr w:type="spellEnd"/>
      <w:r w:rsidR="00B22DC3" w:rsidRPr="001D7978">
        <w:rPr>
          <w:sz w:val="24"/>
          <w:szCs w:val="24"/>
        </w:rPr>
        <w:t xml:space="preserve"> ved </w:t>
      </w:r>
      <w:proofErr w:type="spellStart"/>
      <w:r w:rsidR="00B22DC3" w:rsidRPr="001D7978">
        <w:rPr>
          <w:sz w:val="24"/>
          <w:szCs w:val="24"/>
        </w:rPr>
        <w:t>merogoni</w:t>
      </w:r>
      <w:proofErr w:type="spellEnd"/>
      <w:r w:rsidR="00B22DC3" w:rsidRPr="001D7978">
        <w:rPr>
          <w:sz w:val="24"/>
          <w:szCs w:val="24"/>
        </w:rPr>
        <w:t xml:space="preserve"> (aseksuel formering) og </w:t>
      </w:r>
      <w:proofErr w:type="spellStart"/>
      <w:r w:rsidR="00B22DC3" w:rsidRPr="001D7978">
        <w:rPr>
          <w:sz w:val="24"/>
          <w:szCs w:val="24"/>
        </w:rPr>
        <w:t>gamogoni</w:t>
      </w:r>
      <w:proofErr w:type="spellEnd"/>
      <w:r w:rsidR="00B22DC3" w:rsidRPr="001D7978">
        <w:rPr>
          <w:sz w:val="24"/>
          <w:szCs w:val="24"/>
        </w:rPr>
        <w:t xml:space="preserve"> (seksuel fase). Alle stadier destrueres, virkemåden er således </w:t>
      </w:r>
      <w:proofErr w:type="spellStart"/>
      <w:r w:rsidR="00B22DC3" w:rsidRPr="001D7978">
        <w:rPr>
          <w:sz w:val="24"/>
          <w:szCs w:val="24"/>
        </w:rPr>
        <w:t>coccidiocid</w:t>
      </w:r>
      <w:proofErr w:type="spellEnd"/>
      <w:r w:rsidR="00B22DC3" w:rsidRPr="001D7978">
        <w:rPr>
          <w:sz w:val="24"/>
          <w:szCs w:val="24"/>
        </w:rPr>
        <w:t>.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5.2</w:t>
      </w:r>
      <w:r w:rsidRPr="001D7978">
        <w:rPr>
          <w:b/>
          <w:sz w:val="24"/>
          <w:szCs w:val="24"/>
        </w:rPr>
        <w:tab/>
      </w:r>
      <w:proofErr w:type="spellStart"/>
      <w:r w:rsidRPr="001D7978">
        <w:rPr>
          <w:b/>
          <w:sz w:val="24"/>
          <w:szCs w:val="24"/>
        </w:rPr>
        <w:t>Farmakokinetiske</w:t>
      </w:r>
      <w:proofErr w:type="spellEnd"/>
      <w:r w:rsidRPr="001D7978">
        <w:rPr>
          <w:b/>
          <w:sz w:val="24"/>
          <w:szCs w:val="24"/>
        </w:rPr>
        <w:t xml:space="preserve"> egenskaber</w:t>
      </w:r>
    </w:p>
    <w:p w:rsidR="00B22DC3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 xml:space="preserve">Efter oral administration absorberes </w:t>
      </w:r>
      <w:proofErr w:type="spellStart"/>
      <w:r w:rsidR="00B22DC3" w:rsidRPr="001D7978">
        <w:rPr>
          <w:sz w:val="24"/>
          <w:szCs w:val="24"/>
        </w:rPr>
        <w:t>toltrazuril</w:t>
      </w:r>
      <w:proofErr w:type="spellEnd"/>
      <w:r w:rsidR="00B22DC3" w:rsidRPr="001D7978">
        <w:rPr>
          <w:sz w:val="24"/>
          <w:szCs w:val="24"/>
        </w:rPr>
        <w:t xml:space="preserve"> langsomt med en biotilgængelighed på ≥ 70 %. Den maksimale koncentration (</w:t>
      </w:r>
      <w:proofErr w:type="spellStart"/>
      <w:r w:rsidR="00B22DC3" w:rsidRPr="001D7978">
        <w:rPr>
          <w:sz w:val="24"/>
          <w:szCs w:val="24"/>
        </w:rPr>
        <w:t>C</w:t>
      </w:r>
      <w:r w:rsidR="00B22DC3" w:rsidRPr="00591A38">
        <w:rPr>
          <w:sz w:val="24"/>
          <w:szCs w:val="24"/>
          <w:vertAlign w:val="subscript"/>
        </w:rPr>
        <w:t>max</w:t>
      </w:r>
      <w:proofErr w:type="spellEnd"/>
      <w:r w:rsidR="00B22DC3" w:rsidRPr="001D7978">
        <w:rPr>
          <w:sz w:val="24"/>
          <w:szCs w:val="24"/>
        </w:rPr>
        <w:t xml:space="preserve">) af </w:t>
      </w:r>
      <w:proofErr w:type="spellStart"/>
      <w:r w:rsidR="00B22DC3" w:rsidRPr="001D7978">
        <w:rPr>
          <w:sz w:val="24"/>
          <w:szCs w:val="24"/>
        </w:rPr>
        <w:t>toltrazuril</w:t>
      </w:r>
      <w:proofErr w:type="spellEnd"/>
      <w:r w:rsidR="00B22DC3" w:rsidRPr="001D7978">
        <w:rPr>
          <w:sz w:val="24"/>
          <w:szCs w:val="24"/>
        </w:rPr>
        <w:t xml:space="preserve"> er 15,1 µg/ml og opnås efter omkring 24 timer. Den vigtigste </w:t>
      </w:r>
      <w:proofErr w:type="spellStart"/>
      <w:r w:rsidR="00B22DC3" w:rsidRPr="001D7978">
        <w:rPr>
          <w:sz w:val="24"/>
          <w:szCs w:val="24"/>
        </w:rPr>
        <w:t>metabolit</w:t>
      </w:r>
      <w:proofErr w:type="spellEnd"/>
      <w:r w:rsidR="00B22DC3" w:rsidRPr="001D7978">
        <w:rPr>
          <w:sz w:val="24"/>
          <w:szCs w:val="24"/>
        </w:rPr>
        <w:t xml:space="preserve"> karakteriseres som </w:t>
      </w:r>
      <w:proofErr w:type="spellStart"/>
      <w:r w:rsidR="00B22DC3" w:rsidRPr="001D7978">
        <w:rPr>
          <w:sz w:val="24"/>
          <w:szCs w:val="24"/>
        </w:rPr>
        <w:t>toltrazurilsulfon</w:t>
      </w:r>
      <w:proofErr w:type="spellEnd"/>
      <w:r w:rsidR="00B22DC3" w:rsidRPr="001D7978">
        <w:rPr>
          <w:sz w:val="24"/>
          <w:szCs w:val="24"/>
        </w:rPr>
        <w:t xml:space="preserve">. Udskillelsen af </w:t>
      </w:r>
      <w:proofErr w:type="spellStart"/>
      <w:r w:rsidR="00B22DC3" w:rsidRPr="001D7978">
        <w:rPr>
          <w:sz w:val="24"/>
          <w:szCs w:val="24"/>
        </w:rPr>
        <w:t>toltrazuril</w:t>
      </w:r>
      <w:proofErr w:type="spellEnd"/>
      <w:r w:rsidR="00B22DC3" w:rsidRPr="001D7978">
        <w:rPr>
          <w:sz w:val="24"/>
          <w:szCs w:val="24"/>
        </w:rPr>
        <w:t xml:space="preserve"> er langsom med en halveringstid på cirka 3 dage. Den vigtigste udskillelsesvej er via fæces 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5.3</w:t>
      </w:r>
      <w:r w:rsidRPr="001D7978">
        <w:rPr>
          <w:b/>
          <w:sz w:val="24"/>
          <w:szCs w:val="24"/>
        </w:rPr>
        <w:tab/>
        <w:t>Miljømæssige forhold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-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6.</w:t>
      </w:r>
      <w:r w:rsidRPr="001D7978">
        <w:rPr>
          <w:b/>
          <w:sz w:val="24"/>
          <w:szCs w:val="24"/>
        </w:rPr>
        <w:tab/>
        <w:t>FARMACEUTISKE OPLYSNINGER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6.1</w:t>
      </w:r>
      <w:r w:rsidRPr="001D7978">
        <w:rPr>
          <w:b/>
          <w:sz w:val="24"/>
          <w:szCs w:val="24"/>
        </w:rPr>
        <w:tab/>
        <w:t>Hjælpestoffer</w:t>
      </w:r>
    </w:p>
    <w:p w:rsidR="00B22DC3" w:rsidRPr="001D7978" w:rsidRDefault="00FA66E4" w:rsidP="001D7978">
      <w:pPr>
        <w:ind w:left="851" w:hanging="851"/>
        <w:rPr>
          <w:sz w:val="24"/>
          <w:szCs w:val="24"/>
          <w:lang w:val="en-US"/>
        </w:rPr>
      </w:pPr>
      <w:r w:rsidRPr="001D7978">
        <w:rPr>
          <w:sz w:val="24"/>
          <w:szCs w:val="24"/>
        </w:rPr>
        <w:tab/>
      </w:r>
      <w:proofErr w:type="spellStart"/>
      <w:r w:rsidR="00B22DC3" w:rsidRPr="001D7978">
        <w:rPr>
          <w:sz w:val="24"/>
          <w:szCs w:val="24"/>
          <w:lang w:val="en-US"/>
        </w:rPr>
        <w:t>Natriumbenzoat</w:t>
      </w:r>
      <w:proofErr w:type="spellEnd"/>
      <w:r w:rsidR="00B22DC3" w:rsidRPr="001D7978">
        <w:rPr>
          <w:sz w:val="24"/>
          <w:szCs w:val="24"/>
          <w:lang w:val="en-US"/>
        </w:rPr>
        <w:t xml:space="preserve"> (E211)</w:t>
      </w:r>
    </w:p>
    <w:p w:rsidR="00B22DC3" w:rsidRPr="001D7978" w:rsidRDefault="001D7978" w:rsidP="001D7978">
      <w:pPr>
        <w:ind w:left="851" w:hanging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="00B22DC3" w:rsidRPr="001D7978">
        <w:rPr>
          <w:sz w:val="24"/>
          <w:szCs w:val="24"/>
          <w:lang w:val="en-US"/>
        </w:rPr>
        <w:t>Natirumpropionat</w:t>
      </w:r>
      <w:proofErr w:type="spellEnd"/>
      <w:r w:rsidR="00B22DC3" w:rsidRPr="001D7978">
        <w:rPr>
          <w:sz w:val="24"/>
          <w:szCs w:val="24"/>
          <w:lang w:val="en-US"/>
        </w:rPr>
        <w:t xml:space="preserve"> (E281)</w:t>
      </w:r>
    </w:p>
    <w:p w:rsidR="00B22DC3" w:rsidRPr="001D7978" w:rsidRDefault="001D7978" w:rsidP="001D7978">
      <w:pPr>
        <w:ind w:left="851" w:hanging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="00B22DC3" w:rsidRPr="001D7978">
        <w:rPr>
          <w:sz w:val="24"/>
          <w:szCs w:val="24"/>
          <w:lang w:val="en-US"/>
        </w:rPr>
        <w:t>Docusatnatrium</w:t>
      </w:r>
      <w:proofErr w:type="spellEnd"/>
    </w:p>
    <w:p w:rsidR="00B22DC3" w:rsidRPr="001D7978" w:rsidRDefault="001D7978" w:rsidP="001D7978">
      <w:pPr>
        <w:ind w:left="851" w:hanging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="00B22DC3" w:rsidRPr="001D7978">
        <w:rPr>
          <w:sz w:val="24"/>
          <w:szCs w:val="24"/>
          <w:lang w:val="en-US"/>
        </w:rPr>
        <w:t>Bentonit</w:t>
      </w:r>
      <w:proofErr w:type="spellEnd"/>
    </w:p>
    <w:p w:rsidR="00B22DC3" w:rsidRPr="001D7978" w:rsidRDefault="001D7978" w:rsidP="001D7978">
      <w:pPr>
        <w:ind w:left="851" w:hanging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="00B22DC3" w:rsidRPr="001D7978">
        <w:rPr>
          <w:sz w:val="24"/>
          <w:szCs w:val="24"/>
          <w:lang w:val="en-US"/>
        </w:rPr>
        <w:t>Xanthangummi</w:t>
      </w:r>
      <w:proofErr w:type="spellEnd"/>
    </w:p>
    <w:p w:rsidR="00B22DC3" w:rsidRPr="001D7978" w:rsidRDefault="001D7978" w:rsidP="001D7978">
      <w:pPr>
        <w:ind w:left="851" w:hanging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="00B22DC3" w:rsidRPr="001D7978">
        <w:rPr>
          <w:sz w:val="24"/>
          <w:szCs w:val="24"/>
          <w:lang w:val="en-US"/>
        </w:rPr>
        <w:t>Propylenglycol</w:t>
      </w:r>
      <w:proofErr w:type="spellEnd"/>
    </w:p>
    <w:p w:rsidR="00D46804" w:rsidRPr="00D46804" w:rsidRDefault="00D46804" w:rsidP="00D46804">
      <w:pPr>
        <w:ind w:left="851" w:hanging="851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proofErr w:type="spellStart"/>
      <w:r w:rsidRPr="00D46804">
        <w:rPr>
          <w:sz w:val="24"/>
          <w:szCs w:val="24"/>
        </w:rPr>
        <w:t>Citrionsyre</w:t>
      </w:r>
      <w:proofErr w:type="spellEnd"/>
      <w:r w:rsidRPr="00D46804">
        <w:rPr>
          <w:sz w:val="24"/>
          <w:szCs w:val="24"/>
        </w:rPr>
        <w:t>, vandfri (til pH-justering)</w:t>
      </w:r>
    </w:p>
    <w:p w:rsidR="00B22DC3" w:rsidRPr="001D7978" w:rsidRDefault="001D7978" w:rsidP="001D7978">
      <w:pPr>
        <w:ind w:left="851" w:hanging="851"/>
        <w:rPr>
          <w:sz w:val="24"/>
          <w:szCs w:val="24"/>
          <w:lang w:val="en-US"/>
        </w:rPr>
      </w:pPr>
      <w:r w:rsidRPr="00D46804">
        <w:rPr>
          <w:sz w:val="24"/>
          <w:szCs w:val="24"/>
        </w:rPr>
        <w:tab/>
      </w:r>
      <w:proofErr w:type="spellStart"/>
      <w:r w:rsidR="00B22DC3" w:rsidRPr="001D7978">
        <w:rPr>
          <w:sz w:val="24"/>
          <w:szCs w:val="24"/>
          <w:lang w:val="en-US"/>
        </w:rPr>
        <w:t>Simethiconemulsion</w:t>
      </w:r>
      <w:proofErr w:type="spellEnd"/>
    </w:p>
    <w:p w:rsidR="00B22DC3" w:rsidRPr="001D7978" w:rsidRDefault="001D7978" w:rsidP="001D7978">
      <w:pPr>
        <w:ind w:left="851" w:hanging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 w:rsidR="00B22DC3" w:rsidRPr="001D7978">
        <w:rPr>
          <w:sz w:val="24"/>
          <w:szCs w:val="24"/>
          <w:lang w:val="en-US"/>
        </w:rPr>
        <w:t>Renset</w:t>
      </w:r>
      <w:proofErr w:type="spellEnd"/>
      <w:r w:rsidR="00B22DC3" w:rsidRPr="001D7978">
        <w:rPr>
          <w:sz w:val="24"/>
          <w:szCs w:val="24"/>
          <w:lang w:val="en-US"/>
        </w:rPr>
        <w:t xml:space="preserve"> </w:t>
      </w:r>
      <w:proofErr w:type="spellStart"/>
      <w:r w:rsidR="00B22DC3" w:rsidRPr="001D7978">
        <w:rPr>
          <w:sz w:val="24"/>
          <w:szCs w:val="24"/>
          <w:lang w:val="en-US"/>
        </w:rPr>
        <w:t>vand</w:t>
      </w:r>
      <w:proofErr w:type="spellEnd"/>
    </w:p>
    <w:p w:rsidR="00FA66E4" w:rsidRPr="001D7978" w:rsidRDefault="00FA66E4" w:rsidP="001D7978">
      <w:pPr>
        <w:ind w:left="851" w:hanging="851"/>
        <w:rPr>
          <w:sz w:val="24"/>
          <w:szCs w:val="24"/>
          <w:lang w:val="en-US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6.2</w:t>
      </w:r>
      <w:r w:rsidRPr="001D7978">
        <w:rPr>
          <w:b/>
          <w:sz w:val="24"/>
          <w:szCs w:val="24"/>
        </w:rPr>
        <w:tab/>
        <w:t>Uforligeligheder</w:t>
      </w:r>
    </w:p>
    <w:p w:rsidR="00B22DC3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lastRenderedPageBreak/>
        <w:t>6.3</w:t>
      </w:r>
      <w:r w:rsidRPr="001D7978">
        <w:rPr>
          <w:b/>
          <w:sz w:val="24"/>
          <w:szCs w:val="24"/>
        </w:rPr>
        <w:tab/>
        <w:t>Opbevaringstid</w:t>
      </w:r>
    </w:p>
    <w:p w:rsidR="00B22DC3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I salgspakning: 2 år.</w:t>
      </w:r>
    </w:p>
    <w:p w:rsidR="00B22DC3" w:rsidRPr="001D7978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Efter første åbning af den indre emballage: 6 måneder.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6.4</w:t>
      </w:r>
      <w:r w:rsidRPr="001D7978">
        <w:rPr>
          <w:b/>
          <w:sz w:val="24"/>
          <w:szCs w:val="24"/>
        </w:rPr>
        <w:tab/>
        <w:t>Særlige opbevaringsforhold</w:t>
      </w:r>
    </w:p>
    <w:p w:rsidR="00B22DC3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Dette veterinærlægemiddel kræver ingen særlige forholdsregler vedrørende opbevaringen.</w:t>
      </w:r>
    </w:p>
    <w:p w:rsidR="00D46804" w:rsidRDefault="00D4680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6.5</w:t>
      </w:r>
      <w:r w:rsidRPr="001D7978">
        <w:rPr>
          <w:b/>
          <w:sz w:val="24"/>
          <w:szCs w:val="24"/>
        </w:rPr>
        <w:tab/>
        <w:t>Emballage</w:t>
      </w:r>
    </w:p>
    <w:p w:rsidR="00B22DC3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proofErr w:type="spellStart"/>
      <w:r w:rsidR="00D46804">
        <w:rPr>
          <w:sz w:val="24"/>
          <w:szCs w:val="24"/>
        </w:rPr>
        <w:t>H</w:t>
      </w:r>
      <w:r w:rsidR="00B22DC3" w:rsidRPr="001D7978">
        <w:rPr>
          <w:sz w:val="24"/>
          <w:szCs w:val="24"/>
        </w:rPr>
        <w:t>øjdensitetspolyethylenflasker</w:t>
      </w:r>
      <w:proofErr w:type="spellEnd"/>
      <w:r w:rsidR="00B22DC3" w:rsidRPr="001D7978">
        <w:rPr>
          <w:sz w:val="24"/>
          <w:szCs w:val="24"/>
        </w:rPr>
        <w:t xml:space="preserve"> (HDPE) med en nominel kapacitet på 250 eller 1000 ml. Flaskerne er varmeforseglet med en </w:t>
      </w:r>
      <w:proofErr w:type="spellStart"/>
      <w:r w:rsidR="00B22DC3" w:rsidRPr="001D7978">
        <w:rPr>
          <w:sz w:val="24"/>
          <w:szCs w:val="24"/>
        </w:rPr>
        <w:t>polyethylenfolie</w:t>
      </w:r>
      <w:proofErr w:type="spellEnd"/>
      <w:r w:rsidR="00B22DC3" w:rsidRPr="001D7978">
        <w:rPr>
          <w:sz w:val="24"/>
          <w:szCs w:val="24"/>
        </w:rPr>
        <w:t xml:space="preserve"> (PE) og lukket med et skruelåg fremstillet af HDPE udstyret med et sikkerhedssystem for at opnå en lufttæt forsegling. </w:t>
      </w:r>
    </w:p>
    <w:p w:rsidR="00591A38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D46804" w:rsidRDefault="00591A38" w:rsidP="00D4680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D46804">
        <w:rPr>
          <w:sz w:val="24"/>
          <w:szCs w:val="24"/>
          <w:u w:val="single"/>
        </w:rPr>
        <w:t>Pakningsstørrelser</w:t>
      </w:r>
      <w:r w:rsidR="00D46804">
        <w:rPr>
          <w:sz w:val="24"/>
          <w:szCs w:val="24"/>
        </w:rPr>
        <w:t>:</w:t>
      </w:r>
    </w:p>
    <w:p w:rsidR="00D46804" w:rsidRDefault="00D46804" w:rsidP="00D4680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Kartonæske med 1 flaske á 250 ml.</w:t>
      </w:r>
    </w:p>
    <w:p w:rsidR="00D46804" w:rsidRDefault="00D46804" w:rsidP="00D4680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Flaske á 1 L.</w:t>
      </w:r>
    </w:p>
    <w:p w:rsidR="00B22DC3" w:rsidRPr="001D7978" w:rsidRDefault="00B22DC3" w:rsidP="00D46804">
      <w:pPr>
        <w:ind w:left="851"/>
        <w:rPr>
          <w:sz w:val="24"/>
          <w:szCs w:val="24"/>
        </w:rPr>
      </w:pPr>
      <w:r w:rsidRPr="001D7978">
        <w:rPr>
          <w:sz w:val="24"/>
          <w:szCs w:val="24"/>
        </w:rPr>
        <w:t>Ikke alle pakningsstørrelser er nødvendigvis markedsført.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6.6</w:t>
      </w:r>
      <w:r w:rsidRPr="001D7978">
        <w:rPr>
          <w:b/>
          <w:sz w:val="24"/>
          <w:szCs w:val="24"/>
        </w:rPr>
        <w:tab/>
        <w:t>Særlige forholdsregler ved bortskaffelse af rester af lægemidlet eller affald</w:t>
      </w:r>
    </w:p>
    <w:p w:rsidR="00B22DC3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bookmarkStart w:id="1" w:name="OLE_LINK6"/>
      <w:r w:rsidR="00B22DC3" w:rsidRPr="001D7978">
        <w:rPr>
          <w:sz w:val="24"/>
          <w:szCs w:val="24"/>
        </w:rPr>
        <w:t>Ikke anvendte veterinærlægemidler samt affald heraf bør destrueres i henhold til lokale retningslinjer.</w:t>
      </w:r>
      <w:bookmarkEnd w:id="1"/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7.</w:t>
      </w:r>
      <w:r w:rsidRPr="001D7978">
        <w:rPr>
          <w:b/>
          <w:sz w:val="24"/>
          <w:szCs w:val="24"/>
        </w:rPr>
        <w:tab/>
        <w:t>INDEHAVER AF MARKEDSFØRINGSTILLADELSEN</w:t>
      </w:r>
    </w:p>
    <w:p w:rsidR="00B22DC3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Industrial Veterinaria, S.A.</w:t>
      </w:r>
    </w:p>
    <w:p w:rsidR="00B22DC3" w:rsidRPr="001D7978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Esmeralda, 19</w:t>
      </w:r>
    </w:p>
    <w:p w:rsidR="001D7978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 xml:space="preserve">E-08950 </w:t>
      </w:r>
      <w:proofErr w:type="spellStart"/>
      <w:r w:rsidR="00B22DC3" w:rsidRPr="001D7978">
        <w:rPr>
          <w:sz w:val="24"/>
          <w:szCs w:val="24"/>
        </w:rPr>
        <w:t>Esplugues</w:t>
      </w:r>
      <w:proofErr w:type="spellEnd"/>
      <w:r w:rsidR="00B22DC3" w:rsidRPr="001D7978">
        <w:rPr>
          <w:sz w:val="24"/>
          <w:szCs w:val="24"/>
        </w:rPr>
        <w:t xml:space="preserve"> de </w:t>
      </w:r>
      <w:proofErr w:type="spellStart"/>
      <w:r w:rsidR="00B22DC3" w:rsidRPr="001D7978">
        <w:rPr>
          <w:sz w:val="24"/>
          <w:szCs w:val="24"/>
        </w:rPr>
        <w:t>Llobregat</w:t>
      </w:r>
      <w:proofErr w:type="spellEnd"/>
      <w:r w:rsidR="00B22DC3" w:rsidRPr="001D7978">
        <w:rPr>
          <w:sz w:val="24"/>
          <w:szCs w:val="24"/>
        </w:rPr>
        <w:t xml:space="preserve"> (Barcelona) </w:t>
      </w:r>
    </w:p>
    <w:p w:rsidR="00B22DC3" w:rsidRDefault="001D7978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22DC3" w:rsidRPr="001D7978">
        <w:rPr>
          <w:sz w:val="24"/>
          <w:szCs w:val="24"/>
        </w:rPr>
        <w:t>Spanien</w:t>
      </w:r>
    </w:p>
    <w:p w:rsidR="0086686A" w:rsidRDefault="0086686A" w:rsidP="001D7978">
      <w:pPr>
        <w:ind w:left="851" w:hanging="851"/>
        <w:rPr>
          <w:sz w:val="24"/>
          <w:szCs w:val="24"/>
        </w:rPr>
      </w:pPr>
    </w:p>
    <w:p w:rsidR="0086686A" w:rsidRDefault="0086686A" w:rsidP="001D7978">
      <w:pPr>
        <w:ind w:left="851" w:hanging="851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Repræsentant</w:t>
      </w:r>
    </w:p>
    <w:p w:rsidR="0086686A" w:rsidRDefault="0086686A" w:rsidP="001D7978">
      <w:pPr>
        <w:ind w:left="851" w:hanging="851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Biovet</w:t>
      </w:r>
      <w:proofErr w:type="spellEnd"/>
      <w:r>
        <w:rPr>
          <w:sz w:val="24"/>
          <w:szCs w:val="24"/>
        </w:rPr>
        <w:t xml:space="preserve"> ApS</w:t>
      </w:r>
    </w:p>
    <w:p w:rsidR="0086686A" w:rsidRDefault="0086686A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Kongevejen 66</w:t>
      </w:r>
    </w:p>
    <w:p w:rsidR="0086686A" w:rsidRDefault="0086686A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3480 Fredensborg</w:t>
      </w:r>
    </w:p>
    <w:p w:rsidR="0086686A" w:rsidRPr="0086686A" w:rsidRDefault="0086686A" w:rsidP="001D797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Danmark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8.</w:t>
      </w:r>
      <w:r w:rsidRPr="001D7978">
        <w:rPr>
          <w:b/>
          <w:sz w:val="24"/>
          <w:szCs w:val="24"/>
        </w:rPr>
        <w:tab/>
        <w:t>MARKEDSFØRINGSTILLADELSESNUMMER (NUMRE)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1D7978" w:rsidRPr="001D7978">
        <w:rPr>
          <w:sz w:val="24"/>
          <w:szCs w:val="24"/>
        </w:rPr>
        <w:t>52427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9.</w:t>
      </w:r>
      <w:r w:rsidRPr="001D7978">
        <w:rPr>
          <w:b/>
          <w:sz w:val="24"/>
          <w:szCs w:val="24"/>
        </w:rPr>
        <w:tab/>
        <w:t>DATO FOR FØRSTE MARKEDSFØRINGSTILLADELSE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591A38">
        <w:rPr>
          <w:sz w:val="24"/>
          <w:szCs w:val="24"/>
        </w:rPr>
        <w:t>21</w:t>
      </w:r>
      <w:r w:rsidR="001D7978" w:rsidRPr="001D7978">
        <w:rPr>
          <w:sz w:val="24"/>
          <w:szCs w:val="24"/>
        </w:rPr>
        <w:t>. maj 2014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10.</w:t>
      </w:r>
      <w:r w:rsidRPr="001D7978">
        <w:rPr>
          <w:b/>
          <w:sz w:val="24"/>
          <w:szCs w:val="24"/>
        </w:rPr>
        <w:tab/>
        <w:t>DATO FOR ÆNDRING AF TEKSTEN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  <w:r w:rsidRPr="001D7978">
        <w:rPr>
          <w:sz w:val="24"/>
          <w:szCs w:val="24"/>
        </w:rPr>
        <w:tab/>
      </w:r>
      <w:r w:rsidR="00D46804">
        <w:rPr>
          <w:sz w:val="24"/>
          <w:szCs w:val="24"/>
        </w:rPr>
        <w:t>1. maj 2019</w:t>
      </w:r>
    </w:p>
    <w:p w:rsidR="00FA66E4" w:rsidRPr="001D7978" w:rsidRDefault="00FA66E4" w:rsidP="001D7978">
      <w:pPr>
        <w:ind w:left="851" w:hanging="851"/>
        <w:rPr>
          <w:sz w:val="24"/>
          <w:szCs w:val="24"/>
        </w:rPr>
      </w:pPr>
    </w:p>
    <w:p w:rsidR="00FA66E4" w:rsidRPr="001D7978" w:rsidRDefault="00FA66E4" w:rsidP="001D7978">
      <w:pPr>
        <w:ind w:left="851" w:hanging="851"/>
        <w:rPr>
          <w:b/>
          <w:sz w:val="24"/>
          <w:szCs w:val="24"/>
        </w:rPr>
      </w:pPr>
      <w:r w:rsidRPr="001D7978">
        <w:rPr>
          <w:b/>
          <w:sz w:val="24"/>
          <w:szCs w:val="24"/>
        </w:rPr>
        <w:t>11.</w:t>
      </w:r>
      <w:r w:rsidRPr="001D7978">
        <w:rPr>
          <w:b/>
          <w:sz w:val="24"/>
          <w:szCs w:val="24"/>
        </w:rPr>
        <w:tab/>
        <w:t>UDLEVERINGSBESTEMMELSE</w:t>
      </w:r>
    </w:p>
    <w:p w:rsidR="00FA66E4" w:rsidRPr="001D7978" w:rsidRDefault="00FA66E4" w:rsidP="001D797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1D7978">
        <w:rPr>
          <w:szCs w:val="24"/>
        </w:rPr>
        <w:tab/>
      </w:r>
      <w:r w:rsidR="001D7978" w:rsidRPr="001D7978">
        <w:rPr>
          <w:szCs w:val="24"/>
        </w:rPr>
        <w:t>BP</w:t>
      </w:r>
    </w:p>
    <w:sectPr w:rsidR="00FA66E4" w:rsidRPr="001D7978" w:rsidSect="0040701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60F" w:rsidRDefault="0094460F">
      <w:r>
        <w:separator/>
      </w:r>
    </w:p>
  </w:endnote>
  <w:endnote w:type="continuationSeparator" w:id="0">
    <w:p w:rsidR="0094460F" w:rsidRDefault="0094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286610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6686A">
      <w:rPr>
        <w:i/>
        <w:noProof/>
        <w:snapToGrid w:val="0"/>
        <w:sz w:val="18"/>
      </w:rPr>
      <w:t>Espacox, oral suspension 50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297172">
      <w:rPr>
        <w:i/>
        <w:noProof/>
        <w:snapToGrid w:val="0"/>
        <w:sz w:val="18"/>
      </w:rPr>
      <w:t>4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297172">
      <w:rPr>
        <w:i/>
        <w:noProof/>
        <w:snapToGrid w:val="0"/>
        <w:sz w:val="18"/>
      </w:rPr>
      <w:t>4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286610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6686A">
      <w:rPr>
        <w:i/>
        <w:noProof/>
        <w:snapToGrid w:val="0"/>
        <w:sz w:val="18"/>
      </w:rPr>
      <w:t>Espacox, oral suspension 50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297172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297172">
      <w:rPr>
        <w:i/>
        <w:noProof/>
        <w:snapToGrid w:val="0"/>
        <w:sz w:val="18"/>
      </w:rPr>
      <w:t>4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60F" w:rsidRDefault="0094460F">
      <w:r>
        <w:separator/>
      </w:r>
    </w:p>
  </w:footnote>
  <w:footnote w:type="continuationSeparator" w:id="0">
    <w:p w:rsidR="0094460F" w:rsidRDefault="00944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C3"/>
    <w:rsid w:val="0003527F"/>
    <w:rsid w:val="000C6CD4"/>
    <w:rsid w:val="0011117F"/>
    <w:rsid w:val="001577E4"/>
    <w:rsid w:val="001858CA"/>
    <w:rsid w:val="001C4AEF"/>
    <w:rsid w:val="001D3CC5"/>
    <w:rsid w:val="001D7978"/>
    <w:rsid w:val="002324A7"/>
    <w:rsid w:val="0025435F"/>
    <w:rsid w:val="00286610"/>
    <w:rsid w:val="00297172"/>
    <w:rsid w:val="00322BDE"/>
    <w:rsid w:val="003D01B2"/>
    <w:rsid w:val="00406EE7"/>
    <w:rsid w:val="00407013"/>
    <w:rsid w:val="004A62CC"/>
    <w:rsid w:val="00591A38"/>
    <w:rsid w:val="00662012"/>
    <w:rsid w:val="00666B01"/>
    <w:rsid w:val="006B1539"/>
    <w:rsid w:val="006B4285"/>
    <w:rsid w:val="006F5621"/>
    <w:rsid w:val="007E2A00"/>
    <w:rsid w:val="0086686A"/>
    <w:rsid w:val="009202AE"/>
    <w:rsid w:val="0094460F"/>
    <w:rsid w:val="00970538"/>
    <w:rsid w:val="009A02AA"/>
    <w:rsid w:val="009D66C6"/>
    <w:rsid w:val="00A96525"/>
    <w:rsid w:val="00AE29E5"/>
    <w:rsid w:val="00AE5757"/>
    <w:rsid w:val="00B22DC3"/>
    <w:rsid w:val="00BC634B"/>
    <w:rsid w:val="00BF2AE0"/>
    <w:rsid w:val="00BF4068"/>
    <w:rsid w:val="00CC6529"/>
    <w:rsid w:val="00D46804"/>
    <w:rsid w:val="00DD6D71"/>
    <w:rsid w:val="00DF32BE"/>
    <w:rsid w:val="00DF6346"/>
    <w:rsid w:val="00E14F0A"/>
    <w:rsid w:val="00EE5253"/>
    <w:rsid w:val="00FA66E4"/>
    <w:rsid w:val="00FD6433"/>
    <w:rsid w:val="00FD651F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121D707-1E88-45C8-BEE8-172CA1E4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basedOn w:val="Standardskrifttypeiafsnit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774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</dc:creator>
  <cp:keywords/>
  <dc:description>2018103631 - MT forlængelse</dc:description>
  <cp:lastModifiedBy>Helle Venn</cp:lastModifiedBy>
  <cp:revision>4</cp:revision>
  <cp:lastPrinted>2014-10-15T11:33:00Z</cp:lastPrinted>
  <dcterms:created xsi:type="dcterms:W3CDTF">2019-05-01T11:42:00Z</dcterms:created>
  <dcterms:modified xsi:type="dcterms:W3CDTF">2019-05-01T11:52:00Z</dcterms:modified>
</cp:coreProperties>
</file>