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C479BF" w:rsidRPr="00C20AF7"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E93C69">
        <w:rPr>
          <w:b/>
          <w:sz w:val="24"/>
          <w:szCs w:val="24"/>
        </w:rPr>
        <w:t>2. juni 2022</w:t>
      </w:r>
    </w:p>
    <w:p w:rsidR="005B0036" w:rsidRPr="00406EE7" w:rsidRDefault="005B0036" w:rsidP="005B0036">
      <w:pPr>
        <w:rPr>
          <w:sz w:val="24"/>
          <w:szCs w:val="24"/>
        </w:rPr>
      </w:pP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5D6510" w:rsidP="005B0036">
      <w:pPr>
        <w:tabs>
          <w:tab w:val="left" w:pos="8222"/>
        </w:tabs>
        <w:jc w:val="center"/>
        <w:rPr>
          <w:b/>
          <w:sz w:val="24"/>
          <w:szCs w:val="24"/>
        </w:rPr>
      </w:pPr>
      <w:r>
        <w:rPr>
          <w:b/>
          <w:sz w:val="24"/>
          <w:szCs w:val="24"/>
        </w:rPr>
        <w:t xml:space="preserve">Felicam, </w:t>
      </w:r>
      <w:r w:rsidR="00B974E5">
        <w:rPr>
          <w:b/>
          <w:sz w:val="24"/>
          <w:szCs w:val="24"/>
        </w:rPr>
        <w:t>tygge</w:t>
      </w:r>
      <w:r>
        <w:rPr>
          <w:b/>
          <w:sz w:val="24"/>
          <w:szCs w:val="24"/>
        </w:rPr>
        <w:t>tabletter</w:t>
      </w:r>
      <w:r w:rsidR="00491293">
        <w:rPr>
          <w:b/>
          <w:sz w:val="24"/>
          <w:szCs w:val="24"/>
        </w:rPr>
        <w:t xml:space="preserve"> </w:t>
      </w:r>
      <w:r w:rsidR="00CC77BD">
        <w:rPr>
          <w:b/>
          <w:sz w:val="24"/>
          <w:szCs w:val="24"/>
        </w:rPr>
        <w:t>2,5</w:t>
      </w:r>
      <w:r w:rsidR="00491293">
        <w:rPr>
          <w:b/>
          <w:sz w:val="24"/>
          <w:szCs w:val="24"/>
        </w:rPr>
        <w:t xml:space="preserve"> mg</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CC5C53" w:rsidP="005B0036">
      <w:pPr>
        <w:tabs>
          <w:tab w:val="left" w:pos="8222"/>
        </w:tabs>
        <w:ind w:left="851"/>
        <w:rPr>
          <w:sz w:val="24"/>
          <w:szCs w:val="24"/>
        </w:rPr>
      </w:pPr>
      <w:r>
        <w:rPr>
          <w:sz w:val="24"/>
          <w:szCs w:val="24"/>
        </w:rPr>
        <w:t>32272</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A66687" w:rsidP="005B0036">
      <w:pPr>
        <w:tabs>
          <w:tab w:val="left" w:pos="8222"/>
        </w:tabs>
        <w:ind w:left="851"/>
        <w:rPr>
          <w:sz w:val="24"/>
          <w:szCs w:val="24"/>
        </w:rPr>
      </w:pPr>
      <w:r>
        <w:rPr>
          <w:sz w:val="24"/>
          <w:szCs w:val="24"/>
        </w:rPr>
        <w:t>Felicam</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CB6660" w:rsidRPr="00CB6660" w:rsidRDefault="00CB6660" w:rsidP="00CB6660">
      <w:pPr>
        <w:tabs>
          <w:tab w:val="left" w:pos="8222"/>
        </w:tabs>
        <w:ind w:left="851"/>
        <w:rPr>
          <w:sz w:val="24"/>
          <w:szCs w:val="24"/>
        </w:rPr>
      </w:pPr>
      <w:r w:rsidRPr="00CB6660">
        <w:rPr>
          <w:sz w:val="24"/>
          <w:szCs w:val="24"/>
        </w:rPr>
        <w:t>En tyggetablet indeholder:</w:t>
      </w:r>
    </w:p>
    <w:p w:rsidR="00CB6660" w:rsidRPr="00CB6660" w:rsidRDefault="00CB6660" w:rsidP="00CB6660">
      <w:pPr>
        <w:tabs>
          <w:tab w:val="left" w:pos="8222"/>
        </w:tabs>
        <w:ind w:left="851"/>
        <w:rPr>
          <w:sz w:val="24"/>
          <w:szCs w:val="24"/>
        </w:rPr>
      </w:pPr>
    </w:p>
    <w:p w:rsidR="00CB6660" w:rsidRPr="00CB6660" w:rsidRDefault="00CB6660" w:rsidP="00CB6660">
      <w:pPr>
        <w:tabs>
          <w:tab w:val="left" w:pos="8222"/>
        </w:tabs>
        <w:ind w:left="851"/>
        <w:rPr>
          <w:bCs/>
          <w:sz w:val="24"/>
          <w:szCs w:val="24"/>
          <w:u w:val="single"/>
        </w:rPr>
      </w:pPr>
      <w:bookmarkStart w:id="1" w:name="Active_substance:"/>
      <w:bookmarkEnd w:id="1"/>
      <w:r w:rsidRPr="00CB6660">
        <w:rPr>
          <w:bCs/>
          <w:sz w:val="24"/>
          <w:szCs w:val="24"/>
          <w:u w:val="single"/>
        </w:rPr>
        <w:t>Aktivt stof</w:t>
      </w:r>
    </w:p>
    <w:p w:rsidR="00CB6660" w:rsidRPr="00CB6660" w:rsidRDefault="00CB6660" w:rsidP="00CB6660">
      <w:pPr>
        <w:tabs>
          <w:tab w:val="left" w:pos="8222"/>
        </w:tabs>
        <w:ind w:left="851"/>
        <w:rPr>
          <w:sz w:val="24"/>
          <w:szCs w:val="24"/>
        </w:rPr>
      </w:pPr>
      <w:r w:rsidRPr="00CB6660">
        <w:rPr>
          <w:sz w:val="24"/>
          <w:szCs w:val="24"/>
        </w:rPr>
        <w:t xml:space="preserve">Meloxicam </w:t>
      </w:r>
      <w:r w:rsidR="00A004FC">
        <w:rPr>
          <w:sz w:val="24"/>
          <w:szCs w:val="24"/>
        </w:rPr>
        <w:t>2,5</w:t>
      </w:r>
      <w:r w:rsidRPr="00CB6660">
        <w:rPr>
          <w:sz w:val="24"/>
          <w:szCs w:val="24"/>
        </w:rPr>
        <w:t> mg</w:t>
      </w:r>
    </w:p>
    <w:p w:rsidR="00CB6660" w:rsidRPr="00CB6660" w:rsidRDefault="00CB6660" w:rsidP="00CB6660">
      <w:pPr>
        <w:tabs>
          <w:tab w:val="left" w:pos="8222"/>
        </w:tabs>
        <w:ind w:left="851"/>
        <w:rPr>
          <w:sz w:val="24"/>
          <w:szCs w:val="24"/>
        </w:rPr>
      </w:pPr>
    </w:p>
    <w:p w:rsidR="00CB6660" w:rsidRPr="00CB6660" w:rsidRDefault="00CB6660" w:rsidP="00CB6660">
      <w:pPr>
        <w:tabs>
          <w:tab w:val="left" w:pos="8222"/>
        </w:tabs>
        <w:ind w:left="851"/>
        <w:rPr>
          <w:bCs/>
          <w:sz w:val="24"/>
          <w:szCs w:val="24"/>
          <w:u w:val="single"/>
        </w:rPr>
      </w:pPr>
      <w:bookmarkStart w:id="2" w:name="Excipients:"/>
      <w:bookmarkEnd w:id="2"/>
      <w:r w:rsidRPr="00CB6660">
        <w:rPr>
          <w:bCs/>
          <w:sz w:val="24"/>
          <w:szCs w:val="24"/>
          <w:u w:val="single"/>
        </w:rPr>
        <w:t>Hjælpestoffer</w:t>
      </w:r>
    </w:p>
    <w:p w:rsidR="00CB6660" w:rsidRPr="00CB6660" w:rsidRDefault="00CB6660" w:rsidP="00CB6660">
      <w:pPr>
        <w:tabs>
          <w:tab w:val="left" w:pos="8222"/>
        </w:tabs>
        <w:ind w:left="851"/>
        <w:rPr>
          <w:sz w:val="24"/>
          <w:szCs w:val="24"/>
        </w:rPr>
      </w:pPr>
      <w:r w:rsidRPr="00CB6660">
        <w:rPr>
          <w:sz w:val="24"/>
          <w:szCs w:val="24"/>
        </w:rPr>
        <w:t>Alle hjælpestoffer er anført under pkt. 6.1.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CB6660" w:rsidRPr="00CB6660" w:rsidRDefault="00CB6660" w:rsidP="00CB6660">
      <w:pPr>
        <w:tabs>
          <w:tab w:val="left" w:pos="851"/>
          <w:tab w:val="left" w:pos="8222"/>
        </w:tabs>
        <w:ind w:left="851"/>
        <w:rPr>
          <w:sz w:val="24"/>
          <w:szCs w:val="24"/>
        </w:rPr>
      </w:pPr>
      <w:r w:rsidRPr="00CB6660">
        <w:rPr>
          <w:sz w:val="24"/>
          <w:szCs w:val="24"/>
        </w:rPr>
        <w:t>Tyggetabletter</w:t>
      </w:r>
    </w:p>
    <w:p w:rsidR="00CB6660" w:rsidRPr="00CB6660" w:rsidRDefault="00CB6660" w:rsidP="00CB6660">
      <w:pPr>
        <w:tabs>
          <w:tab w:val="left" w:pos="851"/>
          <w:tab w:val="left" w:pos="8222"/>
        </w:tabs>
        <w:ind w:left="851"/>
        <w:rPr>
          <w:sz w:val="24"/>
          <w:szCs w:val="24"/>
        </w:rPr>
      </w:pPr>
    </w:p>
    <w:p w:rsidR="00CB6660" w:rsidRPr="00CB6660" w:rsidRDefault="00CB6660" w:rsidP="00CB6660">
      <w:pPr>
        <w:tabs>
          <w:tab w:val="left" w:pos="851"/>
          <w:tab w:val="left" w:pos="8222"/>
        </w:tabs>
        <w:ind w:left="851"/>
        <w:rPr>
          <w:sz w:val="24"/>
          <w:szCs w:val="24"/>
        </w:rPr>
      </w:pPr>
      <w:r w:rsidRPr="00CB6660">
        <w:rPr>
          <w:sz w:val="24"/>
          <w:szCs w:val="24"/>
        </w:rPr>
        <w:t>Rund, spraglet, bikonveks tablet mærket med "F</w:t>
      </w:r>
      <w:r w:rsidR="0064716A">
        <w:rPr>
          <w:sz w:val="24"/>
          <w:szCs w:val="24"/>
        </w:rPr>
        <w:t>"</w:t>
      </w:r>
      <w:r w:rsidRPr="00CB6660">
        <w:rPr>
          <w:sz w:val="24"/>
          <w:szCs w:val="24"/>
        </w:rPr>
        <w:t xml:space="preserve"> og </w:t>
      </w:r>
      <w:r w:rsidR="0064716A">
        <w:rPr>
          <w:sz w:val="24"/>
          <w:szCs w:val="24"/>
        </w:rPr>
        <w:t>"</w:t>
      </w:r>
      <w:r w:rsidRPr="00CB6660">
        <w:rPr>
          <w:sz w:val="24"/>
          <w:szCs w:val="24"/>
        </w:rPr>
        <w:t>6" på begge sider af brudlinjen på den ene side og "M</w:t>
      </w:r>
      <w:r w:rsidR="00073F0E">
        <w:rPr>
          <w:sz w:val="24"/>
          <w:szCs w:val="24"/>
        </w:rPr>
        <w:t>2</w:t>
      </w:r>
      <w:r w:rsidRPr="00CB6660">
        <w:rPr>
          <w:sz w:val="24"/>
          <w:szCs w:val="24"/>
        </w:rPr>
        <w:t>" på den anden side.</w:t>
      </w:r>
    </w:p>
    <w:p w:rsidR="00CB6660" w:rsidRPr="00CB6660" w:rsidRDefault="00CB6660" w:rsidP="00CB6660">
      <w:pPr>
        <w:tabs>
          <w:tab w:val="left" w:pos="851"/>
          <w:tab w:val="left" w:pos="8222"/>
        </w:tabs>
        <w:ind w:left="851"/>
        <w:rPr>
          <w:sz w:val="24"/>
          <w:szCs w:val="24"/>
        </w:rPr>
      </w:pPr>
      <w:r w:rsidRPr="00CB6660">
        <w:rPr>
          <w:sz w:val="24"/>
          <w:szCs w:val="24"/>
        </w:rPr>
        <w:t>Tabletten kan deles i lige store halvdele.</w:t>
      </w:r>
    </w:p>
    <w:p w:rsidR="00CB6660" w:rsidRPr="00CB6660" w:rsidRDefault="00CB6660" w:rsidP="00CB6660">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Pr="00406EE7" w:rsidRDefault="0064716A" w:rsidP="005B0036">
      <w:pPr>
        <w:tabs>
          <w:tab w:val="left" w:pos="8222"/>
        </w:tabs>
        <w:ind w:left="851"/>
        <w:rPr>
          <w:sz w:val="24"/>
          <w:szCs w:val="24"/>
        </w:rPr>
      </w:pPr>
      <w:r>
        <w:rPr>
          <w:sz w:val="24"/>
          <w:szCs w:val="24"/>
        </w:rPr>
        <w:t>Hund</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64716A" w:rsidRPr="0064716A" w:rsidRDefault="0064716A" w:rsidP="0064716A">
      <w:pPr>
        <w:pStyle w:val="Sidehoved"/>
        <w:tabs>
          <w:tab w:val="left" w:pos="8222"/>
        </w:tabs>
        <w:ind w:left="851"/>
        <w:rPr>
          <w:szCs w:val="24"/>
        </w:rPr>
      </w:pPr>
      <w:r w:rsidRPr="0064716A">
        <w:rPr>
          <w:szCs w:val="24"/>
        </w:rPr>
        <w:t>Lindring af betændelse og smerter ved såvel akutte som kroniske muskel- og skeletsygdomme hos hunde.</w:t>
      </w:r>
    </w:p>
    <w:p w:rsidR="00E06074" w:rsidRDefault="00E06074">
      <w:pPr>
        <w:rPr>
          <w:sz w:val="24"/>
          <w:szCs w:val="24"/>
          <w:lang w:eastAsia="da-DK"/>
        </w:rPr>
      </w:pPr>
      <w:r>
        <w:rPr>
          <w:szCs w:val="24"/>
        </w:rPr>
        <w:br w:type="page"/>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64716A" w:rsidRPr="0064716A" w:rsidRDefault="0064716A" w:rsidP="007023B6">
      <w:pPr>
        <w:pStyle w:val="Sidehoved"/>
        <w:numPr>
          <w:ilvl w:val="0"/>
          <w:numId w:val="4"/>
        </w:numPr>
        <w:tabs>
          <w:tab w:val="left" w:pos="8222"/>
        </w:tabs>
        <w:ind w:left="1134" w:hanging="283"/>
        <w:rPr>
          <w:szCs w:val="24"/>
        </w:rPr>
      </w:pPr>
      <w:r w:rsidRPr="0064716A">
        <w:rPr>
          <w:szCs w:val="24"/>
        </w:rPr>
        <w:t>Bør ikke bruges til drægtige eller diegivende dyr.</w:t>
      </w:r>
    </w:p>
    <w:p w:rsidR="0064716A" w:rsidRPr="0064716A" w:rsidRDefault="0064716A" w:rsidP="007023B6">
      <w:pPr>
        <w:pStyle w:val="Sidehoved"/>
        <w:numPr>
          <w:ilvl w:val="0"/>
          <w:numId w:val="4"/>
        </w:numPr>
        <w:tabs>
          <w:tab w:val="left" w:pos="8222"/>
        </w:tabs>
        <w:ind w:left="1134" w:hanging="283"/>
        <w:rPr>
          <w:szCs w:val="24"/>
        </w:rPr>
      </w:pPr>
      <w:r w:rsidRPr="0064716A">
        <w:rPr>
          <w:szCs w:val="24"/>
        </w:rPr>
        <w:t>Bør ikke bruges til dyr med gastrointestinale lidelser som f. eks. irritation og tegn på blødning, nedsat lever-, hjerte- eller nyrefunktion og blødningsforstyrrelser. Bør</w:t>
      </w:r>
    </w:p>
    <w:p w:rsidR="0064716A" w:rsidRPr="0064716A" w:rsidRDefault="0064716A" w:rsidP="007023B6">
      <w:pPr>
        <w:pStyle w:val="Sidehoved"/>
        <w:numPr>
          <w:ilvl w:val="0"/>
          <w:numId w:val="4"/>
        </w:numPr>
        <w:tabs>
          <w:tab w:val="left" w:pos="8222"/>
        </w:tabs>
        <w:ind w:left="1134" w:hanging="283"/>
        <w:rPr>
          <w:szCs w:val="24"/>
        </w:rPr>
      </w:pPr>
      <w:r w:rsidRPr="0064716A">
        <w:rPr>
          <w:szCs w:val="24"/>
        </w:rPr>
        <w:t>Bør ikke anvendes til hunde, som er under 6 uger gamle eller som vejer mindre end 4 kg.</w:t>
      </w:r>
    </w:p>
    <w:p w:rsidR="0064716A" w:rsidRPr="0064716A" w:rsidRDefault="0064716A" w:rsidP="007023B6">
      <w:pPr>
        <w:pStyle w:val="Sidehoved"/>
        <w:numPr>
          <w:ilvl w:val="0"/>
          <w:numId w:val="4"/>
        </w:numPr>
        <w:tabs>
          <w:tab w:val="left" w:pos="8222"/>
        </w:tabs>
        <w:ind w:left="1134" w:hanging="283"/>
        <w:rPr>
          <w:szCs w:val="24"/>
        </w:rPr>
      </w:pPr>
      <w:r w:rsidRPr="0064716A">
        <w:rPr>
          <w:szCs w:val="24"/>
        </w:rPr>
        <w:t>Bør ikke anvendes i tilfælde af overfølsomhed over for det aktive stof eller et eller flere af hjælpestofferne.</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5B0036" w:rsidRPr="00406EE7" w:rsidRDefault="007023B6" w:rsidP="005B0036">
      <w:pPr>
        <w:tabs>
          <w:tab w:val="left" w:pos="851"/>
          <w:tab w:val="left" w:pos="8222"/>
        </w:tabs>
        <w:ind w:left="851"/>
        <w:rPr>
          <w:sz w:val="24"/>
          <w:szCs w:val="24"/>
        </w:rPr>
      </w:pPr>
      <w:r>
        <w:rPr>
          <w:sz w:val="24"/>
          <w:szCs w:val="24"/>
        </w:rPr>
        <w:t>Ingen</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rsidR="00CB4570" w:rsidRPr="00CB4570" w:rsidRDefault="00CB4570" w:rsidP="00CB4570">
      <w:pPr>
        <w:tabs>
          <w:tab w:val="left" w:pos="851"/>
          <w:tab w:val="left" w:pos="8222"/>
        </w:tabs>
        <w:ind w:left="851"/>
        <w:rPr>
          <w:sz w:val="24"/>
          <w:szCs w:val="24"/>
        </w:rPr>
      </w:pPr>
      <w:r w:rsidRPr="00CB4570">
        <w:rPr>
          <w:sz w:val="24"/>
          <w:szCs w:val="24"/>
        </w:rPr>
        <w:t>Undgå behandling af dehydrerede, hypovolæmiske eller hypotensive dyr, idet der foreligger en potentiel risiko for nyretoksisitet.</w:t>
      </w:r>
    </w:p>
    <w:p w:rsidR="00CB4570" w:rsidRPr="00CB4570" w:rsidRDefault="00CB4570" w:rsidP="00CB4570">
      <w:pPr>
        <w:tabs>
          <w:tab w:val="left" w:pos="851"/>
          <w:tab w:val="left" w:pos="8222"/>
        </w:tabs>
        <w:ind w:left="851"/>
        <w:rPr>
          <w:sz w:val="24"/>
          <w:szCs w:val="24"/>
        </w:rPr>
      </w:pPr>
      <w:r w:rsidRPr="00CB4570">
        <w:rPr>
          <w:sz w:val="24"/>
          <w:szCs w:val="24"/>
        </w:rPr>
        <w:t>Dette veterinærlægemiddel til hunde bør ikke anvendes til katte, da det ikke er egnet til brug hos denne dyreart. Til katte bør der anvendes Meloxicam 0,5 mg/ml oral suspension til katte.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CB4570" w:rsidRPr="00CB4570" w:rsidRDefault="00CB4570" w:rsidP="00CB4570">
      <w:pPr>
        <w:tabs>
          <w:tab w:val="left" w:pos="851"/>
          <w:tab w:val="left" w:pos="8222"/>
        </w:tabs>
        <w:ind w:left="851"/>
        <w:rPr>
          <w:sz w:val="24"/>
          <w:szCs w:val="24"/>
        </w:rPr>
      </w:pPr>
      <w:r w:rsidRPr="00CB4570">
        <w:rPr>
          <w:sz w:val="24"/>
          <w:szCs w:val="24"/>
        </w:rPr>
        <w:t>Personer med kendt overfølsomhed over for non-steroide antiinflammatoriske midler (NSAID) bør undgå kontakt med veterinærlægemidlet.</w:t>
      </w:r>
    </w:p>
    <w:p w:rsidR="00CB4570" w:rsidRPr="00CB4570" w:rsidRDefault="00CB4570" w:rsidP="00CB4570">
      <w:pPr>
        <w:tabs>
          <w:tab w:val="left" w:pos="851"/>
          <w:tab w:val="left" w:pos="8222"/>
        </w:tabs>
        <w:ind w:left="851"/>
        <w:rPr>
          <w:sz w:val="24"/>
          <w:szCs w:val="24"/>
        </w:rPr>
      </w:pPr>
      <w:r w:rsidRPr="00CB4570">
        <w:rPr>
          <w:sz w:val="24"/>
          <w:szCs w:val="24"/>
        </w:rPr>
        <w:t>I tilfælde af utilsigtet indtagelse, skal der straks søges lægehjælp, og indlægssedlen eller etiketten bør vises til lægen.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Andre forsigtighedsregler</w:t>
      </w:r>
    </w:p>
    <w:p w:rsidR="005B0036" w:rsidRPr="00406EE7" w:rsidRDefault="00CB4570"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B76FE3" w:rsidRPr="00B76FE3" w:rsidRDefault="00B76FE3" w:rsidP="00B76FE3">
      <w:pPr>
        <w:tabs>
          <w:tab w:val="left" w:pos="851"/>
          <w:tab w:val="left" w:pos="8222"/>
        </w:tabs>
        <w:ind w:left="851"/>
        <w:rPr>
          <w:sz w:val="24"/>
          <w:szCs w:val="24"/>
        </w:rPr>
      </w:pPr>
      <w:r w:rsidRPr="00B76FE3">
        <w:rPr>
          <w:sz w:val="24"/>
          <w:szCs w:val="24"/>
        </w:rPr>
        <w:t>Typiske NSAID-bivirkninger, så som appetitløshed, opkastning, diarré, fækal okkult blødning, sløvhed og nyresvigt er meget sjældent blevet rapporteret i forbindelse med sikkerhedserfaringer efter markedsføring.</w:t>
      </w:r>
    </w:p>
    <w:p w:rsidR="00B76FE3" w:rsidRPr="00B76FE3" w:rsidRDefault="00B76FE3" w:rsidP="00B76FE3">
      <w:pPr>
        <w:tabs>
          <w:tab w:val="left" w:pos="851"/>
          <w:tab w:val="left" w:pos="8222"/>
        </w:tabs>
        <w:ind w:left="851"/>
        <w:rPr>
          <w:sz w:val="24"/>
          <w:szCs w:val="24"/>
        </w:rPr>
      </w:pPr>
      <w:r w:rsidRPr="00B76FE3">
        <w:rPr>
          <w:sz w:val="24"/>
          <w:szCs w:val="24"/>
        </w:rPr>
        <w:t>Meget sjældne tilfælde af hæmoragisk diarré, hæmatemese, gastrointestinal ulceration og forhøjede leverenzymer er blevet rapporteret i forbindelse med sikkerhedserfaringer efter markedsføring.</w:t>
      </w:r>
    </w:p>
    <w:p w:rsidR="00B76FE3" w:rsidRPr="00B76FE3" w:rsidRDefault="00B76FE3" w:rsidP="00B76FE3">
      <w:pPr>
        <w:tabs>
          <w:tab w:val="left" w:pos="851"/>
          <w:tab w:val="left" w:pos="8222"/>
        </w:tabs>
        <w:ind w:left="851"/>
        <w:rPr>
          <w:sz w:val="24"/>
          <w:szCs w:val="24"/>
        </w:rPr>
      </w:pPr>
    </w:p>
    <w:p w:rsidR="00B76FE3" w:rsidRPr="00B76FE3" w:rsidRDefault="00B76FE3" w:rsidP="00B76FE3">
      <w:pPr>
        <w:tabs>
          <w:tab w:val="left" w:pos="851"/>
          <w:tab w:val="left" w:pos="8222"/>
        </w:tabs>
        <w:ind w:left="851"/>
        <w:rPr>
          <w:sz w:val="24"/>
          <w:szCs w:val="24"/>
        </w:rPr>
      </w:pPr>
      <w:r w:rsidRPr="00B76FE3">
        <w:rPr>
          <w:sz w:val="24"/>
          <w:szCs w:val="24"/>
        </w:rPr>
        <w:t>Disse bivirkninger ses sædvanligvis inden for den første behandlingsuge og er i de fleste tilfælde forbigående og forsvinder ved behandlingsophør, men i meget sjældne tilfælde kan de dog være alvorlige eller fatale.</w:t>
      </w:r>
    </w:p>
    <w:p w:rsidR="00B76FE3" w:rsidRPr="00B76FE3" w:rsidRDefault="00B76FE3" w:rsidP="00B76FE3">
      <w:pPr>
        <w:tabs>
          <w:tab w:val="left" w:pos="851"/>
          <w:tab w:val="left" w:pos="8222"/>
        </w:tabs>
        <w:ind w:left="851"/>
        <w:rPr>
          <w:sz w:val="24"/>
          <w:szCs w:val="24"/>
        </w:rPr>
      </w:pPr>
    </w:p>
    <w:p w:rsidR="00B76FE3" w:rsidRPr="00B76FE3" w:rsidRDefault="00B76FE3" w:rsidP="00B76FE3">
      <w:pPr>
        <w:tabs>
          <w:tab w:val="left" w:pos="851"/>
          <w:tab w:val="left" w:pos="8222"/>
        </w:tabs>
        <w:ind w:left="851"/>
        <w:rPr>
          <w:sz w:val="24"/>
          <w:szCs w:val="24"/>
        </w:rPr>
      </w:pPr>
      <w:r w:rsidRPr="00B76FE3">
        <w:rPr>
          <w:sz w:val="24"/>
          <w:szCs w:val="24"/>
        </w:rPr>
        <w:t>Hvis der opstår bivirkninger, bør behandlingen afbrydes, og der bør søges råd hos en dyrlæge.</w:t>
      </w:r>
    </w:p>
    <w:p w:rsidR="00B76FE3" w:rsidRPr="00B76FE3" w:rsidRDefault="00B76FE3" w:rsidP="00B76FE3">
      <w:pPr>
        <w:tabs>
          <w:tab w:val="left" w:pos="851"/>
          <w:tab w:val="left" w:pos="8222"/>
        </w:tabs>
        <w:ind w:left="851"/>
        <w:rPr>
          <w:sz w:val="24"/>
          <w:szCs w:val="24"/>
        </w:rPr>
      </w:pPr>
    </w:p>
    <w:p w:rsidR="00B76FE3" w:rsidRPr="00B76FE3" w:rsidRDefault="00B76FE3" w:rsidP="00B76FE3">
      <w:pPr>
        <w:tabs>
          <w:tab w:val="left" w:pos="851"/>
          <w:tab w:val="left" w:pos="8222"/>
        </w:tabs>
        <w:ind w:left="851"/>
        <w:rPr>
          <w:sz w:val="24"/>
          <w:szCs w:val="24"/>
        </w:rPr>
      </w:pPr>
      <w:r w:rsidRPr="00B76FE3">
        <w:rPr>
          <w:sz w:val="24"/>
          <w:szCs w:val="24"/>
        </w:rPr>
        <w:t>Hyppigheden af bivirkninger er defineret ved hjælp af følgende konvention</w:t>
      </w:r>
    </w:p>
    <w:p w:rsidR="00B76FE3" w:rsidRPr="00B76FE3" w:rsidRDefault="00B76FE3" w:rsidP="00B76FE3">
      <w:pPr>
        <w:numPr>
          <w:ilvl w:val="0"/>
          <w:numId w:val="5"/>
        </w:numPr>
        <w:tabs>
          <w:tab w:val="left" w:pos="851"/>
          <w:tab w:val="left" w:pos="8222"/>
        </w:tabs>
        <w:ind w:left="1134" w:hanging="283"/>
        <w:rPr>
          <w:sz w:val="24"/>
          <w:szCs w:val="24"/>
        </w:rPr>
      </w:pPr>
      <w:r>
        <w:rPr>
          <w:sz w:val="24"/>
          <w:szCs w:val="24"/>
        </w:rPr>
        <w:t>M</w:t>
      </w:r>
      <w:r w:rsidRPr="00B76FE3">
        <w:rPr>
          <w:sz w:val="24"/>
          <w:szCs w:val="24"/>
        </w:rPr>
        <w:t>eget almindelig (flere end 1 ud af 10 behandlede dyr har bivirkninger)</w:t>
      </w:r>
    </w:p>
    <w:p w:rsidR="00B76FE3" w:rsidRPr="00B76FE3" w:rsidRDefault="00B76FE3" w:rsidP="00B76FE3">
      <w:pPr>
        <w:numPr>
          <w:ilvl w:val="0"/>
          <w:numId w:val="5"/>
        </w:numPr>
        <w:tabs>
          <w:tab w:val="left" w:pos="851"/>
          <w:tab w:val="left" w:pos="8222"/>
        </w:tabs>
        <w:ind w:left="1134" w:hanging="283"/>
        <w:rPr>
          <w:sz w:val="24"/>
          <w:szCs w:val="24"/>
        </w:rPr>
      </w:pPr>
      <w:r>
        <w:rPr>
          <w:sz w:val="24"/>
          <w:szCs w:val="24"/>
        </w:rPr>
        <w:t>A</w:t>
      </w:r>
      <w:r w:rsidRPr="00B76FE3">
        <w:rPr>
          <w:sz w:val="24"/>
          <w:szCs w:val="24"/>
        </w:rPr>
        <w:t>lmindelig (flere end 1, men færre end 10 dyr ud af 100 behandlede dyr)</w:t>
      </w:r>
    </w:p>
    <w:p w:rsidR="00B76FE3" w:rsidRPr="00B76FE3" w:rsidRDefault="00B76FE3" w:rsidP="00B76FE3">
      <w:pPr>
        <w:numPr>
          <w:ilvl w:val="0"/>
          <w:numId w:val="5"/>
        </w:numPr>
        <w:tabs>
          <w:tab w:val="left" w:pos="851"/>
          <w:tab w:val="left" w:pos="8222"/>
        </w:tabs>
        <w:ind w:left="1134" w:hanging="283"/>
        <w:rPr>
          <w:sz w:val="24"/>
          <w:szCs w:val="24"/>
        </w:rPr>
      </w:pPr>
      <w:r w:rsidRPr="00B76FE3">
        <w:rPr>
          <w:sz w:val="24"/>
          <w:szCs w:val="24"/>
        </w:rPr>
        <w:t>Ikke almindelig (flere end 1, men færre end 10 dyr ud af 1.000 behandlede dyr)</w:t>
      </w:r>
    </w:p>
    <w:p w:rsidR="00B76FE3" w:rsidRPr="00B76FE3" w:rsidRDefault="00B76FE3" w:rsidP="00B76FE3">
      <w:pPr>
        <w:numPr>
          <w:ilvl w:val="0"/>
          <w:numId w:val="5"/>
        </w:numPr>
        <w:tabs>
          <w:tab w:val="left" w:pos="851"/>
          <w:tab w:val="left" w:pos="8222"/>
        </w:tabs>
        <w:ind w:left="1134" w:hanging="283"/>
        <w:rPr>
          <w:sz w:val="24"/>
          <w:szCs w:val="24"/>
        </w:rPr>
      </w:pPr>
      <w:r>
        <w:rPr>
          <w:sz w:val="24"/>
          <w:szCs w:val="24"/>
        </w:rPr>
        <w:t>S</w:t>
      </w:r>
      <w:r w:rsidRPr="00B76FE3">
        <w:rPr>
          <w:sz w:val="24"/>
          <w:szCs w:val="24"/>
        </w:rPr>
        <w:t>jælden (flere end 1, men færre end 10 dyr ud af 10.000 behandlede dyr)</w:t>
      </w:r>
    </w:p>
    <w:p w:rsidR="00B76FE3" w:rsidRPr="00B76FE3" w:rsidRDefault="00B76FE3" w:rsidP="00B76FE3">
      <w:pPr>
        <w:numPr>
          <w:ilvl w:val="0"/>
          <w:numId w:val="5"/>
        </w:numPr>
        <w:tabs>
          <w:tab w:val="left" w:pos="851"/>
          <w:tab w:val="left" w:pos="8222"/>
        </w:tabs>
        <w:ind w:left="1134" w:hanging="283"/>
        <w:rPr>
          <w:sz w:val="24"/>
          <w:szCs w:val="24"/>
        </w:rPr>
      </w:pPr>
      <w:r>
        <w:rPr>
          <w:sz w:val="24"/>
          <w:szCs w:val="24"/>
        </w:rPr>
        <w:t>M</w:t>
      </w:r>
      <w:r w:rsidRPr="00B76FE3">
        <w:rPr>
          <w:sz w:val="24"/>
          <w:szCs w:val="24"/>
        </w:rPr>
        <w:t>eget sjælden (færre end 1 dyr ud af 10.000 behandlede dyr, herunder isolerede rapporter).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6D1BB7" w:rsidRPr="006D1BB7" w:rsidRDefault="006D1BB7" w:rsidP="006D1BB7">
      <w:pPr>
        <w:tabs>
          <w:tab w:val="left" w:pos="851"/>
          <w:tab w:val="left" w:pos="8222"/>
        </w:tabs>
        <w:ind w:left="851"/>
        <w:rPr>
          <w:sz w:val="24"/>
          <w:szCs w:val="24"/>
        </w:rPr>
      </w:pPr>
      <w:r w:rsidRPr="006D1BB7">
        <w:rPr>
          <w:sz w:val="24"/>
          <w:szCs w:val="24"/>
        </w:rPr>
        <w:t>Veterinærlægemidlets sikkerhed under drægtighed eller diegivning er ikke fastlagt (se pkt. 4.3)</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6D1BB7" w:rsidRPr="006D1BB7" w:rsidRDefault="006D1BB7" w:rsidP="006D1BB7">
      <w:pPr>
        <w:tabs>
          <w:tab w:val="left" w:pos="851"/>
          <w:tab w:val="left" w:pos="8222"/>
        </w:tabs>
        <w:ind w:left="851"/>
        <w:rPr>
          <w:sz w:val="24"/>
          <w:szCs w:val="24"/>
        </w:rPr>
      </w:pPr>
      <w:r w:rsidRPr="006D1BB7">
        <w:rPr>
          <w:sz w:val="24"/>
          <w:szCs w:val="24"/>
        </w:rPr>
        <w:t>Andre NSAID-præparater, diuretika, antikoagulantia, aminoglycosid-antibiotika og substanser med høj proteinbinding kan konkurrere om bindingen og således føre til toksiske virkninger. Meloxicam må ikke gives samtidig med andre NSAID-præparater eller glucokortikosteroider.</w:t>
      </w:r>
    </w:p>
    <w:p w:rsidR="006D1BB7" w:rsidRPr="006D1BB7" w:rsidRDefault="006D1BB7" w:rsidP="006D1BB7">
      <w:pPr>
        <w:tabs>
          <w:tab w:val="left" w:pos="851"/>
          <w:tab w:val="left" w:pos="8222"/>
        </w:tabs>
        <w:ind w:left="851"/>
        <w:rPr>
          <w:sz w:val="24"/>
          <w:szCs w:val="24"/>
        </w:rPr>
      </w:pPr>
    </w:p>
    <w:p w:rsidR="006D1BB7" w:rsidRPr="006D1BB7" w:rsidRDefault="006D1BB7" w:rsidP="006D1BB7">
      <w:pPr>
        <w:tabs>
          <w:tab w:val="left" w:pos="851"/>
          <w:tab w:val="left" w:pos="8222"/>
        </w:tabs>
        <w:ind w:left="851"/>
        <w:rPr>
          <w:sz w:val="24"/>
          <w:szCs w:val="24"/>
        </w:rPr>
      </w:pPr>
      <w:r w:rsidRPr="006D1BB7">
        <w:rPr>
          <w:sz w:val="24"/>
          <w:szCs w:val="24"/>
        </w:rPr>
        <w:t>Forudgående behandling med antiinflammatoriske substanser kan resultere i yderligere eller forstærkede bivirkninger, og derfor bør der indlægges en behandlingsfri periode fra sådanne veterinære lægemidler på mindst 24 timer, inden behandling indledes. Længden af den behandlingsfri periode bør dog fastlægges under hensyntagen af de farmakologiske egenskaber af tidligere anvendte præparater.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6D1BB7" w:rsidRPr="006D1BB7" w:rsidRDefault="006D1BB7" w:rsidP="006D1BB7">
      <w:pPr>
        <w:tabs>
          <w:tab w:val="left" w:pos="851"/>
          <w:tab w:val="left" w:pos="8222"/>
        </w:tabs>
        <w:ind w:left="851"/>
        <w:rPr>
          <w:sz w:val="24"/>
          <w:szCs w:val="24"/>
        </w:rPr>
      </w:pPr>
      <w:r w:rsidRPr="006D1BB7">
        <w:rPr>
          <w:sz w:val="24"/>
          <w:szCs w:val="24"/>
        </w:rPr>
        <w:t>Indledende behandling er en enkelt dosis på 0,2 mg meloxicam/kg legemsvægt den første dag, som kan administreres oralt eller alternativt ved anvendelse af meloxicam 5 mg/ml injektionsvæske til hunde og katte.</w:t>
      </w:r>
    </w:p>
    <w:p w:rsidR="006D1BB7" w:rsidRPr="006D1BB7" w:rsidRDefault="006D1BB7" w:rsidP="006D1BB7">
      <w:pPr>
        <w:tabs>
          <w:tab w:val="left" w:pos="851"/>
          <w:tab w:val="left" w:pos="8222"/>
        </w:tabs>
        <w:ind w:left="851"/>
        <w:rPr>
          <w:sz w:val="24"/>
          <w:szCs w:val="24"/>
        </w:rPr>
      </w:pPr>
      <w:r w:rsidRPr="006D1BB7">
        <w:rPr>
          <w:sz w:val="24"/>
          <w:szCs w:val="24"/>
        </w:rPr>
        <w:t xml:space="preserve">Behandlingen fortsættes </w:t>
      </w:r>
      <w:r w:rsidR="002D0A2E">
        <w:rPr>
          <w:sz w:val="24"/>
          <w:szCs w:val="24"/>
        </w:rPr>
        <w:t>en</w:t>
      </w:r>
      <w:r w:rsidRPr="006D1BB7">
        <w:rPr>
          <w:sz w:val="24"/>
          <w:szCs w:val="24"/>
        </w:rPr>
        <w:t xml:space="preserve"> gang </w:t>
      </w:r>
      <w:r w:rsidR="002D0A2E">
        <w:rPr>
          <w:sz w:val="24"/>
          <w:szCs w:val="24"/>
        </w:rPr>
        <w:t>daglig</w:t>
      </w:r>
      <w:r w:rsidRPr="006D1BB7">
        <w:rPr>
          <w:sz w:val="24"/>
          <w:szCs w:val="24"/>
        </w:rPr>
        <w:t xml:space="preserve"> med oral administration (24 timers intervaller) med en vedligeholdelsesdosis på 0,1 mg meloxicam/kg legemsvægt.</w:t>
      </w:r>
    </w:p>
    <w:p w:rsidR="006D1BB7" w:rsidRPr="006D1BB7" w:rsidRDefault="006D1BB7" w:rsidP="006D1BB7">
      <w:pPr>
        <w:tabs>
          <w:tab w:val="left" w:pos="851"/>
          <w:tab w:val="left" w:pos="8222"/>
        </w:tabs>
        <w:ind w:left="851"/>
        <w:rPr>
          <w:sz w:val="24"/>
          <w:szCs w:val="24"/>
        </w:rPr>
      </w:pPr>
      <w:r w:rsidRPr="006D1BB7">
        <w:rPr>
          <w:sz w:val="24"/>
          <w:szCs w:val="24"/>
        </w:rPr>
        <w:t xml:space="preserve">Hver tyggetablet indeholder </w:t>
      </w:r>
      <w:r w:rsidR="00A74A12">
        <w:rPr>
          <w:sz w:val="24"/>
          <w:szCs w:val="24"/>
        </w:rPr>
        <w:t>2.5</w:t>
      </w:r>
      <w:r w:rsidRPr="006D1BB7">
        <w:rPr>
          <w:sz w:val="24"/>
          <w:szCs w:val="24"/>
        </w:rPr>
        <w:t xml:space="preserve"> mg meloxicam, hvilket svarer til den daglige vedligeholdelsesdosis for en hund på </w:t>
      </w:r>
      <w:r w:rsidR="00A74A12">
        <w:rPr>
          <w:sz w:val="24"/>
          <w:szCs w:val="24"/>
        </w:rPr>
        <w:t>25</w:t>
      </w:r>
      <w:r w:rsidRPr="006D1BB7">
        <w:rPr>
          <w:sz w:val="24"/>
          <w:szCs w:val="24"/>
        </w:rPr>
        <w:t> kg kropsvægt.</w:t>
      </w:r>
    </w:p>
    <w:p w:rsidR="006D1BB7" w:rsidRPr="006D1BB7" w:rsidRDefault="006D1BB7" w:rsidP="006D1BB7">
      <w:pPr>
        <w:tabs>
          <w:tab w:val="left" w:pos="851"/>
          <w:tab w:val="left" w:pos="8222"/>
        </w:tabs>
        <w:ind w:left="851"/>
        <w:rPr>
          <w:sz w:val="24"/>
          <w:szCs w:val="24"/>
        </w:rPr>
      </w:pPr>
      <w:r w:rsidRPr="006D1BB7">
        <w:rPr>
          <w:sz w:val="24"/>
          <w:szCs w:val="24"/>
        </w:rPr>
        <w:t>Hver tyggetablet kan halveres for at opnå en præcis dosering i forhold til hundens individuelle kropsvægt. Meloxicam tyggetabletter kan indgives med eller uden foder, er aromatiseret og tages af de fleste hunde frivilligt.</w:t>
      </w:r>
    </w:p>
    <w:p w:rsidR="006D1BB7" w:rsidRPr="006D1BB7" w:rsidRDefault="006D1BB7" w:rsidP="006D1BB7">
      <w:pPr>
        <w:tabs>
          <w:tab w:val="left" w:pos="851"/>
          <w:tab w:val="left" w:pos="8222"/>
        </w:tabs>
        <w:ind w:left="851"/>
        <w:rPr>
          <w:sz w:val="24"/>
          <w:szCs w:val="24"/>
        </w:rPr>
      </w:pPr>
    </w:p>
    <w:p w:rsidR="006D1BB7" w:rsidRPr="006D1BB7" w:rsidRDefault="006D1BB7" w:rsidP="006D1BB7">
      <w:pPr>
        <w:tabs>
          <w:tab w:val="left" w:pos="851"/>
          <w:tab w:val="left" w:pos="8222"/>
        </w:tabs>
        <w:ind w:left="851"/>
        <w:rPr>
          <w:sz w:val="24"/>
          <w:szCs w:val="24"/>
        </w:rPr>
      </w:pPr>
      <w:r w:rsidRPr="006D1BB7">
        <w:rPr>
          <w:sz w:val="24"/>
          <w:szCs w:val="24"/>
        </w:rPr>
        <w:t>Doseringsskema for vedligeholdelsesdosis:</w:t>
      </w:r>
    </w:p>
    <w:tbl>
      <w:tblPr>
        <w:tblW w:w="722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259"/>
        <w:gridCol w:w="1418"/>
        <w:gridCol w:w="1984"/>
      </w:tblGrid>
      <w:tr w:rsidR="006D1A3B" w:rsidTr="007B6073">
        <w:trPr>
          <w:trHeight w:val="337"/>
        </w:trPr>
        <w:tc>
          <w:tcPr>
            <w:tcW w:w="2568" w:type="dxa"/>
            <w:vMerge w:val="restart"/>
          </w:tcPr>
          <w:p w:rsidR="006D1A3B" w:rsidRDefault="006D1A3B" w:rsidP="00D538B7">
            <w:pPr>
              <w:pStyle w:val="TableParagraph"/>
              <w:rPr>
                <w:sz w:val="23"/>
              </w:rPr>
            </w:pPr>
          </w:p>
          <w:p w:rsidR="006D1A3B" w:rsidRPr="00D538B7" w:rsidRDefault="006D1A3B" w:rsidP="00D538B7">
            <w:pPr>
              <w:pStyle w:val="TableParagraph"/>
              <w:spacing w:before="1"/>
              <w:ind w:left="515"/>
              <w:rPr>
                <w:b/>
                <w:sz w:val="24"/>
              </w:rPr>
            </w:pPr>
            <w:r w:rsidRPr="00D538B7">
              <w:rPr>
                <w:b/>
                <w:sz w:val="24"/>
              </w:rPr>
              <w:t>Kropsvægt (kg)</w:t>
            </w:r>
          </w:p>
        </w:tc>
        <w:tc>
          <w:tcPr>
            <w:tcW w:w="2677" w:type="dxa"/>
            <w:gridSpan w:val="2"/>
          </w:tcPr>
          <w:p w:rsidR="006D1A3B" w:rsidRPr="00D538B7" w:rsidRDefault="006D1A3B" w:rsidP="00D538B7">
            <w:pPr>
              <w:pStyle w:val="TableParagraph"/>
              <w:spacing w:before="35"/>
              <w:ind w:left="472"/>
              <w:rPr>
                <w:b/>
                <w:sz w:val="24"/>
              </w:rPr>
            </w:pPr>
            <w:r w:rsidRPr="00D538B7">
              <w:rPr>
                <w:b/>
                <w:sz w:val="24"/>
              </w:rPr>
              <w:t>Antal tyggetabletter</w:t>
            </w:r>
          </w:p>
        </w:tc>
        <w:tc>
          <w:tcPr>
            <w:tcW w:w="1984" w:type="dxa"/>
            <w:vMerge w:val="restart"/>
          </w:tcPr>
          <w:p w:rsidR="006D1A3B" w:rsidRDefault="006D1A3B" w:rsidP="007B6073">
            <w:pPr>
              <w:pStyle w:val="TableParagraph"/>
              <w:jc w:val="center"/>
              <w:rPr>
                <w:sz w:val="23"/>
              </w:rPr>
            </w:pPr>
          </w:p>
          <w:p w:rsidR="006D1A3B" w:rsidRPr="00D538B7" w:rsidRDefault="006D1A3B" w:rsidP="007B6073">
            <w:pPr>
              <w:pStyle w:val="TableParagraph"/>
              <w:spacing w:before="1"/>
              <w:ind w:left="137" w:right="142"/>
              <w:jc w:val="center"/>
              <w:rPr>
                <w:b/>
                <w:sz w:val="24"/>
              </w:rPr>
            </w:pPr>
            <w:r w:rsidRPr="00D538B7">
              <w:rPr>
                <w:b/>
                <w:sz w:val="24"/>
              </w:rPr>
              <w:t>mg/kg</w:t>
            </w:r>
          </w:p>
        </w:tc>
      </w:tr>
      <w:tr w:rsidR="006D1A3B" w:rsidTr="007B6073">
        <w:trPr>
          <w:trHeight w:val="340"/>
        </w:trPr>
        <w:tc>
          <w:tcPr>
            <w:tcW w:w="2568" w:type="dxa"/>
            <w:vMerge/>
            <w:tcBorders>
              <w:top w:val="nil"/>
            </w:tcBorders>
          </w:tcPr>
          <w:p w:rsidR="006D1A3B" w:rsidRDefault="006D1A3B" w:rsidP="00D538B7">
            <w:pPr>
              <w:rPr>
                <w:sz w:val="2"/>
                <w:szCs w:val="2"/>
              </w:rPr>
            </w:pPr>
          </w:p>
        </w:tc>
        <w:tc>
          <w:tcPr>
            <w:tcW w:w="1259" w:type="dxa"/>
          </w:tcPr>
          <w:p w:rsidR="006D1A3B" w:rsidRDefault="006D1A3B" w:rsidP="007E2A3C">
            <w:pPr>
              <w:pStyle w:val="TableParagraph"/>
              <w:spacing w:before="37"/>
              <w:jc w:val="center"/>
              <w:rPr>
                <w:sz w:val="24"/>
              </w:rPr>
            </w:pPr>
            <w:r>
              <w:rPr>
                <w:sz w:val="24"/>
              </w:rPr>
              <w:t>1 mg</w:t>
            </w:r>
          </w:p>
        </w:tc>
        <w:tc>
          <w:tcPr>
            <w:tcW w:w="1418" w:type="dxa"/>
          </w:tcPr>
          <w:p w:rsidR="006D1A3B" w:rsidRDefault="006D1A3B" w:rsidP="007E2A3C">
            <w:pPr>
              <w:pStyle w:val="TableParagraph"/>
              <w:spacing w:before="37"/>
              <w:jc w:val="center"/>
              <w:rPr>
                <w:sz w:val="24"/>
              </w:rPr>
            </w:pPr>
            <w:r>
              <w:rPr>
                <w:sz w:val="24"/>
              </w:rPr>
              <w:t>2,5 mg</w:t>
            </w:r>
          </w:p>
        </w:tc>
        <w:tc>
          <w:tcPr>
            <w:tcW w:w="1984" w:type="dxa"/>
            <w:vMerge/>
            <w:tcBorders>
              <w:top w:val="nil"/>
            </w:tcBorders>
          </w:tcPr>
          <w:p w:rsidR="006D1A3B" w:rsidRDefault="006D1A3B" w:rsidP="007B6073">
            <w:pPr>
              <w:jc w:val="center"/>
              <w:rPr>
                <w:sz w:val="2"/>
                <w:szCs w:val="2"/>
              </w:rPr>
            </w:pPr>
          </w:p>
        </w:tc>
      </w:tr>
      <w:tr w:rsidR="006D1A3B" w:rsidTr="007B6073">
        <w:trPr>
          <w:trHeight w:val="337"/>
        </w:trPr>
        <w:tc>
          <w:tcPr>
            <w:tcW w:w="2568" w:type="dxa"/>
          </w:tcPr>
          <w:p w:rsidR="006D1A3B" w:rsidRDefault="006D1A3B" w:rsidP="00D538B7">
            <w:pPr>
              <w:pStyle w:val="TableParagraph"/>
              <w:spacing w:before="35"/>
              <w:ind w:left="832"/>
              <w:rPr>
                <w:sz w:val="24"/>
              </w:rPr>
            </w:pPr>
            <w:r>
              <w:rPr>
                <w:sz w:val="24"/>
              </w:rPr>
              <w:t>4,0-7,0</w:t>
            </w:r>
          </w:p>
        </w:tc>
        <w:tc>
          <w:tcPr>
            <w:tcW w:w="1259" w:type="dxa"/>
          </w:tcPr>
          <w:p w:rsidR="006D1A3B" w:rsidRDefault="006D1A3B" w:rsidP="00D538B7">
            <w:pPr>
              <w:pStyle w:val="TableParagraph"/>
              <w:spacing w:before="35"/>
              <w:ind w:left="614"/>
              <w:rPr>
                <w:sz w:val="24"/>
              </w:rPr>
            </w:pPr>
            <w:r>
              <w:rPr>
                <w:sz w:val="24"/>
              </w:rPr>
              <w:t>½</w:t>
            </w:r>
          </w:p>
        </w:tc>
        <w:tc>
          <w:tcPr>
            <w:tcW w:w="1418" w:type="dxa"/>
          </w:tcPr>
          <w:p w:rsidR="006D1A3B" w:rsidRDefault="006D1A3B" w:rsidP="00D538B7">
            <w:pPr>
              <w:pStyle w:val="TableParagraph"/>
            </w:pPr>
          </w:p>
        </w:tc>
        <w:tc>
          <w:tcPr>
            <w:tcW w:w="1984" w:type="dxa"/>
          </w:tcPr>
          <w:p w:rsidR="006D1A3B" w:rsidRDefault="006D1A3B" w:rsidP="007B6073">
            <w:pPr>
              <w:pStyle w:val="TableParagraph"/>
              <w:spacing w:line="270" w:lineRule="exact"/>
              <w:jc w:val="center"/>
              <w:rPr>
                <w:sz w:val="24"/>
              </w:rPr>
            </w:pPr>
            <w:r>
              <w:rPr>
                <w:sz w:val="24"/>
              </w:rPr>
              <w:t>0,13-0,1</w:t>
            </w:r>
          </w:p>
        </w:tc>
      </w:tr>
      <w:tr w:rsidR="006D1A3B" w:rsidTr="007B6073">
        <w:trPr>
          <w:trHeight w:val="338"/>
        </w:trPr>
        <w:tc>
          <w:tcPr>
            <w:tcW w:w="2568" w:type="dxa"/>
          </w:tcPr>
          <w:p w:rsidR="006D1A3B" w:rsidRDefault="006D1A3B" w:rsidP="00D538B7">
            <w:pPr>
              <w:pStyle w:val="TableParagraph"/>
              <w:spacing w:before="39"/>
              <w:ind w:left="832"/>
              <w:rPr>
                <w:sz w:val="24"/>
              </w:rPr>
            </w:pPr>
            <w:r>
              <w:rPr>
                <w:sz w:val="24"/>
              </w:rPr>
              <w:t>7,1-10,0</w:t>
            </w:r>
          </w:p>
        </w:tc>
        <w:tc>
          <w:tcPr>
            <w:tcW w:w="1259" w:type="dxa"/>
          </w:tcPr>
          <w:p w:rsidR="006D1A3B" w:rsidRDefault="006D1A3B" w:rsidP="00D538B7">
            <w:pPr>
              <w:pStyle w:val="TableParagraph"/>
              <w:spacing w:before="39"/>
              <w:ind w:left="614"/>
              <w:rPr>
                <w:sz w:val="24"/>
              </w:rPr>
            </w:pPr>
            <w:r>
              <w:rPr>
                <w:sz w:val="24"/>
              </w:rPr>
              <w:t>1</w:t>
            </w:r>
          </w:p>
        </w:tc>
        <w:tc>
          <w:tcPr>
            <w:tcW w:w="1418" w:type="dxa"/>
          </w:tcPr>
          <w:p w:rsidR="006D1A3B" w:rsidRDefault="006D1A3B" w:rsidP="00D538B7">
            <w:pPr>
              <w:pStyle w:val="TableParagraph"/>
            </w:pPr>
          </w:p>
        </w:tc>
        <w:tc>
          <w:tcPr>
            <w:tcW w:w="1984" w:type="dxa"/>
          </w:tcPr>
          <w:p w:rsidR="006D1A3B" w:rsidRDefault="006D1A3B" w:rsidP="007B6073">
            <w:pPr>
              <w:pStyle w:val="TableParagraph"/>
              <w:spacing w:line="270" w:lineRule="exact"/>
              <w:jc w:val="center"/>
              <w:rPr>
                <w:sz w:val="24"/>
              </w:rPr>
            </w:pPr>
            <w:r>
              <w:rPr>
                <w:sz w:val="24"/>
              </w:rPr>
              <w:t>0,14-0,1</w:t>
            </w:r>
          </w:p>
        </w:tc>
      </w:tr>
      <w:tr w:rsidR="006D1A3B" w:rsidTr="007B6073">
        <w:trPr>
          <w:trHeight w:val="340"/>
        </w:trPr>
        <w:tc>
          <w:tcPr>
            <w:tcW w:w="2568" w:type="dxa"/>
          </w:tcPr>
          <w:p w:rsidR="006D1A3B" w:rsidRDefault="006D1A3B" w:rsidP="00D538B7">
            <w:pPr>
              <w:pStyle w:val="TableParagraph"/>
              <w:spacing w:before="37"/>
              <w:ind w:left="832"/>
              <w:rPr>
                <w:sz w:val="24"/>
              </w:rPr>
            </w:pPr>
            <w:r>
              <w:rPr>
                <w:sz w:val="24"/>
              </w:rPr>
              <w:t>10,1-15,0</w:t>
            </w:r>
          </w:p>
        </w:tc>
        <w:tc>
          <w:tcPr>
            <w:tcW w:w="1259" w:type="dxa"/>
          </w:tcPr>
          <w:p w:rsidR="006D1A3B" w:rsidRDefault="006D1A3B" w:rsidP="00D538B7">
            <w:pPr>
              <w:pStyle w:val="TableParagraph"/>
              <w:spacing w:before="35"/>
              <w:ind w:left="614"/>
              <w:rPr>
                <w:sz w:val="24"/>
              </w:rPr>
            </w:pPr>
            <w:r>
              <w:rPr>
                <w:sz w:val="24"/>
              </w:rPr>
              <w:t>1½</w:t>
            </w:r>
          </w:p>
        </w:tc>
        <w:tc>
          <w:tcPr>
            <w:tcW w:w="1418" w:type="dxa"/>
          </w:tcPr>
          <w:p w:rsidR="006D1A3B" w:rsidRDefault="006D1A3B" w:rsidP="00D538B7">
            <w:pPr>
              <w:pStyle w:val="TableParagraph"/>
            </w:pPr>
          </w:p>
        </w:tc>
        <w:tc>
          <w:tcPr>
            <w:tcW w:w="1984" w:type="dxa"/>
          </w:tcPr>
          <w:p w:rsidR="006D1A3B" w:rsidRDefault="006D1A3B" w:rsidP="007B6073">
            <w:pPr>
              <w:pStyle w:val="TableParagraph"/>
              <w:spacing w:line="270" w:lineRule="exact"/>
              <w:jc w:val="center"/>
              <w:rPr>
                <w:sz w:val="24"/>
              </w:rPr>
            </w:pPr>
            <w:r>
              <w:rPr>
                <w:sz w:val="24"/>
              </w:rPr>
              <w:t>0,15-0,1</w:t>
            </w:r>
          </w:p>
        </w:tc>
      </w:tr>
      <w:tr w:rsidR="006D1A3B" w:rsidTr="007B6073">
        <w:trPr>
          <w:trHeight w:val="338"/>
        </w:trPr>
        <w:tc>
          <w:tcPr>
            <w:tcW w:w="2568" w:type="dxa"/>
          </w:tcPr>
          <w:p w:rsidR="006D1A3B" w:rsidRDefault="006D1A3B" w:rsidP="00D538B7">
            <w:pPr>
              <w:pStyle w:val="TableParagraph"/>
              <w:spacing w:before="35"/>
              <w:ind w:left="832"/>
              <w:rPr>
                <w:sz w:val="24"/>
              </w:rPr>
            </w:pPr>
            <w:r>
              <w:rPr>
                <w:sz w:val="24"/>
              </w:rPr>
              <w:t>15,1-20,0</w:t>
            </w:r>
          </w:p>
        </w:tc>
        <w:tc>
          <w:tcPr>
            <w:tcW w:w="1259" w:type="dxa"/>
          </w:tcPr>
          <w:p w:rsidR="006D1A3B" w:rsidRDefault="006D1A3B" w:rsidP="00D538B7">
            <w:pPr>
              <w:pStyle w:val="TableParagraph"/>
              <w:spacing w:before="35"/>
              <w:ind w:left="614"/>
              <w:rPr>
                <w:sz w:val="24"/>
              </w:rPr>
            </w:pPr>
            <w:r>
              <w:rPr>
                <w:sz w:val="24"/>
              </w:rPr>
              <w:t>2</w:t>
            </w:r>
          </w:p>
        </w:tc>
        <w:tc>
          <w:tcPr>
            <w:tcW w:w="1418" w:type="dxa"/>
          </w:tcPr>
          <w:p w:rsidR="006D1A3B" w:rsidRDefault="006D1A3B" w:rsidP="00D538B7">
            <w:pPr>
              <w:pStyle w:val="TableParagraph"/>
            </w:pPr>
          </w:p>
        </w:tc>
        <w:tc>
          <w:tcPr>
            <w:tcW w:w="1984" w:type="dxa"/>
          </w:tcPr>
          <w:p w:rsidR="006D1A3B" w:rsidRDefault="006D1A3B" w:rsidP="007B6073">
            <w:pPr>
              <w:pStyle w:val="TableParagraph"/>
              <w:spacing w:line="270" w:lineRule="exact"/>
              <w:jc w:val="center"/>
              <w:rPr>
                <w:sz w:val="24"/>
              </w:rPr>
            </w:pPr>
            <w:r>
              <w:rPr>
                <w:sz w:val="24"/>
              </w:rPr>
              <w:t>0,13-0,1</w:t>
            </w:r>
          </w:p>
        </w:tc>
      </w:tr>
      <w:tr w:rsidR="006D1A3B" w:rsidTr="007B6073">
        <w:trPr>
          <w:trHeight w:val="340"/>
        </w:trPr>
        <w:tc>
          <w:tcPr>
            <w:tcW w:w="2568" w:type="dxa"/>
          </w:tcPr>
          <w:p w:rsidR="006D1A3B" w:rsidRDefault="006D1A3B" w:rsidP="00D538B7">
            <w:pPr>
              <w:pStyle w:val="TableParagraph"/>
              <w:spacing w:before="37"/>
              <w:ind w:left="832"/>
              <w:rPr>
                <w:sz w:val="24"/>
              </w:rPr>
            </w:pPr>
            <w:r>
              <w:rPr>
                <w:sz w:val="24"/>
              </w:rPr>
              <w:t>20,1-25,0</w:t>
            </w:r>
          </w:p>
        </w:tc>
        <w:tc>
          <w:tcPr>
            <w:tcW w:w="1259" w:type="dxa"/>
          </w:tcPr>
          <w:p w:rsidR="006D1A3B" w:rsidRDefault="006D1A3B" w:rsidP="00D538B7">
            <w:pPr>
              <w:pStyle w:val="TableParagraph"/>
            </w:pPr>
          </w:p>
        </w:tc>
        <w:tc>
          <w:tcPr>
            <w:tcW w:w="1418" w:type="dxa"/>
          </w:tcPr>
          <w:p w:rsidR="006D1A3B" w:rsidRDefault="006D1A3B" w:rsidP="00D538B7">
            <w:pPr>
              <w:pStyle w:val="TableParagraph"/>
              <w:spacing w:before="37"/>
              <w:ind w:left="551"/>
              <w:rPr>
                <w:sz w:val="24"/>
              </w:rPr>
            </w:pPr>
            <w:r>
              <w:rPr>
                <w:sz w:val="24"/>
              </w:rPr>
              <w:t>1</w:t>
            </w:r>
          </w:p>
        </w:tc>
        <w:tc>
          <w:tcPr>
            <w:tcW w:w="1984" w:type="dxa"/>
          </w:tcPr>
          <w:p w:rsidR="006D1A3B" w:rsidRDefault="006D1A3B" w:rsidP="007B6073">
            <w:pPr>
              <w:pStyle w:val="TableParagraph"/>
              <w:spacing w:line="273" w:lineRule="exact"/>
              <w:jc w:val="center"/>
              <w:rPr>
                <w:sz w:val="24"/>
              </w:rPr>
            </w:pPr>
            <w:r>
              <w:rPr>
                <w:sz w:val="24"/>
              </w:rPr>
              <w:t>0,12-0,1</w:t>
            </w:r>
          </w:p>
        </w:tc>
      </w:tr>
      <w:tr w:rsidR="006D1A3B" w:rsidTr="007B6073">
        <w:trPr>
          <w:trHeight w:val="338"/>
        </w:trPr>
        <w:tc>
          <w:tcPr>
            <w:tcW w:w="2568" w:type="dxa"/>
          </w:tcPr>
          <w:p w:rsidR="006D1A3B" w:rsidRDefault="006D1A3B" w:rsidP="00D538B7">
            <w:pPr>
              <w:pStyle w:val="TableParagraph"/>
              <w:spacing w:before="35"/>
              <w:ind w:left="832"/>
              <w:rPr>
                <w:sz w:val="24"/>
              </w:rPr>
            </w:pPr>
            <w:r>
              <w:rPr>
                <w:sz w:val="24"/>
              </w:rPr>
              <w:t>25,1-35,0</w:t>
            </w:r>
          </w:p>
        </w:tc>
        <w:tc>
          <w:tcPr>
            <w:tcW w:w="1259" w:type="dxa"/>
          </w:tcPr>
          <w:p w:rsidR="006D1A3B" w:rsidRDefault="006D1A3B" w:rsidP="00D538B7">
            <w:pPr>
              <w:pStyle w:val="TableParagraph"/>
            </w:pPr>
          </w:p>
        </w:tc>
        <w:tc>
          <w:tcPr>
            <w:tcW w:w="1418" w:type="dxa"/>
          </w:tcPr>
          <w:p w:rsidR="006D1A3B" w:rsidRDefault="006D1A3B" w:rsidP="00D538B7">
            <w:pPr>
              <w:pStyle w:val="TableParagraph"/>
              <w:spacing w:before="35"/>
              <w:ind w:left="551"/>
              <w:rPr>
                <w:sz w:val="24"/>
              </w:rPr>
            </w:pPr>
            <w:r>
              <w:rPr>
                <w:sz w:val="24"/>
              </w:rPr>
              <w:t>1½</w:t>
            </w:r>
          </w:p>
        </w:tc>
        <w:tc>
          <w:tcPr>
            <w:tcW w:w="1984" w:type="dxa"/>
          </w:tcPr>
          <w:p w:rsidR="006D1A3B" w:rsidRDefault="006D1A3B" w:rsidP="007B6073">
            <w:pPr>
              <w:pStyle w:val="TableParagraph"/>
              <w:spacing w:line="270" w:lineRule="exact"/>
              <w:jc w:val="center"/>
              <w:rPr>
                <w:sz w:val="24"/>
              </w:rPr>
            </w:pPr>
            <w:r>
              <w:rPr>
                <w:sz w:val="24"/>
              </w:rPr>
              <w:t>0,15-0,1</w:t>
            </w:r>
          </w:p>
        </w:tc>
      </w:tr>
      <w:tr w:rsidR="006D1A3B" w:rsidTr="007B6073">
        <w:trPr>
          <w:trHeight w:val="340"/>
        </w:trPr>
        <w:tc>
          <w:tcPr>
            <w:tcW w:w="2568" w:type="dxa"/>
          </w:tcPr>
          <w:p w:rsidR="006D1A3B" w:rsidRDefault="006D1A3B" w:rsidP="00D538B7">
            <w:pPr>
              <w:pStyle w:val="TableParagraph"/>
              <w:spacing w:before="37"/>
              <w:ind w:left="832"/>
              <w:rPr>
                <w:sz w:val="24"/>
              </w:rPr>
            </w:pPr>
            <w:r>
              <w:rPr>
                <w:sz w:val="24"/>
              </w:rPr>
              <w:t>35,1-50,0</w:t>
            </w:r>
          </w:p>
        </w:tc>
        <w:tc>
          <w:tcPr>
            <w:tcW w:w="1259" w:type="dxa"/>
          </w:tcPr>
          <w:p w:rsidR="006D1A3B" w:rsidRDefault="006D1A3B" w:rsidP="00D538B7">
            <w:pPr>
              <w:pStyle w:val="TableParagraph"/>
            </w:pPr>
          </w:p>
        </w:tc>
        <w:tc>
          <w:tcPr>
            <w:tcW w:w="1418" w:type="dxa"/>
          </w:tcPr>
          <w:p w:rsidR="006D1A3B" w:rsidRDefault="006D1A3B" w:rsidP="00D538B7">
            <w:pPr>
              <w:pStyle w:val="TableParagraph"/>
              <w:spacing w:before="37"/>
              <w:ind w:left="551"/>
              <w:rPr>
                <w:sz w:val="24"/>
              </w:rPr>
            </w:pPr>
            <w:r>
              <w:rPr>
                <w:sz w:val="24"/>
              </w:rPr>
              <w:t>2</w:t>
            </w:r>
          </w:p>
        </w:tc>
        <w:tc>
          <w:tcPr>
            <w:tcW w:w="1984" w:type="dxa"/>
          </w:tcPr>
          <w:p w:rsidR="006D1A3B" w:rsidRDefault="006D1A3B" w:rsidP="007B6073">
            <w:pPr>
              <w:pStyle w:val="TableParagraph"/>
              <w:spacing w:line="270" w:lineRule="exact"/>
              <w:jc w:val="center"/>
              <w:rPr>
                <w:sz w:val="24"/>
              </w:rPr>
            </w:pPr>
            <w:r>
              <w:rPr>
                <w:sz w:val="24"/>
              </w:rPr>
              <w:t>0,14-0,1</w:t>
            </w:r>
          </w:p>
        </w:tc>
      </w:tr>
    </w:tbl>
    <w:p w:rsidR="006D1A3B" w:rsidRDefault="006D1A3B" w:rsidP="006D1A3B">
      <w:pPr>
        <w:tabs>
          <w:tab w:val="left" w:pos="851"/>
          <w:tab w:val="left" w:pos="8222"/>
        </w:tabs>
        <w:ind w:left="851"/>
        <w:rPr>
          <w:sz w:val="24"/>
          <w:szCs w:val="24"/>
        </w:rPr>
      </w:pPr>
      <w:bookmarkStart w:id="3" w:name="_Hlk104822028"/>
    </w:p>
    <w:p w:rsidR="006D1A3B" w:rsidRPr="006D1A3B" w:rsidRDefault="006D1A3B" w:rsidP="006D1A3B">
      <w:pPr>
        <w:tabs>
          <w:tab w:val="left" w:pos="851"/>
          <w:tab w:val="left" w:pos="8222"/>
        </w:tabs>
        <w:ind w:left="851"/>
        <w:rPr>
          <w:sz w:val="24"/>
          <w:szCs w:val="24"/>
        </w:rPr>
      </w:pPr>
      <w:r w:rsidRPr="006D1A3B">
        <w:rPr>
          <w:sz w:val="24"/>
          <w:szCs w:val="24"/>
        </w:rPr>
        <w:t>Hvis en endnu mere præcis dosering ønskes, bør det overvejes at bruge meloxicam oral suspension til hunde. Det anbefales at bruge meloxicam oral suspension til hunde, der vejer mindre end 4 kg.</w:t>
      </w:r>
      <w:bookmarkEnd w:id="3"/>
      <w:r w:rsidRPr="006D1A3B">
        <w:rPr>
          <w:sz w:val="24"/>
          <w:szCs w:val="24"/>
        </w:rPr>
        <w:t>.</w:t>
      </w:r>
    </w:p>
    <w:p w:rsidR="006D1A3B" w:rsidRPr="006D1A3B" w:rsidRDefault="006D1A3B" w:rsidP="006D1A3B">
      <w:pPr>
        <w:tabs>
          <w:tab w:val="left" w:pos="851"/>
          <w:tab w:val="left" w:pos="8222"/>
        </w:tabs>
        <w:ind w:left="851"/>
        <w:rPr>
          <w:sz w:val="24"/>
          <w:szCs w:val="24"/>
        </w:rPr>
      </w:pPr>
    </w:p>
    <w:p w:rsidR="006D1A3B" w:rsidRPr="006D1A3B" w:rsidRDefault="006D1A3B" w:rsidP="006D1A3B">
      <w:pPr>
        <w:tabs>
          <w:tab w:val="left" w:pos="851"/>
          <w:tab w:val="left" w:pos="8222"/>
        </w:tabs>
        <w:ind w:left="851"/>
        <w:rPr>
          <w:sz w:val="24"/>
          <w:szCs w:val="24"/>
        </w:rPr>
      </w:pPr>
      <w:r w:rsidRPr="006D1A3B">
        <w:rPr>
          <w:sz w:val="24"/>
          <w:szCs w:val="24"/>
        </w:rPr>
        <w:t>En klinisk reaktion ses normalt inden for 3-4 dage. Behandlingen bør afbrydes senest efter 10 dage, hvis der ikke ses klinisk bedring.</w:t>
      </w:r>
    </w:p>
    <w:p w:rsidR="005B0036"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7E2A3C" w:rsidRPr="007E2A3C" w:rsidRDefault="007E2A3C" w:rsidP="007E2A3C">
      <w:pPr>
        <w:tabs>
          <w:tab w:val="left" w:pos="851"/>
          <w:tab w:val="left" w:pos="8222"/>
        </w:tabs>
        <w:ind w:left="851"/>
        <w:rPr>
          <w:sz w:val="24"/>
          <w:szCs w:val="24"/>
        </w:rPr>
      </w:pPr>
      <w:r w:rsidRPr="007E2A3C">
        <w:rPr>
          <w:sz w:val="24"/>
          <w:szCs w:val="24"/>
        </w:rPr>
        <w:t>I tilfælde af overdosering bør symptomatisk behandling initieres.</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7E2A3C" w:rsidRPr="007E2A3C" w:rsidRDefault="007E2A3C" w:rsidP="007E2A3C">
      <w:pPr>
        <w:pStyle w:val="Sidehoved"/>
        <w:tabs>
          <w:tab w:val="left" w:pos="8222"/>
        </w:tabs>
        <w:ind w:left="851"/>
        <w:rPr>
          <w:szCs w:val="24"/>
        </w:rPr>
      </w:pPr>
      <w:r w:rsidRPr="007E2A3C">
        <w:rPr>
          <w:szCs w:val="24"/>
        </w:rPr>
        <w:t>Ikke relevant.</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7E2A3C">
        <w:rPr>
          <w:b/>
          <w:sz w:val="24"/>
          <w:szCs w:val="24"/>
        </w:rPr>
        <w:t>5.</w:t>
      </w:r>
      <w:r w:rsidRPr="007E2A3C">
        <w:rPr>
          <w:b/>
          <w:sz w:val="24"/>
          <w:szCs w:val="24"/>
        </w:rPr>
        <w:tab/>
        <w:t>FARMAKOLOGISKE EGENSKABER</w:t>
      </w:r>
    </w:p>
    <w:p w:rsidR="005B0036" w:rsidRDefault="005B0036" w:rsidP="005B0036">
      <w:pPr>
        <w:tabs>
          <w:tab w:val="left" w:pos="8222"/>
        </w:tabs>
        <w:ind w:left="851"/>
        <w:rPr>
          <w:sz w:val="24"/>
          <w:szCs w:val="24"/>
        </w:rPr>
      </w:pPr>
    </w:p>
    <w:p w:rsidR="007E2A3C" w:rsidRPr="007E2A3C" w:rsidRDefault="007E2A3C" w:rsidP="007E2A3C">
      <w:pPr>
        <w:tabs>
          <w:tab w:val="left" w:pos="8222"/>
        </w:tabs>
        <w:ind w:left="851"/>
        <w:rPr>
          <w:sz w:val="24"/>
          <w:szCs w:val="24"/>
        </w:rPr>
      </w:pPr>
      <w:r w:rsidRPr="007E2A3C">
        <w:rPr>
          <w:sz w:val="24"/>
          <w:szCs w:val="24"/>
        </w:rPr>
        <w:t>Farmakoterapeutisk gruppe: Antiinflammatoriske og antireumatiske lægemidler, non-steroider (oxicamer)</w:t>
      </w:r>
      <w:r>
        <w:rPr>
          <w:sz w:val="24"/>
          <w:szCs w:val="24"/>
        </w:rPr>
        <w:t>.</w:t>
      </w:r>
    </w:p>
    <w:p w:rsidR="007E2A3C" w:rsidRPr="007E2A3C" w:rsidRDefault="007E2A3C" w:rsidP="007E2A3C">
      <w:pPr>
        <w:tabs>
          <w:tab w:val="left" w:pos="8222"/>
        </w:tabs>
        <w:ind w:left="851"/>
        <w:rPr>
          <w:sz w:val="24"/>
          <w:szCs w:val="24"/>
        </w:rPr>
      </w:pPr>
      <w:r w:rsidRPr="007E2A3C">
        <w:rPr>
          <w:sz w:val="24"/>
          <w:szCs w:val="24"/>
        </w:rPr>
        <w:t>ATCvet-kode: QM</w:t>
      </w:r>
      <w:r>
        <w:rPr>
          <w:sz w:val="24"/>
          <w:szCs w:val="24"/>
        </w:rPr>
        <w:t xml:space="preserve"> </w:t>
      </w:r>
      <w:r w:rsidRPr="007E2A3C">
        <w:rPr>
          <w:sz w:val="24"/>
          <w:szCs w:val="24"/>
        </w:rPr>
        <w:t>01</w:t>
      </w:r>
      <w:r>
        <w:rPr>
          <w:sz w:val="24"/>
          <w:szCs w:val="24"/>
        </w:rPr>
        <w:t xml:space="preserve"> </w:t>
      </w:r>
      <w:r w:rsidRPr="007E2A3C">
        <w:rPr>
          <w:sz w:val="24"/>
          <w:szCs w:val="24"/>
        </w:rPr>
        <w:t>AC</w:t>
      </w:r>
      <w:r>
        <w:rPr>
          <w:sz w:val="24"/>
          <w:szCs w:val="24"/>
        </w:rPr>
        <w:t xml:space="preserve"> </w:t>
      </w:r>
      <w:r w:rsidRPr="007E2A3C">
        <w:rPr>
          <w:sz w:val="24"/>
          <w:szCs w:val="24"/>
        </w:rPr>
        <w:t>06.</w:t>
      </w:r>
    </w:p>
    <w:p w:rsidR="005B0036" w:rsidRPr="00406EE7" w:rsidRDefault="005B0036" w:rsidP="005B0036">
      <w:pPr>
        <w:tabs>
          <w:tab w:val="left" w:pos="8222"/>
        </w:tabs>
        <w:ind w:left="851"/>
        <w:rPr>
          <w:sz w:val="24"/>
          <w:szCs w:val="24"/>
        </w:rPr>
      </w:pPr>
    </w:p>
    <w:p w:rsidR="005B0036" w:rsidRPr="00484FBA" w:rsidRDefault="005B0036" w:rsidP="005B0036">
      <w:pPr>
        <w:tabs>
          <w:tab w:val="left" w:pos="851"/>
          <w:tab w:val="left" w:pos="8222"/>
        </w:tabs>
        <w:rPr>
          <w:b/>
          <w:sz w:val="24"/>
          <w:szCs w:val="24"/>
        </w:rPr>
      </w:pPr>
      <w:r w:rsidRPr="00484FBA">
        <w:rPr>
          <w:b/>
          <w:sz w:val="24"/>
          <w:szCs w:val="24"/>
        </w:rPr>
        <w:t>5.1</w:t>
      </w:r>
      <w:r w:rsidRPr="00484FBA">
        <w:rPr>
          <w:b/>
          <w:sz w:val="24"/>
          <w:szCs w:val="24"/>
        </w:rPr>
        <w:tab/>
        <w:t>Farmakodynamiske egenskaber</w:t>
      </w:r>
    </w:p>
    <w:p w:rsidR="00484FBA" w:rsidRPr="00484FBA" w:rsidRDefault="00484FBA" w:rsidP="00484FBA">
      <w:pPr>
        <w:tabs>
          <w:tab w:val="left" w:pos="851"/>
          <w:tab w:val="left" w:pos="8222"/>
        </w:tabs>
        <w:ind w:left="851"/>
        <w:rPr>
          <w:sz w:val="24"/>
          <w:szCs w:val="24"/>
        </w:rPr>
      </w:pPr>
      <w:r w:rsidRPr="00484FBA">
        <w:rPr>
          <w:sz w:val="24"/>
          <w:szCs w:val="24"/>
        </w:rPr>
        <w:t xml:space="preserve">Meloxicam er et non-steroidt antiinflammatorisk stof (NSAID) fra oxicam-gruppen, der virker ved hæmning af prostaglandinsyntesen, hvorved det udøver en antiinflammatorisk, analgetisk, antieksudativ og antipyretisk effekt. Det reducerer leukocyt-infiltrationen i det betændte væv. I mindre udstrækning hæmmes også collagen-induceret trombocytaggregation. </w:t>
      </w:r>
      <w:r w:rsidRPr="00484FBA">
        <w:rPr>
          <w:i/>
          <w:sz w:val="24"/>
          <w:szCs w:val="24"/>
        </w:rPr>
        <w:t>In vitro</w:t>
      </w:r>
      <w:r w:rsidRPr="00484FBA">
        <w:rPr>
          <w:sz w:val="24"/>
          <w:szCs w:val="24"/>
        </w:rPr>
        <w:t xml:space="preserve">- og </w:t>
      </w:r>
      <w:r w:rsidRPr="00484FBA">
        <w:rPr>
          <w:i/>
          <w:sz w:val="24"/>
          <w:szCs w:val="24"/>
        </w:rPr>
        <w:t>in vivo</w:t>
      </w:r>
      <w:r w:rsidRPr="00484FBA">
        <w:rPr>
          <w:sz w:val="24"/>
          <w:szCs w:val="24"/>
        </w:rPr>
        <w:t>-studier har vist, at meloxicam i højere grad hæmmer cyclooxygenase-2 (COX-2) end cyclooxygenase-1 (COX-1).</w:t>
      </w:r>
    </w:p>
    <w:p w:rsidR="005B0036" w:rsidRPr="00484FB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84FBA">
        <w:rPr>
          <w:b/>
          <w:sz w:val="24"/>
          <w:szCs w:val="24"/>
        </w:rPr>
        <w:t>5.2</w:t>
      </w:r>
      <w:r w:rsidRPr="00484FBA">
        <w:rPr>
          <w:b/>
          <w:sz w:val="24"/>
          <w:szCs w:val="24"/>
        </w:rPr>
        <w:tab/>
        <w:t>Farmakokinetiske egenskaber</w:t>
      </w:r>
    </w:p>
    <w:p w:rsidR="00F66F75" w:rsidRPr="00F66F75" w:rsidRDefault="00F66F75" w:rsidP="00F66F75">
      <w:pPr>
        <w:tabs>
          <w:tab w:val="left" w:pos="851"/>
          <w:tab w:val="left" w:pos="8222"/>
        </w:tabs>
        <w:ind w:left="851"/>
        <w:rPr>
          <w:b/>
          <w:sz w:val="24"/>
          <w:szCs w:val="24"/>
        </w:rPr>
      </w:pPr>
    </w:p>
    <w:p w:rsidR="00F66F75" w:rsidRPr="00F66F75" w:rsidRDefault="00F66F75" w:rsidP="00F66F75">
      <w:pPr>
        <w:tabs>
          <w:tab w:val="left" w:pos="851"/>
          <w:tab w:val="left" w:pos="8222"/>
        </w:tabs>
        <w:ind w:left="851"/>
        <w:rPr>
          <w:sz w:val="24"/>
          <w:szCs w:val="24"/>
        </w:rPr>
      </w:pPr>
      <w:r w:rsidRPr="00F66F75">
        <w:rPr>
          <w:sz w:val="24"/>
          <w:szCs w:val="24"/>
          <w:u w:val="single"/>
        </w:rPr>
        <w:t>Absorption</w:t>
      </w:r>
    </w:p>
    <w:p w:rsidR="00F66F75" w:rsidRPr="00F66F75" w:rsidRDefault="00F66F75" w:rsidP="00F66F75">
      <w:pPr>
        <w:tabs>
          <w:tab w:val="left" w:pos="851"/>
          <w:tab w:val="left" w:pos="8222"/>
        </w:tabs>
        <w:ind w:left="851"/>
        <w:rPr>
          <w:sz w:val="24"/>
          <w:szCs w:val="24"/>
        </w:rPr>
      </w:pPr>
      <w:r w:rsidRPr="00F66F75">
        <w:rPr>
          <w:sz w:val="24"/>
          <w:szCs w:val="24"/>
        </w:rPr>
        <w:t>Meloxicam absorberes fuldstændigt efter oral administration, og den maksimale plasmakoncentration opnås efter ca. 4,5 time. Når præparatet anvendes i overensstemmelse med den anbefalede daglige dosering, nås meloxicams steady-state-koncentrationer i plasma på anden dagen efter behandlingens påbegyndelse.</w:t>
      </w:r>
    </w:p>
    <w:p w:rsidR="00F66F75" w:rsidRPr="00F66F75" w:rsidRDefault="00F66F75" w:rsidP="00F66F75">
      <w:pPr>
        <w:tabs>
          <w:tab w:val="left" w:pos="851"/>
          <w:tab w:val="left" w:pos="8222"/>
        </w:tabs>
        <w:ind w:left="851"/>
        <w:rPr>
          <w:sz w:val="24"/>
          <w:szCs w:val="24"/>
          <w:u w:val="single"/>
        </w:rPr>
      </w:pPr>
    </w:p>
    <w:p w:rsidR="00F66F75" w:rsidRPr="00F66F75" w:rsidRDefault="00F66F75" w:rsidP="00F66F75">
      <w:pPr>
        <w:tabs>
          <w:tab w:val="left" w:pos="851"/>
          <w:tab w:val="left" w:pos="8222"/>
        </w:tabs>
        <w:ind w:left="851"/>
        <w:rPr>
          <w:sz w:val="24"/>
          <w:szCs w:val="24"/>
        </w:rPr>
      </w:pPr>
      <w:r w:rsidRPr="00F66F75">
        <w:rPr>
          <w:sz w:val="24"/>
          <w:szCs w:val="24"/>
          <w:u w:val="single"/>
        </w:rPr>
        <w:t>Distribution</w:t>
      </w:r>
    </w:p>
    <w:p w:rsidR="00F66F75" w:rsidRPr="00F66F75" w:rsidRDefault="00F66F75" w:rsidP="00F66F75">
      <w:pPr>
        <w:tabs>
          <w:tab w:val="left" w:pos="851"/>
          <w:tab w:val="left" w:pos="8222"/>
        </w:tabs>
        <w:ind w:left="851"/>
        <w:rPr>
          <w:sz w:val="24"/>
          <w:szCs w:val="24"/>
        </w:rPr>
      </w:pPr>
      <w:r w:rsidRPr="00F66F75">
        <w:rPr>
          <w:sz w:val="24"/>
          <w:szCs w:val="24"/>
        </w:rPr>
        <w:t>Der er linearitet mellem den indgivne dosis og de plasmakoncentrationer observeret i det terapeutiske område. Omkring 97 % meloxicam i plasma er proteinbundet. Fordelingsvoluminet er 0,3 l/kg.</w:t>
      </w:r>
    </w:p>
    <w:p w:rsidR="00F66F75" w:rsidRPr="00F66F75" w:rsidRDefault="00F66F75" w:rsidP="00F66F75">
      <w:pPr>
        <w:tabs>
          <w:tab w:val="left" w:pos="851"/>
          <w:tab w:val="left" w:pos="8222"/>
        </w:tabs>
        <w:ind w:left="851"/>
        <w:rPr>
          <w:sz w:val="24"/>
          <w:szCs w:val="24"/>
        </w:rPr>
      </w:pPr>
    </w:p>
    <w:p w:rsidR="00F66F75" w:rsidRPr="00F66F75" w:rsidRDefault="00F66F75" w:rsidP="00F66F75">
      <w:pPr>
        <w:tabs>
          <w:tab w:val="left" w:pos="851"/>
          <w:tab w:val="left" w:pos="8222"/>
        </w:tabs>
        <w:ind w:left="851"/>
        <w:rPr>
          <w:sz w:val="24"/>
          <w:szCs w:val="24"/>
        </w:rPr>
      </w:pPr>
      <w:r w:rsidRPr="00F66F75">
        <w:rPr>
          <w:sz w:val="24"/>
          <w:szCs w:val="24"/>
          <w:u w:val="single"/>
        </w:rPr>
        <w:t>Metabolisme</w:t>
      </w:r>
    </w:p>
    <w:p w:rsidR="00F66F75" w:rsidRPr="00F66F75" w:rsidRDefault="00F66F75" w:rsidP="00F66F75">
      <w:pPr>
        <w:tabs>
          <w:tab w:val="left" w:pos="851"/>
          <w:tab w:val="left" w:pos="8222"/>
        </w:tabs>
        <w:ind w:left="851"/>
        <w:rPr>
          <w:sz w:val="24"/>
          <w:szCs w:val="24"/>
        </w:rPr>
      </w:pPr>
      <w:r w:rsidRPr="00F66F75">
        <w:rPr>
          <w:sz w:val="24"/>
          <w:szCs w:val="24"/>
        </w:rPr>
        <w:t>Meloxicam findes hovedsageligt i plasma, og stoffet udskilles i høj grad via galden, hvorimod urinen kun indeholder spor af uomdannet substans. Meloxicam metaboliseres til en alkohol, et syrederivat og til adskillige polære metabolitter. Alle større metabolitter har vist sig at være farmakologisk inaktive.</w:t>
      </w:r>
    </w:p>
    <w:p w:rsidR="00F66F75" w:rsidRPr="00F66F75" w:rsidRDefault="00F66F75" w:rsidP="00F66F75">
      <w:pPr>
        <w:tabs>
          <w:tab w:val="left" w:pos="851"/>
          <w:tab w:val="left" w:pos="8222"/>
        </w:tabs>
        <w:ind w:left="851"/>
        <w:rPr>
          <w:sz w:val="24"/>
          <w:szCs w:val="24"/>
        </w:rPr>
      </w:pPr>
    </w:p>
    <w:p w:rsidR="00F66F75" w:rsidRPr="00F66F75" w:rsidRDefault="00F66F75" w:rsidP="00F66F75">
      <w:pPr>
        <w:tabs>
          <w:tab w:val="left" w:pos="851"/>
          <w:tab w:val="left" w:pos="8222"/>
        </w:tabs>
        <w:ind w:left="851"/>
        <w:rPr>
          <w:sz w:val="24"/>
          <w:szCs w:val="24"/>
        </w:rPr>
      </w:pPr>
      <w:r w:rsidRPr="00F66F75">
        <w:rPr>
          <w:sz w:val="24"/>
          <w:szCs w:val="24"/>
          <w:u w:val="single"/>
        </w:rPr>
        <w:t>Elimination</w:t>
      </w:r>
    </w:p>
    <w:p w:rsidR="00F66F75" w:rsidRPr="00F66F75" w:rsidRDefault="00F66F75" w:rsidP="00F66F75">
      <w:pPr>
        <w:tabs>
          <w:tab w:val="left" w:pos="851"/>
          <w:tab w:val="left" w:pos="8222"/>
        </w:tabs>
        <w:ind w:left="851"/>
        <w:rPr>
          <w:sz w:val="24"/>
          <w:szCs w:val="24"/>
        </w:rPr>
      </w:pPr>
      <w:r w:rsidRPr="00F66F75">
        <w:rPr>
          <w:sz w:val="24"/>
          <w:szCs w:val="24"/>
        </w:rPr>
        <w:t>Meloxicam elimineres med en halveringstid på 24 timer. Ca. 75 % af den indgivne dosis elimineres via fæces og den resterende del med urinen.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C26C3C" w:rsidRDefault="00C26C3C" w:rsidP="00C26C3C">
      <w:pPr>
        <w:tabs>
          <w:tab w:val="left" w:pos="851"/>
          <w:tab w:val="left" w:pos="8222"/>
        </w:tabs>
        <w:ind w:left="851"/>
        <w:rPr>
          <w:sz w:val="24"/>
          <w:szCs w:val="24"/>
        </w:rPr>
      </w:pPr>
      <w:r w:rsidRPr="00C26C3C">
        <w:rPr>
          <w:sz w:val="24"/>
          <w:szCs w:val="24"/>
        </w:rPr>
        <w:t>Mikrocrystallinsk cellulose (PH 101)</w:t>
      </w:r>
    </w:p>
    <w:p w:rsidR="00C26C3C" w:rsidRPr="00C26C3C" w:rsidRDefault="00C26C3C" w:rsidP="00C26C3C">
      <w:pPr>
        <w:tabs>
          <w:tab w:val="left" w:pos="851"/>
          <w:tab w:val="left" w:pos="8222"/>
        </w:tabs>
        <w:ind w:left="851"/>
        <w:rPr>
          <w:sz w:val="24"/>
          <w:szCs w:val="24"/>
        </w:rPr>
      </w:pPr>
      <w:r w:rsidRPr="00C26C3C">
        <w:rPr>
          <w:sz w:val="24"/>
          <w:szCs w:val="24"/>
        </w:rPr>
        <w:t>Natriumcitrat</w:t>
      </w:r>
    </w:p>
    <w:p w:rsidR="00C26C3C" w:rsidRDefault="00C26C3C" w:rsidP="00C26C3C">
      <w:pPr>
        <w:tabs>
          <w:tab w:val="left" w:pos="851"/>
          <w:tab w:val="left" w:pos="8222"/>
        </w:tabs>
        <w:ind w:left="851"/>
        <w:rPr>
          <w:sz w:val="24"/>
          <w:szCs w:val="24"/>
        </w:rPr>
      </w:pPr>
      <w:r w:rsidRPr="00C26C3C">
        <w:rPr>
          <w:sz w:val="24"/>
          <w:szCs w:val="24"/>
        </w:rPr>
        <w:t>Prægelatiniseret majsstivelse</w:t>
      </w:r>
    </w:p>
    <w:p w:rsidR="00C26C3C" w:rsidRPr="00C26C3C" w:rsidRDefault="00C26C3C" w:rsidP="00C26C3C">
      <w:pPr>
        <w:tabs>
          <w:tab w:val="left" w:pos="851"/>
          <w:tab w:val="left" w:pos="8222"/>
        </w:tabs>
        <w:ind w:left="851"/>
        <w:rPr>
          <w:sz w:val="24"/>
          <w:szCs w:val="24"/>
        </w:rPr>
      </w:pPr>
      <w:r w:rsidRPr="00C26C3C">
        <w:rPr>
          <w:sz w:val="24"/>
          <w:szCs w:val="24"/>
        </w:rPr>
        <w:t>Brun jernoxid</w:t>
      </w:r>
    </w:p>
    <w:p w:rsidR="00C26C3C" w:rsidRPr="00C26C3C" w:rsidRDefault="00C26C3C" w:rsidP="00C26C3C">
      <w:pPr>
        <w:tabs>
          <w:tab w:val="left" w:pos="851"/>
          <w:tab w:val="left" w:pos="8222"/>
        </w:tabs>
        <w:ind w:left="851"/>
        <w:rPr>
          <w:sz w:val="24"/>
          <w:szCs w:val="24"/>
        </w:rPr>
      </w:pPr>
      <w:r w:rsidRPr="00C26C3C">
        <w:rPr>
          <w:sz w:val="24"/>
          <w:szCs w:val="24"/>
        </w:rPr>
        <w:t>Gul jernoxid</w:t>
      </w:r>
    </w:p>
    <w:p w:rsidR="00C26C3C" w:rsidRDefault="00C26C3C" w:rsidP="00C26C3C">
      <w:pPr>
        <w:tabs>
          <w:tab w:val="left" w:pos="851"/>
          <w:tab w:val="left" w:pos="8222"/>
        </w:tabs>
        <w:ind w:left="851"/>
        <w:rPr>
          <w:sz w:val="24"/>
          <w:szCs w:val="24"/>
        </w:rPr>
      </w:pPr>
      <w:r w:rsidRPr="00C26C3C">
        <w:rPr>
          <w:sz w:val="24"/>
          <w:szCs w:val="24"/>
        </w:rPr>
        <w:t>Kunstige pulveriserede smagsstoffer</w:t>
      </w:r>
    </w:p>
    <w:p w:rsidR="00B4744F" w:rsidRDefault="00C26C3C" w:rsidP="00C26C3C">
      <w:pPr>
        <w:tabs>
          <w:tab w:val="left" w:pos="851"/>
          <w:tab w:val="left" w:pos="8222"/>
        </w:tabs>
        <w:ind w:left="851"/>
        <w:rPr>
          <w:sz w:val="24"/>
          <w:szCs w:val="24"/>
        </w:rPr>
      </w:pPr>
      <w:r w:rsidRPr="00C26C3C">
        <w:rPr>
          <w:sz w:val="24"/>
          <w:szCs w:val="24"/>
        </w:rPr>
        <w:t>Mikrokrystallinsk cellulose (PH 102)</w:t>
      </w:r>
      <w:r w:rsidRPr="00C26C3C">
        <w:rPr>
          <w:sz w:val="24"/>
          <w:szCs w:val="24"/>
        </w:rPr>
        <w:br/>
        <w:t>Silica, kolloidal vandfri</w:t>
      </w:r>
    </w:p>
    <w:p w:rsidR="00C26C3C" w:rsidRPr="00C26C3C" w:rsidRDefault="00C26C3C" w:rsidP="00C26C3C">
      <w:pPr>
        <w:tabs>
          <w:tab w:val="left" w:pos="851"/>
          <w:tab w:val="left" w:pos="8222"/>
        </w:tabs>
        <w:ind w:left="851"/>
        <w:rPr>
          <w:sz w:val="24"/>
          <w:szCs w:val="24"/>
        </w:rPr>
      </w:pPr>
      <w:r w:rsidRPr="00C26C3C">
        <w:rPr>
          <w:sz w:val="24"/>
          <w:szCs w:val="24"/>
        </w:rPr>
        <w:t>Magnesiumstearat</w:t>
      </w:r>
    </w:p>
    <w:p w:rsidR="00C26C3C" w:rsidRPr="00C26C3C" w:rsidRDefault="00C26C3C" w:rsidP="00C26C3C">
      <w:pPr>
        <w:tabs>
          <w:tab w:val="left" w:pos="851"/>
          <w:tab w:val="left" w:pos="8222"/>
        </w:tabs>
        <w:ind w:left="851"/>
        <w:rPr>
          <w:sz w:val="24"/>
          <w:szCs w:val="24"/>
        </w:rPr>
      </w:pPr>
      <w:r w:rsidRPr="00C26C3C">
        <w:rPr>
          <w:sz w:val="24"/>
          <w:szCs w:val="24"/>
        </w:rPr>
        <w:t>Renset vand</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B4744F" w:rsidRPr="00B4744F" w:rsidRDefault="00B4744F" w:rsidP="00B4744F">
      <w:pPr>
        <w:tabs>
          <w:tab w:val="left" w:pos="851"/>
          <w:tab w:val="left" w:pos="8222"/>
        </w:tabs>
        <w:ind w:left="851"/>
        <w:rPr>
          <w:sz w:val="24"/>
          <w:szCs w:val="24"/>
        </w:rPr>
      </w:pPr>
      <w:r w:rsidRPr="00B4744F">
        <w:rPr>
          <w:sz w:val="24"/>
          <w:szCs w:val="24"/>
        </w:rPr>
        <w:t>Ingen kendte.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B4744F" w:rsidRPr="00B4744F" w:rsidRDefault="00B4744F" w:rsidP="00B4744F">
      <w:pPr>
        <w:tabs>
          <w:tab w:val="left" w:pos="851"/>
          <w:tab w:val="left" w:pos="8222"/>
        </w:tabs>
        <w:ind w:left="851"/>
        <w:rPr>
          <w:sz w:val="24"/>
          <w:szCs w:val="24"/>
        </w:rPr>
      </w:pPr>
      <w:r w:rsidRPr="00B4744F">
        <w:rPr>
          <w:sz w:val="24"/>
          <w:szCs w:val="24"/>
        </w:rPr>
        <w:t>I salgspakning: 2 år.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B4744F" w:rsidRPr="00B4744F" w:rsidRDefault="00B4744F" w:rsidP="00B4744F">
      <w:pPr>
        <w:tabs>
          <w:tab w:val="left" w:pos="851"/>
          <w:tab w:val="left" w:pos="8222"/>
        </w:tabs>
        <w:ind w:left="851"/>
        <w:rPr>
          <w:sz w:val="24"/>
          <w:szCs w:val="24"/>
        </w:rPr>
      </w:pPr>
      <w:r w:rsidRPr="00B4744F">
        <w:rPr>
          <w:sz w:val="24"/>
          <w:szCs w:val="24"/>
        </w:rPr>
        <w:t>Dette veterinærlægemiddel kræver ingen særlige opbevaringsforhold.</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33044A" w:rsidRDefault="0033044A" w:rsidP="00B4744F">
      <w:pPr>
        <w:tabs>
          <w:tab w:val="left" w:pos="851"/>
          <w:tab w:val="left" w:pos="8222"/>
        </w:tabs>
        <w:ind w:left="851"/>
        <w:rPr>
          <w:sz w:val="24"/>
          <w:szCs w:val="24"/>
        </w:rPr>
      </w:pPr>
      <w:r w:rsidRPr="00B4744F">
        <w:rPr>
          <w:sz w:val="24"/>
          <w:szCs w:val="24"/>
        </w:rPr>
        <w:t>Alu/Alu-blister</w:t>
      </w:r>
      <w:r>
        <w:rPr>
          <w:sz w:val="24"/>
          <w:szCs w:val="24"/>
        </w:rPr>
        <w:t>, i kartonæske.</w:t>
      </w:r>
    </w:p>
    <w:p w:rsidR="0033044A" w:rsidRDefault="0033044A" w:rsidP="00B4744F">
      <w:pPr>
        <w:tabs>
          <w:tab w:val="left" w:pos="851"/>
          <w:tab w:val="left" w:pos="8222"/>
        </w:tabs>
        <w:ind w:left="851"/>
        <w:rPr>
          <w:sz w:val="24"/>
          <w:szCs w:val="24"/>
        </w:rPr>
      </w:pPr>
    </w:p>
    <w:p w:rsidR="00B4744F" w:rsidRPr="00B4744F" w:rsidRDefault="0033044A" w:rsidP="00B4744F">
      <w:pPr>
        <w:tabs>
          <w:tab w:val="left" w:pos="851"/>
          <w:tab w:val="left" w:pos="8222"/>
        </w:tabs>
        <w:ind w:left="851"/>
        <w:rPr>
          <w:sz w:val="24"/>
          <w:szCs w:val="24"/>
        </w:rPr>
      </w:pPr>
      <w:r>
        <w:rPr>
          <w:sz w:val="24"/>
          <w:szCs w:val="24"/>
        </w:rPr>
        <w:t xml:space="preserve">Pakningsstørrelser: </w:t>
      </w:r>
      <w:r w:rsidR="00B4744F" w:rsidRPr="00B4744F">
        <w:rPr>
          <w:sz w:val="24"/>
          <w:szCs w:val="24"/>
        </w:rPr>
        <w:t xml:space="preserve">7, 10, 84, 100 </w:t>
      </w:r>
      <w:r>
        <w:rPr>
          <w:sz w:val="24"/>
          <w:szCs w:val="24"/>
        </w:rPr>
        <w:t>og</w:t>
      </w:r>
      <w:r w:rsidR="00B4744F" w:rsidRPr="00B4744F">
        <w:rPr>
          <w:sz w:val="24"/>
          <w:szCs w:val="24"/>
        </w:rPr>
        <w:t xml:space="preserve"> 252 </w:t>
      </w:r>
      <w:r>
        <w:rPr>
          <w:sz w:val="24"/>
          <w:szCs w:val="24"/>
        </w:rPr>
        <w:t>tygge</w:t>
      </w:r>
      <w:r w:rsidR="00B4744F" w:rsidRPr="00B4744F">
        <w:rPr>
          <w:sz w:val="24"/>
          <w:szCs w:val="24"/>
        </w:rPr>
        <w:t>tabletter</w:t>
      </w:r>
      <w:r>
        <w:rPr>
          <w:sz w:val="24"/>
          <w:szCs w:val="24"/>
        </w:rPr>
        <w:t>.</w:t>
      </w:r>
    </w:p>
    <w:p w:rsidR="00B4744F" w:rsidRPr="00B4744F" w:rsidRDefault="00B4744F" w:rsidP="00B4744F">
      <w:pPr>
        <w:tabs>
          <w:tab w:val="left" w:pos="851"/>
          <w:tab w:val="left" w:pos="8222"/>
        </w:tabs>
        <w:ind w:left="851"/>
        <w:rPr>
          <w:sz w:val="24"/>
          <w:szCs w:val="24"/>
        </w:rPr>
      </w:pPr>
      <w:r w:rsidRPr="00B4744F">
        <w:rPr>
          <w:sz w:val="24"/>
          <w:szCs w:val="24"/>
        </w:rPr>
        <w:t>Ikke alle pakningsstørrelser er nødvendigvis markedsført.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5B0036" w:rsidRDefault="0033044A" w:rsidP="005B0036">
      <w:pPr>
        <w:tabs>
          <w:tab w:val="left" w:pos="851"/>
          <w:tab w:val="left" w:pos="8222"/>
        </w:tabs>
        <w:ind w:left="851"/>
        <w:rPr>
          <w:sz w:val="24"/>
          <w:szCs w:val="24"/>
        </w:rPr>
      </w:pPr>
      <w:bookmarkStart w:id="4" w:name="_Hlk104822209"/>
      <w:r w:rsidRPr="0033044A">
        <w:rPr>
          <w:sz w:val="24"/>
          <w:szCs w:val="24"/>
        </w:rPr>
        <w:t>Ikke anvendte veterinærlægemidler samt affald heraf bør destrueres i henhold til lokale retningslinjer.</w:t>
      </w:r>
      <w:bookmarkEnd w:id="4"/>
    </w:p>
    <w:p w:rsidR="0033044A" w:rsidRPr="00070728" w:rsidRDefault="0033044A"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2A022B" w:rsidRPr="00CC77BD" w:rsidRDefault="002A022B" w:rsidP="002A022B">
      <w:pPr>
        <w:tabs>
          <w:tab w:val="left" w:pos="851"/>
          <w:tab w:val="left" w:pos="8222"/>
        </w:tabs>
        <w:ind w:left="851"/>
        <w:rPr>
          <w:sz w:val="24"/>
          <w:szCs w:val="24"/>
        </w:rPr>
      </w:pPr>
      <w:r w:rsidRPr="00CC77BD">
        <w:rPr>
          <w:sz w:val="24"/>
          <w:szCs w:val="24"/>
        </w:rPr>
        <w:t>Felix Pharmaceuticals Private Limited</w:t>
      </w:r>
    </w:p>
    <w:p w:rsidR="002A022B" w:rsidRPr="002A022B" w:rsidRDefault="002A022B" w:rsidP="002A022B">
      <w:pPr>
        <w:tabs>
          <w:tab w:val="left" w:pos="851"/>
          <w:tab w:val="left" w:pos="8222"/>
        </w:tabs>
        <w:ind w:left="851"/>
        <w:rPr>
          <w:sz w:val="24"/>
          <w:szCs w:val="24"/>
          <w:lang w:val="en-US"/>
        </w:rPr>
      </w:pPr>
      <w:r w:rsidRPr="002A022B">
        <w:rPr>
          <w:sz w:val="24"/>
          <w:szCs w:val="24"/>
          <w:lang w:val="en-US"/>
        </w:rPr>
        <w:t>25-28 North Wall Quay</w:t>
      </w:r>
    </w:p>
    <w:p w:rsidR="002A022B" w:rsidRPr="00CC77BD" w:rsidRDefault="002A022B" w:rsidP="002A022B">
      <w:pPr>
        <w:tabs>
          <w:tab w:val="left" w:pos="851"/>
          <w:tab w:val="left" w:pos="8222"/>
        </w:tabs>
        <w:ind w:left="851"/>
        <w:rPr>
          <w:sz w:val="24"/>
          <w:szCs w:val="24"/>
          <w:lang w:val="en-US"/>
        </w:rPr>
      </w:pPr>
      <w:r w:rsidRPr="00CC77BD">
        <w:rPr>
          <w:sz w:val="24"/>
          <w:szCs w:val="24"/>
          <w:lang w:val="en-US"/>
        </w:rPr>
        <w:t>D01H104 Dublin 1</w:t>
      </w:r>
    </w:p>
    <w:p w:rsidR="002A022B" w:rsidRPr="002A022B" w:rsidRDefault="002A022B" w:rsidP="002A022B">
      <w:pPr>
        <w:tabs>
          <w:tab w:val="left" w:pos="851"/>
          <w:tab w:val="left" w:pos="8222"/>
        </w:tabs>
        <w:ind w:left="851"/>
        <w:rPr>
          <w:sz w:val="24"/>
          <w:szCs w:val="24"/>
        </w:rPr>
      </w:pPr>
      <w:r w:rsidRPr="002A022B">
        <w:rPr>
          <w:sz w:val="24"/>
          <w:szCs w:val="24"/>
        </w:rPr>
        <w:t>Irland</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7E16AD" w:rsidP="005B0036">
      <w:pPr>
        <w:tabs>
          <w:tab w:val="left" w:pos="851"/>
          <w:tab w:val="left" w:pos="8222"/>
        </w:tabs>
        <w:ind w:left="851"/>
        <w:rPr>
          <w:sz w:val="24"/>
          <w:szCs w:val="24"/>
        </w:rPr>
      </w:pPr>
      <w:r>
        <w:rPr>
          <w:sz w:val="24"/>
          <w:szCs w:val="24"/>
        </w:rPr>
        <w:t>65</w:t>
      </w:r>
      <w:r w:rsidR="00CC77BD">
        <w:rPr>
          <w:sz w:val="24"/>
          <w:szCs w:val="24"/>
        </w:rPr>
        <w:t>313</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E93C69" w:rsidP="005B0036">
      <w:pPr>
        <w:tabs>
          <w:tab w:val="left" w:pos="851"/>
          <w:tab w:val="left" w:pos="8222"/>
        </w:tabs>
        <w:ind w:left="851"/>
        <w:rPr>
          <w:sz w:val="24"/>
          <w:szCs w:val="24"/>
        </w:rPr>
      </w:pPr>
      <w:r>
        <w:rPr>
          <w:sz w:val="24"/>
          <w:szCs w:val="24"/>
        </w:rPr>
        <w:t>2. juni 2022</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7E16AD"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03527F" w:rsidRPr="005B0036" w:rsidRDefault="007E16AD" w:rsidP="007E16AD">
      <w:pPr>
        <w:pStyle w:val="Sidehoved"/>
        <w:tabs>
          <w:tab w:val="clear" w:pos="4819"/>
          <w:tab w:val="left" w:pos="851"/>
          <w:tab w:val="left" w:pos="8222"/>
        </w:tabs>
        <w:ind w:left="851"/>
      </w:pPr>
      <w:r>
        <w:rPr>
          <w:szCs w:val="24"/>
        </w:rPr>
        <w:t>B</w:t>
      </w:r>
    </w:p>
    <w:sectPr w:rsidR="0003527F" w:rsidRPr="005B003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510" w:rsidRDefault="005D6510">
      <w:r>
        <w:separator/>
      </w:r>
    </w:p>
  </w:endnote>
  <w:endnote w:type="continuationSeparator" w:id="0">
    <w:p w:rsidR="005D6510" w:rsidRDefault="005D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4716A">
      <w:rPr>
        <w:i/>
        <w:noProof/>
        <w:snapToGrid w:val="0"/>
        <w:sz w:val="18"/>
      </w:rPr>
      <w:t>Felicam, tyggetabletter 1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4716A">
      <w:rPr>
        <w:i/>
        <w:noProof/>
        <w:snapToGrid w:val="0"/>
        <w:sz w:val="18"/>
      </w:rPr>
      <w:t>Felicam, tyggetabletter 1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510" w:rsidRDefault="005D6510">
      <w:r>
        <w:separator/>
      </w:r>
    </w:p>
  </w:footnote>
  <w:footnote w:type="continuationSeparator" w:id="0">
    <w:p w:rsidR="005D6510" w:rsidRDefault="005D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A3A2C"/>
    <w:multiLevelType w:val="hybridMultilevel"/>
    <w:tmpl w:val="DF2E6BA6"/>
    <w:lvl w:ilvl="0" w:tplc="5E6AA12C">
      <w:numFmt w:val="bullet"/>
      <w:lvlText w:val="-"/>
      <w:lvlJc w:val="left"/>
      <w:pPr>
        <w:ind w:left="245" w:hanging="132"/>
      </w:pPr>
      <w:rPr>
        <w:rFonts w:ascii="Times New Roman" w:eastAsia="Times New Roman" w:hAnsi="Times New Roman" w:cs="Times New Roman" w:hint="default"/>
        <w:w w:val="100"/>
        <w:sz w:val="22"/>
        <w:szCs w:val="22"/>
        <w:lang w:val="en-US" w:eastAsia="en-US" w:bidi="ar-SA"/>
      </w:rPr>
    </w:lvl>
    <w:lvl w:ilvl="1" w:tplc="AE3EF7DA">
      <w:numFmt w:val="bullet"/>
      <w:lvlText w:val="•"/>
      <w:lvlJc w:val="left"/>
      <w:pPr>
        <w:ind w:left="1140" w:hanging="132"/>
      </w:pPr>
      <w:rPr>
        <w:rFonts w:hint="default"/>
        <w:lang w:val="en-US" w:eastAsia="en-US" w:bidi="ar-SA"/>
      </w:rPr>
    </w:lvl>
    <w:lvl w:ilvl="2" w:tplc="14324196">
      <w:numFmt w:val="bullet"/>
      <w:lvlText w:val="•"/>
      <w:lvlJc w:val="left"/>
      <w:pPr>
        <w:ind w:left="2040" w:hanging="132"/>
      </w:pPr>
      <w:rPr>
        <w:rFonts w:hint="default"/>
        <w:lang w:val="en-US" w:eastAsia="en-US" w:bidi="ar-SA"/>
      </w:rPr>
    </w:lvl>
    <w:lvl w:ilvl="3" w:tplc="7CAA0F52">
      <w:numFmt w:val="bullet"/>
      <w:lvlText w:val="•"/>
      <w:lvlJc w:val="left"/>
      <w:pPr>
        <w:ind w:left="2940" w:hanging="132"/>
      </w:pPr>
      <w:rPr>
        <w:rFonts w:hint="default"/>
        <w:lang w:val="en-US" w:eastAsia="en-US" w:bidi="ar-SA"/>
      </w:rPr>
    </w:lvl>
    <w:lvl w:ilvl="4" w:tplc="0532903E">
      <w:numFmt w:val="bullet"/>
      <w:lvlText w:val="•"/>
      <w:lvlJc w:val="left"/>
      <w:pPr>
        <w:ind w:left="3840" w:hanging="132"/>
      </w:pPr>
      <w:rPr>
        <w:rFonts w:hint="default"/>
        <w:lang w:val="en-US" w:eastAsia="en-US" w:bidi="ar-SA"/>
      </w:rPr>
    </w:lvl>
    <w:lvl w:ilvl="5" w:tplc="08ECBAF8">
      <w:numFmt w:val="bullet"/>
      <w:lvlText w:val="•"/>
      <w:lvlJc w:val="left"/>
      <w:pPr>
        <w:ind w:left="4740" w:hanging="132"/>
      </w:pPr>
      <w:rPr>
        <w:rFonts w:hint="default"/>
        <w:lang w:val="en-US" w:eastAsia="en-US" w:bidi="ar-SA"/>
      </w:rPr>
    </w:lvl>
    <w:lvl w:ilvl="6" w:tplc="361A1500">
      <w:numFmt w:val="bullet"/>
      <w:lvlText w:val="•"/>
      <w:lvlJc w:val="left"/>
      <w:pPr>
        <w:ind w:left="5640" w:hanging="132"/>
      </w:pPr>
      <w:rPr>
        <w:rFonts w:hint="default"/>
        <w:lang w:val="en-US" w:eastAsia="en-US" w:bidi="ar-SA"/>
      </w:rPr>
    </w:lvl>
    <w:lvl w:ilvl="7" w:tplc="E6C48D7E">
      <w:numFmt w:val="bullet"/>
      <w:lvlText w:val="•"/>
      <w:lvlJc w:val="left"/>
      <w:pPr>
        <w:ind w:left="6540" w:hanging="132"/>
      </w:pPr>
      <w:rPr>
        <w:rFonts w:hint="default"/>
        <w:lang w:val="en-US" w:eastAsia="en-US" w:bidi="ar-SA"/>
      </w:rPr>
    </w:lvl>
    <w:lvl w:ilvl="8" w:tplc="B8B44E5C">
      <w:numFmt w:val="bullet"/>
      <w:lvlText w:val="•"/>
      <w:lvlJc w:val="left"/>
      <w:pPr>
        <w:ind w:left="7440" w:hanging="132"/>
      </w:pPr>
      <w:rPr>
        <w:rFonts w:hint="default"/>
        <w:lang w:val="en-US" w:eastAsia="en-US" w:bidi="ar-SA"/>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24B0321"/>
    <w:multiLevelType w:val="hybridMultilevel"/>
    <w:tmpl w:val="54603920"/>
    <w:lvl w:ilvl="0" w:tplc="AE3EF7DA">
      <w:numFmt w:val="bullet"/>
      <w:lvlText w:val="•"/>
      <w:lvlJc w:val="left"/>
      <w:pPr>
        <w:ind w:left="1571" w:hanging="360"/>
      </w:pPr>
      <w:rPr>
        <w:rFonts w:hint="default"/>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10"/>
    <w:rsid w:val="0003527F"/>
    <w:rsid w:val="00065C7D"/>
    <w:rsid w:val="00073F0E"/>
    <w:rsid w:val="00096B67"/>
    <w:rsid w:val="000C6CD4"/>
    <w:rsid w:val="001577E4"/>
    <w:rsid w:val="001858CA"/>
    <w:rsid w:val="001C4AEF"/>
    <w:rsid w:val="001D3CC5"/>
    <w:rsid w:val="00234D73"/>
    <w:rsid w:val="002A022B"/>
    <w:rsid w:val="002D0A2E"/>
    <w:rsid w:val="00322BDE"/>
    <w:rsid w:val="0033044A"/>
    <w:rsid w:val="00406EE7"/>
    <w:rsid w:val="00407013"/>
    <w:rsid w:val="00484FBA"/>
    <w:rsid w:val="00491293"/>
    <w:rsid w:val="004A62CC"/>
    <w:rsid w:val="00565A74"/>
    <w:rsid w:val="005B0036"/>
    <w:rsid w:val="005D6510"/>
    <w:rsid w:val="005F5831"/>
    <w:rsid w:val="0064716A"/>
    <w:rsid w:val="00662012"/>
    <w:rsid w:val="00666B01"/>
    <w:rsid w:val="006B1539"/>
    <w:rsid w:val="006D1A3B"/>
    <w:rsid w:val="006D1BB7"/>
    <w:rsid w:val="006F5621"/>
    <w:rsid w:val="007023B6"/>
    <w:rsid w:val="007B6073"/>
    <w:rsid w:val="007E16AD"/>
    <w:rsid w:val="007E2A00"/>
    <w:rsid w:val="007E2A3C"/>
    <w:rsid w:val="008010F2"/>
    <w:rsid w:val="00820DEB"/>
    <w:rsid w:val="00897103"/>
    <w:rsid w:val="009202AE"/>
    <w:rsid w:val="009D66C6"/>
    <w:rsid w:val="00A004FC"/>
    <w:rsid w:val="00A66687"/>
    <w:rsid w:val="00A74A12"/>
    <w:rsid w:val="00A96525"/>
    <w:rsid w:val="00AE29E5"/>
    <w:rsid w:val="00AE5757"/>
    <w:rsid w:val="00B25EB8"/>
    <w:rsid w:val="00B4744F"/>
    <w:rsid w:val="00B76FE3"/>
    <w:rsid w:val="00B974E5"/>
    <w:rsid w:val="00BC634B"/>
    <w:rsid w:val="00BF2AE0"/>
    <w:rsid w:val="00C26C3C"/>
    <w:rsid w:val="00C479BF"/>
    <w:rsid w:val="00CB4570"/>
    <w:rsid w:val="00CB6660"/>
    <w:rsid w:val="00CC5C53"/>
    <w:rsid w:val="00CC77BD"/>
    <w:rsid w:val="00DD6D71"/>
    <w:rsid w:val="00DF32BE"/>
    <w:rsid w:val="00E06074"/>
    <w:rsid w:val="00E14F0A"/>
    <w:rsid w:val="00E36713"/>
    <w:rsid w:val="00E93C69"/>
    <w:rsid w:val="00EB5778"/>
    <w:rsid w:val="00EC1168"/>
    <w:rsid w:val="00EE5253"/>
    <w:rsid w:val="00F66F75"/>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05140"/>
  <w15:chartTrackingRefBased/>
  <w15:docId w15:val="{9D5F8BE4-ED19-4FFA-A3DB-5B9F684C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TableParagraph">
    <w:name w:val="Table Paragraph"/>
    <w:basedOn w:val="Normal"/>
    <w:uiPriority w:val="1"/>
    <w:qFormat/>
    <w:rsid w:val="006D1A3B"/>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4</TotalTime>
  <Pages>5</Pages>
  <Words>1101</Words>
  <Characters>7180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2020110384 mt</dc:description>
  <cp:lastModifiedBy>Hanne Thy Iversen</cp:lastModifiedBy>
  <cp:revision>5</cp:revision>
  <dcterms:created xsi:type="dcterms:W3CDTF">2022-06-01T09:05:00Z</dcterms:created>
  <dcterms:modified xsi:type="dcterms:W3CDTF">2022-06-02T09:29:00Z</dcterms:modified>
</cp:coreProperties>
</file>