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834B" w14:textId="77777777" w:rsidR="008203A8" w:rsidRPr="00155D66" w:rsidRDefault="008203A8" w:rsidP="008203A8">
      <w:pPr>
        <w:rPr>
          <w:sz w:val="24"/>
          <w:szCs w:val="24"/>
        </w:rPr>
      </w:pPr>
      <w:r w:rsidRPr="00155D66">
        <w:rPr>
          <w:noProof/>
          <w:sz w:val="24"/>
          <w:szCs w:val="24"/>
          <w:lang w:eastAsia="da-DK"/>
        </w:rPr>
        <w:drawing>
          <wp:inline distT="0" distB="0" distL="0" distR="0" wp14:anchorId="18D475B8" wp14:editId="29B4C2C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C6898CE" w14:textId="77777777" w:rsidR="008203A8" w:rsidRPr="00155D66" w:rsidRDefault="008203A8" w:rsidP="008203A8">
      <w:pPr>
        <w:rPr>
          <w:sz w:val="24"/>
          <w:szCs w:val="24"/>
        </w:rPr>
      </w:pPr>
    </w:p>
    <w:p w14:paraId="13BAF865" w14:textId="7D88CB5D" w:rsidR="008203A8" w:rsidRPr="00155D66" w:rsidRDefault="008203A8" w:rsidP="008203A8">
      <w:pPr>
        <w:tabs>
          <w:tab w:val="right" w:pos="9356"/>
        </w:tabs>
        <w:rPr>
          <w:b/>
          <w:sz w:val="24"/>
          <w:szCs w:val="24"/>
        </w:rPr>
      </w:pPr>
      <w:r w:rsidRPr="00155D66">
        <w:rPr>
          <w:b/>
          <w:sz w:val="24"/>
          <w:szCs w:val="24"/>
        </w:rPr>
        <w:tab/>
      </w:r>
      <w:r w:rsidR="003F2ED9">
        <w:rPr>
          <w:b/>
          <w:sz w:val="24"/>
          <w:szCs w:val="24"/>
        </w:rPr>
        <w:t>2</w:t>
      </w:r>
      <w:r w:rsidR="000C2819">
        <w:rPr>
          <w:b/>
          <w:sz w:val="24"/>
          <w:szCs w:val="24"/>
        </w:rPr>
        <w:t xml:space="preserve">. </w:t>
      </w:r>
      <w:r w:rsidR="003F2ED9">
        <w:rPr>
          <w:b/>
          <w:sz w:val="24"/>
          <w:szCs w:val="24"/>
        </w:rPr>
        <w:t>september</w:t>
      </w:r>
      <w:r w:rsidR="000C2819">
        <w:rPr>
          <w:b/>
          <w:sz w:val="24"/>
          <w:szCs w:val="24"/>
        </w:rPr>
        <w:t xml:space="preserve"> 202</w:t>
      </w:r>
      <w:r w:rsidR="003F2ED9">
        <w:rPr>
          <w:b/>
          <w:sz w:val="24"/>
          <w:szCs w:val="24"/>
        </w:rPr>
        <w:t>4</w:t>
      </w:r>
    </w:p>
    <w:p w14:paraId="06D80134" w14:textId="79041F9F" w:rsidR="008203A8" w:rsidRPr="00155D66" w:rsidRDefault="008203A8" w:rsidP="008203A8">
      <w:pPr>
        <w:rPr>
          <w:sz w:val="24"/>
          <w:szCs w:val="24"/>
        </w:rPr>
      </w:pPr>
    </w:p>
    <w:p w14:paraId="5C221861" w14:textId="230E1BE7" w:rsidR="00646941" w:rsidRPr="00155D66" w:rsidRDefault="00646941" w:rsidP="008203A8">
      <w:pPr>
        <w:rPr>
          <w:sz w:val="24"/>
          <w:szCs w:val="24"/>
        </w:rPr>
      </w:pPr>
    </w:p>
    <w:p w14:paraId="6F513E83" w14:textId="77777777" w:rsidR="00646941" w:rsidRPr="00155D66" w:rsidRDefault="00646941" w:rsidP="008203A8">
      <w:pPr>
        <w:rPr>
          <w:sz w:val="24"/>
          <w:szCs w:val="24"/>
        </w:rPr>
      </w:pPr>
    </w:p>
    <w:p w14:paraId="13265BDE" w14:textId="77777777" w:rsidR="008203A8" w:rsidRPr="00155D66" w:rsidRDefault="008203A8" w:rsidP="008203A8">
      <w:pPr>
        <w:jc w:val="center"/>
        <w:rPr>
          <w:b/>
          <w:sz w:val="24"/>
          <w:szCs w:val="24"/>
        </w:rPr>
      </w:pPr>
      <w:r w:rsidRPr="00155D66">
        <w:rPr>
          <w:b/>
          <w:sz w:val="24"/>
          <w:szCs w:val="24"/>
        </w:rPr>
        <w:t>PRODUKTRESUMÉ</w:t>
      </w:r>
    </w:p>
    <w:p w14:paraId="419F0DF1" w14:textId="77777777" w:rsidR="008203A8" w:rsidRPr="00155D66" w:rsidRDefault="008203A8" w:rsidP="008203A8">
      <w:pPr>
        <w:jc w:val="center"/>
        <w:rPr>
          <w:b/>
          <w:sz w:val="24"/>
          <w:szCs w:val="24"/>
        </w:rPr>
      </w:pPr>
    </w:p>
    <w:p w14:paraId="0DE6BC88" w14:textId="77777777" w:rsidR="008203A8" w:rsidRPr="00155D66" w:rsidRDefault="008203A8" w:rsidP="008203A8">
      <w:pPr>
        <w:jc w:val="center"/>
        <w:rPr>
          <w:b/>
          <w:sz w:val="24"/>
          <w:szCs w:val="24"/>
        </w:rPr>
      </w:pPr>
      <w:r w:rsidRPr="00155D66">
        <w:rPr>
          <w:b/>
          <w:sz w:val="24"/>
          <w:szCs w:val="24"/>
        </w:rPr>
        <w:t>for</w:t>
      </w:r>
    </w:p>
    <w:p w14:paraId="67DB690C" w14:textId="77777777" w:rsidR="008203A8" w:rsidRPr="00155D66" w:rsidRDefault="008203A8" w:rsidP="008203A8">
      <w:pPr>
        <w:jc w:val="center"/>
        <w:rPr>
          <w:b/>
          <w:sz w:val="24"/>
          <w:szCs w:val="24"/>
        </w:rPr>
      </w:pPr>
    </w:p>
    <w:p w14:paraId="6759E1AD" w14:textId="14C601E7" w:rsidR="008203A8" w:rsidRPr="00155D66" w:rsidRDefault="003F2ED9" w:rsidP="008203A8">
      <w:pPr>
        <w:jc w:val="center"/>
        <w:rPr>
          <w:b/>
          <w:sz w:val="24"/>
          <w:szCs w:val="24"/>
        </w:rPr>
      </w:pPr>
      <w:proofErr w:type="spellStart"/>
      <w:r>
        <w:rPr>
          <w:b/>
          <w:sz w:val="24"/>
          <w:szCs w:val="24"/>
        </w:rPr>
        <w:t>Felimazole</w:t>
      </w:r>
      <w:proofErr w:type="spellEnd"/>
      <w:r>
        <w:rPr>
          <w:b/>
          <w:sz w:val="24"/>
          <w:szCs w:val="24"/>
        </w:rPr>
        <w:t xml:space="preserve"> </w:t>
      </w:r>
      <w:proofErr w:type="spellStart"/>
      <w:r>
        <w:rPr>
          <w:b/>
          <w:sz w:val="24"/>
          <w:szCs w:val="24"/>
        </w:rPr>
        <w:t>Vet</w:t>
      </w:r>
      <w:proofErr w:type="spellEnd"/>
      <w:r>
        <w:rPr>
          <w:b/>
          <w:sz w:val="24"/>
          <w:szCs w:val="24"/>
        </w:rPr>
        <w:t>.</w:t>
      </w:r>
      <w:r w:rsidR="00646941" w:rsidRPr="00155D66">
        <w:rPr>
          <w:b/>
          <w:sz w:val="24"/>
          <w:szCs w:val="24"/>
        </w:rPr>
        <w:t>, oral opløsning</w:t>
      </w:r>
    </w:p>
    <w:p w14:paraId="1AEAD61E" w14:textId="77777777" w:rsidR="008203A8" w:rsidRPr="00155D66" w:rsidRDefault="008203A8" w:rsidP="008203A8">
      <w:pPr>
        <w:jc w:val="both"/>
        <w:rPr>
          <w:sz w:val="24"/>
          <w:szCs w:val="24"/>
        </w:rPr>
      </w:pPr>
    </w:p>
    <w:p w14:paraId="3E250880" w14:textId="77777777" w:rsidR="008203A8" w:rsidRPr="00155D66" w:rsidRDefault="008203A8" w:rsidP="008203A8">
      <w:pPr>
        <w:jc w:val="both"/>
        <w:rPr>
          <w:sz w:val="24"/>
          <w:szCs w:val="24"/>
        </w:rPr>
      </w:pPr>
    </w:p>
    <w:p w14:paraId="2DC3FAE8" w14:textId="77777777" w:rsidR="008203A8" w:rsidRPr="00155D66" w:rsidRDefault="008203A8" w:rsidP="008203A8">
      <w:pPr>
        <w:ind w:left="851" w:hanging="851"/>
        <w:rPr>
          <w:b/>
          <w:sz w:val="24"/>
          <w:szCs w:val="24"/>
        </w:rPr>
      </w:pPr>
      <w:r w:rsidRPr="00155D66">
        <w:rPr>
          <w:b/>
          <w:sz w:val="24"/>
          <w:szCs w:val="24"/>
        </w:rPr>
        <w:t>0.</w:t>
      </w:r>
      <w:r w:rsidRPr="00155D66">
        <w:rPr>
          <w:b/>
          <w:sz w:val="24"/>
          <w:szCs w:val="24"/>
        </w:rPr>
        <w:tab/>
        <w:t>D.SP.NR.</w:t>
      </w:r>
    </w:p>
    <w:p w14:paraId="527D590B" w14:textId="4E2A980C" w:rsidR="008203A8" w:rsidRPr="00155D66" w:rsidRDefault="00646941" w:rsidP="008203A8">
      <w:pPr>
        <w:ind w:left="851"/>
        <w:rPr>
          <w:sz w:val="24"/>
          <w:szCs w:val="24"/>
        </w:rPr>
      </w:pPr>
      <w:r w:rsidRPr="00155D66">
        <w:rPr>
          <w:sz w:val="24"/>
          <w:szCs w:val="24"/>
        </w:rPr>
        <w:t>22318</w:t>
      </w:r>
    </w:p>
    <w:p w14:paraId="2DCDCEC4" w14:textId="77777777" w:rsidR="008203A8" w:rsidRPr="00155D66" w:rsidRDefault="008203A8" w:rsidP="008203A8">
      <w:pPr>
        <w:ind w:left="851"/>
        <w:rPr>
          <w:sz w:val="24"/>
          <w:szCs w:val="24"/>
        </w:rPr>
      </w:pPr>
    </w:p>
    <w:p w14:paraId="4B8211E4" w14:textId="77777777" w:rsidR="008203A8" w:rsidRPr="00155D66" w:rsidRDefault="008203A8" w:rsidP="008203A8">
      <w:pPr>
        <w:ind w:left="851" w:hanging="851"/>
        <w:rPr>
          <w:b/>
          <w:sz w:val="24"/>
          <w:szCs w:val="24"/>
        </w:rPr>
      </w:pPr>
      <w:r w:rsidRPr="00155D66">
        <w:rPr>
          <w:b/>
          <w:sz w:val="24"/>
          <w:szCs w:val="24"/>
        </w:rPr>
        <w:t>1.</w:t>
      </w:r>
      <w:r w:rsidRPr="00155D66">
        <w:rPr>
          <w:b/>
          <w:sz w:val="24"/>
          <w:szCs w:val="24"/>
        </w:rPr>
        <w:tab/>
        <w:t>VETERINÆRLÆGEMIDLETS NAVN</w:t>
      </w:r>
    </w:p>
    <w:p w14:paraId="57F525C1" w14:textId="3EBFA7C7" w:rsidR="008203A8" w:rsidRPr="00155D66" w:rsidRDefault="003F2ED9" w:rsidP="008203A8">
      <w:pPr>
        <w:ind w:left="851"/>
        <w:rPr>
          <w:sz w:val="24"/>
          <w:szCs w:val="24"/>
        </w:rPr>
      </w:pPr>
      <w:proofErr w:type="spellStart"/>
      <w:r>
        <w:rPr>
          <w:sz w:val="24"/>
          <w:szCs w:val="24"/>
        </w:rPr>
        <w:t>Felimazole</w:t>
      </w:r>
      <w:proofErr w:type="spellEnd"/>
      <w:r>
        <w:rPr>
          <w:sz w:val="24"/>
          <w:szCs w:val="24"/>
        </w:rPr>
        <w:t xml:space="preserve"> </w:t>
      </w:r>
      <w:proofErr w:type="spellStart"/>
      <w:r>
        <w:rPr>
          <w:sz w:val="24"/>
          <w:szCs w:val="24"/>
        </w:rPr>
        <w:t>Vet</w:t>
      </w:r>
      <w:proofErr w:type="spellEnd"/>
      <w:r>
        <w:rPr>
          <w:sz w:val="24"/>
          <w:szCs w:val="24"/>
        </w:rPr>
        <w:t>.</w:t>
      </w:r>
    </w:p>
    <w:p w14:paraId="72B6335A" w14:textId="77777777" w:rsidR="008203A8" w:rsidRPr="00155D66" w:rsidRDefault="008203A8" w:rsidP="008203A8">
      <w:pPr>
        <w:ind w:left="851"/>
        <w:rPr>
          <w:sz w:val="24"/>
          <w:szCs w:val="24"/>
        </w:rPr>
      </w:pPr>
    </w:p>
    <w:p w14:paraId="52DD0685" w14:textId="2CBAFE0F" w:rsidR="008203A8" w:rsidRPr="00155D66" w:rsidRDefault="008203A8" w:rsidP="008203A8">
      <w:pPr>
        <w:ind w:left="851"/>
        <w:rPr>
          <w:sz w:val="24"/>
          <w:szCs w:val="24"/>
        </w:rPr>
      </w:pPr>
      <w:r w:rsidRPr="00155D66">
        <w:rPr>
          <w:sz w:val="24"/>
          <w:szCs w:val="24"/>
        </w:rPr>
        <w:t xml:space="preserve">Lægemiddelform: </w:t>
      </w:r>
      <w:r w:rsidR="00646941" w:rsidRPr="00155D66">
        <w:rPr>
          <w:sz w:val="24"/>
          <w:szCs w:val="24"/>
        </w:rPr>
        <w:t>Oral opløsning</w:t>
      </w:r>
    </w:p>
    <w:p w14:paraId="044FFBDB" w14:textId="699B8BEE" w:rsidR="008203A8" w:rsidRPr="00155D66" w:rsidRDefault="008203A8" w:rsidP="008203A8">
      <w:pPr>
        <w:ind w:left="851"/>
        <w:rPr>
          <w:sz w:val="24"/>
          <w:szCs w:val="24"/>
        </w:rPr>
      </w:pPr>
      <w:r w:rsidRPr="00155D66">
        <w:rPr>
          <w:sz w:val="24"/>
          <w:szCs w:val="24"/>
        </w:rPr>
        <w:t xml:space="preserve">Styrke(r): </w:t>
      </w:r>
      <w:r w:rsidR="00646941" w:rsidRPr="00155D66">
        <w:rPr>
          <w:sz w:val="24"/>
          <w:szCs w:val="24"/>
        </w:rPr>
        <w:t>5 mg/ml</w:t>
      </w:r>
    </w:p>
    <w:p w14:paraId="0B7DA461" w14:textId="77777777" w:rsidR="008203A8" w:rsidRPr="00155D66" w:rsidRDefault="008203A8" w:rsidP="008203A8">
      <w:pPr>
        <w:ind w:left="851"/>
        <w:rPr>
          <w:sz w:val="24"/>
          <w:szCs w:val="24"/>
        </w:rPr>
      </w:pPr>
      <w:bookmarkStart w:id="0" w:name="_GoBack"/>
      <w:bookmarkEnd w:id="0"/>
    </w:p>
    <w:p w14:paraId="6E17C9F8" w14:textId="77777777" w:rsidR="008203A8" w:rsidRPr="00155D66" w:rsidRDefault="008203A8" w:rsidP="008203A8">
      <w:pPr>
        <w:ind w:left="851" w:hanging="851"/>
        <w:rPr>
          <w:b/>
          <w:sz w:val="24"/>
          <w:szCs w:val="24"/>
        </w:rPr>
      </w:pPr>
      <w:r w:rsidRPr="00155D66">
        <w:rPr>
          <w:b/>
          <w:sz w:val="24"/>
          <w:szCs w:val="24"/>
        </w:rPr>
        <w:t>2.</w:t>
      </w:r>
      <w:r w:rsidRPr="00155D66">
        <w:rPr>
          <w:b/>
          <w:sz w:val="24"/>
          <w:szCs w:val="24"/>
        </w:rPr>
        <w:tab/>
        <w:t>KVALITATIV OG KVANTITATIV SAMMENSÆTNING</w:t>
      </w:r>
    </w:p>
    <w:p w14:paraId="5E97FF2E" w14:textId="77777777" w:rsidR="00646941" w:rsidRPr="00155D66" w:rsidRDefault="00646941" w:rsidP="0026454A">
      <w:pPr>
        <w:ind w:left="851"/>
        <w:rPr>
          <w:sz w:val="24"/>
          <w:szCs w:val="24"/>
        </w:rPr>
      </w:pPr>
      <w:r w:rsidRPr="00155D66">
        <w:rPr>
          <w:sz w:val="24"/>
          <w:szCs w:val="24"/>
        </w:rPr>
        <w:t>1 ml dosis indeholder</w:t>
      </w:r>
    </w:p>
    <w:p w14:paraId="0825715D" w14:textId="77777777" w:rsidR="00646941" w:rsidRPr="00155D66" w:rsidRDefault="00646941" w:rsidP="0026454A">
      <w:pPr>
        <w:ind w:left="851"/>
        <w:rPr>
          <w:sz w:val="24"/>
          <w:szCs w:val="24"/>
        </w:rPr>
      </w:pPr>
    </w:p>
    <w:p w14:paraId="1F7AB49C" w14:textId="77777777" w:rsidR="00646941" w:rsidRPr="00155D66" w:rsidRDefault="00646941" w:rsidP="0026454A">
      <w:pPr>
        <w:ind w:left="851"/>
        <w:rPr>
          <w:b/>
          <w:sz w:val="24"/>
          <w:szCs w:val="24"/>
        </w:rPr>
      </w:pPr>
      <w:r w:rsidRPr="00155D66">
        <w:rPr>
          <w:b/>
          <w:sz w:val="24"/>
          <w:szCs w:val="24"/>
        </w:rPr>
        <w:t>Aktivt stof:</w:t>
      </w:r>
    </w:p>
    <w:p w14:paraId="416F8483" w14:textId="77777777" w:rsidR="00646941" w:rsidRPr="00155D66" w:rsidRDefault="00646941" w:rsidP="0026454A">
      <w:pPr>
        <w:ind w:left="851"/>
        <w:rPr>
          <w:iCs/>
          <w:sz w:val="24"/>
          <w:szCs w:val="24"/>
        </w:rPr>
      </w:pPr>
      <w:proofErr w:type="spellStart"/>
      <w:r w:rsidRPr="00155D66">
        <w:rPr>
          <w:sz w:val="24"/>
          <w:szCs w:val="24"/>
        </w:rPr>
        <w:t>Thiamazol</w:t>
      </w:r>
      <w:proofErr w:type="spellEnd"/>
      <w:r w:rsidRPr="00155D66">
        <w:rPr>
          <w:sz w:val="24"/>
          <w:szCs w:val="24"/>
        </w:rPr>
        <w:tab/>
      </w:r>
      <w:r w:rsidRPr="00155D66">
        <w:rPr>
          <w:sz w:val="24"/>
          <w:szCs w:val="24"/>
        </w:rPr>
        <w:tab/>
        <w:t>5 mg</w:t>
      </w:r>
    </w:p>
    <w:p w14:paraId="6E3B6623" w14:textId="77777777" w:rsidR="00646941" w:rsidRPr="00155D66" w:rsidRDefault="00646941" w:rsidP="0026454A">
      <w:pPr>
        <w:ind w:left="851"/>
        <w:rPr>
          <w:iCs/>
          <w:sz w:val="24"/>
          <w:szCs w:val="24"/>
        </w:rPr>
      </w:pPr>
    </w:p>
    <w:p w14:paraId="77CA30AB" w14:textId="77777777" w:rsidR="00646941" w:rsidRPr="00155D66" w:rsidRDefault="00646941" w:rsidP="0026454A">
      <w:pPr>
        <w:ind w:left="851"/>
        <w:rPr>
          <w:sz w:val="24"/>
          <w:szCs w:val="24"/>
        </w:rPr>
      </w:pPr>
      <w:r w:rsidRPr="00155D66">
        <w:rPr>
          <w:b/>
          <w:sz w:val="24"/>
          <w:szCs w:val="24"/>
        </w:rPr>
        <w:t>Hjælpestoffer:</w:t>
      </w:r>
    </w:p>
    <w:p w14:paraId="22B9F5F3" w14:textId="77777777" w:rsidR="00646941" w:rsidRPr="00155D66" w:rsidRDefault="00646941" w:rsidP="0026454A">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646941" w:rsidRPr="00155D66" w14:paraId="1E5187BE" w14:textId="77777777" w:rsidTr="0026454A">
        <w:tc>
          <w:tcPr>
            <w:tcW w:w="4643" w:type="dxa"/>
            <w:tcBorders>
              <w:top w:val="single" w:sz="4" w:space="0" w:color="000000"/>
              <w:left w:val="single" w:sz="4" w:space="0" w:color="000000"/>
              <w:bottom w:val="single" w:sz="4" w:space="0" w:color="000000"/>
              <w:right w:val="single" w:sz="4" w:space="0" w:color="000000"/>
            </w:tcBorders>
            <w:vAlign w:val="center"/>
            <w:hideMark/>
          </w:tcPr>
          <w:p w14:paraId="531D3F6C" w14:textId="77777777" w:rsidR="00646941" w:rsidRPr="00155D66" w:rsidRDefault="00646941">
            <w:pPr>
              <w:spacing w:before="60" w:after="60"/>
              <w:rPr>
                <w:iCs/>
                <w:sz w:val="24"/>
                <w:szCs w:val="24"/>
              </w:rPr>
            </w:pPr>
            <w:r w:rsidRPr="00155D66">
              <w:rPr>
                <w:b/>
                <w:sz w:val="24"/>
                <w:szCs w:val="24"/>
              </w:rPr>
              <w:t>Kvalitativ</w:t>
            </w:r>
            <w:r w:rsidRPr="00155D66">
              <w:rPr>
                <w:sz w:val="24"/>
                <w:szCs w:val="24"/>
              </w:rPr>
              <w:t xml:space="preserve"> </w:t>
            </w:r>
            <w:r w:rsidRPr="00155D66">
              <w:rPr>
                <w:b/>
                <w:sz w:val="24"/>
                <w:szCs w:val="24"/>
              </w:rPr>
              <w:t>sammensætning af hjælpestoffer og andre indholdsstoffer</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2416EB67" w14:textId="77777777" w:rsidR="00646941" w:rsidRPr="00155D66" w:rsidRDefault="00646941">
            <w:pPr>
              <w:spacing w:before="60" w:after="60"/>
              <w:rPr>
                <w:i/>
                <w:iCs/>
                <w:sz w:val="24"/>
                <w:szCs w:val="24"/>
              </w:rPr>
            </w:pPr>
            <w:r w:rsidRPr="00155D66">
              <w:rPr>
                <w:b/>
                <w:sz w:val="24"/>
                <w:szCs w:val="24"/>
              </w:rPr>
              <w:t>Kvantitativ</w:t>
            </w:r>
            <w:r w:rsidRPr="00155D66">
              <w:rPr>
                <w:sz w:val="24"/>
                <w:szCs w:val="24"/>
              </w:rPr>
              <w:t xml:space="preserve"> </w:t>
            </w:r>
            <w:r w:rsidRPr="00155D66">
              <w:rPr>
                <w:b/>
                <w:sz w:val="24"/>
                <w:szCs w:val="24"/>
              </w:rPr>
              <w:t>sammensætning, hvis sådanne oplysninger er væsentlige</w:t>
            </w:r>
            <w:r w:rsidRPr="00155D66">
              <w:rPr>
                <w:sz w:val="24"/>
                <w:szCs w:val="24"/>
              </w:rPr>
              <w:t xml:space="preserve"> </w:t>
            </w:r>
            <w:r w:rsidRPr="00155D66">
              <w:rPr>
                <w:b/>
                <w:sz w:val="24"/>
                <w:szCs w:val="24"/>
              </w:rPr>
              <w:t>for korrekt administration af veterinærlægemidlet</w:t>
            </w:r>
          </w:p>
        </w:tc>
      </w:tr>
      <w:tr w:rsidR="00646941" w:rsidRPr="00155D66" w14:paraId="683F1CE3"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38D135C7" w14:textId="77777777" w:rsidR="00646941" w:rsidRPr="00155D66" w:rsidRDefault="00646941">
            <w:pPr>
              <w:spacing w:before="60" w:after="60"/>
              <w:ind w:left="567" w:hanging="567"/>
              <w:rPr>
                <w:iCs/>
                <w:sz w:val="24"/>
                <w:szCs w:val="24"/>
              </w:rPr>
            </w:pPr>
            <w:proofErr w:type="spellStart"/>
            <w:r w:rsidRPr="00155D66">
              <w:rPr>
                <w:sz w:val="24"/>
                <w:szCs w:val="24"/>
              </w:rPr>
              <w:t>Metylparahydroxybenzoat</w:t>
            </w:r>
            <w:proofErr w:type="spellEnd"/>
            <w:r w:rsidRPr="00155D66">
              <w:rPr>
                <w:sz w:val="24"/>
                <w:szCs w:val="24"/>
              </w:rPr>
              <w:t xml:space="preserve"> (E218)</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D08DE25" w14:textId="77777777" w:rsidR="00646941" w:rsidRPr="00155D66" w:rsidRDefault="00646941">
            <w:pPr>
              <w:spacing w:before="60" w:after="60"/>
              <w:rPr>
                <w:iCs/>
                <w:sz w:val="24"/>
                <w:szCs w:val="24"/>
              </w:rPr>
            </w:pPr>
            <w:r w:rsidRPr="00155D66">
              <w:rPr>
                <w:sz w:val="24"/>
                <w:szCs w:val="24"/>
              </w:rPr>
              <w:t>2,00 mg</w:t>
            </w:r>
          </w:p>
        </w:tc>
      </w:tr>
      <w:tr w:rsidR="00646941" w:rsidRPr="00155D66" w14:paraId="539E53A8"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58441C6F" w14:textId="77777777" w:rsidR="00646941" w:rsidRPr="00155D66" w:rsidRDefault="00646941">
            <w:pPr>
              <w:spacing w:before="60" w:after="60"/>
              <w:rPr>
                <w:iCs/>
                <w:sz w:val="24"/>
                <w:szCs w:val="24"/>
              </w:rPr>
            </w:pPr>
            <w:proofErr w:type="spellStart"/>
            <w:r w:rsidRPr="00155D66">
              <w:rPr>
                <w:sz w:val="24"/>
                <w:szCs w:val="24"/>
              </w:rPr>
              <w:t>Propylparahydroxybenzoat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803C4B6" w14:textId="77777777" w:rsidR="00646941" w:rsidRPr="00155D66" w:rsidRDefault="00646941">
            <w:pPr>
              <w:spacing w:before="60" w:after="60"/>
              <w:rPr>
                <w:iCs/>
                <w:sz w:val="24"/>
                <w:szCs w:val="24"/>
              </w:rPr>
            </w:pPr>
            <w:r w:rsidRPr="00155D66">
              <w:rPr>
                <w:sz w:val="24"/>
                <w:szCs w:val="24"/>
              </w:rPr>
              <w:t>0,20 mg</w:t>
            </w:r>
          </w:p>
        </w:tc>
      </w:tr>
      <w:tr w:rsidR="00646941" w:rsidRPr="00155D66" w14:paraId="4B9A06A6"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7BFC3031" w14:textId="77777777" w:rsidR="00646941" w:rsidRPr="00155D66" w:rsidRDefault="00646941">
            <w:pPr>
              <w:spacing w:before="60" w:after="60"/>
              <w:rPr>
                <w:sz w:val="24"/>
                <w:szCs w:val="24"/>
              </w:rPr>
            </w:pPr>
            <w:r w:rsidRPr="00155D66">
              <w:rPr>
                <w:sz w:val="24"/>
                <w:szCs w:val="24"/>
              </w:rPr>
              <w:t>Citronsyre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14D1B1AD"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6BC29AD4" w14:textId="77777777" w:rsidTr="0026454A">
        <w:tc>
          <w:tcPr>
            <w:tcW w:w="4643" w:type="dxa"/>
            <w:tcBorders>
              <w:top w:val="single" w:sz="4" w:space="0" w:color="000000"/>
              <w:left w:val="single" w:sz="4" w:space="0" w:color="000000"/>
              <w:bottom w:val="single" w:sz="4" w:space="0" w:color="000000"/>
              <w:right w:val="single" w:sz="4" w:space="0" w:color="000000"/>
            </w:tcBorders>
            <w:vAlign w:val="center"/>
            <w:hideMark/>
          </w:tcPr>
          <w:p w14:paraId="6EFDEF1C" w14:textId="77777777" w:rsidR="00646941" w:rsidRPr="00155D66" w:rsidRDefault="00646941">
            <w:pPr>
              <w:spacing w:before="60" w:after="60"/>
              <w:rPr>
                <w:iCs/>
                <w:sz w:val="24"/>
                <w:szCs w:val="24"/>
              </w:rPr>
            </w:pPr>
            <w:r w:rsidRPr="00155D66">
              <w:rPr>
                <w:sz w:val="24"/>
                <w:szCs w:val="24"/>
              </w:rPr>
              <w:t>Glycerol</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1ECAF917"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13856981"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23BAAF0E" w14:textId="77777777" w:rsidR="00646941" w:rsidRPr="00155D66" w:rsidRDefault="00646941">
            <w:pPr>
              <w:spacing w:before="60" w:after="60"/>
              <w:ind w:left="567" w:hanging="567"/>
              <w:rPr>
                <w:b/>
                <w:bCs/>
                <w:iCs/>
                <w:sz w:val="24"/>
                <w:szCs w:val="24"/>
              </w:rPr>
            </w:pPr>
            <w:proofErr w:type="spellStart"/>
            <w:r w:rsidRPr="00155D66">
              <w:rPr>
                <w:sz w:val="24"/>
                <w:szCs w:val="24"/>
              </w:rPr>
              <w:t>Maltitol</w:t>
            </w:r>
            <w:proofErr w:type="spellEnd"/>
            <w:r w:rsidRPr="00155D66">
              <w:rPr>
                <w:sz w:val="24"/>
                <w:szCs w:val="24"/>
              </w:rPr>
              <w:t>, flydende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BDA5F43"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098BE5CA"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002D3D61" w14:textId="77777777" w:rsidR="00646941" w:rsidRPr="00155D66" w:rsidRDefault="00646941">
            <w:pPr>
              <w:spacing w:before="60" w:after="60"/>
              <w:rPr>
                <w:iCs/>
                <w:sz w:val="24"/>
                <w:szCs w:val="24"/>
              </w:rPr>
            </w:pPr>
            <w:proofErr w:type="spellStart"/>
            <w:r w:rsidRPr="00155D66">
              <w:rPr>
                <w:sz w:val="24"/>
                <w:szCs w:val="24"/>
              </w:rPr>
              <w:t>Dinatriumphosphatdihydrat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6298589A"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56E82B88"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56FB3014" w14:textId="77777777" w:rsidR="00646941" w:rsidRPr="00155D66" w:rsidRDefault="00646941">
            <w:pPr>
              <w:spacing w:before="60" w:after="60"/>
              <w:rPr>
                <w:iCs/>
                <w:sz w:val="24"/>
                <w:szCs w:val="24"/>
              </w:rPr>
            </w:pPr>
            <w:proofErr w:type="spellStart"/>
            <w:r w:rsidRPr="00155D66">
              <w:rPr>
                <w:sz w:val="24"/>
                <w:szCs w:val="24"/>
              </w:rPr>
              <w:t>Natriumdihydrogenphosphatdihydrat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7D7043DB"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1F4EF6EA"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23DAEDBB" w14:textId="77777777" w:rsidR="00646941" w:rsidRPr="00155D66" w:rsidRDefault="00646941">
            <w:pPr>
              <w:spacing w:before="60" w:after="60"/>
              <w:rPr>
                <w:iCs/>
                <w:sz w:val="24"/>
                <w:szCs w:val="24"/>
              </w:rPr>
            </w:pPr>
            <w:r w:rsidRPr="00155D66">
              <w:rPr>
                <w:sz w:val="24"/>
                <w:szCs w:val="24"/>
              </w:rPr>
              <w:t>Sakkarinnatrium</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20DED2F0"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24EC3901"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33632B8D" w14:textId="77777777" w:rsidR="00646941" w:rsidRPr="00155D66" w:rsidRDefault="00646941">
            <w:pPr>
              <w:spacing w:before="60" w:after="60"/>
              <w:rPr>
                <w:iCs/>
                <w:sz w:val="24"/>
                <w:szCs w:val="24"/>
              </w:rPr>
            </w:pPr>
            <w:r w:rsidRPr="00155D66">
              <w:rPr>
                <w:sz w:val="24"/>
                <w:szCs w:val="24"/>
              </w:rPr>
              <w:t>Honningpulversmag</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7E8A9111"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3EA06543"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1553B0B6" w14:textId="77777777" w:rsidR="00646941" w:rsidRPr="00155D66" w:rsidRDefault="00646941">
            <w:pPr>
              <w:spacing w:before="60" w:after="60"/>
              <w:rPr>
                <w:iCs/>
                <w:sz w:val="24"/>
                <w:szCs w:val="24"/>
              </w:rPr>
            </w:pPr>
            <w:r w:rsidRPr="00155D66">
              <w:rPr>
                <w:sz w:val="24"/>
                <w:szCs w:val="24"/>
              </w:rPr>
              <w:lastRenderedPageBreak/>
              <w:t>Karamelbrun farve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6AEE552"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r w:rsidR="00646941" w:rsidRPr="00155D66" w14:paraId="7A4D37C1" w14:textId="77777777" w:rsidTr="0026454A">
        <w:tc>
          <w:tcPr>
            <w:tcW w:w="4643" w:type="dxa"/>
            <w:tcBorders>
              <w:top w:val="single" w:sz="4" w:space="0" w:color="000000"/>
              <w:left w:val="single" w:sz="4" w:space="0" w:color="000000"/>
              <w:bottom w:val="single" w:sz="4" w:space="0" w:color="000000"/>
              <w:right w:val="single" w:sz="4" w:space="0" w:color="000000"/>
            </w:tcBorders>
            <w:hideMark/>
          </w:tcPr>
          <w:p w14:paraId="2A599974" w14:textId="77777777" w:rsidR="00646941" w:rsidRPr="00155D66" w:rsidRDefault="00646941">
            <w:pPr>
              <w:spacing w:before="60" w:after="60"/>
              <w:rPr>
                <w:iCs/>
                <w:sz w:val="24"/>
                <w:szCs w:val="24"/>
              </w:rPr>
            </w:pPr>
            <w:r w:rsidRPr="00155D66">
              <w:rPr>
                <w:sz w:val="24"/>
                <w:szCs w:val="24"/>
              </w:rPr>
              <w:t>Destilleret vand</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A60B003" w14:textId="77777777" w:rsidR="00646941" w:rsidRPr="00155D66" w:rsidRDefault="00646941">
            <w:pPr>
              <w:spacing w:before="60" w:after="60"/>
              <w:rPr>
                <w:iCs/>
                <w:sz w:val="24"/>
                <w:szCs w:val="24"/>
              </w:rPr>
            </w:pPr>
            <w:r w:rsidRPr="00155D66">
              <w:rPr>
                <w:sz w:val="24"/>
                <w:szCs w:val="24"/>
              </w:rPr>
              <w:noBreakHyphen/>
            </w:r>
            <w:r w:rsidRPr="00155D66">
              <w:rPr>
                <w:sz w:val="24"/>
                <w:szCs w:val="24"/>
              </w:rPr>
              <w:noBreakHyphen/>
            </w:r>
          </w:p>
        </w:tc>
      </w:tr>
    </w:tbl>
    <w:p w14:paraId="7F60F10D" w14:textId="77777777" w:rsidR="00646941" w:rsidRPr="00155D66" w:rsidRDefault="00646941" w:rsidP="0026454A">
      <w:pPr>
        <w:ind w:left="851"/>
        <w:rPr>
          <w:sz w:val="24"/>
          <w:szCs w:val="24"/>
        </w:rPr>
      </w:pPr>
    </w:p>
    <w:p w14:paraId="450C8F5C" w14:textId="35CF14A9" w:rsidR="00646941" w:rsidRPr="00155D66" w:rsidRDefault="00646941" w:rsidP="0026454A">
      <w:pPr>
        <w:ind w:left="851"/>
        <w:rPr>
          <w:sz w:val="24"/>
          <w:szCs w:val="24"/>
        </w:rPr>
      </w:pPr>
      <w:r w:rsidRPr="00155D66">
        <w:rPr>
          <w:sz w:val="24"/>
          <w:szCs w:val="24"/>
        </w:rPr>
        <w:t>Klar, lysegul til gulbrun opløsning</w:t>
      </w:r>
      <w:r w:rsidR="00397FED" w:rsidRPr="00155D66">
        <w:rPr>
          <w:sz w:val="24"/>
          <w:szCs w:val="24"/>
        </w:rPr>
        <w:t>.</w:t>
      </w:r>
    </w:p>
    <w:p w14:paraId="62664D65" w14:textId="77777777" w:rsidR="008203A8" w:rsidRPr="00155D66" w:rsidRDefault="008203A8" w:rsidP="008203A8">
      <w:pPr>
        <w:ind w:left="851"/>
        <w:rPr>
          <w:sz w:val="24"/>
          <w:szCs w:val="24"/>
        </w:rPr>
      </w:pPr>
    </w:p>
    <w:p w14:paraId="09B414EE" w14:textId="77777777" w:rsidR="008203A8" w:rsidRPr="00155D66" w:rsidRDefault="008203A8" w:rsidP="008203A8">
      <w:pPr>
        <w:ind w:left="851"/>
        <w:rPr>
          <w:sz w:val="24"/>
          <w:szCs w:val="24"/>
        </w:rPr>
      </w:pPr>
    </w:p>
    <w:p w14:paraId="5C939DE4" w14:textId="77777777" w:rsidR="008203A8" w:rsidRPr="00155D66" w:rsidRDefault="008203A8" w:rsidP="008203A8">
      <w:pPr>
        <w:ind w:left="851" w:hanging="851"/>
        <w:rPr>
          <w:b/>
          <w:sz w:val="24"/>
          <w:szCs w:val="24"/>
        </w:rPr>
      </w:pPr>
      <w:r w:rsidRPr="00155D66">
        <w:rPr>
          <w:b/>
          <w:sz w:val="24"/>
          <w:szCs w:val="24"/>
        </w:rPr>
        <w:t>3.</w:t>
      </w:r>
      <w:r w:rsidRPr="00155D66">
        <w:rPr>
          <w:b/>
          <w:sz w:val="24"/>
          <w:szCs w:val="24"/>
        </w:rPr>
        <w:tab/>
        <w:t>KLINISKE OPLYSNINGER</w:t>
      </w:r>
    </w:p>
    <w:p w14:paraId="261D0CD8" w14:textId="77777777" w:rsidR="008203A8" w:rsidRPr="00155D66" w:rsidRDefault="008203A8" w:rsidP="008203A8">
      <w:pPr>
        <w:tabs>
          <w:tab w:val="left" w:pos="851"/>
        </w:tabs>
        <w:ind w:left="851"/>
        <w:rPr>
          <w:sz w:val="24"/>
          <w:szCs w:val="24"/>
        </w:rPr>
      </w:pPr>
    </w:p>
    <w:p w14:paraId="43828C37" w14:textId="77777777" w:rsidR="008203A8" w:rsidRPr="00155D66" w:rsidRDefault="008203A8" w:rsidP="008203A8">
      <w:pPr>
        <w:ind w:left="851" w:hanging="851"/>
        <w:rPr>
          <w:b/>
          <w:sz w:val="24"/>
          <w:szCs w:val="24"/>
          <w:u w:val="single"/>
        </w:rPr>
      </w:pPr>
      <w:r w:rsidRPr="00155D66">
        <w:rPr>
          <w:b/>
          <w:sz w:val="24"/>
          <w:szCs w:val="24"/>
        </w:rPr>
        <w:t>3.1</w:t>
      </w:r>
      <w:r w:rsidRPr="00155D66">
        <w:rPr>
          <w:b/>
          <w:sz w:val="24"/>
          <w:szCs w:val="24"/>
        </w:rPr>
        <w:tab/>
        <w:t>Dyrearter, som lægemidlet er beregnet til</w:t>
      </w:r>
    </w:p>
    <w:p w14:paraId="2CA2B52A" w14:textId="77777777" w:rsidR="00646941" w:rsidRPr="00155D66" w:rsidRDefault="00646941" w:rsidP="0026454A">
      <w:pPr>
        <w:ind w:left="851"/>
        <w:rPr>
          <w:bCs/>
          <w:sz w:val="24"/>
          <w:szCs w:val="24"/>
        </w:rPr>
      </w:pPr>
      <w:r w:rsidRPr="00155D66">
        <w:rPr>
          <w:sz w:val="24"/>
          <w:szCs w:val="24"/>
        </w:rPr>
        <w:t>Katte</w:t>
      </w:r>
    </w:p>
    <w:p w14:paraId="6B15A5B5" w14:textId="77777777" w:rsidR="008203A8" w:rsidRPr="00155D66" w:rsidRDefault="008203A8" w:rsidP="008203A8">
      <w:pPr>
        <w:ind w:left="851"/>
        <w:rPr>
          <w:sz w:val="24"/>
          <w:szCs w:val="24"/>
        </w:rPr>
      </w:pPr>
    </w:p>
    <w:p w14:paraId="3883033F" w14:textId="77777777" w:rsidR="008203A8" w:rsidRPr="00155D66" w:rsidRDefault="008203A8" w:rsidP="008203A8">
      <w:pPr>
        <w:pStyle w:val="Sidehoved"/>
        <w:tabs>
          <w:tab w:val="clear" w:pos="4819"/>
        </w:tabs>
        <w:ind w:left="851" w:hanging="851"/>
        <w:rPr>
          <w:b/>
          <w:szCs w:val="24"/>
        </w:rPr>
      </w:pPr>
      <w:r w:rsidRPr="00155D66">
        <w:rPr>
          <w:b/>
          <w:szCs w:val="24"/>
        </w:rPr>
        <w:t>3.2</w:t>
      </w:r>
      <w:r w:rsidRPr="00155D66">
        <w:rPr>
          <w:b/>
          <w:szCs w:val="24"/>
        </w:rPr>
        <w:tab/>
        <w:t>Terapeutiske indikationer for hver dyreart, som lægemidlet er beregnet til</w:t>
      </w:r>
    </w:p>
    <w:p w14:paraId="2F810917" w14:textId="77777777" w:rsidR="00646941" w:rsidRPr="00155D66" w:rsidRDefault="00646941" w:rsidP="0026454A">
      <w:pPr>
        <w:ind w:left="851"/>
        <w:rPr>
          <w:sz w:val="24"/>
          <w:szCs w:val="24"/>
        </w:rPr>
      </w:pPr>
      <w:r w:rsidRPr="00155D66">
        <w:rPr>
          <w:sz w:val="24"/>
          <w:szCs w:val="24"/>
        </w:rPr>
        <w:t xml:space="preserve">Til stabilisering af </w:t>
      </w:r>
      <w:proofErr w:type="spellStart"/>
      <w:r w:rsidRPr="00155D66">
        <w:rPr>
          <w:sz w:val="24"/>
          <w:szCs w:val="24"/>
        </w:rPr>
        <w:t>hyperthyreoidisme</w:t>
      </w:r>
      <w:proofErr w:type="spellEnd"/>
      <w:r w:rsidRPr="00155D66">
        <w:rPr>
          <w:sz w:val="24"/>
          <w:szCs w:val="24"/>
        </w:rPr>
        <w:t xml:space="preserve"> før kirurgisk </w:t>
      </w:r>
      <w:proofErr w:type="spellStart"/>
      <w:r w:rsidRPr="00155D66">
        <w:rPr>
          <w:sz w:val="24"/>
          <w:szCs w:val="24"/>
        </w:rPr>
        <w:t>thyreoidektomi</w:t>
      </w:r>
      <w:proofErr w:type="spellEnd"/>
      <w:r w:rsidRPr="00155D66">
        <w:rPr>
          <w:sz w:val="24"/>
          <w:szCs w:val="24"/>
        </w:rPr>
        <w:t>.</w:t>
      </w:r>
    </w:p>
    <w:p w14:paraId="0446776C" w14:textId="77777777" w:rsidR="00646941" w:rsidRPr="00155D66" w:rsidRDefault="00646941" w:rsidP="0026454A">
      <w:pPr>
        <w:ind w:left="851"/>
        <w:rPr>
          <w:sz w:val="24"/>
          <w:szCs w:val="24"/>
        </w:rPr>
      </w:pPr>
      <w:r w:rsidRPr="00155D66">
        <w:rPr>
          <w:sz w:val="24"/>
          <w:szCs w:val="24"/>
        </w:rPr>
        <w:t xml:space="preserve">Til langtidsbehandling af </w:t>
      </w:r>
      <w:proofErr w:type="spellStart"/>
      <w:r w:rsidRPr="00155D66">
        <w:rPr>
          <w:sz w:val="24"/>
          <w:szCs w:val="24"/>
        </w:rPr>
        <w:t>hyperthyreoidisme</w:t>
      </w:r>
      <w:proofErr w:type="spellEnd"/>
      <w:r w:rsidRPr="00155D66">
        <w:rPr>
          <w:sz w:val="24"/>
          <w:szCs w:val="24"/>
        </w:rPr>
        <w:t>.</w:t>
      </w:r>
    </w:p>
    <w:p w14:paraId="172C646B" w14:textId="77777777" w:rsidR="008203A8" w:rsidRPr="00155D66" w:rsidRDefault="008203A8" w:rsidP="008203A8">
      <w:pPr>
        <w:pStyle w:val="Sidehoved"/>
        <w:ind w:left="851"/>
        <w:rPr>
          <w:szCs w:val="24"/>
        </w:rPr>
      </w:pPr>
    </w:p>
    <w:p w14:paraId="1D15099B" w14:textId="77777777" w:rsidR="008203A8" w:rsidRPr="00155D66" w:rsidRDefault="008203A8" w:rsidP="008203A8">
      <w:pPr>
        <w:pStyle w:val="Sidehoved"/>
        <w:tabs>
          <w:tab w:val="clear" w:pos="4819"/>
          <w:tab w:val="left" w:pos="851"/>
        </w:tabs>
        <w:ind w:left="851" w:hanging="851"/>
        <w:rPr>
          <w:b/>
          <w:szCs w:val="24"/>
        </w:rPr>
      </w:pPr>
      <w:r w:rsidRPr="00155D66">
        <w:rPr>
          <w:b/>
          <w:szCs w:val="24"/>
        </w:rPr>
        <w:t>3.3</w:t>
      </w:r>
      <w:r w:rsidRPr="00155D66">
        <w:rPr>
          <w:b/>
          <w:szCs w:val="24"/>
        </w:rPr>
        <w:tab/>
        <w:t>Kontraindikationer</w:t>
      </w:r>
    </w:p>
    <w:p w14:paraId="75A8B6A3" w14:textId="77777777" w:rsidR="00646941" w:rsidRPr="00155D66" w:rsidRDefault="00646941" w:rsidP="0026454A">
      <w:pPr>
        <w:ind w:left="851"/>
        <w:rPr>
          <w:sz w:val="24"/>
          <w:szCs w:val="24"/>
        </w:rPr>
      </w:pPr>
      <w:r w:rsidRPr="00155D66">
        <w:rPr>
          <w:sz w:val="24"/>
          <w:szCs w:val="24"/>
        </w:rPr>
        <w:t>Må ikke anvendes til katte, der lider af systemisk sygdom såsom primær leversygdom eller diabetes mellitus.</w:t>
      </w:r>
    </w:p>
    <w:p w14:paraId="6473802D" w14:textId="77777777" w:rsidR="00646941" w:rsidRPr="00155D66" w:rsidRDefault="00646941" w:rsidP="0026454A">
      <w:pPr>
        <w:ind w:left="851"/>
        <w:rPr>
          <w:sz w:val="24"/>
          <w:szCs w:val="24"/>
        </w:rPr>
      </w:pPr>
      <w:r w:rsidRPr="00155D66">
        <w:rPr>
          <w:sz w:val="24"/>
          <w:szCs w:val="24"/>
        </w:rPr>
        <w:t>Må ikke anvendes til katte, der viser tegn på autoimmun sygdom.</w:t>
      </w:r>
    </w:p>
    <w:p w14:paraId="3E092D04" w14:textId="77777777" w:rsidR="00646941" w:rsidRPr="00155D66" w:rsidRDefault="00646941" w:rsidP="0026454A">
      <w:pPr>
        <w:ind w:left="851"/>
        <w:rPr>
          <w:sz w:val="24"/>
          <w:szCs w:val="24"/>
        </w:rPr>
      </w:pPr>
      <w:r w:rsidRPr="00155D66">
        <w:rPr>
          <w:sz w:val="24"/>
          <w:szCs w:val="24"/>
        </w:rPr>
        <w:t xml:space="preserve">Må ikke anvendes til dyr med leukocytforstyrrelser, såsom </w:t>
      </w:r>
      <w:proofErr w:type="spellStart"/>
      <w:r w:rsidRPr="00155D66">
        <w:rPr>
          <w:sz w:val="24"/>
          <w:szCs w:val="24"/>
        </w:rPr>
        <w:t>neutropeni</w:t>
      </w:r>
      <w:proofErr w:type="spellEnd"/>
      <w:r w:rsidRPr="00155D66">
        <w:rPr>
          <w:sz w:val="24"/>
          <w:szCs w:val="24"/>
        </w:rPr>
        <w:t xml:space="preserve"> og </w:t>
      </w:r>
      <w:proofErr w:type="spellStart"/>
      <w:r w:rsidRPr="00155D66">
        <w:rPr>
          <w:sz w:val="24"/>
          <w:szCs w:val="24"/>
        </w:rPr>
        <w:t>lymfopeni</w:t>
      </w:r>
      <w:proofErr w:type="spellEnd"/>
      <w:r w:rsidRPr="00155D66">
        <w:rPr>
          <w:sz w:val="24"/>
          <w:szCs w:val="24"/>
        </w:rPr>
        <w:t>.</w:t>
      </w:r>
    </w:p>
    <w:p w14:paraId="0110D729" w14:textId="77777777" w:rsidR="00646941" w:rsidRPr="00155D66" w:rsidRDefault="00646941" w:rsidP="0026454A">
      <w:pPr>
        <w:ind w:left="851"/>
        <w:rPr>
          <w:sz w:val="24"/>
          <w:szCs w:val="24"/>
        </w:rPr>
      </w:pPr>
      <w:r w:rsidRPr="00155D66">
        <w:rPr>
          <w:sz w:val="24"/>
          <w:szCs w:val="24"/>
        </w:rPr>
        <w:t xml:space="preserve">Må ikke anvendes til dyr med </w:t>
      </w:r>
      <w:proofErr w:type="spellStart"/>
      <w:r w:rsidRPr="00155D66">
        <w:rPr>
          <w:sz w:val="24"/>
          <w:szCs w:val="24"/>
        </w:rPr>
        <w:t>trombocytforstyrrelser</w:t>
      </w:r>
      <w:proofErr w:type="spellEnd"/>
      <w:r w:rsidRPr="00155D66">
        <w:rPr>
          <w:sz w:val="24"/>
          <w:szCs w:val="24"/>
        </w:rPr>
        <w:t xml:space="preserve"> og koagulationsdefekter (især </w:t>
      </w:r>
      <w:proofErr w:type="spellStart"/>
      <w:r w:rsidRPr="00155D66">
        <w:rPr>
          <w:sz w:val="24"/>
          <w:szCs w:val="24"/>
        </w:rPr>
        <w:t>trombocytopeni</w:t>
      </w:r>
      <w:proofErr w:type="spellEnd"/>
      <w:r w:rsidRPr="00155D66">
        <w:rPr>
          <w:sz w:val="24"/>
          <w:szCs w:val="24"/>
        </w:rPr>
        <w:t>)</w:t>
      </w:r>
    </w:p>
    <w:p w14:paraId="7E1AF82A" w14:textId="77777777" w:rsidR="00646941" w:rsidRPr="00155D66" w:rsidRDefault="00646941" w:rsidP="0026454A">
      <w:pPr>
        <w:ind w:left="851"/>
        <w:rPr>
          <w:sz w:val="24"/>
          <w:szCs w:val="24"/>
        </w:rPr>
      </w:pPr>
      <w:r w:rsidRPr="00155D66">
        <w:rPr>
          <w:sz w:val="24"/>
          <w:szCs w:val="24"/>
        </w:rPr>
        <w:t>Må ikke anvendes til drægtige eller diegivende hunkatte.</w:t>
      </w:r>
    </w:p>
    <w:p w14:paraId="6BAF4CE8" w14:textId="77777777" w:rsidR="00646941" w:rsidRPr="00155D66" w:rsidRDefault="00646941" w:rsidP="0026454A">
      <w:pPr>
        <w:ind w:left="851"/>
        <w:rPr>
          <w:sz w:val="24"/>
          <w:szCs w:val="24"/>
        </w:rPr>
      </w:pPr>
      <w:r w:rsidRPr="00155D66">
        <w:rPr>
          <w:sz w:val="24"/>
          <w:szCs w:val="24"/>
        </w:rPr>
        <w:t>Må ikke anvendes i tilfælde af overfølsomhed over for aktive stoffer eller et eller flere af hjælpestofferne.</w:t>
      </w:r>
    </w:p>
    <w:p w14:paraId="3F264A01" w14:textId="77777777" w:rsidR="00646941" w:rsidRPr="00155D66" w:rsidRDefault="00646941" w:rsidP="0026454A">
      <w:pPr>
        <w:ind w:left="851"/>
        <w:rPr>
          <w:sz w:val="24"/>
          <w:szCs w:val="24"/>
        </w:rPr>
      </w:pPr>
      <w:r w:rsidRPr="00155D66">
        <w:rPr>
          <w:sz w:val="24"/>
          <w:szCs w:val="24"/>
        </w:rPr>
        <w:t>Se punkt 3.7.</w:t>
      </w:r>
    </w:p>
    <w:p w14:paraId="6315DD97" w14:textId="77777777" w:rsidR="008203A8" w:rsidRPr="00155D66" w:rsidRDefault="008203A8" w:rsidP="008203A8">
      <w:pPr>
        <w:pStyle w:val="Sidehoved"/>
        <w:tabs>
          <w:tab w:val="clear" w:pos="4819"/>
        </w:tabs>
        <w:ind w:left="851"/>
        <w:rPr>
          <w:szCs w:val="24"/>
        </w:rPr>
      </w:pPr>
    </w:p>
    <w:p w14:paraId="58E2E317" w14:textId="77777777" w:rsidR="008203A8" w:rsidRPr="00155D66" w:rsidRDefault="008203A8" w:rsidP="008203A8">
      <w:pPr>
        <w:tabs>
          <w:tab w:val="left" w:pos="851"/>
        </w:tabs>
        <w:ind w:left="851" w:hanging="851"/>
        <w:rPr>
          <w:b/>
          <w:sz w:val="24"/>
          <w:szCs w:val="24"/>
        </w:rPr>
      </w:pPr>
      <w:r w:rsidRPr="00155D66">
        <w:rPr>
          <w:b/>
          <w:sz w:val="24"/>
          <w:szCs w:val="24"/>
        </w:rPr>
        <w:t>3.4</w:t>
      </w:r>
      <w:r w:rsidRPr="00155D66">
        <w:rPr>
          <w:b/>
          <w:sz w:val="24"/>
          <w:szCs w:val="24"/>
        </w:rPr>
        <w:tab/>
        <w:t>Særlige advarsler</w:t>
      </w:r>
    </w:p>
    <w:p w14:paraId="5DD19BA1" w14:textId="77777777" w:rsidR="00646941" w:rsidRPr="00155D66" w:rsidRDefault="00646941" w:rsidP="0026454A">
      <w:pPr>
        <w:ind w:left="851"/>
        <w:rPr>
          <w:sz w:val="24"/>
          <w:szCs w:val="24"/>
        </w:rPr>
      </w:pPr>
      <w:bookmarkStart w:id="1" w:name="_Hlk129253304"/>
      <w:r w:rsidRPr="00155D66">
        <w:rPr>
          <w:sz w:val="24"/>
          <w:szCs w:val="24"/>
        </w:rPr>
        <w:t xml:space="preserve">For at kunne øge stabiliseringen af den </w:t>
      </w:r>
      <w:proofErr w:type="spellStart"/>
      <w:r w:rsidRPr="00155D66">
        <w:rPr>
          <w:sz w:val="24"/>
          <w:szCs w:val="24"/>
        </w:rPr>
        <w:t>hyperthyroide</w:t>
      </w:r>
      <w:proofErr w:type="spellEnd"/>
      <w:r w:rsidRPr="00155D66">
        <w:rPr>
          <w:sz w:val="24"/>
          <w:szCs w:val="24"/>
        </w:rPr>
        <w:t xml:space="preserve"> dyr bør den samme fodrings- og doseringsplan anvendes daglig.</w:t>
      </w:r>
      <w:bookmarkEnd w:id="1"/>
    </w:p>
    <w:p w14:paraId="0367EDD3" w14:textId="77777777" w:rsidR="008203A8" w:rsidRPr="00155D66" w:rsidRDefault="008203A8" w:rsidP="008203A8">
      <w:pPr>
        <w:pStyle w:val="Sidehoved"/>
        <w:tabs>
          <w:tab w:val="clear" w:pos="4819"/>
        </w:tabs>
        <w:ind w:left="851"/>
        <w:rPr>
          <w:szCs w:val="24"/>
        </w:rPr>
      </w:pPr>
    </w:p>
    <w:p w14:paraId="451B6309" w14:textId="77777777" w:rsidR="008203A8" w:rsidRPr="00155D66" w:rsidRDefault="008203A8" w:rsidP="008203A8">
      <w:pPr>
        <w:tabs>
          <w:tab w:val="left" w:pos="851"/>
        </w:tabs>
        <w:ind w:left="851" w:hanging="851"/>
        <w:rPr>
          <w:b/>
          <w:sz w:val="24"/>
          <w:szCs w:val="24"/>
        </w:rPr>
      </w:pPr>
      <w:r w:rsidRPr="00155D66">
        <w:rPr>
          <w:b/>
          <w:sz w:val="24"/>
          <w:szCs w:val="24"/>
        </w:rPr>
        <w:t>3.5</w:t>
      </w:r>
      <w:r w:rsidRPr="00155D66">
        <w:rPr>
          <w:b/>
          <w:sz w:val="24"/>
          <w:szCs w:val="24"/>
        </w:rPr>
        <w:tab/>
        <w:t>Særlige forholdsregler vedrørende brugen</w:t>
      </w:r>
    </w:p>
    <w:p w14:paraId="46B330A1" w14:textId="77777777" w:rsidR="008203A8" w:rsidRPr="00155D66" w:rsidRDefault="008203A8" w:rsidP="008203A8">
      <w:pPr>
        <w:tabs>
          <w:tab w:val="left" w:pos="851"/>
        </w:tabs>
        <w:ind w:left="851"/>
        <w:rPr>
          <w:sz w:val="24"/>
          <w:szCs w:val="24"/>
        </w:rPr>
      </w:pPr>
    </w:p>
    <w:p w14:paraId="635D5A97" w14:textId="77777777" w:rsidR="008203A8" w:rsidRPr="00155D66" w:rsidRDefault="008203A8" w:rsidP="008203A8">
      <w:pPr>
        <w:tabs>
          <w:tab w:val="left" w:pos="851"/>
        </w:tabs>
        <w:ind w:left="851"/>
        <w:rPr>
          <w:sz w:val="24"/>
          <w:szCs w:val="24"/>
          <w:u w:val="single"/>
        </w:rPr>
      </w:pPr>
      <w:r w:rsidRPr="00155D66">
        <w:rPr>
          <w:sz w:val="24"/>
          <w:szCs w:val="24"/>
          <w:u w:val="single"/>
        </w:rPr>
        <w:t>Særlige forholdsregler vedrørende sikker brug hos de dyrearter, som lægemidlet er beregnet til</w:t>
      </w:r>
    </w:p>
    <w:p w14:paraId="0318A0F4" w14:textId="1489A50D" w:rsidR="00646941" w:rsidRPr="00155D66" w:rsidRDefault="00646941" w:rsidP="0026454A">
      <w:pPr>
        <w:pStyle w:val="Listeafsnit"/>
        <w:numPr>
          <w:ilvl w:val="0"/>
          <w:numId w:val="6"/>
        </w:numPr>
        <w:ind w:left="1276" w:hanging="425"/>
        <w:rPr>
          <w:sz w:val="24"/>
          <w:szCs w:val="24"/>
        </w:rPr>
      </w:pPr>
      <w:r w:rsidRPr="00155D66">
        <w:rPr>
          <w:sz w:val="24"/>
          <w:szCs w:val="24"/>
        </w:rPr>
        <w:t>Hvis der er behov for mere end 10 mg pr. dag (2 ml af veterinærlægemidlet), skal dyrene overvåges særligt opmærksomt.</w:t>
      </w:r>
    </w:p>
    <w:p w14:paraId="7F8D9911" w14:textId="77777777" w:rsidR="00397FED" w:rsidRPr="00155D66" w:rsidRDefault="00397FED" w:rsidP="00397FED">
      <w:pPr>
        <w:pStyle w:val="Listeafsnit"/>
        <w:ind w:left="1276"/>
        <w:rPr>
          <w:sz w:val="24"/>
          <w:szCs w:val="24"/>
        </w:rPr>
      </w:pPr>
    </w:p>
    <w:p w14:paraId="62E3701A" w14:textId="76362DF7" w:rsidR="00646941" w:rsidRPr="00155D66" w:rsidRDefault="00646941" w:rsidP="0026454A">
      <w:pPr>
        <w:pStyle w:val="Listeafsnit"/>
        <w:numPr>
          <w:ilvl w:val="0"/>
          <w:numId w:val="6"/>
        </w:numPr>
        <w:ind w:left="1276" w:hanging="425"/>
        <w:rPr>
          <w:sz w:val="24"/>
          <w:szCs w:val="24"/>
        </w:rPr>
      </w:pPr>
      <w:r w:rsidRPr="00155D66">
        <w:rPr>
          <w:sz w:val="24"/>
          <w:szCs w:val="24"/>
        </w:rPr>
        <w:t xml:space="preserve">Brug af lægemidlet til katte med </w:t>
      </w:r>
      <w:proofErr w:type="spellStart"/>
      <w:r w:rsidRPr="00155D66">
        <w:rPr>
          <w:sz w:val="24"/>
          <w:szCs w:val="24"/>
        </w:rPr>
        <w:t>renal</w:t>
      </w:r>
      <w:proofErr w:type="spellEnd"/>
      <w:r w:rsidRPr="00155D66">
        <w:rPr>
          <w:sz w:val="24"/>
          <w:szCs w:val="24"/>
        </w:rPr>
        <w:t xml:space="preserve"> dysfunktion bør kun ske efter en omhyggelig </w:t>
      </w:r>
      <w:proofErr w:type="spellStart"/>
      <w:r w:rsidRPr="00155D66">
        <w:rPr>
          <w:sz w:val="24"/>
          <w:szCs w:val="24"/>
        </w:rPr>
        <w:t>risk</w:t>
      </w:r>
      <w:proofErr w:type="spellEnd"/>
      <w:r w:rsidRPr="00155D66">
        <w:rPr>
          <w:sz w:val="24"/>
          <w:szCs w:val="24"/>
        </w:rPr>
        <w:t xml:space="preserve">/benefit-vurdering foretaget af den behandlende dyrlæge. Da </w:t>
      </w:r>
      <w:proofErr w:type="spellStart"/>
      <w:r w:rsidRPr="00155D66">
        <w:rPr>
          <w:sz w:val="24"/>
          <w:szCs w:val="24"/>
        </w:rPr>
        <w:t>thiamazol</w:t>
      </w:r>
      <w:proofErr w:type="spellEnd"/>
      <w:r w:rsidRPr="00155D66">
        <w:rPr>
          <w:sz w:val="24"/>
          <w:szCs w:val="24"/>
        </w:rPr>
        <w:t xml:space="preserve"> kan have en nedsættende virkning på </w:t>
      </w:r>
      <w:proofErr w:type="spellStart"/>
      <w:r w:rsidRPr="00155D66">
        <w:rPr>
          <w:sz w:val="24"/>
          <w:szCs w:val="24"/>
        </w:rPr>
        <w:t>glomerulusfiltrationshastigheden</w:t>
      </w:r>
      <w:proofErr w:type="spellEnd"/>
      <w:r w:rsidRPr="00155D66">
        <w:rPr>
          <w:sz w:val="24"/>
          <w:szCs w:val="24"/>
        </w:rPr>
        <w:t>, bør behandlingens virkning på nyrefunktionen monitoreres tæt, idet der kan forekomme forværring af en tilgrundliggende tilstand.</w:t>
      </w:r>
    </w:p>
    <w:p w14:paraId="178E4243" w14:textId="77777777" w:rsidR="00397FED" w:rsidRPr="00155D66" w:rsidRDefault="00397FED" w:rsidP="00397FED">
      <w:pPr>
        <w:pStyle w:val="Listeafsnit"/>
        <w:ind w:left="1276"/>
        <w:rPr>
          <w:sz w:val="24"/>
          <w:szCs w:val="24"/>
        </w:rPr>
      </w:pPr>
    </w:p>
    <w:p w14:paraId="4A508FE1" w14:textId="4790BC9C" w:rsidR="00646941" w:rsidRPr="00155D66" w:rsidRDefault="00646941" w:rsidP="0026454A">
      <w:pPr>
        <w:pStyle w:val="Listeafsnit"/>
        <w:numPr>
          <w:ilvl w:val="0"/>
          <w:numId w:val="6"/>
        </w:numPr>
        <w:ind w:left="1276" w:hanging="425"/>
        <w:rPr>
          <w:sz w:val="24"/>
          <w:szCs w:val="24"/>
        </w:rPr>
      </w:pPr>
      <w:r w:rsidRPr="00155D66">
        <w:rPr>
          <w:sz w:val="24"/>
          <w:szCs w:val="24"/>
        </w:rPr>
        <w:t xml:space="preserve">Hæmatologi skal overvåges grundet risikoen for </w:t>
      </w:r>
      <w:proofErr w:type="spellStart"/>
      <w:r w:rsidRPr="00155D66">
        <w:rPr>
          <w:sz w:val="24"/>
          <w:szCs w:val="24"/>
        </w:rPr>
        <w:t>leukopeni</w:t>
      </w:r>
      <w:proofErr w:type="spellEnd"/>
      <w:r w:rsidRPr="00155D66">
        <w:rPr>
          <w:sz w:val="24"/>
          <w:szCs w:val="24"/>
        </w:rPr>
        <w:t xml:space="preserve"> eller </w:t>
      </w:r>
      <w:proofErr w:type="spellStart"/>
      <w:r w:rsidRPr="00155D66">
        <w:rPr>
          <w:sz w:val="24"/>
          <w:szCs w:val="24"/>
        </w:rPr>
        <w:t>hæmolytisk</w:t>
      </w:r>
      <w:proofErr w:type="spellEnd"/>
      <w:r w:rsidRPr="00155D66">
        <w:rPr>
          <w:sz w:val="24"/>
          <w:szCs w:val="24"/>
        </w:rPr>
        <w:t xml:space="preserve"> anæmi.</w:t>
      </w:r>
    </w:p>
    <w:p w14:paraId="16A09653" w14:textId="77777777" w:rsidR="00397FED" w:rsidRPr="00155D66" w:rsidRDefault="00397FED" w:rsidP="00397FED">
      <w:pPr>
        <w:pStyle w:val="Listeafsnit"/>
        <w:ind w:left="1276"/>
        <w:rPr>
          <w:sz w:val="24"/>
          <w:szCs w:val="24"/>
        </w:rPr>
      </w:pPr>
    </w:p>
    <w:p w14:paraId="0FAC93F1" w14:textId="645873EE" w:rsidR="00646941" w:rsidRPr="00155D66" w:rsidRDefault="00646941" w:rsidP="0026454A">
      <w:pPr>
        <w:pStyle w:val="Listeafsnit"/>
        <w:numPr>
          <w:ilvl w:val="0"/>
          <w:numId w:val="6"/>
        </w:numPr>
        <w:ind w:left="1276" w:hanging="425"/>
        <w:rPr>
          <w:sz w:val="24"/>
          <w:szCs w:val="24"/>
        </w:rPr>
      </w:pPr>
      <w:r w:rsidRPr="00155D66">
        <w:rPr>
          <w:sz w:val="24"/>
          <w:szCs w:val="24"/>
        </w:rPr>
        <w:t>Et</w:t>
      </w:r>
      <w:r w:rsidR="00397FED" w:rsidRPr="00155D66">
        <w:rPr>
          <w:sz w:val="24"/>
          <w:szCs w:val="24"/>
        </w:rPr>
        <w:t xml:space="preserve"> </w:t>
      </w:r>
      <w:r w:rsidRPr="00155D66">
        <w:rPr>
          <w:sz w:val="24"/>
          <w:szCs w:val="24"/>
        </w:rPr>
        <w:t xml:space="preserve">dyr, der pludseligt virker utilpas under behandlingen, især hvis dyret er </w:t>
      </w:r>
      <w:proofErr w:type="gramStart"/>
      <w:r w:rsidRPr="00155D66">
        <w:rPr>
          <w:sz w:val="24"/>
          <w:szCs w:val="24"/>
        </w:rPr>
        <w:t>febril</w:t>
      </w:r>
      <w:proofErr w:type="gramEnd"/>
      <w:r w:rsidRPr="00155D66">
        <w:rPr>
          <w:sz w:val="24"/>
          <w:szCs w:val="24"/>
        </w:rPr>
        <w:t>, skal have taget en blodprøve for rutinemæssig kontrol af hæmatologi og biokemi.</w:t>
      </w:r>
    </w:p>
    <w:p w14:paraId="6AB438EC" w14:textId="29B3A5FA" w:rsidR="00646941" w:rsidRPr="00155D66" w:rsidRDefault="00646941" w:rsidP="0026454A">
      <w:pPr>
        <w:pStyle w:val="Listeafsnit"/>
        <w:numPr>
          <w:ilvl w:val="0"/>
          <w:numId w:val="6"/>
        </w:numPr>
        <w:ind w:left="1276" w:hanging="425"/>
        <w:rPr>
          <w:sz w:val="24"/>
          <w:szCs w:val="24"/>
        </w:rPr>
      </w:pPr>
      <w:proofErr w:type="spellStart"/>
      <w:r w:rsidRPr="00155D66">
        <w:rPr>
          <w:sz w:val="24"/>
          <w:szCs w:val="24"/>
        </w:rPr>
        <w:lastRenderedPageBreak/>
        <w:t>Neutropene</w:t>
      </w:r>
      <w:proofErr w:type="spellEnd"/>
      <w:r w:rsidRPr="00155D66">
        <w:rPr>
          <w:sz w:val="24"/>
          <w:szCs w:val="24"/>
        </w:rPr>
        <w:t xml:space="preserve"> dyr (</w:t>
      </w:r>
      <w:proofErr w:type="spellStart"/>
      <w:r w:rsidRPr="00155D66">
        <w:rPr>
          <w:sz w:val="24"/>
          <w:szCs w:val="24"/>
        </w:rPr>
        <w:t>neutrofiltal</w:t>
      </w:r>
      <w:proofErr w:type="spellEnd"/>
      <w:r w:rsidRPr="00155D66">
        <w:rPr>
          <w:sz w:val="24"/>
          <w:szCs w:val="24"/>
        </w:rPr>
        <w:t xml:space="preserve"> &lt;2,5 x 10</w:t>
      </w:r>
      <w:r w:rsidRPr="00155D66">
        <w:rPr>
          <w:sz w:val="24"/>
          <w:szCs w:val="24"/>
          <w:vertAlign w:val="superscript"/>
        </w:rPr>
        <w:t>9</w:t>
      </w:r>
      <w:r w:rsidRPr="00155D66">
        <w:rPr>
          <w:sz w:val="24"/>
          <w:szCs w:val="24"/>
        </w:rPr>
        <w:t xml:space="preserve">/l) skal behandles med profylaktisk med </w:t>
      </w:r>
      <w:proofErr w:type="spellStart"/>
      <w:r w:rsidRPr="00155D66">
        <w:rPr>
          <w:sz w:val="24"/>
          <w:szCs w:val="24"/>
        </w:rPr>
        <w:t>bactericide</w:t>
      </w:r>
      <w:proofErr w:type="spellEnd"/>
      <w:r w:rsidRPr="00155D66">
        <w:rPr>
          <w:sz w:val="24"/>
          <w:szCs w:val="24"/>
        </w:rPr>
        <w:t>, antibakteriel medicin og understøttende terapi.</w:t>
      </w:r>
    </w:p>
    <w:p w14:paraId="6BF327A8" w14:textId="77777777" w:rsidR="00397FED" w:rsidRPr="00155D66" w:rsidRDefault="00397FED" w:rsidP="00397FED">
      <w:pPr>
        <w:pStyle w:val="Listeafsnit"/>
        <w:ind w:left="1276"/>
        <w:rPr>
          <w:sz w:val="24"/>
          <w:szCs w:val="24"/>
        </w:rPr>
      </w:pPr>
    </w:p>
    <w:p w14:paraId="1EF8B4AA" w14:textId="6A454EF1" w:rsidR="00646941" w:rsidRPr="00155D66" w:rsidRDefault="00646941" w:rsidP="0026454A">
      <w:pPr>
        <w:pStyle w:val="Listeafsnit"/>
        <w:numPr>
          <w:ilvl w:val="0"/>
          <w:numId w:val="6"/>
        </w:numPr>
        <w:ind w:left="1276" w:hanging="425"/>
        <w:rPr>
          <w:sz w:val="24"/>
          <w:szCs w:val="24"/>
        </w:rPr>
      </w:pPr>
      <w:bookmarkStart w:id="2" w:name="_Hlk129253332"/>
      <w:r w:rsidRPr="00155D66">
        <w:rPr>
          <w:sz w:val="24"/>
          <w:szCs w:val="24"/>
        </w:rPr>
        <w:t xml:space="preserve">Da </w:t>
      </w:r>
      <w:proofErr w:type="spellStart"/>
      <w:r w:rsidRPr="00155D66">
        <w:rPr>
          <w:sz w:val="24"/>
          <w:szCs w:val="24"/>
        </w:rPr>
        <w:t>thiamazol</w:t>
      </w:r>
      <w:proofErr w:type="spellEnd"/>
      <w:r w:rsidRPr="00155D66">
        <w:rPr>
          <w:sz w:val="24"/>
          <w:szCs w:val="24"/>
        </w:rPr>
        <w:t xml:space="preserve"> kan forårsage </w:t>
      </w:r>
      <w:proofErr w:type="spellStart"/>
      <w:r w:rsidRPr="00155D66">
        <w:rPr>
          <w:sz w:val="24"/>
          <w:szCs w:val="24"/>
        </w:rPr>
        <w:t>hæmokoncentration</w:t>
      </w:r>
      <w:proofErr w:type="spellEnd"/>
      <w:r w:rsidRPr="00155D66">
        <w:rPr>
          <w:sz w:val="24"/>
          <w:szCs w:val="24"/>
        </w:rPr>
        <w:t>, skal katte altid have adgang til drikkevand.</w:t>
      </w:r>
    </w:p>
    <w:p w14:paraId="7FF25794" w14:textId="77777777" w:rsidR="00397FED" w:rsidRPr="00155D66" w:rsidRDefault="00397FED" w:rsidP="00397FED">
      <w:pPr>
        <w:pStyle w:val="Listeafsnit"/>
        <w:ind w:left="1276"/>
        <w:rPr>
          <w:sz w:val="24"/>
          <w:szCs w:val="24"/>
        </w:rPr>
      </w:pPr>
    </w:p>
    <w:bookmarkEnd w:id="2"/>
    <w:p w14:paraId="4637AC0F" w14:textId="77777777" w:rsidR="00646941" w:rsidRPr="00155D66" w:rsidRDefault="00646941" w:rsidP="0026454A">
      <w:pPr>
        <w:pStyle w:val="Listeafsnit"/>
        <w:numPr>
          <w:ilvl w:val="0"/>
          <w:numId w:val="6"/>
        </w:numPr>
        <w:ind w:left="1276" w:hanging="425"/>
        <w:rPr>
          <w:sz w:val="24"/>
          <w:szCs w:val="24"/>
        </w:rPr>
      </w:pPr>
      <w:r w:rsidRPr="00155D66">
        <w:rPr>
          <w:sz w:val="24"/>
          <w:szCs w:val="24"/>
        </w:rPr>
        <w:t>Se punkt 3.9 for instrukser for overvågning.</w:t>
      </w:r>
    </w:p>
    <w:p w14:paraId="54962FC9" w14:textId="77777777" w:rsidR="008203A8" w:rsidRPr="00155D66" w:rsidRDefault="008203A8" w:rsidP="008203A8">
      <w:pPr>
        <w:tabs>
          <w:tab w:val="left" w:pos="851"/>
        </w:tabs>
        <w:ind w:left="851"/>
        <w:rPr>
          <w:sz w:val="24"/>
          <w:szCs w:val="24"/>
        </w:rPr>
      </w:pPr>
    </w:p>
    <w:p w14:paraId="20B424A9" w14:textId="77777777" w:rsidR="008203A8" w:rsidRPr="00155D66" w:rsidRDefault="008203A8" w:rsidP="008203A8">
      <w:pPr>
        <w:tabs>
          <w:tab w:val="left" w:pos="851"/>
        </w:tabs>
        <w:ind w:left="851"/>
        <w:rPr>
          <w:sz w:val="24"/>
          <w:szCs w:val="24"/>
          <w:u w:val="single"/>
        </w:rPr>
      </w:pPr>
      <w:r w:rsidRPr="00155D66">
        <w:rPr>
          <w:sz w:val="24"/>
          <w:szCs w:val="24"/>
          <w:u w:val="single"/>
        </w:rPr>
        <w:t>Særlige forholdsregler for personer, der administrerer veterinærlægemidlet til dyr</w:t>
      </w:r>
    </w:p>
    <w:p w14:paraId="5C6823FE" w14:textId="32C7F774" w:rsidR="00646941" w:rsidRPr="00155D66" w:rsidRDefault="00646941" w:rsidP="0026454A">
      <w:pPr>
        <w:pStyle w:val="Listeafsnit"/>
        <w:numPr>
          <w:ilvl w:val="0"/>
          <w:numId w:val="7"/>
        </w:numPr>
        <w:ind w:left="1276" w:hanging="425"/>
        <w:rPr>
          <w:sz w:val="24"/>
          <w:szCs w:val="24"/>
        </w:rPr>
      </w:pPr>
      <w:bookmarkStart w:id="3" w:name="_Hlk135920604"/>
      <w:bookmarkStart w:id="4" w:name="_Hlk129254023"/>
      <w:r w:rsidRPr="00155D66">
        <w:rPr>
          <w:sz w:val="24"/>
          <w:szCs w:val="24"/>
        </w:rPr>
        <w:t xml:space="preserve">Da </w:t>
      </w:r>
      <w:proofErr w:type="spellStart"/>
      <w:r w:rsidRPr="00155D66">
        <w:rPr>
          <w:sz w:val="24"/>
          <w:szCs w:val="24"/>
        </w:rPr>
        <w:t>thiamazol</w:t>
      </w:r>
      <w:proofErr w:type="spellEnd"/>
      <w:r w:rsidRPr="00155D66">
        <w:rPr>
          <w:sz w:val="24"/>
          <w:szCs w:val="24"/>
        </w:rPr>
        <w:t xml:space="preserve"> er et formodet humant </w:t>
      </w:r>
      <w:proofErr w:type="spellStart"/>
      <w:r w:rsidRPr="00155D66">
        <w:rPr>
          <w:sz w:val="24"/>
          <w:szCs w:val="24"/>
        </w:rPr>
        <w:t>teratogen</w:t>
      </w:r>
      <w:proofErr w:type="spellEnd"/>
      <w:r w:rsidRPr="00155D66">
        <w:rPr>
          <w:sz w:val="24"/>
          <w:szCs w:val="24"/>
        </w:rPr>
        <w:t>, og det udskilles i modermælken, bør kvinder, der kan blive gravide, og ammende kvinder bære non-permeable handsker til engangsbrug, når de håndterer veterinærlægemidlet, de behandlede dyrs opkast eller brugt kattegrus. Hvis du er gravid, tror du kan være gravid, eller du forsøger at blive gravid, bør du ikke administrere veterinærlægemidlet eller håndtere behandlede kattes kattegrus/opkast.</w:t>
      </w:r>
    </w:p>
    <w:p w14:paraId="3C6CF602" w14:textId="77777777" w:rsidR="00397FED" w:rsidRPr="00155D66" w:rsidRDefault="00397FED" w:rsidP="00397FED">
      <w:pPr>
        <w:pStyle w:val="Listeafsnit"/>
        <w:ind w:left="1276"/>
        <w:rPr>
          <w:sz w:val="24"/>
          <w:szCs w:val="24"/>
        </w:rPr>
      </w:pPr>
    </w:p>
    <w:p w14:paraId="2239ADB4" w14:textId="4F4313DE" w:rsidR="00646941" w:rsidRPr="00155D66" w:rsidRDefault="00646941" w:rsidP="0026454A">
      <w:pPr>
        <w:pStyle w:val="Listeafsnit"/>
        <w:numPr>
          <w:ilvl w:val="0"/>
          <w:numId w:val="7"/>
        </w:numPr>
        <w:ind w:left="1276" w:hanging="425"/>
        <w:rPr>
          <w:sz w:val="24"/>
          <w:szCs w:val="24"/>
        </w:rPr>
      </w:pPr>
      <w:r w:rsidRPr="00155D66">
        <w:rPr>
          <w:sz w:val="24"/>
          <w:szCs w:val="24"/>
        </w:rPr>
        <w:t xml:space="preserve">Dette veterinærlægemiddel kan forårsage allergiske reaktioner efter kontakt med huden. Undlad at håndtere dette veterinærlægemiddel, hvis du er allergisk over for </w:t>
      </w:r>
      <w:proofErr w:type="spellStart"/>
      <w:r w:rsidRPr="00155D66">
        <w:rPr>
          <w:sz w:val="24"/>
          <w:szCs w:val="24"/>
        </w:rPr>
        <w:t>thiamazol</w:t>
      </w:r>
      <w:proofErr w:type="spellEnd"/>
      <w:r w:rsidRPr="00155D66">
        <w:rPr>
          <w:sz w:val="24"/>
          <w:szCs w:val="24"/>
        </w:rPr>
        <w:t xml:space="preserve"> eller et af hjælpestofferne. Hvis der opstår allergiske symptomer, såsom hududslæt, hævelse af ansigt, læber eller øjne eller vejrtrækningsbesvær, bør der omgående søges lægehjælp, og lægen skal forelægges indlægssedlen eller etiketten.</w:t>
      </w:r>
    </w:p>
    <w:p w14:paraId="5B5DFED1" w14:textId="77777777" w:rsidR="00397FED" w:rsidRPr="00155D66" w:rsidRDefault="00397FED" w:rsidP="00397FED">
      <w:pPr>
        <w:pStyle w:val="Listeafsnit"/>
        <w:ind w:left="1276"/>
        <w:rPr>
          <w:sz w:val="24"/>
          <w:szCs w:val="24"/>
        </w:rPr>
      </w:pPr>
    </w:p>
    <w:p w14:paraId="19C9917C" w14:textId="76E62E0C" w:rsidR="00646941" w:rsidRPr="00155D66" w:rsidRDefault="00646941" w:rsidP="0026454A">
      <w:pPr>
        <w:pStyle w:val="Listeafsnit"/>
        <w:numPr>
          <w:ilvl w:val="0"/>
          <w:numId w:val="7"/>
        </w:numPr>
        <w:ind w:left="1276" w:hanging="425"/>
        <w:rPr>
          <w:sz w:val="24"/>
          <w:szCs w:val="24"/>
        </w:rPr>
      </w:pPr>
      <w:r w:rsidRPr="00155D66">
        <w:rPr>
          <w:sz w:val="24"/>
          <w:szCs w:val="24"/>
        </w:rPr>
        <w:t>Dette veterinærlægemiddel kan forårsage hud- eller øjenirritation. Undgå kontakt med huden og øjnene såvel som hånd-til-</w:t>
      </w:r>
      <w:proofErr w:type="spellStart"/>
      <w:r w:rsidRPr="00155D66">
        <w:rPr>
          <w:sz w:val="24"/>
          <w:szCs w:val="24"/>
        </w:rPr>
        <w:t>øje</w:t>
      </w:r>
      <w:r w:rsidR="00514DC3">
        <w:rPr>
          <w:sz w:val="24"/>
          <w:szCs w:val="24"/>
        </w:rPr>
        <w:t>n</w:t>
      </w:r>
      <w:proofErr w:type="spellEnd"/>
      <w:r w:rsidRPr="00155D66">
        <w:rPr>
          <w:sz w:val="24"/>
          <w:szCs w:val="24"/>
        </w:rPr>
        <w:t xml:space="preserve"> kontakt. Ved utilsigtet hud- og/eller øjenkontakt skylles den udsatte hud og/eller øjne straks med rent, løbende vand. Hvis der opstår irritation, skal der straks søges lægehjælp, og lægen skal forelægges indlægssedlen eller etiketten.</w:t>
      </w:r>
    </w:p>
    <w:p w14:paraId="2F7C54C0" w14:textId="77777777" w:rsidR="00397FED" w:rsidRPr="00155D66" w:rsidRDefault="00397FED" w:rsidP="00397FED">
      <w:pPr>
        <w:pStyle w:val="Listeafsnit"/>
        <w:ind w:left="1276"/>
        <w:rPr>
          <w:sz w:val="24"/>
          <w:szCs w:val="24"/>
        </w:rPr>
      </w:pPr>
    </w:p>
    <w:p w14:paraId="64DEF346" w14:textId="4FCC1CFF" w:rsidR="00646941" w:rsidRPr="00155D66" w:rsidRDefault="00646941" w:rsidP="0026454A">
      <w:pPr>
        <w:pStyle w:val="Listeafsnit"/>
        <w:numPr>
          <w:ilvl w:val="0"/>
          <w:numId w:val="7"/>
        </w:numPr>
        <w:ind w:left="1276" w:hanging="425"/>
        <w:rPr>
          <w:sz w:val="24"/>
          <w:szCs w:val="24"/>
        </w:rPr>
      </w:pPr>
      <w:proofErr w:type="spellStart"/>
      <w:r w:rsidRPr="00155D66">
        <w:rPr>
          <w:sz w:val="24"/>
          <w:szCs w:val="24"/>
        </w:rPr>
        <w:t>Thiamazol</w:t>
      </w:r>
      <w:proofErr w:type="spellEnd"/>
      <w:r w:rsidRPr="00155D66">
        <w:rPr>
          <w:sz w:val="24"/>
          <w:szCs w:val="24"/>
        </w:rPr>
        <w:t xml:space="preserve"> kan forårsage opkastning, </w:t>
      </w:r>
      <w:proofErr w:type="spellStart"/>
      <w:r w:rsidRPr="00155D66">
        <w:rPr>
          <w:sz w:val="24"/>
          <w:szCs w:val="24"/>
        </w:rPr>
        <w:t>epigastrisk</w:t>
      </w:r>
      <w:proofErr w:type="spellEnd"/>
      <w:r w:rsidRPr="00155D66">
        <w:rPr>
          <w:sz w:val="24"/>
          <w:szCs w:val="24"/>
        </w:rPr>
        <w:t xml:space="preserve"> besvær, hovedpine, feber, </w:t>
      </w:r>
      <w:proofErr w:type="spellStart"/>
      <w:r w:rsidRPr="00155D66">
        <w:rPr>
          <w:sz w:val="24"/>
          <w:szCs w:val="24"/>
        </w:rPr>
        <w:t>arthralgi</w:t>
      </w:r>
      <w:proofErr w:type="spellEnd"/>
      <w:r w:rsidRPr="00155D66">
        <w:rPr>
          <w:sz w:val="24"/>
          <w:szCs w:val="24"/>
        </w:rPr>
        <w:t xml:space="preserve"> (ledsmerter), </w:t>
      </w:r>
      <w:proofErr w:type="spellStart"/>
      <w:r w:rsidRPr="00155D66">
        <w:rPr>
          <w:sz w:val="24"/>
          <w:szCs w:val="24"/>
        </w:rPr>
        <w:t>pruritus</w:t>
      </w:r>
      <w:proofErr w:type="spellEnd"/>
      <w:r w:rsidRPr="00155D66">
        <w:rPr>
          <w:sz w:val="24"/>
          <w:szCs w:val="24"/>
        </w:rPr>
        <w:t xml:space="preserve"> (kløe) og </w:t>
      </w:r>
      <w:proofErr w:type="spellStart"/>
      <w:r w:rsidRPr="00155D66">
        <w:rPr>
          <w:sz w:val="24"/>
          <w:szCs w:val="24"/>
        </w:rPr>
        <w:t>pancytopæni</w:t>
      </w:r>
      <w:proofErr w:type="spellEnd"/>
      <w:r w:rsidRPr="00155D66">
        <w:rPr>
          <w:sz w:val="24"/>
          <w:szCs w:val="24"/>
        </w:rPr>
        <w:t xml:space="preserve"> (fald i antallet af blodceller og blodplader). Undgå oral eksponering såvel som hånd-til-mund kontakt, især for børn.</w:t>
      </w:r>
    </w:p>
    <w:p w14:paraId="648134E8" w14:textId="77777777" w:rsidR="00397FED" w:rsidRPr="00155D66" w:rsidRDefault="00397FED" w:rsidP="00397FED">
      <w:pPr>
        <w:pStyle w:val="Listeafsnit"/>
        <w:ind w:left="1276"/>
        <w:rPr>
          <w:sz w:val="24"/>
          <w:szCs w:val="24"/>
        </w:rPr>
      </w:pPr>
    </w:p>
    <w:p w14:paraId="5827AB3B" w14:textId="4BD7930E" w:rsidR="00646941" w:rsidRPr="00155D66" w:rsidRDefault="00646941" w:rsidP="0026454A">
      <w:pPr>
        <w:pStyle w:val="Listeafsnit"/>
        <w:numPr>
          <w:ilvl w:val="0"/>
          <w:numId w:val="7"/>
        </w:numPr>
        <w:ind w:left="1276" w:hanging="425"/>
        <w:rPr>
          <w:sz w:val="24"/>
          <w:szCs w:val="24"/>
        </w:rPr>
      </w:pPr>
      <w:r w:rsidRPr="00155D66">
        <w:rPr>
          <w:sz w:val="24"/>
          <w:szCs w:val="24"/>
        </w:rPr>
        <w:t>Lad ikke fyldte sprøjter ligge uden opsyn.</w:t>
      </w:r>
    </w:p>
    <w:p w14:paraId="283153B5" w14:textId="77777777" w:rsidR="00397FED" w:rsidRPr="00155D66" w:rsidRDefault="00397FED" w:rsidP="00397FED">
      <w:pPr>
        <w:pStyle w:val="Listeafsnit"/>
        <w:ind w:left="1276"/>
        <w:rPr>
          <w:sz w:val="24"/>
          <w:szCs w:val="24"/>
        </w:rPr>
      </w:pPr>
    </w:p>
    <w:p w14:paraId="04E0D85E" w14:textId="07651582" w:rsidR="00646941" w:rsidRPr="00155D66" w:rsidRDefault="00646941" w:rsidP="0026454A">
      <w:pPr>
        <w:pStyle w:val="Listeafsnit"/>
        <w:numPr>
          <w:ilvl w:val="0"/>
          <w:numId w:val="7"/>
        </w:numPr>
        <w:ind w:left="1276" w:hanging="425"/>
        <w:rPr>
          <w:sz w:val="24"/>
          <w:szCs w:val="24"/>
        </w:rPr>
      </w:pPr>
      <w:r w:rsidRPr="00155D66">
        <w:rPr>
          <w:sz w:val="24"/>
          <w:szCs w:val="24"/>
        </w:rPr>
        <w:t>Sæt hætten på straks efter fyldning af sprøjten.</w:t>
      </w:r>
    </w:p>
    <w:p w14:paraId="4BF6CC08" w14:textId="77777777" w:rsidR="00397FED" w:rsidRPr="00155D66" w:rsidRDefault="00397FED" w:rsidP="00397FED">
      <w:pPr>
        <w:pStyle w:val="Listeafsnit"/>
        <w:ind w:left="1276"/>
        <w:rPr>
          <w:sz w:val="24"/>
          <w:szCs w:val="24"/>
        </w:rPr>
      </w:pPr>
    </w:p>
    <w:p w14:paraId="40D95122" w14:textId="55FE2466" w:rsidR="00646941" w:rsidRPr="00155D66" w:rsidRDefault="00646941" w:rsidP="0026454A">
      <w:pPr>
        <w:pStyle w:val="Listeafsnit"/>
        <w:numPr>
          <w:ilvl w:val="0"/>
          <w:numId w:val="7"/>
        </w:numPr>
        <w:ind w:left="1276" w:hanging="425"/>
        <w:rPr>
          <w:sz w:val="24"/>
          <w:szCs w:val="24"/>
        </w:rPr>
      </w:pPr>
      <w:r w:rsidRPr="00155D66">
        <w:rPr>
          <w:sz w:val="24"/>
          <w:szCs w:val="24"/>
        </w:rPr>
        <w:t>Vask hænder med sæbe og vand efter håndtering af det behandlede dyrs opkast eller brugt kattegrus.</w:t>
      </w:r>
    </w:p>
    <w:p w14:paraId="11C74090" w14:textId="77777777" w:rsidR="00397FED" w:rsidRPr="00155D66" w:rsidRDefault="00397FED" w:rsidP="00397FED">
      <w:pPr>
        <w:pStyle w:val="Listeafsnit"/>
        <w:ind w:left="1276"/>
        <w:rPr>
          <w:sz w:val="24"/>
          <w:szCs w:val="24"/>
        </w:rPr>
      </w:pPr>
    </w:p>
    <w:p w14:paraId="6C0A6E06" w14:textId="2404902F" w:rsidR="00646941" w:rsidRPr="00155D66" w:rsidRDefault="00646941" w:rsidP="0026454A">
      <w:pPr>
        <w:pStyle w:val="Listeafsnit"/>
        <w:numPr>
          <w:ilvl w:val="0"/>
          <w:numId w:val="7"/>
        </w:numPr>
        <w:ind w:left="1276" w:hanging="425"/>
        <w:rPr>
          <w:sz w:val="24"/>
          <w:szCs w:val="24"/>
        </w:rPr>
      </w:pPr>
      <w:r w:rsidRPr="00155D66">
        <w:rPr>
          <w:sz w:val="24"/>
          <w:szCs w:val="24"/>
        </w:rPr>
        <w:t>Undlad at spise, drikke og ryge under håndtering af veterinærlægemidlet, det behandlede dyrs opkast eller brugt kattegrus.</w:t>
      </w:r>
    </w:p>
    <w:p w14:paraId="5E1C1392" w14:textId="77777777" w:rsidR="00397FED" w:rsidRPr="00155D66" w:rsidRDefault="00397FED" w:rsidP="00397FED">
      <w:pPr>
        <w:pStyle w:val="Listeafsnit"/>
        <w:ind w:left="1276"/>
        <w:rPr>
          <w:sz w:val="24"/>
          <w:szCs w:val="24"/>
        </w:rPr>
      </w:pPr>
    </w:p>
    <w:p w14:paraId="672BD2DD" w14:textId="7627A03A" w:rsidR="00646941" w:rsidRPr="00155D66" w:rsidRDefault="00646941" w:rsidP="0026454A">
      <w:pPr>
        <w:pStyle w:val="Listeafsnit"/>
        <w:numPr>
          <w:ilvl w:val="0"/>
          <w:numId w:val="7"/>
        </w:numPr>
        <w:ind w:left="1276" w:hanging="425"/>
        <w:rPr>
          <w:sz w:val="24"/>
          <w:szCs w:val="24"/>
        </w:rPr>
      </w:pPr>
      <w:r w:rsidRPr="00155D66">
        <w:rPr>
          <w:sz w:val="24"/>
          <w:szCs w:val="24"/>
        </w:rPr>
        <w:t>Efter administration af veterinærlægemidlet skal al resterende veterinærlægemiddel på spidsen af doseringssprøjten tørres af med en serviet. Den kontaminerede serviet bør straks bortskaffes. Den brugte sprøjte skal opbevares sammen med veterinærlægemidlet i den oprindelige indpakning.</w:t>
      </w:r>
    </w:p>
    <w:p w14:paraId="693AC941" w14:textId="77777777" w:rsidR="00397FED" w:rsidRPr="00155D66" w:rsidRDefault="00397FED" w:rsidP="00397FED">
      <w:pPr>
        <w:pStyle w:val="Listeafsnit"/>
        <w:ind w:left="1276"/>
        <w:rPr>
          <w:sz w:val="24"/>
          <w:szCs w:val="24"/>
        </w:rPr>
      </w:pPr>
    </w:p>
    <w:p w14:paraId="17455DB3" w14:textId="0F47A9F1" w:rsidR="00646941" w:rsidRPr="00155D66" w:rsidRDefault="00646941" w:rsidP="0026454A">
      <w:pPr>
        <w:pStyle w:val="Listeafsnit"/>
        <w:numPr>
          <w:ilvl w:val="0"/>
          <w:numId w:val="7"/>
        </w:numPr>
        <w:ind w:left="1276" w:hanging="425"/>
        <w:rPr>
          <w:sz w:val="24"/>
          <w:szCs w:val="24"/>
        </w:rPr>
      </w:pPr>
      <w:r w:rsidRPr="00155D66">
        <w:rPr>
          <w:sz w:val="24"/>
          <w:szCs w:val="24"/>
        </w:rPr>
        <w:t>I tilfælde af utilsigtet indtagelse skal der straks søges lægehjælp, og lægen skal forelægges indlægssedlen eller etiketten.</w:t>
      </w:r>
    </w:p>
    <w:p w14:paraId="4B4F4889" w14:textId="77777777" w:rsidR="00397FED" w:rsidRPr="00155D66" w:rsidRDefault="00397FED" w:rsidP="00397FED">
      <w:pPr>
        <w:pStyle w:val="Listeafsnit"/>
        <w:ind w:left="1276"/>
        <w:rPr>
          <w:sz w:val="24"/>
          <w:szCs w:val="24"/>
        </w:rPr>
      </w:pPr>
    </w:p>
    <w:p w14:paraId="5B2867B4" w14:textId="77777777" w:rsidR="00646941" w:rsidRPr="00155D66" w:rsidRDefault="00646941" w:rsidP="0026454A">
      <w:pPr>
        <w:pStyle w:val="Listeafsnit"/>
        <w:numPr>
          <w:ilvl w:val="0"/>
          <w:numId w:val="7"/>
        </w:numPr>
        <w:ind w:left="1276" w:hanging="425"/>
        <w:rPr>
          <w:sz w:val="24"/>
          <w:szCs w:val="24"/>
        </w:rPr>
      </w:pPr>
      <w:r w:rsidRPr="00155D66">
        <w:rPr>
          <w:sz w:val="24"/>
          <w:szCs w:val="24"/>
        </w:rPr>
        <w:t>Vask hænder efter brug.</w:t>
      </w:r>
      <w:bookmarkEnd w:id="3"/>
      <w:bookmarkEnd w:id="4"/>
    </w:p>
    <w:p w14:paraId="2A22326B" w14:textId="77777777" w:rsidR="008203A8" w:rsidRPr="00155D66" w:rsidRDefault="008203A8" w:rsidP="008203A8">
      <w:pPr>
        <w:tabs>
          <w:tab w:val="left" w:pos="851"/>
        </w:tabs>
        <w:ind w:left="851"/>
        <w:rPr>
          <w:sz w:val="24"/>
          <w:szCs w:val="24"/>
        </w:rPr>
      </w:pPr>
    </w:p>
    <w:p w14:paraId="7CF50A02" w14:textId="77777777" w:rsidR="008203A8" w:rsidRPr="00155D66" w:rsidRDefault="008203A8" w:rsidP="008203A8">
      <w:pPr>
        <w:tabs>
          <w:tab w:val="left" w:pos="851"/>
        </w:tabs>
        <w:ind w:left="851"/>
        <w:rPr>
          <w:sz w:val="24"/>
          <w:szCs w:val="24"/>
          <w:u w:val="single"/>
        </w:rPr>
      </w:pPr>
      <w:r w:rsidRPr="00155D66">
        <w:rPr>
          <w:sz w:val="24"/>
          <w:szCs w:val="24"/>
          <w:u w:val="single"/>
        </w:rPr>
        <w:t>Særlige forholdsregler vedrørende beskyttelse af miljøet</w:t>
      </w:r>
    </w:p>
    <w:p w14:paraId="5F8DF871" w14:textId="7FC4B635" w:rsidR="008203A8" w:rsidRPr="00155D66" w:rsidRDefault="00646941" w:rsidP="008203A8">
      <w:pPr>
        <w:tabs>
          <w:tab w:val="left" w:pos="851"/>
        </w:tabs>
        <w:ind w:left="851"/>
        <w:rPr>
          <w:sz w:val="24"/>
          <w:szCs w:val="24"/>
        </w:rPr>
      </w:pPr>
      <w:r w:rsidRPr="00155D66">
        <w:rPr>
          <w:sz w:val="24"/>
          <w:szCs w:val="24"/>
        </w:rPr>
        <w:t>-</w:t>
      </w:r>
    </w:p>
    <w:p w14:paraId="648101DB" w14:textId="77777777" w:rsidR="008203A8" w:rsidRPr="00155D66" w:rsidRDefault="008203A8" w:rsidP="008203A8">
      <w:pPr>
        <w:tabs>
          <w:tab w:val="left" w:pos="851"/>
        </w:tabs>
        <w:ind w:left="851"/>
        <w:rPr>
          <w:sz w:val="24"/>
          <w:szCs w:val="24"/>
        </w:rPr>
      </w:pPr>
    </w:p>
    <w:p w14:paraId="44312399" w14:textId="77777777" w:rsidR="008203A8" w:rsidRPr="00155D66" w:rsidRDefault="008203A8" w:rsidP="008203A8">
      <w:pPr>
        <w:tabs>
          <w:tab w:val="left" w:pos="851"/>
        </w:tabs>
        <w:ind w:left="851"/>
        <w:rPr>
          <w:sz w:val="24"/>
          <w:szCs w:val="24"/>
          <w:u w:val="single"/>
        </w:rPr>
      </w:pPr>
      <w:r w:rsidRPr="00155D66">
        <w:rPr>
          <w:sz w:val="24"/>
          <w:szCs w:val="24"/>
          <w:u w:val="single"/>
        </w:rPr>
        <w:t>Andre forholdsregler</w:t>
      </w:r>
    </w:p>
    <w:p w14:paraId="2C2F73C8" w14:textId="630EB026" w:rsidR="008203A8" w:rsidRPr="00155D66" w:rsidRDefault="00646941" w:rsidP="008203A8">
      <w:pPr>
        <w:tabs>
          <w:tab w:val="left" w:pos="851"/>
        </w:tabs>
        <w:ind w:left="851"/>
        <w:rPr>
          <w:sz w:val="24"/>
          <w:szCs w:val="24"/>
        </w:rPr>
      </w:pPr>
      <w:r w:rsidRPr="00155D66">
        <w:rPr>
          <w:sz w:val="24"/>
          <w:szCs w:val="24"/>
        </w:rPr>
        <w:t>-</w:t>
      </w:r>
    </w:p>
    <w:p w14:paraId="33799946" w14:textId="77777777" w:rsidR="008203A8" w:rsidRPr="00155D66" w:rsidRDefault="008203A8" w:rsidP="008203A8">
      <w:pPr>
        <w:tabs>
          <w:tab w:val="left" w:pos="851"/>
        </w:tabs>
        <w:ind w:left="851"/>
        <w:rPr>
          <w:sz w:val="24"/>
          <w:szCs w:val="24"/>
        </w:rPr>
      </w:pPr>
    </w:p>
    <w:p w14:paraId="5AF9CF32" w14:textId="77777777" w:rsidR="008203A8" w:rsidRPr="00155D66" w:rsidRDefault="008203A8" w:rsidP="008203A8">
      <w:pPr>
        <w:tabs>
          <w:tab w:val="left" w:pos="851"/>
        </w:tabs>
        <w:ind w:left="851" w:hanging="851"/>
        <w:rPr>
          <w:b/>
          <w:sz w:val="24"/>
          <w:szCs w:val="24"/>
        </w:rPr>
      </w:pPr>
      <w:r w:rsidRPr="00155D66">
        <w:rPr>
          <w:b/>
          <w:sz w:val="24"/>
          <w:szCs w:val="24"/>
        </w:rPr>
        <w:t>3.6</w:t>
      </w:r>
      <w:r w:rsidRPr="00155D66">
        <w:rPr>
          <w:b/>
          <w:sz w:val="24"/>
          <w:szCs w:val="24"/>
        </w:rPr>
        <w:tab/>
        <w:t>Bivirkninger</w:t>
      </w:r>
    </w:p>
    <w:p w14:paraId="0CC4AFCD" w14:textId="303ABD10" w:rsidR="00646941" w:rsidRPr="00155D66" w:rsidRDefault="00646941" w:rsidP="0026454A">
      <w:pPr>
        <w:ind w:left="851"/>
        <w:rPr>
          <w:sz w:val="24"/>
          <w:szCs w:val="24"/>
        </w:rPr>
      </w:pPr>
      <w:r w:rsidRPr="00155D66">
        <w:rPr>
          <w:sz w:val="24"/>
          <w:szCs w:val="24"/>
        </w:rPr>
        <w:t xml:space="preserve">Bivirkninger er blevet indberettet efter </w:t>
      </w:r>
      <w:r w:rsidRPr="00155D66">
        <w:rPr>
          <w:bCs/>
          <w:sz w:val="24"/>
          <w:szCs w:val="24"/>
        </w:rPr>
        <w:t xml:space="preserve">langtidskontrol </w:t>
      </w:r>
      <w:r w:rsidRPr="00155D66">
        <w:rPr>
          <w:sz w:val="24"/>
          <w:szCs w:val="24"/>
        </w:rPr>
        <w:t xml:space="preserve">af </w:t>
      </w:r>
      <w:proofErr w:type="spellStart"/>
      <w:r w:rsidRPr="00155D66">
        <w:rPr>
          <w:sz w:val="24"/>
          <w:szCs w:val="24"/>
        </w:rPr>
        <w:t>hyperthyreoidisme</w:t>
      </w:r>
      <w:proofErr w:type="spellEnd"/>
      <w:r w:rsidRPr="00155D66">
        <w:rPr>
          <w:sz w:val="24"/>
          <w:szCs w:val="24"/>
        </w:rPr>
        <w:t>. I mange tilfælde kan bivirkningerne være milde og forbigående og ikke udgøre en grund til at stoppe behandlingen. De mere alvorlige bivirkninger er hovedsageligt reversible, når medicineringen ophører, og i sådanne tilfælde bør behandling stoppes med det samme og alternative behandlinger overvejes efter en passende bedringsperiode.</w:t>
      </w:r>
    </w:p>
    <w:p w14:paraId="7098F2CF" w14:textId="77777777" w:rsidR="00646941" w:rsidRPr="00155D66" w:rsidRDefault="00646941" w:rsidP="0026454A">
      <w:pPr>
        <w:ind w:left="851"/>
        <w:rPr>
          <w:sz w:val="24"/>
          <w:szCs w:val="24"/>
        </w:rPr>
      </w:pPr>
      <w:bookmarkStart w:id="5" w:name="_Hlk138668570"/>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132"/>
      </w:tblGrid>
      <w:tr w:rsidR="00646941" w:rsidRPr="00155D66" w14:paraId="4B681E74" w14:textId="77777777" w:rsidTr="0026454A">
        <w:tc>
          <w:tcPr>
            <w:tcW w:w="2080" w:type="pct"/>
            <w:tcBorders>
              <w:top w:val="single" w:sz="4" w:space="0" w:color="auto"/>
              <w:left w:val="single" w:sz="4" w:space="0" w:color="auto"/>
              <w:bottom w:val="single" w:sz="4" w:space="0" w:color="auto"/>
              <w:right w:val="single" w:sz="4" w:space="0" w:color="auto"/>
            </w:tcBorders>
            <w:hideMark/>
          </w:tcPr>
          <w:p w14:paraId="36A7D6E7" w14:textId="491D6514" w:rsidR="00646941" w:rsidRPr="00155D66" w:rsidRDefault="00397FED">
            <w:pPr>
              <w:spacing w:before="60"/>
              <w:rPr>
                <w:sz w:val="24"/>
                <w:szCs w:val="24"/>
              </w:rPr>
            </w:pPr>
            <w:r w:rsidRPr="00155D66">
              <w:rPr>
                <w:sz w:val="24"/>
                <w:szCs w:val="24"/>
              </w:rPr>
              <w:t xml:space="preserve">Ikke </w:t>
            </w:r>
            <w:r w:rsidR="00646941" w:rsidRPr="00155D66">
              <w:rPr>
                <w:sz w:val="24"/>
                <w:szCs w:val="24"/>
              </w:rPr>
              <w:t>almindelige</w:t>
            </w:r>
          </w:p>
          <w:p w14:paraId="5FEC1E61" w14:textId="77777777" w:rsidR="00646941" w:rsidRPr="00155D66" w:rsidRDefault="00646941">
            <w:pPr>
              <w:spacing w:before="60"/>
              <w:rPr>
                <w:sz w:val="24"/>
                <w:szCs w:val="24"/>
              </w:rPr>
            </w:pPr>
            <w:r w:rsidRPr="00155D66">
              <w:rPr>
                <w:sz w:val="24"/>
                <w:szCs w:val="24"/>
              </w:rPr>
              <w:t xml:space="preserve">(1 til 10 dyr/1.000 dyr </w:t>
            </w:r>
          </w:p>
          <w:p w14:paraId="00564D81" w14:textId="77777777" w:rsidR="00646941" w:rsidRPr="00155D66" w:rsidRDefault="00646941">
            <w:pPr>
              <w:spacing w:before="60"/>
              <w:rPr>
                <w:sz w:val="24"/>
                <w:szCs w:val="24"/>
              </w:rPr>
            </w:pPr>
            <w:r w:rsidRPr="00155D66">
              <w:rPr>
                <w:sz w:val="24"/>
                <w:szCs w:val="24"/>
              </w:rPr>
              <w:t>behandlet):</w:t>
            </w:r>
          </w:p>
        </w:tc>
        <w:tc>
          <w:tcPr>
            <w:tcW w:w="2920" w:type="pct"/>
            <w:tcBorders>
              <w:top w:val="single" w:sz="4" w:space="0" w:color="auto"/>
              <w:left w:val="single" w:sz="4" w:space="0" w:color="auto"/>
              <w:bottom w:val="single" w:sz="4" w:space="0" w:color="auto"/>
              <w:right w:val="single" w:sz="4" w:space="0" w:color="auto"/>
            </w:tcBorders>
            <w:hideMark/>
          </w:tcPr>
          <w:p w14:paraId="09E7EE50" w14:textId="77777777" w:rsidR="00646941" w:rsidRPr="00155D66" w:rsidRDefault="00646941">
            <w:pPr>
              <w:spacing w:before="60"/>
              <w:rPr>
                <w:iCs/>
                <w:sz w:val="24"/>
                <w:szCs w:val="24"/>
              </w:rPr>
            </w:pPr>
            <w:r w:rsidRPr="00155D66">
              <w:rPr>
                <w:sz w:val="24"/>
                <w:szCs w:val="24"/>
              </w:rPr>
              <w:t>Opkastning</w:t>
            </w:r>
            <w:r w:rsidRPr="00155D66">
              <w:rPr>
                <w:sz w:val="24"/>
                <w:szCs w:val="24"/>
                <w:vertAlign w:val="superscript"/>
              </w:rPr>
              <w:t>1</w:t>
            </w:r>
            <w:r w:rsidRPr="00155D66">
              <w:rPr>
                <w:sz w:val="24"/>
                <w:szCs w:val="24"/>
              </w:rPr>
              <w:t>, Anoreksi</w:t>
            </w:r>
            <w:r w:rsidRPr="00155D66">
              <w:rPr>
                <w:sz w:val="24"/>
                <w:szCs w:val="24"/>
                <w:vertAlign w:val="superscript"/>
              </w:rPr>
              <w:t>1</w:t>
            </w:r>
            <w:r w:rsidRPr="00155D66">
              <w:rPr>
                <w:sz w:val="24"/>
                <w:szCs w:val="24"/>
              </w:rPr>
              <w:t>, Appetitmangel</w:t>
            </w:r>
            <w:r w:rsidRPr="00155D66">
              <w:rPr>
                <w:sz w:val="24"/>
                <w:szCs w:val="24"/>
                <w:vertAlign w:val="superscript"/>
              </w:rPr>
              <w:t>1</w:t>
            </w:r>
            <w:r w:rsidRPr="00155D66">
              <w:rPr>
                <w:sz w:val="24"/>
                <w:szCs w:val="24"/>
              </w:rPr>
              <w:t>, Letargi</w:t>
            </w:r>
            <w:r w:rsidRPr="00155D66">
              <w:rPr>
                <w:sz w:val="24"/>
                <w:szCs w:val="24"/>
                <w:vertAlign w:val="superscript"/>
              </w:rPr>
              <w:t>1</w:t>
            </w:r>
          </w:p>
          <w:p w14:paraId="21AE1921" w14:textId="77777777" w:rsidR="00646941" w:rsidRPr="00155D66" w:rsidRDefault="00646941">
            <w:pPr>
              <w:spacing w:before="60"/>
              <w:rPr>
                <w:iCs/>
                <w:sz w:val="24"/>
                <w:szCs w:val="24"/>
              </w:rPr>
            </w:pPr>
            <w:r w:rsidRPr="00155D66">
              <w:rPr>
                <w:sz w:val="24"/>
                <w:szCs w:val="24"/>
              </w:rPr>
              <w:t>Pruritus</w:t>
            </w:r>
            <w:r w:rsidRPr="00155D66">
              <w:rPr>
                <w:sz w:val="24"/>
                <w:szCs w:val="24"/>
                <w:vertAlign w:val="superscript"/>
              </w:rPr>
              <w:t>1,2</w:t>
            </w:r>
            <w:r w:rsidRPr="00155D66">
              <w:rPr>
                <w:sz w:val="24"/>
                <w:szCs w:val="24"/>
              </w:rPr>
              <w:t>, Hudafskrabning</w:t>
            </w:r>
            <w:r w:rsidRPr="00155D66">
              <w:rPr>
                <w:sz w:val="24"/>
                <w:szCs w:val="24"/>
                <w:vertAlign w:val="superscript"/>
              </w:rPr>
              <w:t>1,2</w:t>
            </w:r>
          </w:p>
          <w:p w14:paraId="2F06D355" w14:textId="77777777" w:rsidR="00646941" w:rsidRPr="00155D66" w:rsidRDefault="00646941">
            <w:pPr>
              <w:spacing w:before="60"/>
              <w:rPr>
                <w:iCs/>
                <w:sz w:val="24"/>
                <w:szCs w:val="24"/>
              </w:rPr>
            </w:pPr>
            <w:r w:rsidRPr="00155D66">
              <w:rPr>
                <w:sz w:val="24"/>
                <w:szCs w:val="24"/>
              </w:rPr>
              <w:t>Længerevarende blødning</w:t>
            </w:r>
            <w:r w:rsidRPr="00155D66">
              <w:rPr>
                <w:sz w:val="24"/>
                <w:szCs w:val="24"/>
                <w:vertAlign w:val="superscript"/>
              </w:rPr>
              <w:t>1,3,4</w:t>
            </w:r>
            <w:r w:rsidRPr="00155D66">
              <w:rPr>
                <w:sz w:val="24"/>
                <w:szCs w:val="24"/>
              </w:rPr>
              <w:t xml:space="preserve"> Gulsot</w:t>
            </w:r>
            <w:r w:rsidRPr="00155D66">
              <w:rPr>
                <w:sz w:val="24"/>
                <w:szCs w:val="24"/>
                <w:vertAlign w:val="superscript"/>
              </w:rPr>
              <w:t>1,4</w:t>
            </w:r>
            <w:r w:rsidRPr="00155D66">
              <w:rPr>
                <w:sz w:val="24"/>
                <w:szCs w:val="24"/>
              </w:rPr>
              <w:t>, Hepatopati</w:t>
            </w:r>
            <w:r w:rsidRPr="00155D66">
              <w:rPr>
                <w:sz w:val="24"/>
                <w:szCs w:val="24"/>
                <w:vertAlign w:val="superscript"/>
              </w:rPr>
              <w:t>1</w:t>
            </w:r>
          </w:p>
          <w:p w14:paraId="33E631FE" w14:textId="77777777" w:rsidR="00646941" w:rsidRPr="00155D66" w:rsidRDefault="00646941">
            <w:pPr>
              <w:spacing w:before="60"/>
              <w:rPr>
                <w:iCs/>
                <w:sz w:val="24"/>
                <w:szCs w:val="24"/>
              </w:rPr>
            </w:pPr>
            <w:r w:rsidRPr="00155D66">
              <w:rPr>
                <w:sz w:val="24"/>
                <w:szCs w:val="24"/>
              </w:rPr>
              <w:t>Eosinofili</w:t>
            </w:r>
            <w:r w:rsidRPr="00155D66">
              <w:rPr>
                <w:sz w:val="24"/>
                <w:szCs w:val="24"/>
                <w:vertAlign w:val="superscript"/>
              </w:rPr>
              <w:t>1</w:t>
            </w:r>
            <w:r w:rsidRPr="00155D66">
              <w:rPr>
                <w:sz w:val="24"/>
                <w:szCs w:val="24"/>
              </w:rPr>
              <w:t>, Lymfocytose</w:t>
            </w:r>
            <w:r w:rsidRPr="00155D66">
              <w:rPr>
                <w:sz w:val="24"/>
                <w:szCs w:val="24"/>
                <w:vertAlign w:val="superscript"/>
              </w:rPr>
              <w:t>1</w:t>
            </w:r>
            <w:r w:rsidRPr="00155D66">
              <w:rPr>
                <w:sz w:val="24"/>
                <w:szCs w:val="24"/>
              </w:rPr>
              <w:t>, Neutropeni</w:t>
            </w:r>
            <w:r w:rsidRPr="00155D66">
              <w:rPr>
                <w:sz w:val="24"/>
                <w:szCs w:val="24"/>
                <w:vertAlign w:val="superscript"/>
              </w:rPr>
              <w:t>1</w:t>
            </w:r>
            <w:r w:rsidRPr="00155D66">
              <w:rPr>
                <w:sz w:val="24"/>
                <w:szCs w:val="24"/>
              </w:rPr>
              <w:t>, Lymfopeni</w:t>
            </w:r>
            <w:r w:rsidRPr="00155D66">
              <w:rPr>
                <w:sz w:val="24"/>
                <w:szCs w:val="24"/>
                <w:vertAlign w:val="superscript"/>
              </w:rPr>
              <w:t>1</w:t>
            </w:r>
            <w:r w:rsidRPr="00155D66">
              <w:rPr>
                <w:sz w:val="24"/>
                <w:szCs w:val="24"/>
              </w:rPr>
              <w:t>, Leukopeni</w:t>
            </w:r>
            <w:r w:rsidRPr="00155D66">
              <w:rPr>
                <w:sz w:val="24"/>
                <w:szCs w:val="24"/>
                <w:vertAlign w:val="superscript"/>
              </w:rPr>
              <w:t>1</w:t>
            </w:r>
            <w:r w:rsidRPr="00155D66">
              <w:rPr>
                <w:sz w:val="24"/>
                <w:szCs w:val="24"/>
              </w:rPr>
              <w:t xml:space="preserve"> (mild), Agranulocytose</w:t>
            </w:r>
            <w:r w:rsidRPr="00155D66">
              <w:rPr>
                <w:sz w:val="24"/>
                <w:szCs w:val="24"/>
                <w:vertAlign w:val="superscript"/>
              </w:rPr>
              <w:t>1</w:t>
            </w:r>
          </w:p>
          <w:p w14:paraId="2118B1C2" w14:textId="77777777" w:rsidR="00646941" w:rsidRPr="00155D66" w:rsidRDefault="00646941">
            <w:pPr>
              <w:spacing w:before="60"/>
              <w:rPr>
                <w:iCs/>
                <w:sz w:val="24"/>
                <w:szCs w:val="24"/>
              </w:rPr>
            </w:pPr>
            <w:r w:rsidRPr="00155D66">
              <w:rPr>
                <w:sz w:val="24"/>
                <w:szCs w:val="24"/>
              </w:rPr>
              <w:t>Trombocytopeni</w:t>
            </w:r>
            <w:r w:rsidRPr="00155D66">
              <w:rPr>
                <w:sz w:val="24"/>
                <w:szCs w:val="24"/>
                <w:vertAlign w:val="superscript"/>
              </w:rPr>
              <w:t>1,5,6</w:t>
            </w:r>
            <w:r w:rsidRPr="00155D66">
              <w:rPr>
                <w:sz w:val="24"/>
                <w:szCs w:val="24"/>
              </w:rPr>
              <w:t xml:space="preserve">, </w:t>
            </w:r>
            <w:proofErr w:type="spellStart"/>
            <w:r w:rsidRPr="00155D66">
              <w:rPr>
                <w:sz w:val="24"/>
                <w:szCs w:val="24"/>
              </w:rPr>
              <w:t>Hæmolytisk</w:t>
            </w:r>
            <w:proofErr w:type="spellEnd"/>
            <w:r w:rsidRPr="00155D66">
              <w:rPr>
                <w:sz w:val="24"/>
                <w:szCs w:val="24"/>
              </w:rPr>
              <w:t xml:space="preserve"> anæmi</w:t>
            </w:r>
            <w:r w:rsidRPr="00155D66">
              <w:rPr>
                <w:sz w:val="24"/>
                <w:szCs w:val="24"/>
                <w:vertAlign w:val="superscript"/>
              </w:rPr>
              <w:t>1</w:t>
            </w:r>
          </w:p>
        </w:tc>
      </w:tr>
      <w:tr w:rsidR="00646941" w:rsidRPr="00155D66" w14:paraId="6760E1B4" w14:textId="77777777" w:rsidTr="0026454A">
        <w:tc>
          <w:tcPr>
            <w:tcW w:w="2080" w:type="pct"/>
            <w:tcBorders>
              <w:top w:val="single" w:sz="4" w:space="0" w:color="auto"/>
              <w:left w:val="single" w:sz="4" w:space="0" w:color="auto"/>
              <w:bottom w:val="single" w:sz="4" w:space="0" w:color="auto"/>
              <w:right w:val="single" w:sz="4" w:space="0" w:color="auto"/>
            </w:tcBorders>
            <w:hideMark/>
          </w:tcPr>
          <w:p w14:paraId="74652875" w14:textId="77777777" w:rsidR="00646941" w:rsidRPr="00155D66" w:rsidRDefault="00646941">
            <w:pPr>
              <w:spacing w:before="60"/>
              <w:rPr>
                <w:sz w:val="24"/>
                <w:szCs w:val="24"/>
              </w:rPr>
            </w:pPr>
            <w:r w:rsidRPr="00155D66">
              <w:rPr>
                <w:sz w:val="24"/>
                <w:szCs w:val="24"/>
              </w:rPr>
              <w:t>Sjældne (1 til 10 dyr/10.000 dyr behandlet):</w:t>
            </w:r>
          </w:p>
        </w:tc>
        <w:tc>
          <w:tcPr>
            <w:tcW w:w="2920" w:type="pct"/>
            <w:tcBorders>
              <w:top w:val="single" w:sz="4" w:space="0" w:color="auto"/>
              <w:left w:val="single" w:sz="4" w:space="0" w:color="auto"/>
              <w:bottom w:val="single" w:sz="4" w:space="0" w:color="auto"/>
              <w:right w:val="single" w:sz="4" w:space="0" w:color="auto"/>
            </w:tcBorders>
            <w:hideMark/>
          </w:tcPr>
          <w:p w14:paraId="67CE10A1" w14:textId="77777777" w:rsidR="00646941" w:rsidRPr="00155D66" w:rsidRDefault="00646941">
            <w:pPr>
              <w:spacing w:before="60"/>
              <w:rPr>
                <w:iCs/>
                <w:sz w:val="24"/>
                <w:szCs w:val="24"/>
              </w:rPr>
            </w:pPr>
            <w:r w:rsidRPr="00155D66">
              <w:rPr>
                <w:sz w:val="24"/>
                <w:szCs w:val="24"/>
              </w:rPr>
              <w:t xml:space="preserve">Autoimmun sygdom (serum </w:t>
            </w:r>
            <w:proofErr w:type="spellStart"/>
            <w:r w:rsidRPr="00155D66">
              <w:rPr>
                <w:sz w:val="24"/>
                <w:szCs w:val="24"/>
              </w:rPr>
              <w:t>antinukleære</w:t>
            </w:r>
            <w:proofErr w:type="spellEnd"/>
            <w:r w:rsidRPr="00155D66">
              <w:rPr>
                <w:sz w:val="24"/>
                <w:szCs w:val="24"/>
              </w:rPr>
              <w:t xml:space="preserve"> antistoffer)</w:t>
            </w:r>
          </w:p>
        </w:tc>
      </w:tr>
      <w:tr w:rsidR="00646941" w:rsidRPr="00155D66" w14:paraId="6047C467" w14:textId="77777777" w:rsidTr="0026454A">
        <w:tc>
          <w:tcPr>
            <w:tcW w:w="2080" w:type="pct"/>
            <w:tcBorders>
              <w:top w:val="single" w:sz="4" w:space="0" w:color="auto"/>
              <w:left w:val="single" w:sz="4" w:space="0" w:color="auto"/>
              <w:bottom w:val="single" w:sz="4" w:space="0" w:color="auto"/>
              <w:right w:val="single" w:sz="4" w:space="0" w:color="auto"/>
            </w:tcBorders>
            <w:hideMark/>
          </w:tcPr>
          <w:p w14:paraId="0ABFA1D7" w14:textId="77777777" w:rsidR="00646941" w:rsidRPr="00155D66" w:rsidRDefault="00646941">
            <w:pPr>
              <w:spacing w:before="60"/>
              <w:rPr>
                <w:sz w:val="24"/>
                <w:szCs w:val="24"/>
              </w:rPr>
            </w:pPr>
            <w:r w:rsidRPr="00155D66">
              <w:rPr>
                <w:sz w:val="24"/>
                <w:szCs w:val="24"/>
              </w:rPr>
              <w:t>Meget sjældne</w:t>
            </w:r>
          </w:p>
          <w:p w14:paraId="74B07AB6" w14:textId="77777777" w:rsidR="00646941" w:rsidRPr="00155D66" w:rsidRDefault="00646941">
            <w:pPr>
              <w:spacing w:before="60"/>
              <w:rPr>
                <w:sz w:val="24"/>
                <w:szCs w:val="24"/>
              </w:rPr>
            </w:pPr>
            <w:r w:rsidRPr="00155D66">
              <w:rPr>
                <w:sz w:val="24"/>
                <w:szCs w:val="24"/>
              </w:rPr>
              <w:t>(&lt;1 dyr/10.000 dyr behandlet, inklusive isolerede rapporter):</w:t>
            </w:r>
          </w:p>
        </w:tc>
        <w:tc>
          <w:tcPr>
            <w:tcW w:w="2920" w:type="pct"/>
            <w:tcBorders>
              <w:top w:val="single" w:sz="4" w:space="0" w:color="auto"/>
              <w:left w:val="single" w:sz="4" w:space="0" w:color="auto"/>
              <w:bottom w:val="single" w:sz="4" w:space="0" w:color="auto"/>
              <w:right w:val="single" w:sz="4" w:space="0" w:color="auto"/>
            </w:tcBorders>
            <w:hideMark/>
          </w:tcPr>
          <w:p w14:paraId="31608E81" w14:textId="77777777" w:rsidR="00646941" w:rsidRPr="00155D66" w:rsidRDefault="00646941">
            <w:pPr>
              <w:spacing w:before="60"/>
              <w:rPr>
                <w:iCs/>
                <w:sz w:val="24"/>
                <w:szCs w:val="24"/>
              </w:rPr>
            </w:pPr>
            <w:r w:rsidRPr="00155D66">
              <w:rPr>
                <w:sz w:val="24"/>
                <w:szCs w:val="24"/>
              </w:rPr>
              <w:t>Lymfadenopati</w:t>
            </w:r>
            <w:r w:rsidRPr="00155D66">
              <w:rPr>
                <w:sz w:val="24"/>
                <w:szCs w:val="24"/>
                <w:vertAlign w:val="superscript"/>
              </w:rPr>
              <w:t>5</w:t>
            </w:r>
            <w:r w:rsidRPr="00155D66">
              <w:rPr>
                <w:sz w:val="24"/>
                <w:szCs w:val="24"/>
              </w:rPr>
              <w:t>, Anæmi</w:t>
            </w:r>
            <w:r w:rsidRPr="00155D66">
              <w:rPr>
                <w:sz w:val="24"/>
                <w:szCs w:val="24"/>
                <w:vertAlign w:val="superscript"/>
              </w:rPr>
              <w:t>5</w:t>
            </w:r>
          </w:p>
        </w:tc>
      </w:tr>
    </w:tbl>
    <w:p w14:paraId="3C467F95" w14:textId="77777777" w:rsidR="00646941" w:rsidRPr="00155D66" w:rsidRDefault="00646941" w:rsidP="0026454A">
      <w:pPr>
        <w:ind w:left="1276" w:hanging="425"/>
        <w:rPr>
          <w:sz w:val="24"/>
          <w:szCs w:val="24"/>
        </w:rPr>
      </w:pPr>
      <w:r w:rsidRPr="00155D66">
        <w:rPr>
          <w:sz w:val="24"/>
          <w:szCs w:val="24"/>
          <w:vertAlign w:val="superscript"/>
        </w:rPr>
        <w:t>1</w:t>
      </w:r>
      <w:r w:rsidRPr="00155D66">
        <w:rPr>
          <w:sz w:val="24"/>
          <w:szCs w:val="24"/>
        </w:rPr>
        <w:tab/>
        <w:t xml:space="preserve">Disse bivirkninger forsvinder inden for 7-45 dage efter ophør med </w:t>
      </w:r>
      <w:proofErr w:type="spellStart"/>
      <w:r w:rsidRPr="00155D66">
        <w:rPr>
          <w:sz w:val="24"/>
          <w:szCs w:val="24"/>
        </w:rPr>
        <w:t>thiamazol</w:t>
      </w:r>
      <w:proofErr w:type="spellEnd"/>
      <w:r w:rsidRPr="00155D66">
        <w:rPr>
          <w:sz w:val="24"/>
          <w:szCs w:val="24"/>
        </w:rPr>
        <w:t>-behandling.</w:t>
      </w:r>
    </w:p>
    <w:p w14:paraId="77993AA3" w14:textId="77777777" w:rsidR="00646941" w:rsidRPr="00155D66" w:rsidRDefault="00646941" w:rsidP="0026454A">
      <w:pPr>
        <w:ind w:left="1276" w:hanging="425"/>
        <w:rPr>
          <w:sz w:val="24"/>
          <w:szCs w:val="24"/>
        </w:rPr>
      </w:pPr>
      <w:r w:rsidRPr="00155D66">
        <w:rPr>
          <w:sz w:val="24"/>
          <w:szCs w:val="24"/>
          <w:vertAlign w:val="superscript"/>
        </w:rPr>
        <w:t>2</w:t>
      </w:r>
      <w:r w:rsidRPr="00155D66">
        <w:rPr>
          <w:sz w:val="24"/>
          <w:szCs w:val="24"/>
        </w:rPr>
        <w:tab/>
        <w:t>I svær grad på hoved og hals.</w:t>
      </w:r>
    </w:p>
    <w:p w14:paraId="4C6B724E" w14:textId="77777777" w:rsidR="00646941" w:rsidRPr="00155D66" w:rsidRDefault="00646941" w:rsidP="0026454A">
      <w:pPr>
        <w:ind w:left="1276" w:hanging="425"/>
        <w:rPr>
          <w:sz w:val="24"/>
          <w:szCs w:val="24"/>
        </w:rPr>
      </w:pPr>
      <w:r w:rsidRPr="00155D66">
        <w:rPr>
          <w:sz w:val="24"/>
          <w:szCs w:val="24"/>
          <w:vertAlign w:val="superscript"/>
        </w:rPr>
        <w:t>3</w:t>
      </w:r>
      <w:r w:rsidRPr="00155D66">
        <w:rPr>
          <w:sz w:val="24"/>
          <w:szCs w:val="24"/>
        </w:rPr>
        <w:tab/>
        <w:t>Tegn på en blødende diatese.</w:t>
      </w:r>
    </w:p>
    <w:p w14:paraId="510CF42D" w14:textId="77777777" w:rsidR="00646941" w:rsidRPr="00155D66" w:rsidRDefault="00646941" w:rsidP="0026454A">
      <w:pPr>
        <w:ind w:left="1276" w:hanging="425"/>
        <w:rPr>
          <w:sz w:val="24"/>
          <w:szCs w:val="24"/>
        </w:rPr>
      </w:pPr>
      <w:r w:rsidRPr="00155D66">
        <w:rPr>
          <w:sz w:val="24"/>
          <w:szCs w:val="24"/>
          <w:vertAlign w:val="superscript"/>
        </w:rPr>
        <w:t>4</w:t>
      </w:r>
      <w:r w:rsidRPr="00155D66">
        <w:rPr>
          <w:sz w:val="24"/>
          <w:szCs w:val="24"/>
        </w:rPr>
        <w:tab/>
        <w:t xml:space="preserve">Forbundet med </w:t>
      </w:r>
      <w:proofErr w:type="spellStart"/>
      <w:r w:rsidRPr="00155D66">
        <w:rPr>
          <w:sz w:val="24"/>
          <w:szCs w:val="24"/>
        </w:rPr>
        <w:t>hepatopati</w:t>
      </w:r>
      <w:proofErr w:type="spellEnd"/>
      <w:r w:rsidRPr="00155D66">
        <w:rPr>
          <w:sz w:val="24"/>
          <w:szCs w:val="24"/>
        </w:rPr>
        <w:t>.</w:t>
      </w:r>
    </w:p>
    <w:p w14:paraId="79003404" w14:textId="77777777" w:rsidR="00646941" w:rsidRPr="00155D66" w:rsidRDefault="00646941" w:rsidP="0026454A">
      <w:pPr>
        <w:ind w:left="1276" w:hanging="425"/>
        <w:rPr>
          <w:sz w:val="24"/>
          <w:szCs w:val="24"/>
        </w:rPr>
      </w:pPr>
      <w:r w:rsidRPr="00155D66">
        <w:rPr>
          <w:sz w:val="24"/>
          <w:szCs w:val="24"/>
          <w:vertAlign w:val="superscript"/>
        </w:rPr>
        <w:t>5</w:t>
      </w:r>
      <w:r w:rsidRPr="00155D66">
        <w:rPr>
          <w:sz w:val="24"/>
          <w:szCs w:val="24"/>
        </w:rPr>
        <w:tab/>
        <w:t>Immunologisk bivirkning.</w:t>
      </w:r>
    </w:p>
    <w:p w14:paraId="17D87D35" w14:textId="77777777" w:rsidR="00646941" w:rsidRPr="00155D66" w:rsidRDefault="00646941" w:rsidP="0026454A">
      <w:pPr>
        <w:ind w:left="1276" w:hanging="425"/>
        <w:rPr>
          <w:sz w:val="24"/>
          <w:szCs w:val="24"/>
        </w:rPr>
      </w:pPr>
      <w:r w:rsidRPr="00155D66">
        <w:rPr>
          <w:sz w:val="24"/>
          <w:szCs w:val="24"/>
          <w:vertAlign w:val="superscript"/>
        </w:rPr>
        <w:t>6</w:t>
      </w:r>
      <w:r w:rsidRPr="00155D66">
        <w:rPr>
          <w:sz w:val="24"/>
          <w:szCs w:val="24"/>
        </w:rPr>
        <w:tab/>
        <w:t>Opstår usædvanligt som en hæmatologisk abnormitet og sjældent som en immunologisk bivirkning.</w:t>
      </w:r>
    </w:p>
    <w:bookmarkEnd w:id="5"/>
    <w:p w14:paraId="6748288D" w14:textId="77777777" w:rsidR="00646941" w:rsidRPr="00155D66" w:rsidRDefault="00646941" w:rsidP="00397FED">
      <w:pPr>
        <w:ind w:left="851"/>
        <w:rPr>
          <w:sz w:val="24"/>
          <w:szCs w:val="24"/>
        </w:rPr>
      </w:pPr>
    </w:p>
    <w:p w14:paraId="5648A24E" w14:textId="77777777" w:rsidR="00646941" w:rsidRPr="00155D66" w:rsidRDefault="00646941" w:rsidP="0026454A">
      <w:pPr>
        <w:ind w:left="851"/>
        <w:rPr>
          <w:bCs/>
          <w:sz w:val="24"/>
          <w:szCs w:val="24"/>
        </w:rPr>
      </w:pPr>
      <w:r w:rsidRPr="00155D66">
        <w:rPr>
          <w:bCs/>
          <w:sz w:val="24"/>
          <w:szCs w:val="24"/>
        </w:rPr>
        <w:t xml:space="preserve">Efter længerevarende behandling med </w:t>
      </w:r>
      <w:proofErr w:type="spellStart"/>
      <w:r w:rsidRPr="00155D66">
        <w:rPr>
          <w:bCs/>
          <w:sz w:val="24"/>
          <w:szCs w:val="24"/>
        </w:rPr>
        <w:t>thiamazol</w:t>
      </w:r>
      <w:proofErr w:type="spellEnd"/>
      <w:r w:rsidRPr="00155D66">
        <w:rPr>
          <w:bCs/>
          <w:sz w:val="24"/>
          <w:szCs w:val="24"/>
        </w:rPr>
        <w:t xml:space="preserve"> hos gnavere er der blevet påvist øget risiko for </w:t>
      </w:r>
      <w:proofErr w:type="spellStart"/>
      <w:r w:rsidRPr="00155D66">
        <w:rPr>
          <w:bCs/>
          <w:sz w:val="24"/>
          <w:szCs w:val="24"/>
        </w:rPr>
        <w:t>neoplasi</w:t>
      </w:r>
      <w:proofErr w:type="spellEnd"/>
      <w:r w:rsidRPr="00155D66">
        <w:rPr>
          <w:bCs/>
          <w:sz w:val="24"/>
          <w:szCs w:val="24"/>
        </w:rPr>
        <w:t xml:space="preserve"> i skjoldbruskkirtlen, men der foreligger ikke nogen tegn herpå hos katte.</w:t>
      </w:r>
    </w:p>
    <w:p w14:paraId="5728C0D7" w14:textId="77777777" w:rsidR="00646941" w:rsidRPr="00155D66" w:rsidRDefault="00646941" w:rsidP="0026454A">
      <w:pPr>
        <w:tabs>
          <w:tab w:val="left" w:pos="1304"/>
        </w:tabs>
        <w:ind w:left="851"/>
        <w:rPr>
          <w:sz w:val="24"/>
          <w:szCs w:val="24"/>
        </w:rPr>
      </w:pPr>
    </w:p>
    <w:p w14:paraId="517AEF77" w14:textId="5873C908" w:rsidR="00646941" w:rsidRPr="00155D66" w:rsidRDefault="00646941" w:rsidP="0026454A">
      <w:pPr>
        <w:ind w:left="851"/>
        <w:rPr>
          <w:sz w:val="24"/>
          <w:szCs w:val="24"/>
        </w:rPr>
      </w:pPr>
      <w:bookmarkStart w:id="6" w:name="_Hlk66891708"/>
      <w:r w:rsidRPr="00155D6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sidste afsnit i indlægssedlen for de relevante kontaktoplysninger.</w:t>
      </w:r>
      <w:bookmarkEnd w:id="6"/>
    </w:p>
    <w:p w14:paraId="45408279" w14:textId="07BB9CFE" w:rsidR="00397FED" w:rsidRPr="00155D66" w:rsidRDefault="00397FED">
      <w:pPr>
        <w:rPr>
          <w:sz w:val="24"/>
          <w:szCs w:val="24"/>
        </w:rPr>
      </w:pPr>
      <w:r w:rsidRPr="00155D66">
        <w:rPr>
          <w:sz w:val="24"/>
          <w:szCs w:val="24"/>
        </w:rPr>
        <w:br w:type="page"/>
      </w:r>
    </w:p>
    <w:p w14:paraId="43825EE4" w14:textId="77777777" w:rsidR="008203A8" w:rsidRPr="00155D66" w:rsidRDefault="008203A8" w:rsidP="008203A8">
      <w:pPr>
        <w:tabs>
          <w:tab w:val="left" w:pos="851"/>
        </w:tabs>
        <w:ind w:left="851"/>
        <w:rPr>
          <w:sz w:val="24"/>
          <w:szCs w:val="24"/>
        </w:rPr>
      </w:pPr>
    </w:p>
    <w:p w14:paraId="56DA3246" w14:textId="77777777" w:rsidR="008203A8" w:rsidRPr="00155D66" w:rsidRDefault="008203A8" w:rsidP="008203A8">
      <w:pPr>
        <w:tabs>
          <w:tab w:val="left" w:pos="851"/>
        </w:tabs>
        <w:ind w:left="851" w:hanging="851"/>
        <w:rPr>
          <w:b/>
          <w:sz w:val="24"/>
          <w:szCs w:val="24"/>
        </w:rPr>
      </w:pPr>
      <w:r w:rsidRPr="00155D66">
        <w:rPr>
          <w:b/>
          <w:sz w:val="24"/>
          <w:szCs w:val="24"/>
        </w:rPr>
        <w:t>3.7</w:t>
      </w:r>
      <w:r w:rsidRPr="00155D66">
        <w:rPr>
          <w:b/>
          <w:sz w:val="24"/>
          <w:szCs w:val="24"/>
        </w:rPr>
        <w:tab/>
        <w:t>Anvendelse under drægtighed, laktation eller æglægning</w:t>
      </w:r>
    </w:p>
    <w:p w14:paraId="67F4A8A1" w14:textId="77777777" w:rsidR="00397FED" w:rsidRPr="00155D66" w:rsidRDefault="00397FED" w:rsidP="0026454A">
      <w:pPr>
        <w:ind w:left="851"/>
        <w:rPr>
          <w:sz w:val="24"/>
          <w:szCs w:val="24"/>
          <w:u w:val="single"/>
        </w:rPr>
      </w:pPr>
      <w:bookmarkStart w:id="7" w:name="_Hlk129254901"/>
    </w:p>
    <w:p w14:paraId="7A8060DA" w14:textId="3275B02E" w:rsidR="00646941" w:rsidRPr="00155D66" w:rsidRDefault="00646941" w:rsidP="0026454A">
      <w:pPr>
        <w:ind w:left="851"/>
        <w:rPr>
          <w:sz w:val="24"/>
          <w:szCs w:val="24"/>
          <w:u w:val="single"/>
        </w:rPr>
      </w:pPr>
      <w:r w:rsidRPr="00155D66">
        <w:rPr>
          <w:sz w:val="24"/>
          <w:szCs w:val="24"/>
          <w:u w:val="single"/>
        </w:rPr>
        <w:t>Drægtighed og diegivning</w:t>
      </w:r>
    </w:p>
    <w:p w14:paraId="2A10755F" w14:textId="77777777" w:rsidR="00646941" w:rsidRPr="00155D66" w:rsidRDefault="00646941" w:rsidP="0026454A">
      <w:pPr>
        <w:ind w:left="851"/>
        <w:rPr>
          <w:sz w:val="24"/>
          <w:szCs w:val="24"/>
        </w:rPr>
      </w:pPr>
      <w:r w:rsidRPr="00155D66">
        <w:rPr>
          <w:sz w:val="24"/>
          <w:szCs w:val="24"/>
        </w:rPr>
        <w:t xml:space="preserve">Laboratorieundersøgelser med rotter og mus har vist tegn på </w:t>
      </w:r>
      <w:proofErr w:type="spellStart"/>
      <w:r w:rsidRPr="00155D66">
        <w:rPr>
          <w:sz w:val="24"/>
          <w:szCs w:val="24"/>
        </w:rPr>
        <w:t>thiamazols</w:t>
      </w:r>
      <w:proofErr w:type="spellEnd"/>
      <w:r w:rsidRPr="00155D66">
        <w:rPr>
          <w:sz w:val="24"/>
          <w:szCs w:val="24"/>
        </w:rPr>
        <w:t xml:space="preserve"> </w:t>
      </w:r>
      <w:proofErr w:type="spellStart"/>
      <w:r w:rsidRPr="00155D66">
        <w:rPr>
          <w:sz w:val="24"/>
          <w:szCs w:val="24"/>
        </w:rPr>
        <w:t>teratogene</w:t>
      </w:r>
      <w:proofErr w:type="spellEnd"/>
      <w:r w:rsidRPr="00155D66">
        <w:rPr>
          <w:sz w:val="24"/>
          <w:szCs w:val="24"/>
        </w:rPr>
        <w:t xml:space="preserve"> og embryotoksiske virkninger. Lægemidlets sikkerhed blev ikke vurderet hos drægtige eller diende katte. Må ikke anvendes til drægtige eller diegivende hunkatte.</w:t>
      </w:r>
    </w:p>
    <w:bookmarkEnd w:id="7"/>
    <w:p w14:paraId="0126F530" w14:textId="77777777" w:rsidR="008203A8" w:rsidRPr="00155D66" w:rsidRDefault="008203A8" w:rsidP="008203A8">
      <w:pPr>
        <w:tabs>
          <w:tab w:val="left" w:pos="851"/>
        </w:tabs>
        <w:ind w:left="851"/>
        <w:rPr>
          <w:sz w:val="24"/>
          <w:szCs w:val="24"/>
        </w:rPr>
      </w:pPr>
    </w:p>
    <w:p w14:paraId="4E98EF0E" w14:textId="77777777" w:rsidR="008203A8" w:rsidRPr="00155D66" w:rsidRDefault="008203A8" w:rsidP="008203A8">
      <w:pPr>
        <w:tabs>
          <w:tab w:val="left" w:pos="851"/>
        </w:tabs>
        <w:ind w:left="851" w:hanging="851"/>
        <w:rPr>
          <w:b/>
          <w:sz w:val="24"/>
          <w:szCs w:val="24"/>
        </w:rPr>
      </w:pPr>
      <w:r w:rsidRPr="00155D66">
        <w:rPr>
          <w:b/>
          <w:sz w:val="24"/>
          <w:szCs w:val="24"/>
        </w:rPr>
        <w:t>3.8</w:t>
      </w:r>
      <w:r w:rsidRPr="00155D66">
        <w:rPr>
          <w:b/>
          <w:sz w:val="24"/>
          <w:szCs w:val="24"/>
        </w:rPr>
        <w:tab/>
        <w:t>Interaktion med andre lægemidler og andre former for interaktion</w:t>
      </w:r>
    </w:p>
    <w:p w14:paraId="28DF0510" w14:textId="77777777" w:rsidR="00646941" w:rsidRPr="00155D66" w:rsidRDefault="00646941" w:rsidP="0026454A">
      <w:pPr>
        <w:ind w:left="851"/>
        <w:rPr>
          <w:sz w:val="24"/>
          <w:szCs w:val="24"/>
        </w:rPr>
      </w:pPr>
      <w:r w:rsidRPr="00155D66">
        <w:rPr>
          <w:sz w:val="24"/>
          <w:szCs w:val="24"/>
        </w:rPr>
        <w:t xml:space="preserve">Samtidig behandling med </w:t>
      </w:r>
      <w:proofErr w:type="spellStart"/>
      <w:r w:rsidRPr="00155D66">
        <w:rPr>
          <w:sz w:val="24"/>
          <w:szCs w:val="24"/>
        </w:rPr>
        <w:t>phenobarbital</w:t>
      </w:r>
      <w:proofErr w:type="spellEnd"/>
      <w:r w:rsidRPr="00155D66">
        <w:rPr>
          <w:sz w:val="24"/>
          <w:szCs w:val="24"/>
        </w:rPr>
        <w:t xml:space="preserve"> kan mindske </w:t>
      </w:r>
      <w:proofErr w:type="spellStart"/>
      <w:r w:rsidRPr="00155D66">
        <w:rPr>
          <w:sz w:val="24"/>
          <w:szCs w:val="24"/>
        </w:rPr>
        <w:t>thiamazols</w:t>
      </w:r>
      <w:proofErr w:type="spellEnd"/>
      <w:r w:rsidRPr="00155D66">
        <w:rPr>
          <w:sz w:val="24"/>
          <w:szCs w:val="24"/>
        </w:rPr>
        <w:t xml:space="preserve"> kliniske effektivitet.</w:t>
      </w:r>
    </w:p>
    <w:p w14:paraId="0ED1F635" w14:textId="77777777" w:rsidR="00646941" w:rsidRPr="00155D66" w:rsidRDefault="00646941" w:rsidP="0026454A">
      <w:pPr>
        <w:ind w:left="851"/>
        <w:rPr>
          <w:sz w:val="24"/>
          <w:szCs w:val="24"/>
        </w:rPr>
      </w:pPr>
      <w:proofErr w:type="spellStart"/>
      <w:r w:rsidRPr="00155D66">
        <w:rPr>
          <w:sz w:val="24"/>
          <w:szCs w:val="24"/>
        </w:rPr>
        <w:t>Thiamazol</w:t>
      </w:r>
      <w:proofErr w:type="spellEnd"/>
      <w:r w:rsidRPr="00155D66">
        <w:rPr>
          <w:sz w:val="24"/>
          <w:szCs w:val="24"/>
        </w:rPr>
        <w:t xml:space="preserve"> reducerer </w:t>
      </w:r>
      <w:proofErr w:type="spellStart"/>
      <w:r w:rsidRPr="00155D66">
        <w:rPr>
          <w:sz w:val="24"/>
          <w:szCs w:val="24"/>
        </w:rPr>
        <w:t>hepatisk</w:t>
      </w:r>
      <w:proofErr w:type="spellEnd"/>
      <w:r w:rsidRPr="00155D66">
        <w:rPr>
          <w:sz w:val="24"/>
          <w:szCs w:val="24"/>
        </w:rPr>
        <w:t xml:space="preserve"> oxidering af </w:t>
      </w:r>
      <w:proofErr w:type="spellStart"/>
      <w:r w:rsidRPr="00155D66">
        <w:rPr>
          <w:sz w:val="24"/>
          <w:szCs w:val="24"/>
        </w:rPr>
        <w:t>benzimidazol</w:t>
      </w:r>
      <w:proofErr w:type="spellEnd"/>
      <w:r w:rsidRPr="00155D66">
        <w:rPr>
          <w:sz w:val="24"/>
          <w:szCs w:val="24"/>
        </w:rPr>
        <w:t>-ormemidler og kan medføre stigninger i disses plasmakoncentrationer, når de gives sideløbende.</w:t>
      </w:r>
    </w:p>
    <w:p w14:paraId="27DEF5FE" w14:textId="77777777" w:rsidR="00646941" w:rsidRPr="00155D66" w:rsidRDefault="00646941" w:rsidP="0026454A">
      <w:pPr>
        <w:ind w:left="851"/>
        <w:rPr>
          <w:sz w:val="24"/>
          <w:szCs w:val="24"/>
        </w:rPr>
      </w:pPr>
      <w:proofErr w:type="spellStart"/>
      <w:r w:rsidRPr="00155D66">
        <w:rPr>
          <w:sz w:val="24"/>
          <w:szCs w:val="24"/>
        </w:rPr>
        <w:t>Thiamazol</w:t>
      </w:r>
      <w:proofErr w:type="spellEnd"/>
      <w:r w:rsidRPr="00155D66">
        <w:rPr>
          <w:sz w:val="24"/>
          <w:szCs w:val="24"/>
        </w:rPr>
        <w:t xml:space="preserve"> er immunmodulerende, hvilket skal tages i betragtning, når der overvejes vaccinationsprogrammer.</w:t>
      </w:r>
    </w:p>
    <w:p w14:paraId="16C355BA" w14:textId="77777777" w:rsidR="008203A8" w:rsidRPr="00155D66" w:rsidRDefault="008203A8" w:rsidP="008203A8">
      <w:pPr>
        <w:tabs>
          <w:tab w:val="left" w:pos="851"/>
        </w:tabs>
        <w:ind w:left="851"/>
        <w:rPr>
          <w:sz w:val="24"/>
          <w:szCs w:val="24"/>
        </w:rPr>
      </w:pPr>
    </w:p>
    <w:p w14:paraId="5EBC8E1F" w14:textId="77777777" w:rsidR="008203A8" w:rsidRPr="00155D66" w:rsidRDefault="008203A8" w:rsidP="008203A8">
      <w:pPr>
        <w:tabs>
          <w:tab w:val="left" w:pos="851"/>
        </w:tabs>
        <w:ind w:left="851" w:hanging="851"/>
        <w:rPr>
          <w:b/>
          <w:sz w:val="24"/>
          <w:szCs w:val="24"/>
        </w:rPr>
      </w:pPr>
      <w:r w:rsidRPr="00155D66">
        <w:rPr>
          <w:b/>
          <w:sz w:val="24"/>
          <w:szCs w:val="24"/>
        </w:rPr>
        <w:t>3.9</w:t>
      </w:r>
      <w:r w:rsidRPr="00155D66">
        <w:rPr>
          <w:b/>
          <w:sz w:val="24"/>
          <w:szCs w:val="24"/>
        </w:rPr>
        <w:tab/>
        <w:t>Administrationsveje og dosering</w:t>
      </w:r>
    </w:p>
    <w:p w14:paraId="3833CAE0" w14:textId="77777777" w:rsidR="00646941" w:rsidRPr="00155D66" w:rsidRDefault="00646941" w:rsidP="0026454A">
      <w:pPr>
        <w:ind w:left="851"/>
        <w:rPr>
          <w:sz w:val="24"/>
          <w:szCs w:val="24"/>
        </w:rPr>
      </w:pPr>
      <w:r w:rsidRPr="00155D66">
        <w:rPr>
          <w:sz w:val="24"/>
          <w:szCs w:val="24"/>
        </w:rPr>
        <w:t>Oral anvendelse.</w:t>
      </w:r>
    </w:p>
    <w:p w14:paraId="35FAC1E7" w14:textId="77777777" w:rsidR="00646941" w:rsidRPr="00155D66" w:rsidRDefault="00646941" w:rsidP="0026454A">
      <w:pPr>
        <w:ind w:left="851"/>
        <w:rPr>
          <w:sz w:val="24"/>
          <w:szCs w:val="24"/>
        </w:rPr>
      </w:pPr>
      <w:r w:rsidRPr="00155D66">
        <w:rPr>
          <w:sz w:val="24"/>
          <w:szCs w:val="24"/>
        </w:rPr>
        <w:t xml:space="preserve">Til stabilisering af </w:t>
      </w:r>
      <w:proofErr w:type="spellStart"/>
      <w:r w:rsidRPr="00155D66">
        <w:rPr>
          <w:sz w:val="24"/>
          <w:szCs w:val="24"/>
        </w:rPr>
        <w:t>hyperthyreoidisme</w:t>
      </w:r>
      <w:proofErr w:type="spellEnd"/>
      <w:r w:rsidRPr="00155D66">
        <w:rPr>
          <w:sz w:val="24"/>
          <w:szCs w:val="24"/>
        </w:rPr>
        <w:t xml:space="preserve"> hos katte før kirurgisk </w:t>
      </w:r>
      <w:proofErr w:type="spellStart"/>
      <w:r w:rsidRPr="00155D66">
        <w:rPr>
          <w:sz w:val="24"/>
          <w:szCs w:val="24"/>
        </w:rPr>
        <w:t>thyreoidektomi</w:t>
      </w:r>
      <w:proofErr w:type="spellEnd"/>
      <w:r w:rsidRPr="00155D66">
        <w:rPr>
          <w:sz w:val="24"/>
          <w:szCs w:val="24"/>
        </w:rPr>
        <w:t xml:space="preserve"> og til langtidsbehandling af </w:t>
      </w:r>
      <w:proofErr w:type="spellStart"/>
      <w:r w:rsidRPr="00155D66">
        <w:rPr>
          <w:sz w:val="24"/>
          <w:szCs w:val="24"/>
        </w:rPr>
        <w:t>hyperthyreoidisme</w:t>
      </w:r>
      <w:proofErr w:type="spellEnd"/>
      <w:r w:rsidRPr="00155D66">
        <w:rPr>
          <w:sz w:val="24"/>
          <w:szCs w:val="24"/>
        </w:rPr>
        <w:t xml:space="preserve"> hos katte er den anbefalede startdosis </w:t>
      </w:r>
      <w:bookmarkStart w:id="8" w:name="_Hlk116400712"/>
      <w:r w:rsidRPr="00155D66">
        <w:rPr>
          <w:sz w:val="24"/>
          <w:szCs w:val="24"/>
        </w:rPr>
        <w:t>5 mg pr. dag (1 ml af veterinærlægemidlet).</w:t>
      </w:r>
      <w:bookmarkEnd w:id="8"/>
    </w:p>
    <w:p w14:paraId="6FED7C2E" w14:textId="77777777" w:rsidR="00646941" w:rsidRPr="00155D66" w:rsidRDefault="00646941" w:rsidP="0026454A">
      <w:pPr>
        <w:ind w:left="851"/>
        <w:rPr>
          <w:sz w:val="24"/>
          <w:szCs w:val="24"/>
        </w:rPr>
      </w:pPr>
      <w:r w:rsidRPr="00155D66">
        <w:rPr>
          <w:sz w:val="24"/>
          <w:szCs w:val="24"/>
        </w:rPr>
        <w:t>Hvis muligt, bør den samlede daglige dosis deles i to lige store doser og indgives morgen og aften.</w:t>
      </w:r>
    </w:p>
    <w:p w14:paraId="04C1D292" w14:textId="581BF939" w:rsidR="00646941" w:rsidRPr="00155D66" w:rsidRDefault="00646941" w:rsidP="0026454A">
      <w:pPr>
        <w:ind w:left="851"/>
        <w:rPr>
          <w:sz w:val="24"/>
          <w:szCs w:val="24"/>
        </w:rPr>
      </w:pPr>
      <w:r w:rsidRPr="00155D66">
        <w:rPr>
          <w:sz w:val="24"/>
          <w:szCs w:val="24"/>
        </w:rPr>
        <w:t>Hvis der af hensyn til compliance foretrækkes én daglig dosis, kan det accepteres, men to gange daglig dosis kan være mere effektiv på kort sigt.</w:t>
      </w:r>
    </w:p>
    <w:p w14:paraId="1AB7E736" w14:textId="4434ECBA" w:rsidR="00646941" w:rsidRPr="00155D66" w:rsidRDefault="00646941" w:rsidP="0026454A">
      <w:pPr>
        <w:ind w:left="851"/>
        <w:rPr>
          <w:sz w:val="24"/>
          <w:szCs w:val="24"/>
        </w:rPr>
      </w:pPr>
      <w:bookmarkStart w:id="9" w:name="_Hlk129268095"/>
      <w:r w:rsidRPr="00155D66">
        <w:rPr>
          <w:rStyle w:val="ui-provider"/>
          <w:sz w:val="24"/>
          <w:szCs w:val="24"/>
        </w:rPr>
        <w:t>For at kunne indgive dosis nøjagtigt skal sprøjten i pakken anvendes. Sprøjten passer til glasset og er inddelt i trin på 0,25 mg op til 5 mg. Træk den ønskede dosis op i sprøjten, og indgiv veterinærlægemidlet direkte i kattens mund.</w:t>
      </w:r>
    </w:p>
    <w:bookmarkEnd w:id="9"/>
    <w:p w14:paraId="1C2DB0A0" w14:textId="77777777" w:rsidR="00646941" w:rsidRPr="00155D66" w:rsidRDefault="00646941" w:rsidP="0026454A">
      <w:pPr>
        <w:ind w:left="851"/>
        <w:rPr>
          <w:sz w:val="24"/>
          <w:szCs w:val="24"/>
        </w:rPr>
      </w:pPr>
      <w:r w:rsidRPr="00155D66">
        <w:rPr>
          <w:sz w:val="24"/>
          <w:szCs w:val="24"/>
        </w:rPr>
        <w:t>Hæmatologi, biokemi og serumtotal T</w:t>
      </w:r>
      <w:r w:rsidRPr="00155D66">
        <w:rPr>
          <w:sz w:val="24"/>
          <w:szCs w:val="24"/>
          <w:vertAlign w:val="subscript"/>
        </w:rPr>
        <w:t>4</w:t>
      </w:r>
      <w:r w:rsidRPr="00155D66">
        <w:rPr>
          <w:sz w:val="24"/>
          <w:szCs w:val="24"/>
        </w:rPr>
        <w:t xml:space="preserve"> bør vurderes før igangsætning af behandlingen og efter 3 uger, 6 uger, 10 uger, 20 uger og derefter hver 3. måned. Ved hvert af de anbefalede kontrolintervaller bør dosen titreres for effekt i overensstemmelse med den totale T</w:t>
      </w:r>
      <w:r w:rsidRPr="00155D66">
        <w:rPr>
          <w:sz w:val="24"/>
          <w:szCs w:val="24"/>
          <w:vertAlign w:val="subscript"/>
        </w:rPr>
        <w:t>4</w:t>
      </w:r>
      <w:r w:rsidRPr="00155D66">
        <w:rPr>
          <w:sz w:val="24"/>
          <w:szCs w:val="24"/>
        </w:rPr>
        <w:t xml:space="preserve"> og med klinisk respons på behandlingen. Dosisjusteringer bør ske i trin på 2,5 mg (0,5 ml af veterinærlægemidlet), og målet bør være at opnå den lavest mulige dosishastighed. Hos katte hvor der kræves ekstra små dosisjusteringer kan trin på 1,25 mg af </w:t>
      </w:r>
      <w:proofErr w:type="spellStart"/>
      <w:r w:rsidRPr="00155D66">
        <w:rPr>
          <w:sz w:val="24"/>
          <w:szCs w:val="24"/>
        </w:rPr>
        <w:t>thiamazol</w:t>
      </w:r>
      <w:proofErr w:type="spellEnd"/>
      <w:r w:rsidRPr="00155D66">
        <w:rPr>
          <w:sz w:val="24"/>
          <w:szCs w:val="24"/>
        </w:rPr>
        <w:t xml:space="preserve"> (0,25 ml af veterinærlægemidlet) kan anvendes.</w:t>
      </w:r>
    </w:p>
    <w:p w14:paraId="1FDDB1D5" w14:textId="77777777" w:rsidR="00646941" w:rsidRPr="00155D66" w:rsidRDefault="00646941" w:rsidP="0026454A">
      <w:pPr>
        <w:ind w:left="851"/>
        <w:rPr>
          <w:sz w:val="24"/>
          <w:szCs w:val="24"/>
        </w:rPr>
      </w:pPr>
      <w:r w:rsidRPr="00155D66">
        <w:rPr>
          <w:sz w:val="24"/>
          <w:szCs w:val="24"/>
        </w:rPr>
        <w:t>Hvis der er behov for mere end 10 mg pr. dag (2 ml af veterinærlægemidlet), skal dyrene overvåges særligt opmærksomt.</w:t>
      </w:r>
    </w:p>
    <w:p w14:paraId="16FC0BB4" w14:textId="77777777" w:rsidR="00646941" w:rsidRPr="00155D66" w:rsidRDefault="00646941" w:rsidP="0026454A">
      <w:pPr>
        <w:ind w:left="851"/>
        <w:rPr>
          <w:sz w:val="24"/>
          <w:szCs w:val="24"/>
        </w:rPr>
      </w:pPr>
      <w:r w:rsidRPr="00155D66">
        <w:rPr>
          <w:sz w:val="24"/>
          <w:szCs w:val="24"/>
        </w:rPr>
        <w:t>Den administrerede dosis må ikke overstige 20 mg/dag (4 ml af veterinærlægemidlet).</w:t>
      </w:r>
    </w:p>
    <w:p w14:paraId="5E59AB44" w14:textId="77777777" w:rsidR="00646941" w:rsidRPr="00155D66" w:rsidRDefault="00646941" w:rsidP="0026454A">
      <w:pPr>
        <w:ind w:left="851"/>
        <w:rPr>
          <w:noProof/>
          <w:sz w:val="24"/>
          <w:szCs w:val="24"/>
        </w:rPr>
      </w:pPr>
      <w:r w:rsidRPr="00155D66">
        <w:rPr>
          <w:sz w:val="24"/>
          <w:szCs w:val="24"/>
        </w:rPr>
        <w:t xml:space="preserve">Ved langtidsbehandling af </w:t>
      </w:r>
      <w:proofErr w:type="spellStart"/>
      <w:r w:rsidRPr="00155D66">
        <w:rPr>
          <w:sz w:val="24"/>
          <w:szCs w:val="24"/>
        </w:rPr>
        <w:t>hyperthyreoidisme</w:t>
      </w:r>
      <w:proofErr w:type="spellEnd"/>
      <w:r w:rsidRPr="00155D66">
        <w:rPr>
          <w:sz w:val="24"/>
          <w:szCs w:val="24"/>
        </w:rPr>
        <w:t xml:space="preserve"> bør dyret behandles på livstid.</w:t>
      </w:r>
    </w:p>
    <w:p w14:paraId="12247840" w14:textId="77777777" w:rsidR="008203A8" w:rsidRPr="00155D66" w:rsidRDefault="008203A8" w:rsidP="008203A8">
      <w:pPr>
        <w:tabs>
          <w:tab w:val="left" w:pos="851"/>
        </w:tabs>
        <w:ind w:left="851"/>
        <w:rPr>
          <w:sz w:val="24"/>
          <w:szCs w:val="24"/>
        </w:rPr>
      </w:pPr>
    </w:p>
    <w:p w14:paraId="1C25E667" w14:textId="77777777" w:rsidR="008203A8" w:rsidRPr="00155D66" w:rsidRDefault="008203A8" w:rsidP="008203A8">
      <w:pPr>
        <w:tabs>
          <w:tab w:val="left" w:pos="851"/>
        </w:tabs>
        <w:ind w:left="851" w:hanging="851"/>
        <w:rPr>
          <w:b/>
          <w:sz w:val="24"/>
          <w:szCs w:val="24"/>
        </w:rPr>
      </w:pPr>
      <w:r w:rsidRPr="00155D66">
        <w:rPr>
          <w:b/>
          <w:sz w:val="24"/>
          <w:szCs w:val="24"/>
        </w:rPr>
        <w:t>3.10</w:t>
      </w:r>
      <w:r w:rsidRPr="00155D66">
        <w:rPr>
          <w:b/>
          <w:sz w:val="24"/>
          <w:szCs w:val="24"/>
        </w:rPr>
        <w:tab/>
        <w:t>Symptomer på overdosering (og, hvis relevant, nødforanstaltninger og modgift)</w:t>
      </w:r>
    </w:p>
    <w:p w14:paraId="43849145" w14:textId="77777777" w:rsidR="00646941" w:rsidRPr="00155D66" w:rsidRDefault="00646941" w:rsidP="0026454A">
      <w:pPr>
        <w:ind w:left="851"/>
        <w:rPr>
          <w:sz w:val="24"/>
          <w:szCs w:val="24"/>
        </w:rPr>
      </w:pPr>
      <w:bookmarkStart w:id="10" w:name="_Hlk129270280"/>
      <w:r w:rsidRPr="00155D66">
        <w:rPr>
          <w:sz w:val="24"/>
          <w:szCs w:val="24"/>
        </w:rPr>
        <w:t xml:space="preserve">I toleranceundersøgelser hos unge, raske katte opstod følgende dosisrelaterede, kliniske tegn ved doser på op til 30 mg/dyr/dag: anoreksi, opkastning, letargi, </w:t>
      </w:r>
      <w:proofErr w:type="spellStart"/>
      <w:r w:rsidRPr="00155D66">
        <w:rPr>
          <w:sz w:val="24"/>
          <w:szCs w:val="24"/>
        </w:rPr>
        <w:t>pruritus</w:t>
      </w:r>
      <w:proofErr w:type="spellEnd"/>
      <w:r w:rsidRPr="00155D66">
        <w:rPr>
          <w:sz w:val="24"/>
          <w:szCs w:val="24"/>
        </w:rPr>
        <w:t xml:space="preserve"> og hæmatologiske og biokemiske abnormiteter såsom </w:t>
      </w:r>
      <w:proofErr w:type="spellStart"/>
      <w:r w:rsidRPr="00155D66">
        <w:rPr>
          <w:sz w:val="24"/>
          <w:szCs w:val="24"/>
        </w:rPr>
        <w:t>neutropeni</w:t>
      </w:r>
      <w:proofErr w:type="spellEnd"/>
      <w:r w:rsidRPr="00155D66">
        <w:rPr>
          <w:sz w:val="24"/>
          <w:szCs w:val="24"/>
        </w:rPr>
        <w:t xml:space="preserve">, </w:t>
      </w:r>
      <w:proofErr w:type="spellStart"/>
      <w:r w:rsidRPr="00155D66">
        <w:rPr>
          <w:sz w:val="24"/>
          <w:szCs w:val="24"/>
        </w:rPr>
        <w:t>lymfopeni</w:t>
      </w:r>
      <w:proofErr w:type="spellEnd"/>
      <w:r w:rsidRPr="00155D66">
        <w:rPr>
          <w:sz w:val="24"/>
          <w:szCs w:val="24"/>
        </w:rPr>
        <w:t xml:space="preserve">, reducerede serumkalium- og </w:t>
      </w:r>
      <w:proofErr w:type="spellStart"/>
      <w:r w:rsidRPr="00155D66">
        <w:rPr>
          <w:sz w:val="24"/>
          <w:szCs w:val="24"/>
        </w:rPr>
        <w:t>phosphorniveauer</w:t>
      </w:r>
      <w:proofErr w:type="spellEnd"/>
      <w:r w:rsidRPr="00155D66">
        <w:rPr>
          <w:sz w:val="24"/>
          <w:szCs w:val="24"/>
        </w:rPr>
        <w:t xml:space="preserve">, øgede magnesium- og </w:t>
      </w:r>
      <w:proofErr w:type="spellStart"/>
      <w:r w:rsidRPr="00155D66">
        <w:rPr>
          <w:sz w:val="24"/>
          <w:szCs w:val="24"/>
        </w:rPr>
        <w:t>creatininniveauer</w:t>
      </w:r>
      <w:proofErr w:type="spellEnd"/>
      <w:r w:rsidRPr="00155D66">
        <w:rPr>
          <w:sz w:val="24"/>
          <w:szCs w:val="24"/>
        </w:rPr>
        <w:t xml:space="preserve"> og opståen af </w:t>
      </w:r>
      <w:proofErr w:type="spellStart"/>
      <w:r w:rsidRPr="00155D66">
        <w:rPr>
          <w:sz w:val="24"/>
          <w:szCs w:val="24"/>
        </w:rPr>
        <w:t>antinukleære</w:t>
      </w:r>
      <w:proofErr w:type="spellEnd"/>
      <w:r w:rsidRPr="00155D66">
        <w:rPr>
          <w:sz w:val="24"/>
          <w:szCs w:val="24"/>
        </w:rPr>
        <w:t xml:space="preserve"> antistoffer. Ved en dosis på 30 mg/dag viste nogle katte tegn på </w:t>
      </w:r>
      <w:proofErr w:type="spellStart"/>
      <w:r w:rsidRPr="00155D66">
        <w:rPr>
          <w:sz w:val="24"/>
          <w:szCs w:val="24"/>
        </w:rPr>
        <w:t>hæmolytisk</w:t>
      </w:r>
      <w:proofErr w:type="spellEnd"/>
      <w:r w:rsidRPr="00155D66">
        <w:rPr>
          <w:sz w:val="24"/>
          <w:szCs w:val="24"/>
        </w:rPr>
        <w:t xml:space="preserve"> anæmi og svær klinisk forværring. Nogle af disse tegn kan også opstå hos </w:t>
      </w:r>
      <w:proofErr w:type="spellStart"/>
      <w:r w:rsidRPr="00155D66">
        <w:rPr>
          <w:sz w:val="24"/>
          <w:szCs w:val="24"/>
        </w:rPr>
        <w:t>hyperthyroide</w:t>
      </w:r>
      <w:proofErr w:type="spellEnd"/>
      <w:r w:rsidRPr="00155D66">
        <w:rPr>
          <w:sz w:val="24"/>
          <w:szCs w:val="24"/>
        </w:rPr>
        <w:t xml:space="preserve"> katte behandlet med doser op til 20 mg pr. dag.</w:t>
      </w:r>
    </w:p>
    <w:p w14:paraId="4FC5C999" w14:textId="1FDF0F3F" w:rsidR="00646941" w:rsidRPr="00155D66" w:rsidRDefault="00646941" w:rsidP="0026454A">
      <w:pPr>
        <w:ind w:left="851"/>
        <w:rPr>
          <w:sz w:val="24"/>
          <w:szCs w:val="24"/>
        </w:rPr>
      </w:pPr>
      <w:r w:rsidRPr="00155D66">
        <w:rPr>
          <w:sz w:val="24"/>
          <w:szCs w:val="24"/>
        </w:rPr>
        <w:t xml:space="preserve">Meget store doser til </w:t>
      </w:r>
      <w:proofErr w:type="spellStart"/>
      <w:r w:rsidRPr="00155D66">
        <w:rPr>
          <w:sz w:val="24"/>
          <w:szCs w:val="24"/>
        </w:rPr>
        <w:t>hyperthyroide</w:t>
      </w:r>
      <w:proofErr w:type="spellEnd"/>
      <w:r w:rsidRPr="00155D66">
        <w:rPr>
          <w:sz w:val="24"/>
          <w:szCs w:val="24"/>
        </w:rPr>
        <w:t xml:space="preserve"> katte kan medføre tegn på </w:t>
      </w:r>
      <w:proofErr w:type="spellStart"/>
      <w:r w:rsidRPr="00155D66">
        <w:rPr>
          <w:sz w:val="24"/>
          <w:szCs w:val="24"/>
        </w:rPr>
        <w:t>hypotyreoidisme</w:t>
      </w:r>
      <w:proofErr w:type="spellEnd"/>
      <w:r w:rsidRPr="00155D66">
        <w:rPr>
          <w:sz w:val="24"/>
          <w:szCs w:val="24"/>
        </w:rPr>
        <w:t xml:space="preserve">. Dette er imidlertid usandsynligt, idet </w:t>
      </w:r>
      <w:proofErr w:type="spellStart"/>
      <w:r w:rsidRPr="00155D66">
        <w:rPr>
          <w:sz w:val="24"/>
          <w:szCs w:val="24"/>
        </w:rPr>
        <w:t>hypotyreoidisme</w:t>
      </w:r>
      <w:proofErr w:type="spellEnd"/>
      <w:r w:rsidRPr="00155D66">
        <w:rPr>
          <w:sz w:val="24"/>
          <w:szCs w:val="24"/>
        </w:rPr>
        <w:t xml:space="preserve"> som regel korrigeres af negative feedback-mekanismer. Se punkt 3</w:t>
      </w:r>
      <w:r w:rsidR="00397FED" w:rsidRPr="00155D66">
        <w:rPr>
          <w:sz w:val="24"/>
          <w:szCs w:val="24"/>
        </w:rPr>
        <w:t>.</w:t>
      </w:r>
      <w:r w:rsidRPr="00155D66">
        <w:rPr>
          <w:sz w:val="24"/>
          <w:szCs w:val="24"/>
        </w:rPr>
        <w:t xml:space="preserve">6 Bivirkninger. </w:t>
      </w:r>
    </w:p>
    <w:p w14:paraId="71D3E1FF" w14:textId="77777777" w:rsidR="00646941" w:rsidRPr="00155D66" w:rsidRDefault="00646941" w:rsidP="0026454A">
      <w:pPr>
        <w:ind w:left="851"/>
        <w:rPr>
          <w:sz w:val="24"/>
          <w:szCs w:val="24"/>
        </w:rPr>
      </w:pPr>
      <w:r w:rsidRPr="00155D66">
        <w:rPr>
          <w:sz w:val="24"/>
          <w:szCs w:val="24"/>
        </w:rPr>
        <w:t>Hvis overdosering finder sted, skal behandlingen stanses og der bør gives symptomatisk og understøttende behandling.</w:t>
      </w:r>
    </w:p>
    <w:bookmarkEnd w:id="10"/>
    <w:p w14:paraId="51A99FDA" w14:textId="77777777" w:rsidR="008203A8" w:rsidRPr="00155D66" w:rsidRDefault="008203A8" w:rsidP="008203A8">
      <w:pPr>
        <w:tabs>
          <w:tab w:val="left" w:pos="851"/>
        </w:tabs>
        <w:ind w:left="851"/>
        <w:rPr>
          <w:sz w:val="24"/>
          <w:szCs w:val="24"/>
        </w:rPr>
      </w:pPr>
    </w:p>
    <w:p w14:paraId="73664FAD" w14:textId="77777777" w:rsidR="008203A8" w:rsidRPr="00155D66" w:rsidRDefault="008203A8" w:rsidP="008203A8">
      <w:pPr>
        <w:tabs>
          <w:tab w:val="left" w:pos="851"/>
        </w:tabs>
        <w:ind w:left="851" w:hanging="851"/>
        <w:rPr>
          <w:sz w:val="24"/>
          <w:szCs w:val="24"/>
        </w:rPr>
      </w:pPr>
      <w:r w:rsidRPr="00155D66">
        <w:rPr>
          <w:b/>
          <w:sz w:val="24"/>
          <w:szCs w:val="24"/>
        </w:rPr>
        <w:t>3.11</w:t>
      </w:r>
      <w:r w:rsidRPr="00155D66">
        <w:rPr>
          <w:sz w:val="24"/>
          <w:szCs w:val="24"/>
        </w:rPr>
        <w:tab/>
      </w:r>
      <w:r w:rsidRPr="00155D66">
        <w:rPr>
          <w:b/>
          <w:sz w:val="24"/>
          <w:szCs w:val="24"/>
        </w:rPr>
        <w:t>Særlige begrænsninger og betingelser for anvendelse, herunder begrænsninger for anvendelsen af antimikrobielle og antiparasitære veterinærlægemidler for at begrænse risikoen for udvikling af resistens</w:t>
      </w:r>
    </w:p>
    <w:p w14:paraId="3CF17A6E" w14:textId="77777777" w:rsidR="00646941" w:rsidRPr="00155D66" w:rsidRDefault="00646941" w:rsidP="0026454A">
      <w:pPr>
        <w:ind w:left="851"/>
        <w:rPr>
          <w:sz w:val="24"/>
          <w:szCs w:val="24"/>
        </w:rPr>
      </w:pPr>
      <w:r w:rsidRPr="00155D66">
        <w:rPr>
          <w:sz w:val="24"/>
          <w:szCs w:val="24"/>
        </w:rPr>
        <w:t>Ikke relevant.</w:t>
      </w:r>
    </w:p>
    <w:p w14:paraId="5016F1CA" w14:textId="77777777" w:rsidR="008203A8" w:rsidRPr="00155D66" w:rsidRDefault="008203A8" w:rsidP="008203A8">
      <w:pPr>
        <w:tabs>
          <w:tab w:val="left" w:pos="851"/>
        </w:tabs>
        <w:ind w:left="851"/>
        <w:rPr>
          <w:sz w:val="24"/>
          <w:szCs w:val="24"/>
        </w:rPr>
      </w:pPr>
    </w:p>
    <w:p w14:paraId="1B46A076" w14:textId="77777777" w:rsidR="008203A8" w:rsidRPr="00155D66" w:rsidRDefault="008203A8" w:rsidP="008203A8">
      <w:pPr>
        <w:tabs>
          <w:tab w:val="left" w:pos="851"/>
        </w:tabs>
        <w:ind w:left="851" w:hanging="851"/>
        <w:rPr>
          <w:b/>
          <w:sz w:val="24"/>
          <w:szCs w:val="24"/>
        </w:rPr>
      </w:pPr>
      <w:r w:rsidRPr="00155D66">
        <w:rPr>
          <w:b/>
          <w:sz w:val="24"/>
          <w:szCs w:val="24"/>
        </w:rPr>
        <w:t>3.12</w:t>
      </w:r>
      <w:r w:rsidRPr="00155D66">
        <w:rPr>
          <w:b/>
          <w:sz w:val="24"/>
          <w:szCs w:val="24"/>
        </w:rPr>
        <w:tab/>
        <w:t>Tilbageholdelsestid(er)</w:t>
      </w:r>
    </w:p>
    <w:p w14:paraId="095D5C72" w14:textId="77777777" w:rsidR="00646941" w:rsidRPr="00155D66" w:rsidRDefault="00646941" w:rsidP="0026454A">
      <w:pPr>
        <w:ind w:left="851"/>
        <w:rPr>
          <w:sz w:val="24"/>
          <w:szCs w:val="24"/>
        </w:rPr>
      </w:pPr>
      <w:r w:rsidRPr="00155D66">
        <w:rPr>
          <w:sz w:val="24"/>
          <w:szCs w:val="24"/>
        </w:rPr>
        <w:t>Ikke relevant.</w:t>
      </w:r>
    </w:p>
    <w:p w14:paraId="67CFE9CB" w14:textId="77777777" w:rsidR="008203A8" w:rsidRPr="00155D66" w:rsidRDefault="008203A8" w:rsidP="008203A8">
      <w:pPr>
        <w:pStyle w:val="Sidehoved"/>
        <w:tabs>
          <w:tab w:val="clear" w:pos="4819"/>
        </w:tabs>
        <w:ind w:left="851"/>
        <w:rPr>
          <w:szCs w:val="24"/>
        </w:rPr>
      </w:pPr>
    </w:p>
    <w:p w14:paraId="2E48F0E1" w14:textId="77777777" w:rsidR="008203A8" w:rsidRPr="00155D66" w:rsidRDefault="008203A8" w:rsidP="008203A8">
      <w:pPr>
        <w:tabs>
          <w:tab w:val="left" w:pos="851"/>
        </w:tabs>
        <w:ind w:left="851"/>
        <w:rPr>
          <w:sz w:val="24"/>
          <w:szCs w:val="24"/>
        </w:rPr>
      </w:pPr>
    </w:p>
    <w:p w14:paraId="3F4DC34D" w14:textId="57B74509" w:rsidR="008203A8" w:rsidRPr="00155D66" w:rsidRDefault="008203A8" w:rsidP="008203A8">
      <w:pPr>
        <w:ind w:left="851" w:hanging="851"/>
        <w:rPr>
          <w:b/>
          <w:sz w:val="24"/>
          <w:szCs w:val="24"/>
        </w:rPr>
      </w:pPr>
      <w:r w:rsidRPr="00155D66">
        <w:rPr>
          <w:b/>
          <w:sz w:val="24"/>
          <w:szCs w:val="24"/>
        </w:rPr>
        <w:t>4.</w:t>
      </w:r>
      <w:r w:rsidRPr="00155D66">
        <w:rPr>
          <w:b/>
          <w:sz w:val="24"/>
          <w:szCs w:val="24"/>
        </w:rPr>
        <w:tab/>
        <w:t>FARMAKOLOGISKE OPLYSNINGER</w:t>
      </w:r>
    </w:p>
    <w:p w14:paraId="254A3977" w14:textId="77777777" w:rsidR="008203A8" w:rsidRPr="00155D66" w:rsidRDefault="008203A8" w:rsidP="008203A8">
      <w:pPr>
        <w:ind w:left="851"/>
        <w:rPr>
          <w:sz w:val="24"/>
          <w:szCs w:val="24"/>
        </w:rPr>
      </w:pPr>
    </w:p>
    <w:p w14:paraId="2B8B5190" w14:textId="77777777" w:rsidR="008203A8" w:rsidRPr="00155D66" w:rsidRDefault="008203A8" w:rsidP="008203A8">
      <w:pPr>
        <w:ind w:left="851" w:hanging="851"/>
        <w:rPr>
          <w:b/>
          <w:sz w:val="24"/>
          <w:szCs w:val="24"/>
        </w:rPr>
      </w:pPr>
      <w:r w:rsidRPr="00155D66">
        <w:rPr>
          <w:b/>
          <w:sz w:val="24"/>
          <w:szCs w:val="24"/>
        </w:rPr>
        <w:t>4.1</w:t>
      </w:r>
      <w:r w:rsidRPr="00155D66">
        <w:rPr>
          <w:b/>
          <w:sz w:val="24"/>
          <w:szCs w:val="24"/>
        </w:rPr>
        <w:tab/>
      </w:r>
      <w:proofErr w:type="spellStart"/>
      <w:r w:rsidRPr="00155D66">
        <w:rPr>
          <w:b/>
          <w:sz w:val="24"/>
          <w:szCs w:val="24"/>
        </w:rPr>
        <w:t>ATCvet</w:t>
      </w:r>
      <w:proofErr w:type="spellEnd"/>
      <w:r w:rsidRPr="00155D66">
        <w:rPr>
          <w:b/>
          <w:sz w:val="24"/>
          <w:szCs w:val="24"/>
        </w:rPr>
        <w:t>-kode</w:t>
      </w:r>
    </w:p>
    <w:p w14:paraId="635890C8" w14:textId="77777777" w:rsidR="00646941" w:rsidRPr="00155D66" w:rsidRDefault="00646941" w:rsidP="0026454A">
      <w:pPr>
        <w:ind w:left="851"/>
        <w:rPr>
          <w:sz w:val="24"/>
          <w:szCs w:val="24"/>
        </w:rPr>
      </w:pPr>
      <w:proofErr w:type="spellStart"/>
      <w:r w:rsidRPr="00155D66">
        <w:rPr>
          <w:sz w:val="24"/>
          <w:szCs w:val="24"/>
        </w:rPr>
        <w:t>ATCvet</w:t>
      </w:r>
      <w:proofErr w:type="spellEnd"/>
      <w:r w:rsidRPr="00155D66">
        <w:rPr>
          <w:sz w:val="24"/>
          <w:szCs w:val="24"/>
        </w:rPr>
        <w:t>-kode: QH03BB02.</w:t>
      </w:r>
    </w:p>
    <w:p w14:paraId="0CA53E04" w14:textId="77777777" w:rsidR="008203A8" w:rsidRPr="00155D66" w:rsidRDefault="008203A8" w:rsidP="008203A8">
      <w:pPr>
        <w:ind w:left="851"/>
        <w:rPr>
          <w:sz w:val="24"/>
          <w:szCs w:val="24"/>
        </w:rPr>
      </w:pPr>
    </w:p>
    <w:p w14:paraId="3A48DDDE" w14:textId="77777777" w:rsidR="008203A8" w:rsidRPr="00155D66" w:rsidRDefault="008203A8" w:rsidP="008203A8">
      <w:pPr>
        <w:tabs>
          <w:tab w:val="left" w:pos="851"/>
        </w:tabs>
        <w:ind w:left="851" w:hanging="851"/>
        <w:rPr>
          <w:b/>
          <w:sz w:val="24"/>
          <w:szCs w:val="24"/>
        </w:rPr>
      </w:pPr>
      <w:r w:rsidRPr="00155D66">
        <w:rPr>
          <w:b/>
          <w:sz w:val="24"/>
          <w:szCs w:val="24"/>
        </w:rPr>
        <w:t>4.2</w:t>
      </w:r>
      <w:r w:rsidRPr="00155D66">
        <w:rPr>
          <w:b/>
          <w:sz w:val="24"/>
          <w:szCs w:val="24"/>
        </w:rPr>
        <w:tab/>
      </w:r>
      <w:proofErr w:type="spellStart"/>
      <w:r w:rsidRPr="00155D66">
        <w:rPr>
          <w:b/>
          <w:sz w:val="24"/>
          <w:szCs w:val="24"/>
        </w:rPr>
        <w:t>Farmakodynamiske</w:t>
      </w:r>
      <w:proofErr w:type="spellEnd"/>
      <w:r w:rsidRPr="00155D66">
        <w:rPr>
          <w:b/>
          <w:sz w:val="24"/>
          <w:szCs w:val="24"/>
        </w:rPr>
        <w:t xml:space="preserve"> oplysninger</w:t>
      </w:r>
    </w:p>
    <w:p w14:paraId="51559860" w14:textId="77777777" w:rsidR="00646941" w:rsidRPr="00155D66" w:rsidRDefault="00646941" w:rsidP="0026454A">
      <w:pPr>
        <w:ind w:left="851"/>
        <w:rPr>
          <w:sz w:val="24"/>
          <w:szCs w:val="24"/>
        </w:rPr>
      </w:pPr>
      <w:proofErr w:type="spellStart"/>
      <w:r w:rsidRPr="00155D66">
        <w:rPr>
          <w:sz w:val="24"/>
          <w:szCs w:val="24"/>
        </w:rPr>
        <w:t>Thiamazol</w:t>
      </w:r>
      <w:proofErr w:type="spellEnd"/>
      <w:r w:rsidRPr="00155D66">
        <w:rPr>
          <w:sz w:val="24"/>
          <w:szCs w:val="24"/>
        </w:rPr>
        <w:t xml:space="preserve"> agerer ved at blokere </w:t>
      </w:r>
      <w:proofErr w:type="spellStart"/>
      <w:r w:rsidRPr="00155D66">
        <w:rPr>
          <w:sz w:val="24"/>
          <w:szCs w:val="24"/>
        </w:rPr>
        <w:t>thyroidhormonets</w:t>
      </w:r>
      <w:proofErr w:type="spellEnd"/>
      <w:r w:rsidRPr="00155D66">
        <w:rPr>
          <w:sz w:val="24"/>
          <w:szCs w:val="24"/>
        </w:rPr>
        <w:t xml:space="preserve"> biosyntese </w:t>
      </w:r>
      <w:r w:rsidRPr="00155D66">
        <w:rPr>
          <w:i/>
          <w:sz w:val="24"/>
          <w:szCs w:val="24"/>
        </w:rPr>
        <w:t>in </w:t>
      </w:r>
      <w:proofErr w:type="spellStart"/>
      <w:r w:rsidRPr="00155D66">
        <w:rPr>
          <w:i/>
          <w:sz w:val="24"/>
          <w:szCs w:val="24"/>
        </w:rPr>
        <w:t>vivo</w:t>
      </w:r>
      <w:proofErr w:type="spellEnd"/>
      <w:r w:rsidRPr="00155D66">
        <w:rPr>
          <w:sz w:val="24"/>
          <w:szCs w:val="24"/>
        </w:rPr>
        <w:t xml:space="preserve">. Den primære handling er at hæmme bindingen af </w:t>
      </w:r>
      <w:proofErr w:type="spellStart"/>
      <w:r w:rsidRPr="00155D66">
        <w:rPr>
          <w:sz w:val="24"/>
          <w:szCs w:val="24"/>
        </w:rPr>
        <w:t>iod</w:t>
      </w:r>
      <w:proofErr w:type="spellEnd"/>
      <w:r w:rsidRPr="00155D66">
        <w:rPr>
          <w:sz w:val="24"/>
          <w:szCs w:val="24"/>
        </w:rPr>
        <w:t xml:space="preserve"> til enzymet </w:t>
      </w:r>
      <w:proofErr w:type="spellStart"/>
      <w:r w:rsidRPr="00155D66">
        <w:rPr>
          <w:sz w:val="24"/>
          <w:szCs w:val="24"/>
        </w:rPr>
        <w:t>thyroid-peroxidase</w:t>
      </w:r>
      <w:proofErr w:type="spellEnd"/>
      <w:r w:rsidRPr="00155D66">
        <w:rPr>
          <w:sz w:val="24"/>
          <w:szCs w:val="24"/>
        </w:rPr>
        <w:t xml:space="preserve">, og derved forhindre den katalyserede </w:t>
      </w:r>
      <w:proofErr w:type="spellStart"/>
      <w:r w:rsidRPr="00155D66">
        <w:rPr>
          <w:sz w:val="24"/>
          <w:szCs w:val="24"/>
        </w:rPr>
        <w:t>iodinering</w:t>
      </w:r>
      <w:proofErr w:type="spellEnd"/>
      <w:r w:rsidRPr="00155D66">
        <w:rPr>
          <w:sz w:val="24"/>
          <w:szCs w:val="24"/>
        </w:rPr>
        <w:t xml:space="preserve"> af </w:t>
      </w:r>
      <w:proofErr w:type="spellStart"/>
      <w:r w:rsidRPr="00155D66">
        <w:rPr>
          <w:sz w:val="24"/>
          <w:szCs w:val="24"/>
        </w:rPr>
        <w:t>thyroglobulin</w:t>
      </w:r>
      <w:proofErr w:type="spellEnd"/>
      <w:r w:rsidRPr="00155D66">
        <w:rPr>
          <w:sz w:val="24"/>
          <w:szCs w:val="24"/>
        </w:rPr>
        <w:t xml:space="preserve"> og T</w:t>
      </w:r>
      <w:r w:rsidRPr="00155D66">
        <w:rPr>
          <w:sz w:val="24"/>
          <w:szCs w:val="24"/>
          <w:vertAlign w:val="subscript"/>
        </w:rPr>
        <w:t>3</w:t>
      </w:r>
      <w:r w:rsidRPr="00155D66">
        <w:rPr>
          <w:sz w:val="24"/>
          <w:szCs w:val="24"/>
        </w:rPr>
        <w:t xml:space="preserve"> og T</w:t>
      </w:r>
      <w:r w:rsidRPr="00155D66">
        <w:rPr>
          <w:sz w:val="24"/>
          <w:szCs w:val="24"/>
          <w:vertAlign w:val="subscript"/>
        </w:rPr>
        <w:t>4</w:t>
      </w:r>
      <w:r w:rsidRPr="00155D66">
        <w:rPr>
          <w:sz w:val="24"/>
          <w:szCs w:val="24"/>
        </w:rPr>
        <w:t>-syntese.</w:t>
      </w:r>
    </w:p>
    <w:p w14:paraId="467643C7" w14:textId="77777777" w:rsidR="008203A8" w:rsidRPr="00155D66" w:rsidRDefault="008203A8" w:rsidP="008203A8">
      <w:pPr>
        <w:tabs>
          <w:tab w:val="left" w:pos="851"/>
        </w:tabs>
        <w:ind w:left="851"/>
        <w:rPr>
          <w:sz w:val="24"/>
          <w:szCs w:val="24"/>
        </w:rPr>
      </w:pPr>
    </w:p>
    <w:p w14:paraId="421307DA" w14:textId="77777777" w:rsidR="008203A8" w:rsidRPr="00155D66" w:rsidRDefault="008203A8" w:rsidP="008203A8">
      <w:pPr>
        <w:tabs>
          <w:tab w:val="left" w:pos="851"/>
        </w:tabs>
        <w:ind w:left="851" w:hanging="851"/>
        <w:rPr>
          <w:b/>
          <w:sz w:val="24"/>
          <w:szCs w:val="24"/>
        </w:rPr>
      </w:pPr>
      <w:r w:rsidRPr="00155D66">
        <w:rPr>
          <w:b/>
          <w:sz w:val="24"/>
          <w:szCs w:val="24"/>
        </w:rPr>
        <w:t>4.3</w:t>
      </w:r>
      <w:r w:rsidRPr="00155D66">
        <w:rPr>
          <w:b/>
          <w:sz w:val="24"/>
          <w:szCs w:val="24"/>
        </w:rPr>
        <w:tab/>
      </w:r>
      <w:proofErr w:type="spellStart"/>
      <w:r w:rsidRPr="00155D66">
        <w:rPr>
          <w:b/>
          <w:sz w:val="24"/>
          <w:szCs w:val="24"/>
        </w:rPr>
        <w:t>Farmakokinetiske</w:t>
      </w:r>
      <w:proofErr w:type="spellEnd"/>
      <w:r w:rsidRPr="00155D66">
        <w:rPr>
          <w:b/>
          <w:sz w:val="24"/>
          <w:szCs w:val="24"/>
        </w:rPr>
        <w:t xml:space="preserve"> oplysninger</w:t>
      </w:r>
    </w:p>
    <w:p w14:paraId="4ABC92D5" w14:textId="77777777" w:rsidR="00646941" w:rsidRPr="00155D66" w:rsidRDefault="00646941" w:rsidP="0026454A">
      <w:pPr>
        <w:ind w:left="851"/>
        <w:rPr>
          <w:sz w:val="24"/>
          <w:szCs w:val="24"/>
        </w:rPr>
      </w:pPr>
      <w:r w:rsidRPr="00155D66">
        <w:rPr>
          <w:sz w:val="24"/>
          <w:szCs w:val="24"/>
        </w:rPr>
        <w:t xml:space="preserve">Efter oral indgivelse til raske katte absorberes </w:t>
      </w:r>
      <w:proofErr w:type="spellStart"/>
      <w:r w:rsidRPr="00155D66">
        <w:rPr>
          <w:sz w:val="24"/>
          <w:szCs w:val="24"/>
        </w:rPr>
        <w:t>thiamazol</w:t>
      </w:r>
      <w:proofErr w:type="spellEnd"/>
      <w:r w:rsidRPr="00155D66">
        <w:rPr>
          <w:sz w:val="24"/>
          <w:szCs w:val="24"/>
        </w:rPr>
        <w:t xml:space="preserve"> hurtigt og fuldstændigt med en biotilgængelighed på &gt;75 %. Der er dog en betydelig variation fra dyr til dyr. Eliminering af lægemidlet fra </w:t>
      </w:r>
      <w:proofErr w:type="spellStart"/>
      <w:r w:rsidRPr="00155D66">
        <w:rPr>
          <w:sz w:val="24"/>
          <w:szCs w:val="24"/>
        </w:rPr>
        <w:t>katteplasma</w:t>
      </w:r>
      <w:proofErr w:type="spellEnd"/>
      <w:r w:rsidRPr="00155D66">
        <w:rPr>
          <w:sz w:val="24"/>
          <w:szCs w:val="24"/>
        </w:rPr>
        <w:t xml:space="preserve"> sker hurtigt med en halveringstid på 3,2-16,6 timer. De maksimale plasmaniveauer optræder ca. 1-2 timer efter dosering. </w:t>
      </w:r>
      <w:proofErr w:type="spellStart"/>
      <w:r w:rsidRPr="00155D66">
        <w:rPr>
          <w:sz w:val="24"/>
          <w:szCs w:val="24"/>
        </w:rPr>
        <w:t>C</w:t>
      </w:r>
      <w:r w:rsidRPr="00155D66">
        <w:rPr>
          <w:sz w:val="24"/>
          <w:szCs w:val="24"/>
          <w:vertAlign w:val="subscript"/>
        </w:rPr>
        <w:t>max</w:t>
      </w:r>
      <w:proofErr w:type="spellEnd"/>
      <w:r w:rsidRPr="00155D66">
        <w:rPr>
          <w:sz w:val="24"/>
          <w:szCs w:val="24"/>
        </w:rPr>
        <w:t xml:space="preserve"> er mellem 1,6-1,9 </w:t>
      </w:r>
      <w:proofErr w:type="spellStart"/>
      <w:r w:rsidRPr="00155D66">
        <w:rPr>
          <w:sz w:val="24"/>
          <w:szCs w:val="24"/>
        </w:rPr>
        <w:t>μg</w:t>
      </w:r>
      <w:proofErr w:type="spellEnd"/>
      <w:r w:rsidRPr="00155D66">
        <w:rPr>
          <w:sz w:val="24"/>
          <w:szCs w:val="24"/>
        </w:rPr>
        <w:t>/ml.</w:t>
      </w:r>
    </w:p>
    <w:p w14:paraId="3F59E506" w14:textId="7BFD0C55" w:rsidR="00646941" w:rsidRPr="00155D66" w:rsidRDefault="00646941" w:rsidP="0026454A">
      <w:pPr>
        <w:ind w:left="851"/>
        <w:rPr>
          <w:sz w:val="24"/>
          <w:szCs w:val="24"/>
        </w:rPr>
      </w:pPr>
      <w:r w:rsidRPr="00155D66">
        <w:rPr>
          <w:sz w:val="24"/>
          <w:szCs w:val="24"/>
        </w:rPr>
        <w:t xml:space="preserve">Hos rotter har </w:t>
      </w:r>
      <w:proofErr w:type="spellStart"/>
      <w:r w:rsidRPr="00155D66">
        <w:rPr>
          <w:sz w:val="24"/>
          <w:szCs w:val="24"/>
        </w:rPr>
        <w:t>thiamazol</w:t>
      </w:r>
      <w:proofErr w:type="spellEnd"/>
      <w:r w:rsidRPr="00155D66">
        <w:rPr>
          <w:sz w:val="24"/>
          <w:szCs w:val="24"/>
        </w:rPr>
        <w:t xml:space="preserve"> vist sig at bindes i ringe grad til plasmaprotein (5 %). 40 % var bundet til erytrocytter. </w:t>
      </w:r>
      <w:proofErr w:type="spellStart"/>
      <w:r w:rsidRPr="00155D66">
        <w:rPr>
          <w:sz w:val="24"/>
          <w:szCs w:val="24"/>
        </w:rPr>
        <w:t>Metaboliseringen</w:t>
      </w:r>
      <w:proofErr w:type="spellEnd"/>
      <w:r w:rsidRPr="00155D66">
        <w:rPr>
          <w:sz w:val="24"/>
          <w:szCs w:val="24"/>
        </w:rPr>
        <w:t xml:space="preserve"> af </w:t>
      </w:r>
      <w:proofErr w:type="spellStart"/>
      <w:r w:rsidRPr="00155D66">
        <w:rPr>
          <w:sz w:val="24"/>
          <w:szCs w:val="24"/>
        </w:rPr>
        <w:t>thiamazol</w:t>
      </w:r>
      <w:proofErr w:type="spellEnd"/>
      <w:r w:rsidRPr="00155D66">
        <w:rPr>
          <w:sz w:val="24"/>
          <w:szCs w:val="24"/>
        </w:rPr>
        <w:t xml:space="preserve"> hos katte er ikke undersøgt, men hos rotter </w:t>
      </w:r>
      <w:proofErr w:type="spellStart"/>
      <w:r w:rsidRPr="00155D66">
        <w:rPr>
          <w:sz w:val="24"/>
          <w:szCs w:val="24"/>
        </w:rPr>
        <w:t>metaboliseres</w:t>
      </w:r>
      <w:proofErr w:type="spellEnd"/>
      <w:r w:rsidRPr="00155D66">
        <w:rPr>
          <w:sz w:val="24"/>
          <w:szCs w:val="24"/>
        </w:rPr>
        <w:t xml:space="preserve"> </w:t>
      </w:r>
      <w:proofErr w:type="spellStart"/>
      <w:r w:rsidRPr="00155D66">
        <w:rPr>
          <w:sz w:val="24"/>
          <w:szCs w:val="24"/>
        </w:rPr>
        <w:t>thiamazol</w:t>
      </w:r>
      <w:proofErr w:type="spellEnd"/>
      <w:r w:rsidRPr="00155D66">
        <w:rPr>
          <w:sz w:val="24"/>
          <w:szCs w:val="24"/>
        </w:rPr>
        <w:t xml:space="preserve"> hurtigt i skjoldbruskkirtlen. Ca. 64 % af den indgivne dosis elimineres i urinen og kun 7,8% udskilles med fæces. Dette er i modsætning til mennesker, hvor leveren er vigtig for den metaboliske nedbrydning. Den tid, hvor lægemidlet er til stede i skjoldbruskkirtlen antages at være længere end tilstedeværelsen i plasma.</w:t>
      </w:r>
    </w:p>
    <w:p w14:paraId="76B3E361" w14:textId="0E480539" w:rsidR="00646941" w:rsidRPr="00155D66" w:rsidRDefault="00646941" w:rsidP="0026454A">
      <w:pPr>
        <w:ind w:left="851"/>
        <w:rPr>
          <w:sz w:val="24"/>
          <w:szCs w:val="24"/>
        </w:rPr>
      </w:pPr>
      <w:r w:rsidRPr="00155D66">
        <w:rPr>
          <w:sz w:val="24"/>
          <w:szCs w:val="24"/>
        </w:rPr>
        <w:t xml:space="preserve">Hos mennesker og rotter er det konstateret, at lægemidlet kan passere placenta og ophobes i den </w:t>
      </w:r>
      <w:proofErr w:type="spellStart"/>
      <w:r w:rsidRPr="00155D66">
        <w:rPr>
          <w:sz w:val="24"/>
          <w:szCs w:val="24"/>
        </w:rPr>
        <w:t>føtale</w:t>
      </w:r>
      <w:proofErr w:type="spellEnd"/>
      <w:r w:rsidRPr="00155D66">
        <w:rPr>
          <w:sz w:val="24"/>
          <w:szCs w:val="24"/>
        </w:rPr>
        <w:t xml:space="preserve"> skjoldbruskkirtel. Det overføres desuden i høj grad til modermælk.</w:t>
      </w:r>
    </w:p>
    <w:p w14:paraId="13894ABD" w14:textId="77777777" w:rsidR="008203A8" w:rsidRPr="00155D66" w:rsidRDefault="008203A8" w:rsidP="008203A8">
      <w:pPr>
        <w:ind w:left="851"/>
        <w:rPr>
          <w:sz w:val="24"/>
          <w:szCs w:val="24"/>
        </w:rPr>
      </w:pPr>
    </w:p>
    <w:p w14:paraId="1505001E" w14:textId="77777777" w:rsidR="008203A8" w:rsidRPr="00155D66" w:rsidRDefault="008203A8" w:rsidP="008203A8">
      <w:pPr>
        <w:tabs>
          <w:tab w:val="left" w:pos="851"/>
        </w:tabs>
        <w:ind w:left="851"/>
        <w:rPr>
          <w:sz w:val="24"/>
          <w:szCs w:val="24"/>
        </w:rPr>
      </w:pPr>
    </w:p>
    <w:p w14:paraId="7BE22F00" w14:textId="77777777" w:rsidR="008203A8" w:rsidRPr="00155D66" w:rsidRDefault="008203A8" w:rsidP="008203A8">
      <w:pPr>
        <w:ind w:left="851" w:hanging="851"/>
        <w:rPr>
          <w:b/>
          <w:sz w:val="24"/>
          <w:szCs w:val="24"/>
        </w:rPr>
      </w:pPr>
      <w:r w:rsidRPr="00155D66">
        <w:rPr>
          <w:b/>
          <w:sz w:val="24"/>
          <w:szCs w:val="24"/>
        </w:rPr>
        <w:t>5.</w:t>
      </w:r>
      <w:r w:rsidRPr="00155D66">
        <w:rPr>
          <w:b/>
          <w:sz w:val="24"/>
          <w:szCs w:val="24"/>
        </w:rPr>
        <w:tab/>
        <w:t>FARMACEUTISKE OPLYSNINGER</w:t>
      </w:r>
    </w:p>
    <w:p w14:paraId="2F32045E" w14:textId="77777777" w:rsidR="008203A8" w:rsidRPr="00155D66" w:rsidRDefault="008203A8" w:rsidP="008203A8">
      <w:pPr>
        <w:tabs>
          <w:tab w:val="left" w:pos="851"/>
        </w:tabs>
        <w:ind w:left="851"/>
        <w:rPr>
          <w:sz w:val="24"/>
          <w:szCs w:val="24"/>
        </w:rPr>
      </w:pPr>
    </w:p>
    <w:p w14:paraId="2CDE5D3F" w14:textId="77777777" w:rsidR="008203A8" w:rsidRPr="00155D66" w:rsidRDefault="008203A8" w:rsidP="008203A8">
      <w:pPr>
        <w:ind w:left="851" w:hanging="851"/>
        <w:rPr>
          <w:b/>
          <w:sz w:val="24"/>
          <w:szCs w:val="24"/>
        </w:rPr>
      </w:pPr>
      <w:r w:rsidRPr="00155D66">
        <w:rPr>
          <w:b/>
          <w:sz w:val="24"/>
          <w:szCs w:val="24"/>
        </w:rPr>
        <w:t>5.1</w:t>
      </w:r>
      <w:r w:rsidRPr="00155D66">
        <w:rPr>
          <w:b/>
          <w:sz w:val="24"/>
          <w:szCs w:val="24"/>
        </w:rPr>
        <w:tab/>
        <w:t>Væsentlige uforligeligheder</w:t>
      </w:r>
    </w:p>
    <w:p w14:paraId="69ABFE38" w14:textId="33DE5DBF" w:rsidR="008203A8" w:rsidRPr="00155D66" w:rsidRDefault="00646941" w:rsidP="008203A8">
      <w:pPr>
        <w:tabs>
          <w:tab w:val="left" w:pos="851"/>
        </w:tabs>
        <w:ind w:left="851"/>
        <w:rPr>
          <w:sz w:val="24"/>
          <w:szCs w:val="24"/>
        </w:rPr>
      </w:pPr>
      <w:bookmarkStart w:id="11" w:name="_Hlk129269163"/>
      <w:r w:rsidRPr="00155D66">
        <w:rPr>
          <w:sz w:val="24"/>
          <w:szCs w:val="24"/>
        </w:rPr>
        <w:t>Da der ikke foreligger undersøgelser vedrørende eventuelle uforligeligheder, bør dette veterinærlægemiddel ikke blandes med andre veterinærlægemidler.</w:t>
      </w:r>
      <w:bookmarkEnd w:id="11"/>
    </w:p>
    <w:p w14:paraId="06449D5D" w14:textId="77777777" w:rsidR="008203A8" w:rsidRPr="00155D66" w:rsidRDefault="008203A8" w:rsidP="008203A8">
      <w:pPr>
        <w:tabs>
          <w:tab w:val="left" w:pos="851"/>
        </w:tabs>
        <w:ind w:left="851"/>
        <w:rPr>
          <w:sz w:val="24"/>
          <w:szCs w:val="24"/>
        </w:rPr>
      </w:pPr>
    </w:p>
    <w:p w14:paraId="1155A54C" w14:textId="77777777" w:rsidR="008203A8" w:rsidRPr="00155D66" w:rsidRDefault="008203A8" w:rsidP="008203A8">
      <w:pPr>
        <w:ind w:left="851" w:hanging="851"/>
        <w:rPr>
          <w:b/>
          <w:sz w:val="24"/>
          <w:szCs w:val="24"/>
        </w:rPr>
      </w:pPr>
      <w:r w:rsidRPr="00155D66">
        <w:rPr>
          <w:b/>
          <w:sz w:val="24"/>
          <w:szCs w:val="24"/>
        </w:rPr>
        <w:t>5.2</w:t>
      </w:r>
      <w:r w:rsidRPr="00155D66">
        <w:rPr>
          <w:b/>
          <w:sz w:val="24"/>
          <w:szCs w:val="24"/>
        </w:rPr>
        <w:tab/>
        <w:t>Opbevaringstid</w:t>
      </w:r>
    </w:p>
    <w:p w14:paraId="7D025EE7" w14:textId="77777777" w:rsidR="00646941" w:rsidRPr="00155D66" w:rsidRDefault="00646941" w:rsidP="0026454A">
      <w:pPr>
        <w:ind w:left="851"/>
        <w:rPr>
          <w:sz w:val="24"/>
          <w:szCs w:val="24"/>
        </w:rPr>
      </w:pPr>
      <w:r w:rsidRPr="00155D66">
        <w:rPr>
          <w:sz w:val="24"/>
          <w:szCs w:val="24"/>
        </w:rPr>
        <w:t>Opbevaringstid for veterinærlægemidlet i salgspakning: 2 år</w:t>
      </w:r>
    </w:p>
    <w:p w14:paraId="5EFFC5EB" w14:textId="77777777" w:rsidR="00646941" w:rsidRPr="00155D66" w:rsidRDefault="00646941" w:rsidP="0026454A">
      <w:pPr>
        <w:ind w:left="851"/>
        <w:rPr>
          <w:sz w:val="24"/>
          <w:szCs w:val="24"/>
        </w:rPr>
      </w:pPr>
      <w:r w:rsidRPr="00155D66">
        <w:rPr>
          <w:sz w:val="24"/>
          <w:szCs w:val="24"/>
        </w:rPr>
        <w:t>Opbevaringstid efter første åbning af den indre emballage: 6 måneder</w:t>
      </w:r>
    </w:p>
    <w:p w14:paraId="77AECCA5" w14:textId="77777777" w:rsidR="008203A8" w:rsidRPr="00155D66" w:rsidRDefault="008203A8" w:rsidP="008203A8">
      <w:pPr>
        <w:tabs>
          <w:tab w:val="left" w:pos="851"/>
        </w:tabs>
        <w:ind w:left="851"/>
        <w:rPr>
          <w:sz w:val="24"/>
          <w:szCs w:val="24"/>
        </w:rPr>
      </w:pPr>
    </w:p>
    <w:p w14:paraId="07EDCE0E" w14:textId="77777777" w:rsidR="008203A8" w:rsidRPr="00155D66" w:rsidRDefault="008203A8" w:rsidP="008203A8">
      <w:pPr>
        <w:ind w:left="851" w:hanging="851"/>
        <w:rPr>
          <w:b/>
          <w:sz w:val="24"/>
          <w:szCs w:val="24"/>
        </w:rPr>
      </w:pPr>
      <w:r w:rsidRPr="00155D66">
        <w:rPr>
          <w:b/>
          <w:sz w:val="24"/>
          <w:szCs w:val="24"/>
        </w:rPr>
        <w:t>5.3</w:t>
      </w:r>
      <w:r w:rsidRPr="00155D66">
        <w:rPr>
          <w:b/>
          <w:sz w:val="24"/>
          <w:szCs w:val="24"/>
        </w:rPr>
        <w:tab/>
        <w:t>Særlige forholdsregler vedrørende opbevaring</w:t>
      </w:r>
    </w:p>
    <w:p w14:paraId="4906A928" w14:textId="7DEB7BFD" w:rsidR="008203A8" w:rsidRPr="00155D66" w:rsidRDefault="00646941" w:rsidP="008203A8">
      <w:pPr>
        <w:tabs>
          <w:tab w:val="left" w:pos="851"/>
        </w:tabs>
        <w:ind w:left="851"/>
        <w:rPr>
          <w:sz w:val="24"/>
          <w:szCs w:val="24"/>
        </w:rPr>
      </w:pPr>
      <w:r w:rsidRPr="00155D66">
        <w:rPr>
          <w:sz w:val="24"/>
          <w:szCs w:val="24"/>
        </w:rPr>
        <w:t>Der er ingen særlige krav vedrørende opbevaringsforhold for dette veterinærlægemiddel.</w:t>
      </w:r>
    </w:p>
    <w:p w14:paraId="1F94349B" w14:textId="77777777" w:rsidR="008203A8" w:rsidRPr="00155D66" w:rsidRDefault="008203A8" w:rsidP="008203A8">
      <w:pPr>
        <w:tabs>
          <w:tab w:val="left" w:pos="851"/>
        </w:tabs>
        <w:ind w:left="851"/>
        <w:rPr>
          <w:sz w:val="24"/>
          <w:szCs w:val="24"/>
        </w:rPr>
      </w:pPr>
    </w:p>
    <w:p w14:paraId="13B2E651" w14:textId="77777777" w:rsidR="008203A8" w:rsidRPr="00155D66" w:rsidRDefault="008203A8" w:rsidP="008203A8">
      <w:pPr>
        <w:ind w:left="851" w:hanging="851"/>
        <w:rPr>
          <w:b/>
          <w:sz w:val="24"/>
          <w:szCs w:val="24"/>
        </w:rPr>
      </w:pPr>
      <w:r w:rsidRPr="00155D66">
        <w:rPr>
          <w:b/>
          <w:sz w:val="24"/>
          <w:szCs w:val="24"/>
        </w:rPr>
        <w:t>5.4</w:t>
      </w:r>
      <w:r w:rsidRPr="00155D66">
        <w:rPr>
          <w:b/>
          <w:sz w:val="24"/>
          <w:szCs w:val="24"/>
        </w:rPr>
        <w:tab/>
        <w:t>Den indre emballages art og indhold</w:t>
      </w:r>
    </w:p>
    <w:p w14:paraId="5280C638" w14:textId="4B589C75" w:rsidR="00646941" w:rsidRPr="00155D66" w:rsidRDefault="00646941" w:rsidP="0026454A">
      <w:pPr>
        <w:ind w:left="851"/>
        <w:rPr>
          <w:sz w:val="24"/>
          <w:szCs w:val="24"/>
        </w:rPr>
      </w:pPr>
      <w:proofErr w:type="spellStart"/>
      <w:r w:rsidRPr="00155D66">
        <w:rPr>
          <w:sz w:val="24"/>
          <w:szCs w:val="24"/>
        </w:rPr>
        <w:t>Polyethylenterephthalat</w:t>
      </w:r>
      <w:proofErr w:type="spellEnd"/>
      <w:r w:rsidRPr="00155D66">
        <w:rPr>
          <w:sz w:val="24"/>
          <w:szCs w:val="24"/>
        </w:rPr>
        <w:t xml:space="preserve"> (PET) ravfarvede glas på 30 ml eller 100 ml, lukket med en low </w:t>
      </w:r>
      <w:proofErr w:type="spellStart"/>
      <w:r w:rsidRPr="00155D66">
        <w:rPr>
          <w:sz w:val="24"/>
          <w:szCs w:val="24"/>
        </w:rPr>
        <w:t>density</w:t>
      </w:r>
      <w:proofErr w:type="spellEnd"/>
      <w:r w:rsidRPr="00155D66">
        <w:rPr>
          <w:sz w:val="24"/>
          <w:szCs w:val="24"/>
        </w:rPr>
        <w:t xml:space="preserve"> </w:t>
      </w:r>
      <w:proofErr w:type="spellStart"/>
      <w:r w:rsidRPr="00155D66">
        <w:rPr>
          <w:sz w:val="24"/>
          <w:szCs w:val="24"/>
        </w:rPr>
        <w:t>polyethylen</w:t>
      </w:r>
      <w:proofErr w:type="spellEnd"/>
      <w:r w:rsidRPr="00155D66">
        <w:rPr>
          <w:sz w:val="24"/>
          <w:szCs w:val="24"/>
        </w:rPr>
        <w:t xml:space="preserve"> (LDPE) prop og en high </w:t>
      </w:r>
      <w:proofErr w:type="spellStart"/>
      <w:r w:rsidRPr="00155D66">
        <w:rPr>
          <w:sz w:val="24"/>
          <w:szCs w:val="24"/>
        </w:rPr>
        <w:t>density</w:t>
      </w:r>
      <w:proofErr w:type="spellEnd"/>
      <w:r w:rsidRPr="00155D66">
        <w:rPr>
          <w:sz w:val="24"/>
          <w:szCs w:val="24"/>
        </w:rPr>
        <w:t xml:space="preserve"> </w:t>
      </w:r>
      <w:proofErr w:type="spellStart"/>
      <w:r w:rsidRPr="00155D66">
        <w:rPr>
          <w:sz w:val="24"/>
          <w:szCs w:val="24"/>
        </w:rPr>
        <w:t>polyethylen</w:t>
      </w:r>
      <w:proofErr w:type="spellEnd"/>
      <w:r w:rsidRPr="00155D66">
        <w:rPr>
          <w:sz w:val="24"/>
          <w:szCs w:val="24"/>
        </w:rPr>
        <w:t xml:space="preserve"> (HDPE) lukning. </w:t>
      </w:r>
      <w:bookmarkStart w:id="12" w:name="_Hlk129270925"/>
      <w:r w:rsidRPr="00155D66">
        <w:rPr>
          <w:sz w:val="24"/>
          <w:szCs w:val="24"/>
        </w:rPr>
        <w:t xml:space="preserve">Veterinærlægemidlet leveres med en 1 ml </w:t>
      </w:r>
      <w:proofErr w:type="spellStart"/>
      <w:r w:rsidRPr="00155D66">
        <w:rPr>
          <w:sz w:val="24"/>
          <w:szCs w:val="24"/>
        </w:rPr>
        <w:t>polyethylen</w:t>
      </w:r>
      <w:proofErr w:type="spellEnd"/>
      <w:r w:rsidRPr="00155D66">
        <w:rPr>
          <w:sz w:val="24"/>
          <w:szCs w:val="24"/>
        </w:rPr>
        <w:t xml:space="preserve"> (PE)/polypropylen (PP) målesprøjte til administration af opløsningen til dyret. Sprøjten er inddelt i trin på 0,25 mg op til 5 mg.</w:t>
      </w:r>
      <w:bookmarkEnd w:id="12"/>
      <w:r w:rsidRPr="00155D66">
        <w:rPr>
          <w:sz w:val="24"/>
          <w:szCs w:val="24"/>
        </w:rPr>
        <w:t xml:space="preserve">  </w:t>
      </w:r>
      <w:bookmarkStart w:id="13" w:name="_Hlk135819781"/>
      <w:r w:rsidRPr="00155D66">
        <w:rPr>
          <w:sz w:val="24"/>
          <w:szCs w:val="24"/>
        </w:rPr>
        <w:t>Ét lukket glas og den medfølgende sprøjte ligger i en papkarton.</w:t>
      </w:r>
      <w:bookmarkEnd w:id="13"/>
    </w:p>
    <w:p w14:paraId="31413EB1" w14:textId="77777777" w:rsidR="00646941" w:rsidRPr="00155D66" w:rsidRDefault="00646941" w:rsidP="0026454A">
      <w:pPr>
        <w:ind w:left="851"/>
        <w:rPr>
          <w:sz w:val="24"/>
          <w:szCs w:val="24"/>
        </w:rPr>
      </w:pPr>
    </w:p>
    <w:p w14:paraId="2F0ED8CE" w14:textId="77777777" w:rsidR="00646941" w:rsidRPr="00155D66" w:rsidRDefault="00646941" w:rsidP="0026454A">
      <w:pPr>
        <w:ind w:left="851"/>
        <w:rPr>
          <w:sz w:val="24"/>
          <w:szCs w:val="24"/>
        </w:rPr>
      </w:pPr>
      <w:r w:rsidRPr="00155D66">
        <w:rPr>
          <w:sz w:val="24"/>
          <w:szCs w:val="24"/>
        </w:rPr>
        <w:t xml:space="preserve">Ikke alle pakningsstørrelser er nødvendigvis markedsført. </w:t>
      </w:r>
    </w:p>
    <w:p w14:paraId="4B70FEBB" w14:textId="77777777" w:rsidR="008203A8" w:rsidRPr="00155D66" w:rsidRDefault="008203A8" w:rsidP="008203A8">
      <w:pPr>
        <w:tabs>
          <w:tab w:val="left" w:pos="851"/>
        </w:tabs>
        <w:ind w:left="851"/>
        <w:rPr>
          <w:sz w:val="24"/>
          <w:szCs w:val="24"/>
        </w:rPr>
      </w:pPr>
    </w:p>
    <w:p w14:paraId="48E93415" w14:textId="77777777" w:rsidR="008203A8" w:rsidRPr="00155D66" w:rsidRDefault="008203A8" w:rsidP="008203A8">
      <w:pPr>
        <w:tabs>
          <w:tab w:val="left" w:pos="851"/>
        </w:tabs>
        <w:ind w:left="851" w:hanging="851"/>
        <w:rPr>
          <w:sz w:val="24"/>
          <w:szCs w:val="24"/>
        </w:rPr>
      </w:pPr>
      <w:r w:rsidRPr="00155D66">
        <w:rPr>
          <w:b/>
          <w:sz w:val="24"/>
          <w:szCs w:val="24"/>
        </w:rPr>
        <w:t>5.5</w:t>
      </w:r>
      <w:r w:rsidRPr="00155D66">
        <w:rPr>
          <w:b/>
          <w:sz w:val="24"/>
          <w:szCs w:val="24"/>
        </w:rPr>
        <w:tab/>
        <w:t>Særlige forholdsregler vedrørende bortskaffelse af ubrugte veterinærlægemidler eller affaldsmaterialer fra brugen heraf</w:t>
      </w:r>
    </w:p>
    <w:p w14:paraId="1B62BF01" w14:textId="77777777" w:rsidR="00646941" w:rsidRPr="00155D66" w:rsidRDefault="00646941" w:rsidP="0026454A">
      <w:pPr>
        <w:ind w:left="851"/>
        <w:rPr>
          <w:sz w:val="24"/>
          <w:szCs w:val="24"/>
        </w:rPr>
      </w:pPr>
      <w:bookmarkStart w:id="14" w:name="_Hlk129269198"/>
      <w:r w:rsidRPr="00155D66">
        <w:rPr>
          <w:sz w:val="24"/>
          <w:szCs w:val="24"/>
        </w:rPr>
        <w:t>Lægemidler må ikke bortskaffes i spildevand eller husholdningsaffald.</w:t>
      </w:r>
    </w:p>
    <w:p w14:paraId="36463B6B" w14:textId="77777777" w:rsidR="00646941" w:rsidRPr="00155D66" w:rsidRDefault="00646941" w:rsidP="0026454A">
      <w:pPr>
        <w:ind w:left="851"/>
        <w:rPr>
          <w:sz w:val="24"/>
          <w:szCs w:val="24"/>
        </w:rPr>
      </w:pPr>
    </w:p>
    <w:p w14:paraId="3F62383C" w14:textId="77777777" w:rsidR="00646941" w:rsidRPr="00155D66" w:rsidRDefault="00646941" w:rsidP="0026454A">
      <w:pPr>
        <w:ind w:left="851"/>
        <w:rPr>
          <w:sz w:val="24"/>
          <w:szCs w:val="24"/>
        </w:rPr>
      </w:pPr>
      <w:r w:rsidRPr="00155D66">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4"/>
    </w:p>
    <w:p w14:paraId="485F7F32" w14:textId="77777777" w:rsidR="008203A8" w:rsidRPr="00155D66" w:rsidRDefault="008203A8" w:rsidP="008203A8">
      <w:pPr>
        <w:tabs>
          <w:tab w:val="left" w:pos="851"/>
        </w:tabs>
        <w:ind w:left="851"/>
        <w:rPr>
          <w:sz w:val="24"/>
          <w:szCs w:val="24"/>
        </w:rPr>
      </w:pPr>
    </w:p>
    <w:p w14:paraId="129F7ED4" w14:textId="77777777" w:rsidR="008203A8" w:rsidRPr="00155D66" w:rsidRDefault="008203A8" w:rsidP="008203A8">
      <w:pPr>
        <w:tabs>
          <w:tab w:val="left" w:pos="851"/>
        </w:tabs>
        <w:ind w:left="851" w:hanging="851"/>
        <w:rPr>
          <w:b/>
          <w:sz w:val="24"/>
          <w:szCs w:val="24"/>
        </w:rPr>
      </w:pPr>
      <w:r w:rsidRPr="00155D66">
        <w:rPr>
          <w:b/>
          <w:sz w:val="24"/>
          <w:szCs w:val="24"/>
        </w:rPr>
        <w:t>6.</w:t>
      </w:r>
      <w:r w:rsidRPr="00155D66">
        <w:rPr>
          <w:b/>
          <w:sz w:val="24"/>
          <w:szCs w:val="24"/>
        </w:rPr>
        <w:tab/>
        <w:t>NAVN PÅ INDEHAVEREN AF MARKEDSFØRINGSTILLADELSEN</w:t>
      </w:r>
    </w:p>
    <w:p w14:paraId="10ACD72F" w14:textId="77777777" w:rsidR="00646941" w:rsidRPr="00155D66" w:rsidRDefault="00646941" w:rsidP="0026454A">
      <w:pPr>
        <w:ind w:left="851"/>
        <w:rPr>
          <w:sz w:val="24"/>
          <w:szCs w:val="24"/>
        </w:rPr>
      </w:pPr>
      <w:proofErr w:type="spellStart"/>
      <w:r w:rsidRPr="00155D66">
        <w:rPr>
          <w:sz w:val="24"/>
          <w:szCs w:val="24"/>
        </w:rPr>
        <w:t>Dechra</w:t>
      </w:r>
      <w:proofErr w:type="spellEnd"/>
      <w:r w:rsidRPr="00155D66">
        <w:rPr>
          <w:sz w:val="24"/>
          <w:szCs w:val="24"/>
        </w:rPr>
        <w:t xml:space="preserve"> Regulatory B.V.</w:t>
      </w:r>
    </w:p>
    <w:p w14:paraId="51C7F07A" w14:textId="77777777" w:rsidR="00646941" w:rsidRPr="00155D66" w:rsidRDefault="00646941" w:rsidP="0026454A">
      <w:pPr>
        <w:ind w:left="851"/>
        <w:rPr>
          <w:sz w:val="24"/>
          <w:szCs w:val="24"/>
        </w:rPr>
      </w:pPr>
      <w:proofErr w:type="spellStart"/>
      <w:r w:rsidRPr="00155D66">
        <w:rPr>
          <w:sz w:val="24"/>
          <w:szCs w:val="24"/>
        </w:rPr>
        <w:t>Handelsweg</w:t>
      </w:r>
      <w:proofErr w:type="spellEnd"/>
      <w:r w:rsidRPr="00155D66">
        <w:rPr>
          <w:sz w:val="24"/>
          <w:szCs w:val="24"/>
        </w:rPr>
        <w:t xml:space="preserve"> 25</w:t>
      </w:r>
    </w:p>
    <w:p w14:paraId="7E616051" w14:textId="77777777" w:rsidR="00646941" w:rsidRPr="00155D66" w:rsidRDefault="00646941" w:rsidP="0026454A">
      <w:pPr>
        <w:ind w:left="851"/>
        <w:rPr>
          <w:sz w:val="24"/>
          <w:szCs w:val="24"/>
        </w:rPr>
      </w:pPr>
      <w:r w:rsidRPr="00155D66">
        <w:rPr>
          <w:sz w:val="24"/>
          <w:szCs w:val="24"/>
        </w:rPr>
        <w:t xml:space="preserve">5531 AE </w:t>
      </w:r>
      <w:proofErr w:type="spellStart"/>
      <w:r w:rsidRPr="00155D66">
        <w:rPr>
          <w:sz w:val="24"/>
          <w:szCs w:val="24"/>
        </w:rPr>
        <w:t>Noord-Brabant</w:t>
      </w:r>
      <w:proofErr w:type="spellEnd"/>
      <w:r w:rsidRPr="00155D66">
        <w:rPr>
          <w:sz w:val="24"/>
          <w:szCs w:val="24"/>
        </w:rPr>
        <w:t xml:space="preserve">, </w:t>
      </w:r>
      <w:proofErr w:type="spellStart"/>
      <w:r w:rsidRPr="00155D66">
        <w:rPr>
          <w:sz w:val="24"/>
          <w:szCs w:val="24"/>
        </w:rPr>
        <w:t>Bladel</w:t>
      </w:r>
      <w:proofErr w:type="spellEnd"/>
    </w:p>
    <w:p w14:paraId="78B9081F" w14:textId="77777777" w:rsidR="00646941" w:rsidRPr="00155D66" w:rsidRDefault="00646941" w:rsidP="0026454A">
      <w:pPr>
        <w:ind w:left="851"/>
        <w:rPr>
          <w:sz w:val="24"/>
          <w:szCs w:val="24"/>
        </w:rPr>
      </w:pPr>
      <w:r w:rsidRPr="00155D66">
        <w:rPr>
          <w:sz w:val="24"/>
          <w:szCs w:val="24"/>
        </w:rPr>
        <w:t>Holland</w:t>
      </w:r>
    </w:p>
    <w:p w14:paraId="0165C509" w14:textId="77777777" w:rsidR="008203A8" w:rsidRPr="00155D66" w:rsidRDefault="008203A8" w:rsidP="008203A8">
      <w:pPr>
        <w:tabs>
          <w:tab w:val="left" w:pos="851"/>
        </w:tabs>
        <w:ind w:left="851"/>
        <w:rPr>
          <w:sz w:val="24"/>
          <w:szCs w:val="24"/>
        </w:rPr>
      </w:pPr>
    </w:p>
    <w:p w14:paraId="38448D1D" w14:textId="77777777" w:rsidR="008203A8" w:rsidRPr="00155D66" w:rsidRDefault="008203A8" w:rsidP="008203A8">
      <w:pPr>
        <w:ind w:left="851" w:hanging="851"/>
        <w:rPr>
          <w:b/>
          <w:sz w:val="24"/>
          <w:szCs w:val="24"/>
        </w:rPr>
      </w:pPr>
      <w:r w:rsidRPr="00155D66">
        <w:rPr>
          <w:b/>
          <w:sz w:val="24"/>
          <w:szCs w:val="24"/>
        </w:rPr>
        <w:t>7.</w:t>
      </w:r>
      <w:r w:rsidRPr="00155D66">
        <w:rPr>
          <w:b/>
          <w:sz w:val="24"/>
          <w:szCs w:val="24"/>
        </w:rPr>
        <w:tab/>
        <w:t>MARKEDSFØRINGSTILLADELSESNUMMER (-NUMRE)</w:t>
      </w:r>
    </w:p>
    <w:p w14:paraId="38E656C5" w14:textId="0ADAF0A2" w:rsidR="008203A8" w:rsidRPr="00155D66" w:rsidRDefault="00646941" w:rsidP="008203A8">
      <w:pPr>
        <w:tabs>
          <w:tab w:val="left" w:pos="851"/>
        </w:tabs>
        <w:ind w:left="851"/>
        <w:rPr>
          <w:sz w:val="24"/>
          <w:szCs w:val="24"/>
        </w:rPr>
      </w:pPr>
      <w:r w:rsidRPr="00155D66">
        <w:rPr>
          <w:sz w:val="24"/>
          <w:szCs w:val="24"/>
        </w:rPr>
        <w:t>68669</w:t>
      </w:r>
    </w:p>
    <w:p w14:paraId="779BA293" w14:textId="77777777" w:rsidR="008203A8" w:rsidRPr="00155D66" w:rsidRDefault="008203A8" w:rsidP="008203A8">
      <w:pPr>
        <w:tabs>
          <w:tab w:val="left" w:pos="851"/>
        </w:tabs>
        <w:ind w:left="851"/>
        <w:rPr>
          <w:sz w:val="24"/>
          <w:szCs w:val="24"/>
        </w:rPr>
      </w:pPr>
    </w:p>
    <w:p w14:paraId="28B8C788" w14:textId="77777777" w:rsidR="008203A8" w:rsidRPr="00155D66" w:rsidRDefault="008203A8" w:rsidP="008203A8">
      <w:pPr>
        <w:tabs>
          <w:tab w:val="left" w:pos="851"/>
        </w:tabs>
        <w:ind w:left="851" w:hanging="851"/>
        <w:rPr>
          <w:b/>
          <w:sz w:val="24"/>
          <w:szCs w:val="24"/>
        </w:rPr>
      </w:pPr>
      <w:r w:rsidRPr="00155D66">
        <w:rPr>
          <w:b/>
          <w:sz w:val="24"/>
          <w:szCs w:val="24"/>
        </w:rPr>
        <w:t>8.</w:t>
      </w:r>
      <w:r w:rsidRPr="00155D66">
        <w:rPr>
          <w:b/>
          <w:sz w:val="24"/>
          <w:szCs w:val="24"/>
        </w:rPr>
        <w:tab/>
        <w:t>DATO FOR FØRSTE TILLADELSE</w:t>
      </w:r>
    </w:p>
    <w:p w14:paraId="53CB760F" w14:textId="3D407CFB" w:rsidR="008203A8" w:rsidRPr="00155D66" w:rsidRDefault="00646941" w:rsidP="008203A8">
      <w:pPr>
        <w:tabs>
          <w:tab w:val="left" w:pos="851"/>
        </w:tabs>
        <w:ind w:left="851"/>
        <w:rPr>
          <w:sz w:val="24"/>
          <w:szCs w:val="24"/>
        </w:rPr>
      </w:pPr>
      <w:r w:rsidRPr="00155D66">
        <w:rPr>
          <w:sz w:val="24"/>
          <w:szCs w:val="24"/>
        </w:rPr>
        <w:t>20. december 2004</w:t>
      </w:r>
    </w:p>
    <w:p w14:paraId="3F7D0C7E" w14:textId="77777777" w:rsidR="008203A8" w:rsidRPr="00155D66" w:rsidRDefault="008203A8" w:rsidP="008203A8">
      <w:pPr>
        <w:tabs>
          <w:tab w:val="left" w:pos="851"/>
        </w:tabs>
        <w:ind w:left="851"/>
        <w:rPr>
          <w:sz w:val="24"/>
          <w:szCs w:val="24"/>
        </w:rPr>
      </w:pPr>
    </w:p>
    <w:p w14:paraId="3B551EF5" w14:textId="77777777" w:rsidR="008203A8" w:rsidRPr="00155D66" w:rsidRDefault="008203A8" w:rsidP="008203A8">
      <w:pPr>
        <w:tabs>
          <w:tab w:val="left" w:pos="851"/>
        </w:tabs>
        <w:ind w:left="851" w:hanging="851"/>
        <w:rPr>
          <w:b/>
          <w:sz w:val="24"/>
          <w:szCs w:val="24"/>
        </w:rPr>
      </w:pPr>
      <w:r w:rsidRPr="00155D66">
        <w:rPr>
          <w:b/>
          <w:sz w:val="24"/>
          <w:szCs w:val="24"/>
        </w:rPr>
        <w:t>9.</w:t>
      </w:r>
      <w:r w:rsidRPr="00155D66">
        <w:rPr>
          <w:b/>
          <w:sz w:val="24"/>
          <w:szCs w:val="24"/>
        </w:rPr>
        <w:tab/>
        <w:t>DATO FOR SENESTE ÆNDRING AF PRODUKTRESUMÉET</w:t>
      </w:r>
    </w:p>
    <w:p w14:paraId="4B916708" w14:textId="5A93B64E" w:rsidR="008203A8" w:rsidRPr="00155D66" w:rsidRDefault="003F2ED9" w:rsidP="008203A8">
      <w:pPr>
        <w:tabs>
          <w:tab w:val="left" w:pos="851"/>
        </w:tabs>
        <w:ind w:left="851"/>
        <w:rPr>
          <w:sz w:val="24"/>
          <w:szCs w:val="24"/>
        </w:rPr>
      </w:pPr>
      <w:r>
        <w:rPr>
          <w:sz w:val="24"/>
          <w:szCs w:val="24"/>
        </w:rPr>
        <w:t>2. september 2024</w:t>
      </w:r>
    </w:p>
    <w:p w14:paraId="242A896E" w14:textId="77777777" w:rsidR="008203A8" w:rsidRPr="00155D66" w:rsidRDefault="008203A8" w:rsidP="008203A8">
      <w:pPr>
        <w:tabs>
          <w:tab w:val="left" w:pos="851"/>
        </w:tabs>
        <w:ind w:left="851"/>
        <w:rPr>
          <w:sz w:val="24"/>
          <w:szCs w:val="24"/>
        </w:rPr>
      </w:pPr>
    </w:p>
    <w:p w14:paraId="0EE70D8A" w14:textId="77777777" w:rsidR="008203A8" w:rsidRPr="00155D66" w:rsidRDefault="008203A8" w:rsidP="008203A8">
      <w:pPr>
        <w:tabs>
          <w:tab w:val="left" w:pos="851"/>
        </w:tabs>
        <w:ind w:left="851" w:hanging="851"/>
        <w:rPr>
          <w:b/>
          <w:sz w:val="24"/>
          <w:szCs w:val="24"/>
        </w:rPr>
      </w:pPr>
      <w:r w:rsidRPr="00155D66">
        <w:rPr>
          <w:b/>
          <w:sz w:val="24"/>
          <w:szCs w:val="24"/>
        </w:rPr>
        <w:t>10.</w:t>
      </w:r>
      <w:r w:rsidRPr="00155D66">
        <w:rPr>
          <w:b/>
          <w:sz w:val="24"/>
          <w:szCs w:val="24"/>
        </w:rPr>
        <w:tab/>
        <w:t>KLASSIFICERING AF VETERINÆRLÆGEMIDLER</w:t>
      </w:r>
    </w:p>
    <w:p w14:paraId="2CA0ED63" w14:textId="29B57A84" w:rsidR="00646941" w:rsidRPr="00155D66" w:rsidRDefault="00646941" w:rsidP="0026454A">
      <w:pPr>
        <w:numPr>
          <w:ilvl w:val="12"/>
          <w:numId w:val="0"/>
        </w:numPr>
        <w:ind w:left="851"/>
        <w:rPr>
          <w:sz w:val="24"/>
          <w:szCs w:val="24"/>
        </w:rPr>
      </w:pPr>
      <w:r w:rsidRPr="00155D66">
        <w:rPr>
          <w:sz w:val="24"/>
          <w:szCs w:val="24"/>
        </w:rPr>
        <w:t>B</w:t>
      </w:r>
    </w:p>
    <w:p w14:paraId="34BFB759" w14:textId="77777777" w:rsidR="00646941" w:rsidRPr="00155D66" w:rsidRDefault="00646941" w:rsidP="0026454A">
      <w:pPr>
        <w:numPr>
          <w:ilvl w:val="12"/>
          <w:numId w:val="0"/>
        </w:numPr>
        <w:ind w:left="851"/>
        <w:rPr>
          <w:sz w:val="24"/>
          <w:szCs w:val="24"/>
        </w:rPr>
      </w:pPr>
    </w:p>
    <w:p w14:paraId="6955BA2E" w14:textId="2B20F075" w:rsidR="0003527F" w:rsidRPr="00397FED" w:rsidRDefault="00646941" w:rsidP="0026454A">
      <w:pPr>
        <w:ind w:left="851" w:right="-318"/>
        <w:rPr>
          <w:sz w:val="24"/>
          <w:szCs w:val="24"/>
        </w:rPr>
      </w:pPr>
      <w:bookmarkStart w:id="15" w:name="_Hlk73467306"/>
      <w:r w:rsidRPr="00155D66">
        <w:rPr>
          <w:sz w:val="24"/>
          <w:szCs w:val="24"/>
        </w:rPr>
        <w:t>Der findes detaljerede oplysninger om dette veterinærlægemiddel i EU-lægemiddeldatabasen.</w:t>
      </w:r>
      <w:r w:rsidRPr="00397FED">
        <w:rPr>
          <w:sz w:val="24"/>
          <w:szCs w:val="24"/>
        </w:rPr>
        <w:t xml:space="preserve"> </w:t>
      </w:r>
      <w:bookmarkEnd w:id="15"/>
    </w:p>
    <w:sectPr w:rsidR="0003527F" w:rsidRPr="00397FE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442D4" w14:textId="77777777" w:rsidR="00C84379" w:rsidRDefault="00C84379">
      <w:r>
        <w:separator/>
      </w:r>
    </w:p>
  </w:endnote>
  <w:endnote w:type="continuationSeparator" w:id="0">
    <w:p w14:paraId="701BC580" w14:textId="77777777" w:rsidR="00C84379" w:rsidRDefault="00C8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7DCB" w14:textId="77777777" w:rsidR="004A62CC" w:rsidRDefault="004A62CC">
    <w:pPr>
      <w:pStyle w:val="Sidefod"/>
      <w:pBdr>
        <w:bottom w:val="single" w:sz="6" w:space="1" w:color="auto"/>
      </w:pBdr>
      <w:tabs>
        <w:tab w:val="clear" w:pos="4819"/>
        <w:tab w:val="left" w:pos="8647"/>
      </w:tabs>
      <w:rPr>
        <w:i/>
        <w:snapToGrid w:val="0"/>
        <w:sz w:val="18"/>
      </w:rPr>
    </w:pPr>
  </w:p>
  <w:p w14:paraId="07FFB9AE" w14:textId="77777777" w:rsidR="004A62CC" w:rsidRDefault="004A62CC">
    <w:pPr>
      <w:pStyle w:val="Sidefod"/>
      <w:tabs>
        <w:tab w:val="clear" w:pos="4819"/>
        <w:tab w:val="left" w:pos="8647"/>
      </w:tabs>
      <w:rPr>
        <w:i/>
        <w:snapToGrid w:val="0"/>
        <w:sz w:val="18"/>
      </w:rPr>
    </w:pPr>
  </w:p>
  <w:p w14:paraId="7882EF05" w14:textId="29F3CFA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2ED9">
      <w:rPr>
        <w:i/>
        <w:noProof/>
        <w:snapToGrid w:val="0"/>
        <w:sz w:val="18"/>
      </w:rPr>
      <w:t>Felimazole Vet.</w:t>
    </w:r>
    <w:r w:rsidR="00155D66">
      <w:rPr>
        <w:i/>
        <w:noProof/>
        <w:snapToGrid w:val="0"/>
        <w:sz w:val="18"/>
      </w:rPr>
      <w:t>, oral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D5EB" w14:textId="77777777" w:rsidR="004A62CC" w:rsidRDefault="004A62CC">
    <w:pPr>
      <w:pStyle w:val="Sidefod"/>
      <w:pBdr>
        <w:bottom w:val="single" w:sz="6" w:space="1" w:color="auto"/>
      </w:pBdr>
      <w:tabs>
        <w:tab w:val="clear" w:pos="4819"/>
        <w:tab w:val="left" w:pos="8647"/>
      </w:tabs>
      <w:rPr>
        <w:i/>
        <w:snapToGrid w:val="0"/>
        <w:sz w:val="18"/>
      </w:rPr>
    </w:pPr>
  </w:p>
  <w:p w14:paraId="18DE5BF6" w14:textId="77777777" w:rsidR="004A62CC" w:rsidRDefault="004A62CC">
    <w:pPr>
      <w:pStyle w:val="Sidefod"/>
      <w:tabs>
        <w:tab w:val="clear" w:pos="4819"/>
        <w:tab w:val="left" w:pos="8647"/>
      </w:tabs>
      <w:rPr>
        <w:i/>
        <w:snapToGrid w:val="0"/>
        <w:sz w:val="18"/>
      </w:rPr>
    </w:pPr>
  </w:p>
  <w:p w14:paraId="257A99B3" w14:textId="71F96D7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2ED9">
      <w:rPr>
        <w:i/>
        <w:noProof/>
        <w:snapToGrid w:val="0"/>
        <w:sz w:val="18"/>
      </w:rPr>
      <w:t>Felimazole Vet.</w:t>
    </w:r>
    <w:r w:rsidR="00155D66">
      <w:rPr>
        <w:i/>
        <w:noProof/>
        <w:snapToGrid w:val="0"/>
        <w:sz w:val="18"/>
      </w:rPr>
      <w:t>, oral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E6754" w14:textId="77777777" w:rsidR="00C84379" w:rsidRDefault="00C84379">
      <w:r>
        <w:separator/>
      </w:r>
    </w:p>
  </w:footnote>
  <w:footnote w:type="continuationSeparator" w:id="0">
    <w:p w14:paraId="45FD6C82" w14:textId="77777777" w:rsidR="00C84379" w:rsidRDefault="00C8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F20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329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048"/>
    <w:multiLevelType w:val="hybridMultilevel"/>
    <w:tmpl w:val="B030CFB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9D70BB3"/>
    <w:multiLevelType w:val="hybridMultilevel"/>
    <w:tmpl w:val="F8C89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7220ECC"/>
    <w:multiLevelType w:val="hybridMultilevel"/>
    <w:tmpl w:val="C3E26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54E2CB5"/>
    <w:multiLevelType w:val="hybridMultilevel"/>
    <w:tmpl w:val="A22E542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79"/>
    <w:rsid w:val="000241E8"/>
    <w:rsid w:val="0003527F"/>
    <w:rsid w:val="0004390D"/>
    <w:rsid w:val="0005355A"/>
    <w:rsid w:val="00065C7D"/>
    <w:rsid w:val="00092AFF"/>
    <w:rsid w:val="000B102C"/>
    <w:rsid w:val="000C2819"/>
    <w:rsid w:val="000C6CD4"/>
    <w:rsid w:val="00131D7A"/>
    <w:rsid w:val="00155D66"/>
    <w:rsid w:val="001577E4"/>
    <w:rsid w:val="001623D2"/>
    <w:rsid w:val="00162A88"/>
    <w:rsid w:val="00173F52"/>
    <w:rsid w:val="0018534D"/>
    <w:rsid w:val="001858CA"/>
    <w:rsid w:val="001869DB"/>
    <w:rsid w:val="001903E6"/>
    <w:rsid w:val="001C4AEF"/>
    <w:rsid w:val="001D3CC5"/>
    <w:rsid w:val="00202A14"/>
    <w:rsid w:val="00207C0E"/>
    <w:rsid w:val="0026454A"/>
    <w:rsid w:val="002C3E74"/>
    <w:rsid w:val="002E304C"/>
    <w:rsid w:val="002E7439"/>
    <w:rsid w:val="002F3591"/>
    <w:rsid w:val="00322BDE"/>
    <w:rsid w:val="00340679"/>
    <w:rsid w:val="00371CA6"/>
    <w:rsid w:val="003768A4"/>
    <w:rsid w:val="00397FED"/>
    <w:rsid w:val="003E4B6F"/>
    <w:rsid w:val="003F2ED9"/>
    <w:rsid w:val="00406EE7"/>
    <w:rsid w:val="00407013"/>
    <w:rsid w:val="00412537"/>
    <w:rsid w:val="00415D7C"/>
    <w:rsid w:val="00417225"/>
    <w:rsid w:val="00451FEF"/>
    <w:rsid w:val="004A62CC"/>
    <w:rsid w:val="004C733C"/>
    <w:rsid w:val="00514C36"/>
    <w:rsid w:val="00514DC3"/>
    <w:rsid w:val="00565A74"/>
    <w:rsid w:val="005B0036"/>
    <w:rsid w:val="005D1DAA"/>
    <w:rsid w:val="005E336B"/>
    <w:rsid w:val="005F5831"/>
    <w:rsid w:val="00601E64"/>
    <w:rsid w:val="0061389F"/>
    <w:rsid w:val="00614110"/>
    <w:rsid w:val="00627236"/>
    <w:rsid w:val="00633A39"/>
    <w:rsid w:val="00646941"/>
    <w:rsid w:val="00646A5F"/>
    <w:rsid w:val="00662012"/>
    <w:rsid w:val="00666B01"/>
    <w:rsid w:val="00687CE3"/>
    <w:rsid w:val="00696BF6"/>
    <w:rsid w:val="006B1539"/>
    <w:rsid w:val="006C2FE7"/>
    <w:rsid w:val="006F0D27"/>
    <w:rsid w:val="006F5621"/>
    <w:rsid w:val="00701164"/>
    <w:rsid w:val="0071651B"/>
    <w:rsid w:val="00734E54"/>
    <w:rsid w:val="00746B87"/>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44C8"/>
    <w:rsid w:val="00C66C59"/>
    <w:rsid w:val="00C838AB"/>
    <w:rsid w:val="00C83AA2"/>
    <w:rsid w:val="00C84379"/>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E99BB"/>
  <w15:chartTrackingRefBased/>
  <w15:docId w15:val="{6CBD14C1-7CDC-4997-A270-77AF0E00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qFormat/>
    <w:rsid w:val="00FA66E4"/>
  </w:style>
  <w:style w:type="character" w:customStyle="1" w:styleId="SidehovedTegn">
    <w:name w:val="Sidehoved Tegn"/>
    <w:link w:val="Sidehoved"/>
    <w:rsid w:val="00FA66E4"/>
    <w:rPr>
      <w:sz w:val="24"/>
    </w:rPr>
  </w:style>
  <w:style w:type="character" w:customStyle="1" w:styleId="ui-provider">
    <w:name w:val="ui-provider"/>
    <w:basedOn w:val="Standardskrifttypeiafsnit"/>
    <w:rsid w:val="00646941"/>
  </w:style>
  <w:style w:type="paragraph" w:styleId="Listeafsnit">
    <w:name w:val="List Paragraph"/>
    <w:basedOn w:val="Normal"/>
    <w:uiPriority w:val="34"/>
    <w:qFormat/>
    <w:rsid w:val="00264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0387239">
      <w:bodyDiv w:val="1"/>
      <w:marLeft w:val="0"/>
      <w:marRight w:val="0"/>
      <w:marTop w:val="0"/>
      <w:marBottom w:val="0"/>
      <w:divBdr>
        <w:top w:val="none" w:sz="0" w:space="0" w:color="auto"/>
        <w:left w:val="none" w:sz="0" w:space="0" w:color="auto"/>
        <w:bottom w:val="none" w:sz="0" w:space="0" w:color="auto"/>
        <w:right w:val="none" w:sz="0" w:space="0" w:color="auto"/>
      </w:divBdr>
    </w:div>
    <w:div w:id="15900617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58747099">
      <w:bodyDiv w:val="1"/>
      <w:marLeft w:val="0"/>
      <w:marRight w:val="0"/>
      <w:marTop w:val="0"/>
      <w:marBottom w:val="0"/>
      <w:divBdr>
        <w:top w:val="none" w:sz="0" w:space="0" w:color="auto"/>
        <w:left w:val="none" w:sz="0" w:space="0" w:color="auto"/>
        <w:bottom w:val="none" w:sz="0" w:space="0" w:color="auto"/>
        <w:right w:val="none" w:sz="0" w:space="0" w:color="auto"/>
      </w:divBdr>
    </w:div>
    <w:div w:id="45445173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7031908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0195602">
      <w:bodyDiv w:val="1"/>
      <w:marLeft w:val="0"/>
      <w:marRight w:val="0"/>
      <w:marTop w:val="0"/>
      <w:marBottom w:val="0"/>
      <w:divBdr>
        <w:top w:val="none" w:sz="0" w:space="0" w:color="auto"/>
        <w:left w:val="none" w:sz="0" w:space="0" w:color="auto"/>
        <w:bottom w:val="none" w:sz="0" w:space="0" w:color="auto"/>
        <w:right w:val="none" w:sz="0" w:space="0" w:color="auto"/>
      </w:divBdr>
    </w:div>
    <w:div w:id="1023820152">
      <w:bodyDiv w:val="1"/>
      <w:marLeft w:val="0"/>
      <w:marRight w:val="0"/>
      <w:marTop w:val="0"/>
      <w:marBottom w:val="0"/>
      <w:divBdr>
        <w:top w:val="none" w:sz="0" w:space="0" w:color="auto"/>
        <w:left w:val="none" w:sz="0" w:space="0" w:color="auto"/>
        <w:bottom w:val="none" w:sz="0" w:space="0" w:color="auto"/>
        <w:right w:val="none" w:sz="0" w:space="0" w:color="auto"/>
      </w:divBdr>
    </w:div>
    <w:div w:id="1032802052">
      <w:bodyDiv w:val="1"/>
      <w:marLeft w:val="0"/>
      <w:marRight w:val="0"/>
      <w:marTop w:val="0"/>
      <w:marBottom w:val="0"/>
      <w:divBdr>
        <w:top w:val="none" w:sz="0" w:space="0" w:color="auto"/>
        <w:left w:val="none" w:sz="0" w:space="0" w:color="auto"/>
        <w:bottom w:val="none" w:sz="0" w:space="0" w:color="auto"/>
        <w:right w:val="none" w:sz="0" w:space="0" w:color="auto"/>
      </w:divBdr>
    </w:div>
    <w:div w:id="109736660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7160334">
      <w:bodyDiv w:val="1"/>
      <w:marLeft w:val="0"/>
      <w:marRight w:val="0"/>
      <w:marTop w:val="0"/>
      <w:marBottom w:val="0"/>
      <w:divBdr>
        <w:top w:val="none" w:sz="0" w:space="0" w:color="auto"/>
        <w:left w:val="none" w:sz="0" w:space="0" w:color="auto"/>
        <w:bottom w:val="none" w:sz="0" w:space="0" w:color="auto"/>
        <w:right w:val="none" w:sz="0" w:space="0" w:color="auto"/>
      </w:divBdr>
    </w:div>
    <w:div w:id="1271546324">
      <w:bodyDiv w:val="1"/>
      <w:marLeft w:val="0"/>
      <w:marRight w:val="0"/>
      <w:marTop w:val="0"/>
      <w:marBottom w:val="0"/>
      <w:divBdr>
        <w:top w:val="none" w:sz="0" w:space="0" w:color="auto"/>
        <w:left w:val="none" w:sz="0" w:space="0" w:color="auto"/>
        <w:bottom w:val="none" w:sz="0" w:space="0" w:color="auto"/>
        <w:right w:val="none" w:sz="0" w:space="0" w:color="auto"/>
      </w:divBdr>
    </w:div>
    <w:div w:id="1296526538">
      <w:bodyDiv w:val="1"/>
      <w:marLeft w:val="0"/>
      <w:marRight w:val="0"/>
      <w:marTop w:val="0"/>
      <w:marBottom w:val="0"/>
      <w:divBdr>
        <w:top w:val="none" w:sz="0" w:space="0" w:color="auto"/>
        <w:left w:val="none" w:sz="0" w:space="0" w:color="auto"/>
        <w:bottom w:val="none" w:sz="0" w:space="0" w:color="auto"/>
        <w:right w:val="none" w:sz="0" w:space="0" w:color="auto"/>
      </w:divBdr>
    </w:div>
    <w:div w:id="12966393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335815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9343223">
      <w:bodyDiv w:val="1"/>
      <w:marLeft w:val="0"/>
      <w:marRight w:val="0"/>
      <w:marTop w:val="0"/>
      <w:marBottom w:val="0"/>
      <w:divBdr>
        <w:top w:val="none" w:sz="0" w:space="0" w:color="auto"/>
        <w:left w:val="none" w:sz="0" w:space="0" w:color="auto"/>
        <w:bottom w:val="none" w:sz="0" w:space="0" w:color="auto"/>
        <w:right w:val="none" w:sz="0" w:space="0" w:color="auto"/>
      </w:divBdr>
    </w:div>
    <w:div w:id="1552420713">
      <w:bodyDiv w:val="1"/>
      <w:marLeft w:val="0"/>
      <w:marRight w:val="0"/>
      <w:marTop w:val="0"/>
      <w:marBottom w:val="0"/>
      <w:divBdr>
        <w:top w:val="none" w:sz="0" w:space="0" w:color="auto"/>
        <w:left w:val="none" w:sz="0" w:space="0" w:color="auto"/>
        <w:bottom w:val="none" w:sz="0" w:space="0" w:color="auto"/>
        <w:right w:val="none" w:sz="0" w:space="0" w:color="auto"/>
      </w:divBdr>
    </w:div>
    <w:div w:id="1653949083">
      <w:bodyDiv w:val="1"/>
      <w:marLeft w:val="0"/>
      <w:marRight w:val="0"/>
      <w:marTop w:val="0"/>
      <w:marBottom w:val="0"/>
      <w:divBdr>
        <w:top w:val="none" w:sz="0" w:space="0" w:color="auto"/>
        <w:left w:val="none" w:sz="0" w:space="0" w:color="auto"/>
        <w:bottom w:val="none" w:sz="0" w:space="0" w:color="auto"/>
        <w:right w:val="none" w:sz="0" w:space="0" w:color="auto"/>
      </w:divBdr>
    </w:div>
    <w:div w:id="1816022055">
      <w:bodyDiv w:val="1"/>
      <w:marLeft w:val="0"/>
      <w:marRight w:val="0"/>
      <w:marTop w:val="0"/>
      <w:marBottom w:val="0"/>
      <w:divBdr>
        <w:top w:val="none" w:sz="0" w:space="0" w:color="auto"/>
        <w:left w:val="none" w:sz="0" w:space="0" w:color="auto"/>
        <w:bottom w:val="none" w:sz="0" w:space="0" w:color="auto"/>
        <w:right w:val="none" w:sz="0" w:space="0" w:color="auto"/>
      </w:divBdr>
    </w:div>
    <w:div w:id="1925993148">
      <w:bodyDiv w:val="1"/>
      <w:marLeft w:val="0"/>
      <w:marRight w:val="0"/>
      <w:marTop w:val="0"/>
      <w:marBottom w:val="0"/>
      <w:divBdr>
        <w:top w:val="none" w:sz="0" w:space="0" w:color="auto"/>
        <w:left w:val="none" w:sz="0" w:space="0" w:color="auto"/>
        <w:bottom w:val="none" w:sz="0" w:space="0" w:color="auto"/>
        <w:right w:val="none" w:sz="0" w:space="0" w:color="auto"/>
      </w:divBdr>
    </w:div>
    <w:div w:id="2018848960">
      <w:bodyDiv w:val="1"/>
      <w:marLeft w:val="0"/>
      <w:marRight w:val="0"/>
      <w:marTop w:val="0"/>
      <w:marBottom w:val="0"/>
      <w:divBdr>
        <w:top w:val="none" w:sz="0" w:space="0" w:color="auto"/>
        <w:left w:val="none" w:sz="0" w:space="0" w:color="auto"/>
        <w:bottom w:val="none" w:sz="0" w:space="0" w:color="auto"/>
        <w:right w:val="none" w:sz="0" w:space="0" w:color="auto"/>
      </w:divBdr>
    </w:div>
    <w:div w:id="2044667073">
      <w:bodyDiv w:val="1"/>
      <w:marLeft w:val="0"/>
      <w:marRight w:val="0"/>
      <w:marTop w:val="0"/>
      <w:marBottom w:val="0"/>
      <w:divBdr>
        <w:top w:val="none" w:sz="0" w:space="0" w:color="auto"/>
        <w:left w:val="none" w:sz="0" w:space="0" w:color="auto"/>
        <w:bottom w:val="none" w:sz="0" w:space="0" w:color="auto"/>
        <w:right w:val="none" w:sz="0" w:space="0" w:color="auto"/>
      </w:divBdr>
    </w:div>
    <w:div w:id="20548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7</Pages>
  <Words>1860</Words>
  <Characters>12140</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2022114067, MT</dc:description>
  <cp:lastModifiedBy>Marianne Ott Jensen</cp:lastModifiedBy>
  <cp:revision>3</cp:revision>
  <cp:lastPrinted>2022-05-18T14:03:00Z</cp:lastPrinted>
  <dcterms:created xsi:type="dcterms:W3CDTF">2024-09-02T07:19:00Z</dcterms:created>
  <dcterms:modified xsi:type="dcterms:W3CDTF">2024-09-02T07:20:00Z</dcterms:modified>
</cp:coreProperties>
</file>