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3FA1" w14:textId="77777777" w:rsidR="005B0036" w:rsidRPr="007E23ED" w:rsidRDefault="005B0036" w:rsidP="005B0036">
      <w:pPr>
        <w:rPr>
          <w:sz w:val="24"/>
          <w:szCs w:val="24"/>
        </w:rPr>
      </w:pPr>
      <w:r w:rsidRPr="007E23ED">
        <w:rPr>
          <w:noProof/>
          <w:sz w:val="24"/>
          <w:szCs w:val="24"/>
          <w:lang w:eastAsia="da-DK"/>
        </w:rPr>
        <w:drawing>
          <wp:inline distT="0" distB="0" distL="0" distR="0" wp14:anchorId="7C22488D" wp14:editId="4A463C6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CC2B" w14:textId="77777777" w:rsidR="00C479BF" w:rsidRPr="007E23ED" w:rsidRDefault="00C479BF" w:rsidP="005B0036">
      <w:pPr>
        <w:rPr>
          <w:sz w:val="24"/>
          <w:szCs w:val="24"/>
        </w:rPr>
      </w:pPr>
    </w:p>
    <w:p w14:paraId="3F2B9EDE" w14:textId="550F8EE2" w:rsidR="005B0036" w:rsidRPr="007E23ED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ab/>
      </w:r>
      <w:r w:rsidR="001A321D">
        <w:rPr>
          <w:b/>
          <w:sz w:val="24"/>
          <w:szCs w:val="24"/>
        </w:rPr>
        <w:t>1</w:t>
      </w:r>
      <w:r w:rsidR="001D75D3">
        <w:rPr>
          <w:b/>
          <w:sz w:val="24"/>
          <w:szCs w:val="24"/>
        </w:rPr>
        <w:t>9</w:t>
      </w:r>
      <w:r w:rsidR="001A321D">
        <w:rPr>
          <w:b/>
          <w:sz w:val="24"/>
          <w:szCs w:val="24"/>
        </w:rPr>
        <w:t xml:space="preserve">. </w:t>
      </w:r>
      <w:r w:rsidR="001D75D3">
        <w:rPr>
          <w:b/>
          <w:sz w:val="24"/>
          <w:szCs w:val="24"/>
        </w:rPr>
        <w:t xml:space="preserve">februar </w:t>
      </w:r>
      <w:r w:rsidR="001A321D">
        <w:rPr>
          <w:b/>
          <w:sz w:val="24"/>
          <w:szCs w:val="24"/>
        </w:rPr>
        <w:t>202</w:t>
      </w:r>
      <w:r w:rsidR="001D75D3">
        <w:rPr>
          <w:b/>
          <w:sz w:val="24"/>
          <w:szCs w:val="24"/>
        </w:rPr>
        <w:t>4</w:t>
      </w:r>
    </w:p>
    <w:p w14:paraId="7F2024C6" w14:textId="66BD8DB0" w:rsidR="005B0036" w:rsidRDefault="005B0036" w:rsidP="005B0036">
      <w:pPr>
        <w:rPr>
          <w:sz w:val="24"/>
          <w:szCs w:val="24"/>
        </w:rPr>
      </w:pPr>
    </w:p>
    <w:p w14:paraId="10F18344" w14:textId="77777777" w:rsidR="001D75D3" w:rsidRDefault="001D75D3" w:rsidP="005B0036">
      <w:pPr>
        <w:rPr>
          <w:sz w:val="24"/>
          <w:szCs w:val="24"/>
        </w:rPr>
      </w:pPr>
    </w:p>
    <w:p w14:paraId="3BA62279" w14:textId="77777777" w:rsidR="007E23ED" w:rsidRPr="007E23ED" w:rsidRDefault="007E23ED" w:rsidP="005B0036">
      <w:pPr>
        <w:rPr>
          <w:sz w:val="24"/>
          <w:szCs w:val="24"/>
        </w:rPr>
      </w:pPr>
    </w:p>
    <w:p w14:paraId="676371C6" w14:textId="77777777" w:rsidR="005B0036" w:rsidRPr="007E23ED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PRODUKTRESUMÉ</w:t>
      </w:r>
    </w:p>
    <w:p w14:paraId="6D10B070" w14:textId="77777777" w:rsidR="005B0036" w:rsidRPr="007E23ED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44DAE07" w14:textId="77777777" w:rsidR="005B0036" w:rsidRPr="007E23ED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for</w:t>
      </w:r>
    </w:p>
    <w:p w14:paraId="231A0767" w14:textId="77777777" w:rsidR="005B0036" w:rsidRPr="007E23ED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89AD17C" w14:textId="0BDA6252" w:rsidR="005B0036" w:rsidRPr="007E23ED" w:rsidRDefault="00E42C48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7E23ED">
        <w:rPr>
          <w:b/>
          <w:sz w:val="24"/>
          <w:szCs w:val="24"/>
        </w:rPr>
        <w:t>Felithyrol</w:t>
      </w:r>
      <w:proofErr w:type="spellEnd"/>
      <w:r w:rsidRPr="007E23ED">
        <w:rPr>
          <w:b/>
          <w:sz w:val="24"/>
          <w:szCs w:val="24"/>
        </w:rPr>
        <w:t xml:space="preserve"> </w:t>
      </w:r>
      <w:proofErr w:type="spellStart"/>
      <w:r w:rsidRPr="007E23ED">
        <w:rPr>
          <w:b/>
          <w:sz w:val="24"/>
          <w:szCs w:val="24"/>
        </w:rPr>
        <w:t>Vet</w:t>
      </w:r>
      <w:proofErr w:type="spellEnd"/>
      <w:r w:rsidRPr="007E23ED">
        <w:rPr>
          <w:b/>
          <w:sz w:val="24"/>
          <w:szCs w:val="24"/>
        </w:rPr>
        <w:t>., oral opløsning</w:t>
      </w:r>
    </w:p>
    <w:p w14:paraId="26635E6F" w14:textId="77777777" w:rsidR="005B0036" w:rsidRPr="007E23ED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D2AA0BD" w14:textId="77777777" w:rsidR="005B0036" w:rsidRPr="007E23ED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77655962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0.</w:t>
      </w:r>
      <w:r w:rsidRPr="007E23ED">
        <w:rPr>
          <w:b/>
          <w:sz w:val="24"/>
          <w:szCs w:val="24"/>
        </w:rPr>
        <w:tab/>
        <w:t>D.SP.NR.</w:t>
      </w:r>
    </w:p>
    <w:p w14:paraId="062305EF" w14:textId="2909E6C3" w:rsidR="005B0036" w:rsidRPr="007E23ED" w:rsidRDefault="00E42C48" w:rsidP="005B0036">
      <w:pPr>
        <w:tabs>
          <w:tab w:val="left" w:pos="8222"/>
        </w:tabs>
        <w:ind w:left="851"/>
        <w:rPr>
          <w:sz w:val="24"/>
          <w:szCs w:val="24"/>
        </w:rPr>
      </w:pPr>
      <w:r w:rsidRPr="007E23ED">
        <w:rPr>
          <w:sz w:val="24"/>
          <w:szCs w:val="24"/>
        </w:rPr>
        <w:t>32680</w:t>
      </w:r>
    </w:p>
    <w:p w14:paraId="08A742B9" w14:textId="77777777" w:rsidR="005B0036" w:rsidRPr="007E23E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3B75CB8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1.</w:t>
      </w:r>
      <w:r w:rsidRPr="007E23ED">
        <w:rPr>
          <w:b/>
          <w:sz w:val="24"/>
          <w:szCs w:val="24"/>
        </w:rPr>
        <w:tab/>
        <w:t>VETERINÆRLÆGEMIDLETS NAVN</w:t>
      </w:r>
    </w:p>
    <w:p w14:paraId="7C6CCA71" w14:textId="17A645EB" w:rsidR="005B0036" w:rsidRPr="007E23ED" w:rsidRDefault="00E42C48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7E23ED">
        <w:rPr>
          <w:sz w:val="24"/>
          <w:szCs w:val="24"/>
        </w:rPr>
        <w:t>Felithyrol</w:t>
      </w:r>
      <w:proofErr w:type="spellEnd"/>
      <w:r w:rsidRPr="007E23ED">
        <w:rPr>
          <w:sz w:val="24"/>
          <w:szCs w:val="24"/>
        </w:rPr>
        <w:t xml:space="preserve"> </w:t>
      </w:r>
      <w:proofErr w:type="spellStart"/>
      <w:r w:rsidRPr="007E23ED">
        <w:rPr>
          <w:sz w:val="24"/>
          <w:szCs w:val="24"/>
        </w:rPr>
        <w:t>Vet</w:t>
      </w:r>
      <w:proofErr w:type="spellEnd"/>
      <w:r w:rsidRPr="007E23ED">
        <w:rPr>
          <w:sz w:val="24"/>
          <w:szCs w:val="24"/>
        </w:rPr>
        <w:t>.</w:t>
      </w:r>
    </w:p>
    <w:p w14:paraId="749F5BD1" w14:textId="77777777" w:rsidR="005B0036" w:rsidRPr="007E23E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0924A0D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2.</w:t>
      </w:r>
      <w:r w:rsidRPr="007E23ED">
        <w:rPr>
          <w:b/>
          <w:sz w:val="24"/>
          <w:szCs w:val="24"/>
        </w:rPr>
        <w:tab/>
        <w:t>KVALITATIV OG KVANTITATIV SAMMENSÆTNING</w:t>
      </w:r>
    </w:p>
    <w:p w14:paraId="439E9989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Hver ml indeholder:</w:t>
      </w:r>
    </w:p>
    <w:p w14:paraId="3674FEA1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</w:p>
    <w:p w14:paraId="41593982" w14:textId="77777777" w:rsidR="008C1542" w:rsidRPr="007E23ED" w:rsidRDefault="008C1542" w:rsidP="007E23ED">
      <w:pPr>
        <w:ind w:left="851"/>
        <w:rPr>
          <w:b/>
          <w:sz w:val="24"/>
          <w:szCs w:val="24"/>
          <w:lang w:val="nl-NL"/>
        </w:rPr>
      </w:pPr>
      <w:r w:rsidRPr="007E23ED">
        <w:rPr>
          <w:b/>
          <w:sz w:val="24"/>
          <w:szCs w:val="24"/>
          <w:lang w:bidi="da-DK"/>
        </w:rPr>
        <w:t>Aktivt stof:</w:t>
      </w:r>
    </w:p>
    <w:p w14:paraId="170013F5" w14:textId="77777777" w:rsidR="008C1542" w:rsidRPr="007E23ED" w:rsidRDefault="008C1542" w:rsidP="007E23ED">
      <w:pPr>
        <w:ind w:left="851"/>
        <w:rPr>
          <w:iCs/>
          <w:sz w:val="24"/>
          <w:szCs w:val="24"/>
        </w:rPr>
      </w:pP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5.0 mg</w:t>
      </w:r>
    </w:p>
    <w:p w14:paraId="790A6EC6" w14:textId="77777777" w:rsidR="008C1542" w:rsidRPr="007E23ED" w:rsidRDefault="008C1542" w:rsidP="007E23ED">
      <w:pPr>
        <w:ind w:left="851"/>
        <w:rPr>
          <w:iCs/>
          <w:sz w:val="24"/>
          <w:szCs w:val="24"/>
        </w:rPr>
      </w:pPr>
    </w:p>
    <w:p w14:paraId="20489ACB" w14:textId="77777777" w:rsidR="008C1542" w:rsidRPr="007E23ED" w:rsidRDefault="008C1542" w:rsidP="007E23ED">
      <w:pPr>
        <w:ind w:left="851"/>
        <w:rPr>
          <w:sz w:val="24"/>
          <w:szCs w:val="24"/>
        </w:rPr>
      </w:pPr>
      <w:r w:rsidRPr="007E23ED">
        <w:rPr>
          <w:b/>
          <w:sz w:val="24"/>
          <w:szCs w:val="24"/>
          <w:lang w:bidi="da-DK"/>
        </w:rPr>
        <w:t>Hjælpestoffer:</w:t>
      </w:r>
    </w:p>
    <w:p w14:paraId="1C6710C6" w14:textId="77777777" w:rsidR="008C1542" w:rsidRPr="007E23ED" w:rsidRDefault="008C1542" w:rsidP="007E23ED">
      <w:pPr>
        <w:ind w:left="851"/>
        <w:rPr>
          <w:iCs/>
          <w:sz w:val="24"/>
          <w:szCs w:val="24"/>
        </w:rPr>
      </w:pPr>
      <w:r w:rsidRPr="007E23ED">
        <w:rPr>
          <w:sz w:val="24"/>
          <w:szCs w:val="24"/>
          <w:lang w:bidi="da-DK"/>
        </w:rPr>
        <w:t>Natriumbenzoat (E211) 1.5 mg</w:t>
      </w:r>
    </w:p>
    <w:p w14:paraId="38FB4A28" w14:textId="77777777" w:rsidR="008C1542" w:rsidRPr="007E23ED" w:rsidRDefault="008C1542" w:rsidP="007E23ED">
      <w:pPr>
        <w:ind w:left="851"/>
        <w:rPr>
          <w:sz w:val="24"/>
          <w:szCs w:val="24"/>
        </w:rPr>
      </w:pPr>
    </w:p>
    <w:p w14:paraId="1B58AC49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Alle hjælpestoffer er anført under pkt. 6.1</w:t>
      </w:r>
    </w:p>
    <w:p w14:paraId="6A62A654" w14:textId="77777777" w:rsidR="005B0036" w:rsidRPr="007E23E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593D4AE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3.</w:t>
      </w:r>
      <w:r w:rsidRPr="007E23ED">
        <w:rPr>
          <w:b/>
          <w:sz w:val="24"/>
          <w:szCs w:val="24"/>
        </w:rPr>
        <w:tab/>
        <w:t>LÆGEMIDDELFORM</w:t>
      </w:r>
    </w:p>
    <w:p w14:paraId="65E9400C" w14:textId="65BEC2EA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Oral opløsning</w:t>
      </w:r>
    </w:p>
    <w:p w14:paraId="404AFD94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Farveløs til en let brunlig farve, uklar, tyktflydende opløsning.</w:t>
      </w:r>
    </w:p>
    <w:p w14:paraId="553A74BD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E9D67E1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7A6E7D3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</w:t>
      </w:r>
      <w:r w:rsidRPr="007E23ED">
        <w:rPr>
          <w:b/>
          <w:sz w:val="24"/>
          <w:szCs w:val="24"/>
        </w:rPr>
        <w:tab/>
        <w:t>KLINISKE OPLYSNINGER</w:t>
      </w:r>
    </w:p>
    <w:p w14:paraId="19184F43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4A58D5D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7E23ED">
        <w:rPr>
          <w:b/>
          <w:sz w:val="24"/>
          <w:szCs w:val="24"/>
        </w:rPr>
        <w:t>4.1</w:t>
      </w:r>
      <w:r w:rsidRPr="007E23ED">
        <w:rPr>
          <w:b/>
          <w:sz w:val="24"/>
          <w:szCs w:val="24"/>
        </w:rPr>
        <w:tab/>
        <w:t>Dyrearter</w:t>
      </w:r>
    </w:p>
    <w:p w14:paraId="7CBF4C56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Kat.</w:t>
      </w:r>
    </w:p>
    <w:p w14:paraId="4FBF0650" w14:textId="77777777" w:rsidR="005B0036" w:rsidRPr="007E23E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E621515" w14:textId="77777777" w:rsidR="005B0036" w:rsidRPr="007E23ED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7E23ED">
        <w:rPr>
          <w:b/>
          <w:szCs w:val="24"/>
        </w:rPr>
        <w:t>4.2</w:t>
      </w:r>
      <w:r w:rsidRPr="007E23ED">
        <w:rPr>
          <w:b/>
          <w:szCs w:val="24"/>
        </w:rPr>
        <w:tab/>
        <w:t>Terapeutiske indikationer</w:t>
      </w:r>
    </w:p>
    <w:p w14:paraId="478A0A48" w14:textId="77777777" w:rsidR="008C1542" w:rsidRPr="007E23ED" w:rsidRDefault="008C1542" w:rsidP="007E23ED">
      <w:pPr>
        <w:ind w:left="851"/>
        <w:rPr>
          <w:sz w:val="24"/>
          <w:szCs w:val="24"/>
          <w:lang w:bidi="da-DK"/>
        </w:rPr>
      </w:pPr>
      <w:bookmarkStart w:id="0" w:name="_Hlk68100179"/>
      <w:r w:rsidRPr="007E23ED">
        <w:rPr>
          <w:sz w:val="24"/>
          <w:szCs w:val="24"/>
          <w:lang w:bidi="da-DK"/>
        </w:rPr>
        <w:t xml:space="preserve">Til stabilisering af </w:t>
      </w:r>
      <w:proofErr w:type="spellStart"/>
      <w:r w:rsidRPr="007E23ED">
        <w:rPr>
          <w:sz w:val="24"/>
          <w:szCs w:val="24"/>
          <w:lang w:bidi="da-DK"/>
        </w:rPr>
        <w:t>hyperthyroidisme</w:t>
      </w:r>
      <w:proofErr w:type="spellEnd"/>
      <w:r w:rsidRPr="007E23ED">
        <w:rPr>
          <w:sz w:val="24"/>
          <w:szCs w:val="24"/>
          <w:lang w:bidi="da-DK"/>
        </w:rPr>
        <w:t xml:space="preserve"> hos katte før kirurgisk </w:t>
      </w:r>
      <w:proofErr w:type="spellStart"/>
      <w:r w:rsidRPr="007E23ED">
        <w:rPr>
          <w:sz w:val="24"/>
          <w:szCs w:val="24"/>
          <w:lang w:bidi="da-DK"/>
        </w:rPr>
        <w:t>thyreoidektomi</w:t>
      </w:r>
      <w:proofErr w:type="spellEnd"/>
      <w:r w:rsidRPr="007E23ED">
        <w:rPr>
          <w:sz w:val="24"/>
          <w:szCs w:val="24"/>
          <w:lang w:bidi="da-DK"/>
        </w:rPr>
        <w:t>.</w:t>
      </w:r>
    </w:p>
    <w:p w14:paraId="15B948D8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Til langtidsbehandling af katte med </w:t>
      </w:r>
      <w:proofErr w:type="spellStart"/>
      <w:r w:rsidRPr="007E23ED">
        <w:rPr>
          <w:sz w:val="24"/>
          <w:szCs w:val="24"/>
          <w:lang w:bidi="da-DK"/>
        </w:rPr>
        <w:t>hyperthyroidisme</w:t>
      </w:r>
      <w:proofErr w:type="spellEnd"/>
      <w:r w:rsidRPr="007E23ED">
        <w:rPr>
          <w:sz w:val="24"/>
          <w:szCs w:val="24"/>
          <w:lang w:bidi="da-DK"/>
        </w:rPr>
        <w:t>.</w:t>
      </w:r>
      <w:bookmarkEnd w:id="0"/>
    </w:p>
    <w:p w14:paraId="152B49C8" w14:textId="77777777" w:rsidR="005B0036" w:rsidRPr="007E23ED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8BA37A7" w14:textId="77777777" w:rsidR="005B0036" w:rsidRPr="007E23ED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7E23ED">
        <w:rPr>
          <w:b/>
          <w:szCs w:val="24"/>
        </w:rPr>
        <w:t>4.3</w:t>
      </w:r>
      <w:r w:rsidRPr="007E23ED">
        <w:rPr>
          <w:b/>
          <w:szCs w:val="24"/>
        </w:rPr>
        <w:tab/>
        <w:t>Kontraindikationer</w:t>
      </w:r>
    </w:p>
    <w:p w14:paraId="6F52420D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bookmarkStart w:id="1" w:name="_Hlk72419003"/>
      <w:r w:rsidRPr="007E23ED">
        <w:rPr>
          <w:sz w:val="24"/>
          <w:szCs w:val="24"/>
          <w:lang w:bidi="da-DK"/>
        </w:rPr>
        <w:t>Må ikke anvendes til katte, der lider af en systemisk sygdom, såsom primær leversygdom eller diabetes mellitus.</w:t>
      </w:r>
    </w:p>
    <w:p w14:paraId="41BCE68E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Må ikke anvendes til katte, der viser tegn på autoimmun sygdom.</w:t>
      </w:r>
    </w:p>
    <w:p w14:paraId="06E5BCEA" w14:textId="0569B552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lastRenderedPageBreak/>
        <w:t xml:space="preserve">Må ikke anvendes til dyr, der har </w:t>
      </w:r>
      <w:bookmarkStart w:id="2" w:name="_Hlk121403079"/>
      <w:r w:rsidRPr="007E23ED">
        <w:rPr>
          <w:sz w:val="24"/>
          <w:szCs w:val="24"/>
          <w:lang w:bidi="da-DK"/>
        </w:rPr>
        <w:t>sygdomme i de hvide blodlegemer</w:t>
      </w:r>
      <w:bookmarkEnd w:id="2"/>
      <w:r w:rsidRPr="007E23ED">
        <w:rPr>
          <w:sz w:val="24"/>
          <w:szCs w:val="24"/>
          <w:lang w:bidi="da-DK"/>
        </w:rPr>
        <w:t xml:space="preserve">, såsom </w:t>
      </w:r>
      <w:proofErr w:type="spellStart"/>
      <w:r w:rsidRPr="007E23ED">
        <w:rPr>
          <w:sz w:val="24"/>
          <w:szCs w:val="24"/>
          <w:lang w:bidi="da-DK"/>
        </w:rPr>
        <w:t>neutropeni</w:t>
      </w:r>
      <w:proofErr w:type="spellEnd"/>
      <w:r w:rsidRPr="007E23ED">
        <w:rPr>
          <w:sz w:val="24"/>
          <w:szCs w:val="24"/>
          <w:lang w:bidi="da-DK"/>
        </w:rPr>
        <w:t xml:space="preserve"> og </w:t>
      </w:r>
      <w:proofErr w:type="spellStart"/>
      <w:r w:rsidRPr="007E23ED">
        <w:rPr>
          <w:sz w:val="24"/>
          <w:szCs w:val="24"/>
          <w:lang w:bidi="da-DK"/>
        </w:rPr>
        <w:t>lymfopeni</w:t>
      </w:r>
      <w:proofErr w:type="spellEnd"/>
      <w:r w:rsidRPr="007E23ED">
        <w:rPr>
          <w:sz w:val="24"/>
          <w:szCs w:val="24"/>
          <w:lang w:bidi="da-DK"/>
        </w:rPr>
        <w:t>.</w:t>
      </w:r>
    </w:p>
    <w:p w14:paraId="368D22FE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Må ikke anvendes til dyr der har blodpladesygdomme og </w:t>
      </w:r>
      <w:proofErr w:type="spellStart"/>
      <w:r w:rsidRPr="007E23ED">
        <w:rPr>
          <w:sz w:val="24"/>
          <w:szCs w:val="24"/>
          <w:lang w:bidi="da-DK"/>
        </w:rPr>
        <w:t>koagulopatier</w:t>
      </w:r>
      <w:proofErr w:type="spellEnd"/>
      <w:r w:rsidRPr="007E23ED">
        <w:rPr>
          <w:sz w:val="24"/>
          <w:szCs w:val="24"/>
          <w:lang w:bidi="da-DK"/>
        </w:rPr>
        <w:t xml:space="preserve"> (dette gælder især </w:t>
      </w:r>
      <w:proofErr w:type="spellStart"/>
      <w:r w:rsidRPr="007E23ED">
        <w:rPr>
          <w:sz w:val="24"/>
          <w:szCs w:val="24"/>
          <w:lang w:bidi="da-DK"/>
        </w:rPr>
        <w:t>trombocytopeni</w:t>
      </w:r>
      <w:proofErr w:type="spellEnd"/>
      <w:r w:rsidRPr="007E23ED">
        <w:rPr>
          <w:sz w:val="24"/>
          <w:szCs w:val="24"/>
          <w:lang w:bidi="da-DK"/>
        </w:rPr>
        <w:t>).</w:t>
      </w:r>
    </w:p>
    <w:p w14:paraId="5F8436C6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Må ikke anvendes i tilfælde af overfølsomhed over for det</w:t>
      </w:r>
      <w:r w:rsidRPr="007E23ED">
        <w:rPr>
          <w:kern w:val="14"/>
          <w:sz w:val="24"/>
          <w:szCs w:val="24"/>
          <w:lang w:bidi="da-DK"/>
        </w:rPr>
        <w:t xml:space="preserve"> aktive stof eller over for </w:t>
      </w:r>
      <w:r w:rsidRPr="007E23ED">
        <w:rPr>
          <w:sz w:val="24"/>
          <w:szCs w:val="24"/>
          <w:lang w:bidi="da-DK"/>
        </w:rPr>
        <w:t>nogle af hjælpestofferne.</w:t>
      </w:r>
    </w:p>
    <w:p w14:paraId="6E363539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Må ikke anvendes under drægtighed eller laktation. Se pkt. 4.7.</w:t>
      </w:r>
    </w:p>
    <w:bookmarkEnd w:id="1"/>
    <w:p w14:paraId="2297370F" w14:textId="77777777" w:rsidR="005B0036" w:rsidRPr="007E23ED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1E2802E8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4.4</w:t>
      </w:r>
      <w:r w:rsidRPr="007E23ED">
        <w:rPr>
          <w:b/>
          <w:sz w:val="24"/>
          <w:szCs w:val="24"/>
        </w:rPr>
        <w:tab/>
        <w:t>Særlige advarsler</w:t>
      </w:r>
    </w:p>
    <w:p w14:paraId="05F4291D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For at forbedre stabiliseringen af patienten med </w:t>
      </w:r>
      <w:proofErr w:type="spellStart"/>
      <w:r w:rsidRPr="007E23ED">
        <w:rPr>
          <w:sz w:val="24"/>
          <w:szCs w:val="24"/>
          <w:lang w:bidi="da-DK"/>
        </w:rPr>
        <w:t>hyperthyroidisme</w:t>
      </w:r>
      <w:proofErr w:type="spellEnd"/>
      <w:r w:rsidRPr="007E23ED">
        <w:rPr>
          <w:sz w:val="24"/>
          <w:szCs w:val="24"/>
          <w:lang w:bidi="da-DK"/>
        </w:rPr>
        <w:t xml:space="preserve"> bør det samme fodrings- og doseringsskema anvendes dagligt.</w:t>
      </w:r>
    </w:p>
    <w:p w14:paraId="3FAD2658" w14:textId="77777777" w:rsidR="005B0036" w:rsidRPr="007E23ED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0A4C201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4.5</w:t>
      </w:r>
      <w:r w:rsidRPr="007E23ED">
        <w:rPr>
          <w:b/>
          <w:sz w:val="24"/>
          <w:szCs w:val="24"/>
        </w:rPr>
        <w:tab/>
        <w:t>Særlige forsigtighedsregler vedrørende brugen</w:t>
      </w:r>
    </w:p>
    <w:p w14:paraId="7BB3855D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1103B4B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Særlige forsigtighedsregler for dyret</w:t>
      </w:r>
    </w:p>
    <w:p w14:paraId="00E86EA4" w14:textId="77777777" w:rsidR="008C1542" w:rsidRPr="007E23ED" w:rsidRDefault="008C1542" w:rsidP="007E23ED">
      <w:pPr>
        <w:ind w:left="851"/>
        <w:rPr>
          <w:sz w:val="24"/>
          <w:szCs w:val="24"/>
          <w:lang w:val="nl-NL" w:eastAsia="en-GB"/>
        </w:rPr>
      </w:pPr>
      <w:bookmarkStart w:id="3" w:name="_Hlk68185657"/>
      <w:r w:rsidRPr="007E23ED">
        <w:rPr>
          <w:sz w:val="24"/>
          <w:szCs w:val="24"/>
          <w:lang w:bidi="da-DK"/>
        </w:rPr>
        <w:t xml:space="preserve">Hvis der er brug for mere end 10 mg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om dagen, skal dyrene overvåges omhyggeligt.</w:t>
      </w:r>
    </w:p>
    <w:p w14:paraId="6FE942D3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Da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kan være årsag til </w:t>
      </w:r>
      <w:proofErr w:type="spellStart"/>
      <w:r w:rsidRPr="007E23ED">
        <w:rPr>
          <w:sz w:val="24"/>
          <w:szCs w:val="24"/>
          <w:lang w:bidi="da-DK"/>
        </w:rPr>
        <w:t>hæmokoncentration</w:t>
      </w:r>
      <w:proofErr w:type="spellEnd"/>
      <w:r w:rsidRPr="007E23ED">
        <w:rPr>
          <w:sz w:val="24"/>
          <w:szCs w:val="24"/>
          <w:lang w:bidi="da-DK"/>
        </w:rPr>
        <w:t>, bør katte altid have adgang til drikkevand.</w:t>
      </w:r>
    </w:p>
    <w:p w14:paraId="62B580CC" w14:textId="77777777" w:rsidR="008C1542" w:rsidRPr="007E23ED" w:rsidRDefault="008C1542" w:rsidP="007E23ED">
      <w:pPr>
        <w:ind w:left="851"/>
        <w:rPr>
          <w:sz w:val="24"/>
          <w:szCs w:val="24"/>
          <w:lang w:val="nl-NL" w:eastAsia="en-GB"/>
        </w:rPr>
      </w:pPr>
      <w:r w:rsidRPr="007E23ED">
        <w:rPr>
          <w:sz w:val="24"/>
          <w:szCs w:val="24"/>
          <w:lang w:bidi="da-DK"/>
        </w:rPr>
        <w:t xml:space="preserve">Brug af produktet til katte med nyreinsufficiens bør baseres på en grundig vurdering af fordele/risici foretaget af dyrlægen. På grund af den effekt,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kan have på reducering af den </w:t>
      </w:r>
      <w:proofErr w:type="spellStart"/>
      <w:r w:rsidRPr="007E23ED">
        <w:rPr>
          <w:sz w:val="24"/>
          <w:szCs w:val="24"/>
          <w:lang w:bidi="da-DK"/>
        </w:rPr>
        <w:t>glomerulære</w:t>
      </w:r>
      <w:proofErr w:type="spellEnd"/>
      <w:r w:rsidRPr="007E23ED">
        <w:rPr>
          <w:sz w:val="24"/>
          <w:szCs w:val="24"/>
          <w:lang w:bidi="da-DK"/>
        </w:rPr>
        <w:t xml:space="preserve"> filtrationshastighed, er det vigtigt at nyrefunktionen overvåges nøje under behandlingen, da forværring af en underliggende nyrefunktion kan forekomme.</w:t>
      </w:r>
    </w:p>
    <w:p w14:paraId="681AEB59" w14:textId="77777777" w:rsidR="008C1542" w:rsidRPr="007E23ED" w:rsidRDefault="008C1542" w:rsidP="007E23ED">
      <w:pPr>
        <w:ind w:left="851"/>
        <w:rPr>
          <w:sz w:val="24"/>
          <w:szCs w:val="24"/>
          <w:lang w:val="nl-NL" w:eastAsia="en-GB"/>
        </w:rPr>
      </w:pPr>
      <w:r w:rsidRPr="007E23ED">
        <w:rPr>
          <w:sz w:val="24"/>
          <w:szCs w:val="24"/>
          <w:lang w:bidi="da-DK"/>
        </w:rPr>
        <w:t xml:space="preserve">Det er vigtigt at overvåge hæmatologien på grund af risiko for </w:t>
      </w:r>
      <w:proofErr w:type="spellStart"/>
      <w:r w:rsidRPr="007E23ED">
        <w:rPr>
          <w:sz w:val="24"/>
          <w:szCs w:val="24"/>
          <w:lang w:bidi="da-DK"/>
        </w:rPr>
        <w:t>leukopeni</w:t>
      </w:r>
      <w:proofErr w:type="spellEnd"/>
      <w:r w:rsidRPr="007E23ED">
        <w:rPr>
          <w:sz w:val="24"/>
          <w:szCs w:val="24"/>
          <w:lang w:bidi="da-DK"/>
        </w:rPr>
        <w:t xml:space="preserve"> eller </w:t>
      </w:r>
      <w:proofErr w:type="spellStart"/>
      <w:r w:rsidRPr="007E23ED">
        <w:rPr>
          <w:sz w:val="24"/>
          <w:szCs w:val="24"/>
          <w:lang w:bidi="da-DK"/>
        </w:rPr>
        <w:t>hæmolytisk</w:t>
      </w:r>
      <w:proofErr w:type="spellEnd"/>
      <w:r w:rsidRPr="007E23ED">
        <w:rPr>
          <w:sz w:val="24"/>
          <w:szCs w:val="24"/>
          <w:lang w:bidi="da-DK"/>
        </w:rPr>
        <w:t xml:space="preserve"> anæmi.</w:t>
      </w:r>
    </w:p>
    <w:p w14:paraId="6BC39BFB" w14:textId="77777777" w:rsidR="008C1542" w:rsidRPr="007E23ED" w:rsidRDefault="008C1542" w:rsidP="007E23ED">
      <w:pPr>
        <w:ind w:left="851"/>
        <w:rPr>
          <w:sz w:val="24"/>
          <w:szCs w:val="24"/>
          <w:lang w:val="nl-NL" w:eastAsia="en-GB"/>
        </w:rPr>
      </w:pPr>
      <w:r w:rsidRPr="007E23ED">
        <w:rPr>
          <w:sz w:val="24"/>
          <w:szCs w:val="24"/>
          <w:lang w:bidi="da-DK"/>
        </w:rPr>
        <w:t>Hvis det behandlede dyr får feber eller på anden måde bliver utilpas, bør der udtages en blodprøve til hæmatologisk og biokemisk undersøgelse.</w:t>
      </w:r>
    </w:p>
    <w:p w14:paraId="4A43E68B" w14:textId="77777777" w:rsidR="008C1542" w:rsidRPr="007E23ED" w:rsidRDefault="008C1542" w:rsidP="007E23ED">
      <w:pPr>
        <w:ind w:left="851"/>
        <w:rPr>
          <w:sz w:val="24"/>
          <w:szCs w:val="24"/>
          <w:lang w:val="nl-NL" w:eastAsia="en-GB"/>
        </w:rPr>
      </w:pPr>
      <w:proofErr w:type="spellStart"/>
      <w:r w:rsidRPr="007E23ED">
        <w:rPr>
          <w:sz w:val="24"/>
          <w:szCs w:val="24"/>
          <w:lang w:bidi="da-DK"/>
        </w:rPr>
        <w:t>Neutropene</w:t>
      </w:r>
      <w:proofErr w:type="spellEnd"/>
      <w:r w:rsidRPr="007E23ED">
        <w:rPr>
          <w:sz w:val="24"/>
          <w:szCs w:val="24"/>
          <w:lang w:bidi="da-DK"/>
        </w:rPr>
        <w:t xml:space="preserve"> dyr (</w:t>
      </w:r>
      <w:proofErr w:type="spellStart"/>
      <w:r w:rsidRPr="007E23ED">
        <w:rPr>
          <w:sz w:val="24"/>
          <w:szCs w:val="24"/>
          <w:lang w:bidi="da-DK"/>
        </w:rPr>
        <w:t>neutrofiltal</w:t>
      </w:r>
      <w:proofErr w:type="spellEnd"/>
      <w:r w:rsidRPr="007E23ED">
        <w:rPr>
          <w:sz w:val="24"/>
          <w:szCs w:val="24"/>
          <w:lang w:bidi="da-DK"/>
        </w:rPr>
        <w:t>&lt;2.5 x 10</w:t>
      </w:r>
      <w:r w:rsidRPr="007E23ED">
        <w:rPr>
          <w:sz w:val="24"/>
          <w:szCs w:val="24"/>
          <w:vertAlign w:val="superscript"/>
          <w:lang w:bidi="da-DK"/>
        </w:rPr>
        <w:t>9</w:t>
      </w:r>
      <w:r w:rsidRPr="007E23ED">
        <w:rPr>
          <w:sz w:val="24"/>
          <w:szCs w:val="24"/>
          <w:lang w:bidi="da-DK"/>
        </w:rPr>
        <w:t>/l) bør behandles med profylaktisk antibakteriel medicin og understøttende behandling, hvis dyrlægen finder dette nødvendigt i henhold til vurdering af fordele/risici.</w:t>
      </w:r>
    </w:p>
    <w:p w14:paraId="29F02DCD" w14:textId="77777777" w:rsidR="008C1542" w:rsidRPr="007E23ED" w:rsidRDefault="008C1542" w:rsidP="007E23ED">
      <w:pPr>
        <w:ind w:left="851"/>
        <w:rPr>
          <w:sz w:val="24"/>
          <w:szCs w:val="24"/>
          <w:lang w:val="nl-NL" w:eastAsia="en-GB"/>
        </w:rPr>
      </w:pPr>
      <w:r w:rsidRPr="007E23ED">
        <w:rPr>
          <w:sz w:val="24"/>
          <w:szCs w:val="24"/>
          <w:lang w:bidi="da-DK"/>
        </w:rPr>
        <w:t>Se pkt. 4.9 vedrørende overvågningsinstruktioner.</w:t>
      </w:r>
      <w:bookmarkEnd w:id="3"/>
    </w:p>
    <w:p w14:paraId="0C70CCB4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E69C305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Særlige forsigtighedsregler for personer, der administrerer lægemidlet</w:t>
      </w:r>
    </w:p>
    <w:p w14:paraId="5E8C13F5" w14:textId="77777777" w:rsidR="008C1542" w:rsidRPr="007E23ED" w:rsidRDefault="008C1542" w:rsidP="007E23ED">
      <w:pPr>
        <w:ind w:left="851"/>
        <w:rPr>
          <w:sz w:val="24"/>
          <w:szCs w:val="24"/>
        </w:rPr>
      </w:pPr>
      <w:bookmarkStart w:id="4" w:name="_Hlk76729651"/>
      <w:r w:rsidRPr="007E23ED">
        <w:rPr>
          <w:sz w:val="24"/>
          <w:szCs w:val="24"/>
          <w:lang w:bidi="da-DK"/>
        </w:rPr>
        <w:t xml:space="preserve">Personer med kendt overfølsomhed (allergi) over for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eller et af hjælpestofferne bør undgå kontakt med veterinærlægemidlet. Hvis der opstår allergiske symptomer, såsom hududslæt, hævelse i ansigt, læber eller øjne eller der opstår åndedrætsbesvær, skal der straks opsøges lægehjælp og indlægssedlen eller etiketten skal vises til lægen.</w:t>
      </w:r>
    </w:p>
    <w:p w14:paraId="3EE6803C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kern w:val="14"/>
          <w:sz w:val="24"/>
          <w:szCs w:val="24"/>
          <w:lang w:bidi="da-DK"/>
        </w:rPr>
        <w:t xml:space="preserve">Dette produkt kan forårsage hud- og/eller øjenirritation. </w:t>
      </w:r>
      <w:r w:rsidRPr="007E23ED">
        <w:rPr>
          <w:sz w:val="24"/>
          <w:szCs w:val="24"/>
          <w:lang w:bidi="da-DK"/>
        </w:rPr>
        <w:t>Undgå hud- og øjenkontakt, dette inkluderer hånd-til-</w:t>
      </w:r>
      <w:proofErr w:type="spellStart"/>
      <w:r w:rsidRPr="007E23ED">
        <w:rPr>
          <w:sz w:val="24"/>
          <w:szCs w:val="24"/>
          <w:lang w:bidi="da-DK"/>
        </w:rPr>
        <w:t>øjen</w:t>
      </w:r>
      <w:proofErr w:type="spellEnd"/>
      <w:r w:rsidRPr="007E23ED">
        <w:rPr>
          <w:sz w:val="24"/>
          <w:szCs w:val="24"/>
          <w:lang w:bidi="da-DK"/>
        </w:rPr>
        <w:t>-kontakt.</w:t>
      </w:r>
    </w:p>
    <w:p w14:paraId="2BD25CA8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Hvis der er tale om utilsigtet hud- og/eller øjenkontakt, skyl da straks huden og/eller øjnene med rent rindende vand. Hvis der opstår irritation, skal der straks opsøges læge.</w:t>
      </w:r>
    </w:p>
    <w:p w14:paraId="40397139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Vask hænder med sæbe og vand efter brug af produktet og efter håndtering af opkast eller afføring fra behandlede dyr.</w:t>
      </w:r>
    </w:p>
    <w:p w14:paraId="76B96987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kan forårsage </w:t>
      </w:r>
      <w:proofErr w:type="spellStart"/>
      <w:r w:rsidRPr="007E23ED">
        <w:rPr>
          <w:sz w:val="24"/>
          <w:szCs w:val="24"/>
          <w:lang w:bidi="da-DK"/>
        </w:rPr>
        <w:t>gastrointestinale</w:t>
      </w:r>
      <w:proofErr w:type="spellEnd"/>
      <w:r w:rsidRPr="007E23ED">
        <w:rPr>
          <w:sz w:val="24"/>
          <w:szCs w:val="24"/>
          <w:lang w:bidi="da-DK"/>
        </w:rPr>
        <w:t xml:space="preserve"> forstyrrelser, hovedpine, feber, ledsmerter, </w:t>
      </w:r>
      <w:proofErr w:type="spellStart"/>
      <w:r w:rsidRPr="007E23ED">
        <w:rPr>
          <w:sz w:val="24"/>
          <w:szCs w:val="24"/>
          <w:lang w:bidi="da-DK"/>
        </w:rPr>
        <w:t>pruritus</w:t>
      </w:r>
      <w:proofErr w:type="spellEnd"/>
      <w:r w:rsidRPr="007E23ED">
        <w:rPr>
          <w:sz w:val="24"/>
          <w:szCs w:val="24"/>
          <w:lang w:bidi="da-DK"/>
        </w:rPr>
        <w:t xml:space="preserve"> (kløe) og </w:t>
      </w:r>
      <w:proofErr w:type="spellStart"/>
      <w:r w:rsidRPr="007E23ED">
        <w:rPr>
          <w:sz w:val="24"/>
          <w:szCs w:val="24"/>
          <w:lang w:bidi="da-DK"/>
        </w:rPr>
        <w:t>pancytopeni</w:t>
      </w:r>
      <w:proofErr w:type="spellEnd"/>
      <w:r w:rsidRPr="007E23ED">
        <w:rPr>
          <w:sz w:val="24"/>
          <w:szCs w:val="24"/>
          <w:lang w:bidi="da-DK"/>
        </w:rPr>
        <w:t xml:space="preserve"> (fald i blodceller og blodplader).</w:t>
      </w:r>
    </w:p>
    <w:p w14:paraId="4212475F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Undgå oral eksponering, herunder hånd-til-mund-kontakt.</w:t>
      </w:r>
    </w:p>
    <w:p w14:paraId="5248CD92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Under håndtering af produktet eller affald herfra, må der ikke spises, drikkes eller ryges.</w:t>
      </w:r>
    </w:p>
    <w:p w14:paraId="4E032D82" w14:textId="77777777" w:rsidR="008C1542" w:rsidRPr="007E23ED" w:rsidRDefault="008C1542" w:rsidP="007E23ED">
      <w:pPr>
        <w:ind w:left="851"/>
        <w:rPr>
          <w:sz w:val="24"/>
          <w:szCs w:val="24"/>
          <w:lang w:bidi="da-DK"/>
        </w:rPr>
      </w:pPr>
      <w:r w:rsidRPr="007E23ED">
        <w:rPr>
          <w:sz w:val="24"/>
          <w:szCs w:val="24"/>
          <w:lang w:bidi="da-DK"/>
        </w:rPr>
        <w:t>I tilfælde af indgift, ved hændeligt uheld, skal der straks søges lægehjælp, og indlægssedlen eller etiketten bør vises til lægen.</w:t>
      </w:r>
    </w:p>
    <w:p w14:paraId="6AF5BB67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</w:p>
    <w:p w14:paraId="70233CD3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Efterlad ikke fyldte sprøjter uden opsyn.</w:t>
      </w:r>
    </w:p>
    <w:p w14:paraId="12E165C3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Efter brug af produktet skal produktrester, der er tilbage på spidsen af doseringssprøjten, tørres af med rent papir, som straks efter bortskaffes.</w:t>
      </w:r>
    </w:p>
    <w:p w14:paraId="6C09AE19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Den brugte sprøjte skal opbevares sammen med produktet i den originale karton.</w:t>
      </w:r>
    </w:p>
    <w:p w14:paraId="4A68E121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Da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formodes at være </w:t>
      </w:r>
      <w:proofErr w:type="spellStart"/>
      <w:r w:rsidRPr="007E23ED">
        <w:rPr>
          <w:sz w:val="24"/>
          <w:szCs w:val="24"/>
          <w:lang w:bidi="da-DK"/>
        </w:rPr>
        <w:t>teratogent</w:t>
      </w:r>
      <w:proofErr w:type="spellEnd"/>
      <w:r w:rsidRPr="007E23ED">
        <w:rPr>
          <w:sz w:val="24"/>
          <w:szCs w:val="24"/>
          <w:lang w:bidi="da-DK"/>
        </w:rPr>
        <w:t xml:space="preserve"> for mennesker, skal kvinder i den fødedygtige alder arbejde med ikke-gennemtrængelige engangshandsker, når de administrerer produktet eller håndterer afføring/opkast fra behandlede katte.</w:t>
      </w:r>
    </w:p>
    <w:p w14:paraId="34918622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Hvis du er gravid, tror du måske er gravid eller forsøger at blive gravid, bør du ikke bruge produktet eller håndtere afføring/opkast fra behandlede katte.</w:t>
      </w:r>
      <w:bookmarkEnd w:id="4"/>
    </w:p>
    <w:p w14:paraId="2A5CE5B5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8E5281F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Andre forsigtighedsregler</w:t>
      </w:r>
    </w:p>
    <w:p w14:paraId="1A40FF29" w14:textId="46629B43" w:rsidR="005B0036" w:rsidRPr="007E23ED" w:rsidRDefault="008C154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E23ED">
        <w:rPr>
          <w:sz w:val="24"/>
          <w:szCs w:val="24"/>
        </w:rPr>
        <w:t>-</w:t>
      </w:r>
    </w:p>
    <w:p w14:paraId="4A898FD3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A5F79E1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4.6</w:t>
      </w:r>
      <w:r w:rsidRPr="007E23ED">
        <w:rPr>
          <w:b/>
          <w:sz w:val="24"/>
          <w:szCs w:val="24"/>
        </w:rPr>
        <w:tab/>
        <w:t>Bivirkninger</w:t>
      </w:r>
    </w:p>
    <w:p w14:paraId="2F566F17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bookmarkStart w:id="5" w:name="_Hlk68185681"/>
      <w:r w:rsidRPr="007E23ED">
        <w:rPr>
          <w:sz w:val="24"/>
          <w:szCs w:val="24"/>
          <w:lang w:bidi="da-DK"/>
        </w:rPr>
        <w:t xml:space="preserve">Bivirkninger er blevet rapporteret efter langvarig kontrol af </w:t>
      </w:r>
      <w:proofErr w:type="spellStart"/>
      <w:r w:rsidRPr="007E23ED">
        <w:rPr>
          <w:sz w:val="24"/>
          <w:szCs w:val="24"/>
          <w:lang w:bidi="da-DK"/>
        </w:rPr>
        <w:t>hyperthyroidisme</w:t>
      </w:r>
      <w:proofErr w:type="spellEnd"/>
      <w:r w:rsidRPr="007E23ED">
        <w:rPr>
          <w:sz w:val="24"/>
          <w:szCs w:val="24"/>
          <w:lang w:bidi="da-DK"/>
        </w:rPr>
        <w:t>. I mange tilfælde kan tegnene være milde og forbigående og det er ikke nødvendigt at stoppe behandlingen. De alvorlige bivirkninger går for det meste over, når medicineringen stoppes.</w:t>
      </w:r>
    </w:p>
    <w:p w14:paraId="21F08472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Bivirkninger er sjældne. De mest almindelige kliniske bivirkninger, der er rapporteret, er opkastning, manglende appetit/anoreksi, vægttab, sløvhed, kraftig kløe og </w:t>
      </w:r>
      <w:proofErr w:type="spellStart"/>
      <w:r w:rsidRPr="007E23ED">
        <w:rPr>
          <w:sz w:val="24"/>
          <w:szCs w:val="24"/>
          <w:lang w:bidi="da-DK"/>
        </w:rPr>
        <w:t>ekskoriationer</w:t>
      </w:r>
      <w:proofErr w:type="spellEnd"/>
      <w:r w:rsidRPr="007E23ED">
        <w:rPr>
          <w:sz w:val="24"/>
          <w:szCs w:val="24"/>
          <w:lang w:bidi="da-DK"/>
        </w:rPr>
        <w:t xml:space="preserve"> i hoved og nakke, blødende diatese og </w:t>
      </w:r>
      <w:proofErr w:type="spellStart"/>
      <w:r w:rsidRPr="007E23ED">
        <w:rPr>
          <w:sz w:val="24"/>
          <w:szCs w:val="24"/>
          <w:lang w:bidi="da-DK"/>
        </w:rPr>
        <w:t>ikterus</w:t>
      </w:r>
      <w:proofErr w:type="spellEnd"/>
      <w:r w:rsidRPr="007E23ED">
        <w:rPr>
          <w:sz w:val="24"/>
          <w:szCs w:val="24"/>
          <w:lang w:bidi="da-DK"/>
        </w:rPr>
        <w:t xml:space="preserve"> forbundet med </w:t>
      </w:r>
      <w:proofErr w:type="spellStart"/>
      <w:r w:rsidRPr="007E23ED">
        <w:rPr>
          <w:sz w:val="24"/>
          <w:szCs w:val="24"/>
          <w:lang w:bidi="da-DK"/>
        </w:rPr>
        <w:t>hepatopati</w:t>
      </w:r>
      <w:proofErr w:type="spellEnd"/>
      <w:r w:rsidRPr="007E23ED">
        <w:rPr>
          <w:sz w:val="24"/>
          <w:szCs w:val="24"/>
          <w:lang w:bidi="da-DK"/>
        </w:rPr>
        <w:t xml:space="preserve"> og hæmatologiske abnormiteter (</w:t>
      </w:r>
      <w:proofErr w:type="spellStart"/>
      <w:r w:rsidRPr="007E23ED">
        <w:rPr>
          <w:sz w:val="24"/>
          <w:szCs w:val="24"/>
          <w:lang w:bidi="da-DK"/>
        </w:rPr>
        <w:t>eosinofili</w:t>
      </w:r>
      <w:proofErr w:type="spellEnd"/>
      <w:r w:rsidRPr="007E23ED">
        <w:rPr>
          <w:sz w:val="24"/>
          <w:szCs w:val="24"/>
          <w:lang w:bidi="da-DK"/>
        </w:rPr>
        <w:t xml:space="preserve">, lymfocytose, </w:t>
      </w:r>
      <w:proofErr w:type="spellStart"/>
      <w:r w:rsidRPr="007E23ED">
        <w:rPr>
          <w:sz w:val="24"/>
          <w:szCs w:val="24"/>
          <w:lang w:bidi="da-DK"/>
        </w:rPr>
        <w:t>neutropeni</w:t>
      </w:r>
      <w:proofErr w:type="spellEnd"/>
      <w:r w:rsidRPr="007E23ED">
        <w:rPr>
          <w:sz w:val="24"/>
          <w:szCs w:val="24"/>
          <w:lang w:bidi="da-DK"/>
        </w:rPr>
        <w:t xml:space="preserve">, </w:t>
      </w:r>
      <w:proofErr w:type="spellStart"/>
      <w:r w:rsidRPr="007E23ED">
        <w:rPr>
          <w:sz w:val="24"/>
          <w:szCs w:val="24"/>
          <w:lang w:bidi="da-DK"/>
        </w:rPr>
        <w:t>neutropeni</w:t>
      </w:r>
      <w:proofErr w:type="spellEnd"/>
      <w:r w:rsidRPr="007E23ED">
        <w:rPr>
          <w:sz w:val="24"/>
          <w:szCs w:val="24"/>
          <w:lang w:bidi="da-DK"/>
        </w:rPr>
        <w:t xml:space="preserve">, </w:t>
      </w:r>
      <w:proofErr w:type="spellStart"/>
      <w:r w:rsidRPr="007E23ED">
        <w:rPr>
          <w:sz w:val="24"/>
          <w:szCs w:val="24"/>
          <w:lang w:bidi="da-DK"/>
        </w:rPr>
        <w:t>lymfopeni</w:t>
      </w:r>
      <w:proofErr w:type="spellEnd"/>
      <w:r w:rsidRPr="007E23ED">
        <w:rPr>
          <w:sz w:val="24"/>
          <w:szCs w:val="24"/>
          <w:lang w:bidi="da-DK"/>
        </w:rPr>
        <w:t xml:space="preserve">, let </w:t>
      </w:r>
      <w:proofErr w:type="spellStart"/>
      <w:r w:rsidRPr="007E23ED">
        <w:rPr>
          <w:sz w:val="24"/>
          <w:szCs w:val="24"/>
          <w:lang w:bidi="da-DK"/>
        </w:rPr>
        <w:t>leukopeni</w:t>
      </w:r>
      <w:proofErr w:type="spellEnd"/>
      <w:r w:rsidRPr="007E23ED">
        <w:rPr>
          <w:sz w:val="24"/>
          <w:szCs w:val="24"/>
          <w:lang w:bidi="da-DK"/>
        </w:rPr>
        <w:t xml:space="preserve">, </w:t>
      </w:r>
      <w:proofErr w:type="spellStart"/>
      <w:r w:rsidRPr="007E23ED">
        <w:rPr>
          <w:sz w:val="24"/>
          <w:szCs w:val="24"/>
          <w:lang w:bidi="da-DK"/>
        </w:rPr>
        <w:t>agranulocytose</w:t>
      </w:r>
      <w:proofErr w:type="spellEnd"/>
      <w:r w:rsidRPr="007E23ED">
        <w:rPr>
          <w:sz w:val="24"/>
          <w:szCs w:val="24"/>
          <w:lang w:bidi="da-DK"/>
        </w:rPr>
        <w:t xml:space="preserve">, </w:t>
      </w:r>
      <w:proofErr w:type="spellStart"/>
      <w:r w:rsidRPr="007E23ED">
        <w:rPr>
          <w:sz w:val="24"/>
          <w:szCs w:val="24"/>
          <w:lang w:bidi="da-DK"/>
        </w:rPr>
        <w:t>trombocytopeni</w:t>
      </w:r>
      <w:proofErr w:type="spellEnd"/>
      <w:r w:rsidRPr="007E23ED">
        <w:rPr>
          <w:sz w:val="24"/>
          <w:szCs w:val="24"/>
          <w:lang w:bidi="da-DK"/>
        </w:rPr>
        <w:t xml:space="preserve"> eller </w:t>
      </w:r>
      <w:proofErr w:type="spellStart"/>
      <w:r w:rsidRPr="007E23ED">
        <w:rPr>
          <w:sz w:val="24"/>
          <w:szCs w:val="24"/>
          <w:lang w:bidi="da-DK"/>
        </w:rPr>
        <w:t>hæmolytisk</w:t>
      </w:r>
      <w:proofErr w:type="spellEnd"/>
      <w:r w:rsidRPr="007E23ED">
        <w:rPr>
          <w:sz w:val="24"/>
          <w:szCs w:val="24"/>
          <w:lang w:bidi="da-DK"/>
        </w:rPr>
        <w:t xml:space="preserve"> anæmi). Normalt vil disse bivirkninger forsvinde inden for 7-45 dage efter ophør med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>-behandlingen.</w:t>
      </w:r>
    </w:p>
    <w:p w14:paraId="2315E102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Mulige immunologiske bivirkninger omfatter anæmi, med sjældne bivirkninger, herunder </w:t>
      </w:r>
      <w:proofErr w:type="spellStart"/>
      <w:r w:rsidRPr="007E23ED">
        <w:rPr>
          <w:sz w:val="24"/>
          <w:szCs w:val="24"/>
          <w:lang w:bidi="da-DK"/>
        </w:rPr>
        <w:t>trombocytopeni</w:t>
      </w:r>
      <w:proofErr w:type="spellEnd"/>
      <w:r w:rsidRPr="007E23ED">
        <w:rPr>
          <w:sz w:val="24"/>
          <w:szCs w:val="24"/>
          <w:lang w:bidi="da-DK"/>
        </w:rPr>
        <w:t xml:space="preserve"> og serum </w:t>
      </w:r>
      <w:proofErr w:type="spellStart"/>
      <w:r w:rsidRPr="007E23ED">
        <w:rPr>
          <w:sz w:val="24"/>
          <w:szCs w:val="24"/>
          <w:lang w:bidi="da-DK"/>
        </w:rPr>
        <w:t>antinukleære</w:t>
      </w:r>
      <w:proofErr w:type="spellEnd"/>
      <w:r w:rsidRPr="007E23ED">
        <w:rPr>
          <w:sz w:val="24"/>
          <w:szCs w:val="24"/>
          <w:lang w:bidi="da-DK"/>
        </w:rPr>
        <w:t xml:space="preserve"> antistoffer og meget sjældent </w:t>
      </w:r>
      <w:proofErr w:type="spellStart"/>
      <w:r w:rsidRPr="007E23ED">
        <w:rPr>
          <w:sz w:val="24"/>
          <w:szCs w:val="24"/>
          <w:lang w:bidi="da-DK"/>
        </w:rPr>
        <w:t>lymfadenopati</w:t>
      </w:r>
      <w:proofErr w:type="spellEnd"/>
      <w:r w:rsidRPr="007E23ED">
        <w:rPr>
          <w:sz w:val="24"/>
          <w:szCs w:val="24"/>
          <w:lang w:bidi="da-DK"/>
        </w:rPr>
        <w:t>. Behandlingen bør straks indstilles, og en alternativ behandling bør overvejes efter en passende rekonvalescensperiode.</w:t>
      </w:r>
    </w:p>
    <w:p w14:paraId="1965CA2B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Efter langtidsbehandling med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hos gnavere er der påvist en øget risiko for </w:t>
      </w:r>
      <w:proofErr w:type="spellStart"/>
      <w:r w:rsidRPr="007E23ED">
        <w:rPr>
          <w:sz w:val="24"/>
          <w:szCs w:val="24"/>
          <w:lang w:bidi="da-DK"/>
        </w:rPr>
        <w:t>neoplasi</w:t>
      </w:r>
      <w:proofErr w:type="spellEnd"/>
      <w:r w:rsidRPr="007E23ED">
        <w:rPr>
          <w:sz w:val="24"/>
          <w:szCs w:val="24"/>
          <w:lang w:bidi="da-DK"/>
        </w:rPr>
        <w:t xml:space="preserve"> i skjoldbruskkirtlen, men dette er ikke påvist i katte.</w:t>
      </w:r>
    </w:p>
    <w:p w14:paraId="71098F30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</w:p>
    <w:p w14:paraId="16C70DCA" w14:textId="77777777" w:rsidR="008C1542" w:rsidRPr="007E23ED" w:rsidRDefault="008C1542" w:rsidP="007E23ED">
      <w:pPr>
        <w:ind w:left="851"/>
        <w:rPr>
          <w:sz w:val="24"/>
          <w:szCs w:val="24"/>
          <w:lang w:bidi="da-DK"/>
        </w:rPr>
      </w:pPr>
      <w:r w:rsidRPr="007E23ED">
        <w:rPr>
          <w:sz w:val="24"/>
          <w:szCs w:val="24"/>
          <w:lang w:bidi="da-DK"/>
        </w:rPr>
        <w:t>Hyppigheden af bivirkninger er defineret som:</w:t>
      </w:r>
    </w:p>
    <w:p w14:paraId="6D68C0D7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</w:p>
    <w:bookmarkEnd w:id="5"/>
    <w:p w14:paraId="66BAFCBA" w14:textId="472E88EE" w:rsidR="008C1542" w:rsidRPr="00860C95" w:rsidRDefault="008C1542" w:rsidP="00860C9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bidi="da-DK"/>
        </w:rPr>
      </w:pPr>
      <w:r w:rsidRPr="00860C95">
        <w:rPr>
          <w:sz w:val="24"/>
          <w:szCs w:val="24"/>
          <w:lang w:bidi="da-DK"/>
        </w:rPr>
        <w:t>Meget almindelig (flere end 1 ud af 10 behandlede dyr, der viser bivirkninger i løbet af en behandling)</w:t>
      </w:r>
    </w:p>
    <w:p w14:paraId="2E7E58E4" w14:textId="13790D57" w:rsidR="008C1542" w:rsidRPr="00860C95" w:rsidRDefault="008C1542" w:rsidP="00860C9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bidi="da-DK"/>
        </w:rPr>
      </w:pPr>
      <w:r w:rsidRPr="00860C95">
        <w:rPr>
          <w:sz w:val="24"/>
          <w:szCs w:val="24"/>
          <w:lang w:bidi="da-DK"/>
        </w:rPr>
        <w:t>Almindelige (flere end 1, men færre end 10 dyr af 100 behandlede dyr)</w:t>
      </w:r>
    </w:p>
    <w:p w14:paraId="4024FD31" w14:textId="0825EBE1" w:rsidR="008C1542" w:rsidRPr="00860C95" w:rsidRDefault="008C1542" w:rsidP="00860C9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bidi="da-DK"/>
        </w:rPr>
      </w:pPr>
      <w:r w:rsidRPr="00860C95">
        <w:rPr>
          <w:sz w:val="24"/>
          <w:szCs w:val="24"/>
          <w:lang w:bidi="da-DK"/>
        </w:rPr>
        <w:t>Ikke almindelige (flere end 1, men færre end 10 dyr af 1.000 behandlede dyr)</w:t>
      </w:r>
    </w:p>
    <w:p w14:paraId="66121CE3" w14:textId="007A597F" w:rsidR="008C1542" w:rsidRPr="00860C95" w:rsidRDefault="008C1542" w:rsidP="00860C9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bidi="da-DK"/>
        </w:rPr>
      </w:pPr>
      <w:r w:rsidRPr="00860C95">
        <w:rPr>
          <w:sz w:val="24"/>
          <w:szCs w:val="24"/>
          <w:lang w:bidi="da-DK"/>
        </w:rPr>
        <w:t>Sjældne (flere end 1, men færre end 10 dyr ud af 10.000 behandlede dyr)</w:t>
      </w:r>
    </w:p>
    <w:p w14:paraId="5FEB135E" w14:textId="26917385" w:rsidR="008C1542" w:rsidRPr="00860C95" w:rsidRDefault="008C1542" w:rsidP="00860C9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bidi="da-DK"/>
        </w:rPr>
      </w:pPr>
      <w:r w:rsidRPr="00860C95">
        <w:rPr>
          <w:sz w:val="24"/>
          <w:szCs w:val="24"/>
          <w:lang w:bidi="da-DK"/>
        </w:rPr>
        <w:t>Meget sjælden (færre end 1 dyr ud af 10.000 behandlede dyr, herunder isolerede rapporter)</w:t>
      </w:r>
    </w:p>
    <w:p w14:paraId="5AED63CF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01AEBFE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4.7</w:t>
      </w:r>
      <w:r w:rsidRPr="007E23ED">
        <w:rPr>
          <w:b/>
          <w:sz w:val="24"/>
          <w:szCs w:val="24"/>
        </w:rPr>
        <w:tab/>
        <w:t>Drægtighed, diegivning eller æglægning</w:t>
      </w:r>
    </w:p>
    <w:p w14:paraId="0DF9F917" w14:textId="77777777" w:rsidR="008C1542" w:rsidRPr="007E23ED" w:rsidRDefault="008C1542" w:rsidP="007E23ED">
      <w:pPr>
        <w:ind w:left="851"/>
        <w:rPr>
          <w:sz w:val="24"/>
          <w:szCs w:val="24"/>
        </w:rPr>
      </w:pPr>
      <w:r w:rsidRPr="007E23ED">
        <w:rPr>
          <w:sz w:val="24"/>
          <w:szCs w:val="24"/>
          <w:lang w:bidi="da-DK"/>
        </w:rPr>
        <w:t>Må ikke anvendes under drægtighed eller laktation.</w:t>
      </w:r>
    </w:p>
    <w:p w14:paraId="49D59D87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Laboratorieundersøgelser på rotter og mus har vist tegn på </w:t>
      </w:r>
      <w:proofErr w:type="spellStart"/>
      <w:r w:rsidRPr="007E23ED">
        <w:rPr>
          <w:sz w:val="24"/>
          <w:szCs w:val="24"/>
          <w:lang w:bidi="da-DK"/>
        </w:rPr>
        <w:t>teratogene</w:t>
      </w:r>
      <w:proofErr w:type="spellEnd"/>
      <w:r w:rsidRPr="007E23ED">
        <w:rPr>
          <w:sz w:val="24"/>
          <w:szCs w:val="24"/>
          <w:lang w:bidi="da-DK"/>
        </w:rPr>
        <w:t xml:space="preserve"> og embryotoksiske effekter af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>. Sikkerheden af produktet er ikke blevet undersøgt hos drægtige eller diegivende hunkatte.</w:t>
      </w:r>
    </w:p>
    <w:p w14:paraId="34F92EB1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6810534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4.8</w:t>
      </w:r>
      <w:r w:rsidRPr="007E23ED">
        <w:rPr>
          <w:b/>
          <w:sz w:val="24"/>
          <w:szCs w:val="24"/>
        </w:rPr>
        <w:tab/>
        <w:t>Interaktion med andre lægemidler og andre former for interaktion</w:t>
      </w:r>
    </w:p>
    <w:p w14:paraId="1BE87F6C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En samtidig behandling med </w:t>
      </w:r>
      <w:proofErr w:type="spellStart"/>
      <w:r w:rsidRPr="007E23ED">
        <w:rPr>
          <w:sz w:val="24"/>
          <w:szCs w:val="24"/>
          <w:lang w:bidi="da-DK"/>
        </w:rPr>
        <w:t>phenobarbital</w:t>
      </w:r>
      <w:proofErr w:type="spellEnd"/>
      <w:r w:rsidRPr="007E23ED">
        <w:rPr>
          <w:sz w:val="24"/>
          <w:szCs w:val="24"/>
          <w:lang w:bidi="da-DK"/>
        </w:rPr>
        <w:t xml:space="preserve"> kan reducere den kliniske effekt af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>.</w:t>
      </w:r>
    </w:p>
    <w:p w14:paraId="416D228F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er kendt for at kunne reducere den </w:t>
      </w:r>
      <w:proofErr w:type="spellStart"/>
      <w:r w:rsidRPr="007E23ED">
        <w:rPr>
          <w:sz w:val="24"/>
          <w:szCs w:val="24"/>
          <w:lang w:bidi="da-DK"/>
        </w:rPr>
        <w:t>hepatiske</w:t>
      </w:r>
      <w:proofErr w:type="spellEnd"/>
      <w:r w:rsidRPr="007E23ED">
        <w:rPr>
          <w:sz w:val="24"/>
          <w:szCs w:val="24"/>
          <w:lang w:bidi="da-DK"/>
        </w:rPr>
        <w:t xml:space="preserve"> oxidation af ormemidler indeholdende </w:t>
      </w:r>
      <w:proofErr w:type="spellStart"/>
      <w:r w:rsidRPr="007E23ED">
        <w:rPr>
          <w:sz w:val="24"/>
          <w:szCs w:val="24"/>
          <w:lang w:bidi="da-DK"/>
        </w:rPr>
        <w:t>benzimidazol</w:t>
      </w:r>
      <w:proofErr w:type="spellEnd"/>
      <w:r w:rsidRPr="007E23ED">
        <w:rPr>
          <w:sz w:val="24"/>
          <w:szCs w:val="24"/>
          <w:lang w:bidi="da-DK"/>
        </w:rPr>
        <w:t xml:space="preserve">, når de er givet samtidigt. Dette kan medføre stigninger i plasmakoncentrationer af </w:t>
      </w:r>
      <w:proofErr w:type="spellStart"/>
      <w:r w:rsidRPr="007E23ED">
        <w:rPr>
          <w:sz w:val="24"/>
          <w:szCs w:val="24"/>
          <w:lang w:bidi="da-DK"/>
        </w:rPr>
        <w:t>benzimidazol</w:t>
      </w:r>
      <w:proofErr w:type="spellEnd"/>
      <w:r w:rsidRPr="007E23ED">
        <w:rPr>
          <w:sz w:val="24"/>
          <w:szCs w:val="24"/>
          <w:lang w:bidi="da-DK"/>
        </w:rPr>
        <w:t>.</w:t>
      </w:r>
    </w:p>
    <w:p w14:paraId="12D39700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er immunmodulerende, derfor er dette vigtig information, når vaccinationsprogrammer overvejes.</w:t>
      </w:r>
    </w:p>
    <w:p w14:paraId="6D3A07D9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64BFC7A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4.9</w:t>
      </w:r>
      <w:r w:rsidRPr="007E23ED">
        <w:rPr>
          <w:b/>
          <w:sz w:val="24"/>
          <w:szCs w:val="24"/>
        </w:rPr>
        <w:tab/>
        <w:t>Dosering og indgivelsesmåde</w:t>
      </w:r>
    </w:p>
    <w:p w14:paraId="53CBE748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bookmarkStart w:id="6" w:name="_Hlk68100267"/>
      <w:r w:rsidRPr="007E23ED">
        <w:rPr>
          <w:sz w:val="24"/>
          <w:szCs w:val="24"/>
          <w:lang w:bidi="da-DK"/>
        </w:rPr>
        <w:t>Til oral anvendelse.</w:t>
      </w:r>
    </w:p>
    <w:p w14:paraId="507489E6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</w:p>
    <w:p w14:paraId="21DB271B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bookmarkStart w:id="7" w:name="_Hlk73696686"/>
      <w:r w:rsidRPr="007E23ED">
        <w:rPr>
          <w:sz w:val="24"/>
          <w:szCs w:val="24"/>
          <w:lang w:bidi="da-DK"/>
        </w:rPr>
        <w:t xml:space="preserve">For en stabilisering af </w:t>
      </w:r>
      <w:proofErr w:type="spellStart"/>
      <w:r w:rsidRPr="007E23ED">
        <w:rPr>
          <w:sz w:val="24"/>
          <w:szCs w:val="24"/>
          <w:lang w:bidi="da-DK"/>
        </w:rPr>
        <w:t>felin</w:t>
      </w:r>
      <w:proofErr w:type="spellEnd"/>
      <w:r w:rsidRPr="007E23ED">
        <w:rPr>
          <w:sz w:val="24"/>
          <w:szCs w:val="24"/>
          <w:lang w:bidi="da-DK"/>
        </w:rPr>
        <w:t xml:space="preserve"> </w:t>
      </w:r>
      <w:proofErr w:type="spellStart"/>
      <w:r w:rsidRPr="007E23ED">
        <w:rPr>
          <w:sz w:val="24"/>
          <w:szCs w:val="24"/>
          <w:lang w:bidi="da-DK"/>
        </w:rPr>
        <w:t>hyperthyroidisme</w:t>
      </w:r>
      <w:proofErr w:type="spellEnd"/>
      <w:r w:rsidRPr="007E23ED">
        <w:rPr>
          <w:sz w:val="24"/>
          <w:szCs w:val="24"/>
          <w:lang w:bidi="da-DK"/>
        </w:rPr>
        <w:t xml:space="preserve"> forud for kirurgisk </w:t>
      </w:r>
      <w:proofErr w:type="spellStart"/>
      <w:r w:rsidRPr="007E23ED">
        <w:rPr>
          <w:sz w:val="24"/>
          <w:szCs w:val="24"/>
          <w:lang w:bidi="da-DK"/>
        </w:rPr>
        <w:t>thyreoidektomi</w:t>
      </w:r>
      <w:proofErr w:type="spellEnd"/>
      <w:r w:rsidRPr="007E23ED">
        <w:rPr>
          <w:sz w:val="24"/>
          <w:szCs w:val="24"/>
          <w:lang w:bidi="da-DK"/>
        </w:rPr>
        <w:t xml:space="preserve"> og til langtidsbehandling af </w:t>
      </w:r>
      <w:proofErr w:type="spellStart"/>
      <w:r w:rsidRPr="007E23ED">
        <w:rPr>
          <w:sz w:val="24"/>
          <w:szCs w:val="24"/>
          <w:lang w:bidi="da-DK"/>
        </w:rPr>
        <w:t>felin</w:t>
      </w:r>
      <w:proofErr w:type="spellEnd"/>
      <w:r w:rsidRPr="007E23ED">
        <w:rPr>
          <w:sz w:val="24"/>
          <w:szCs w:val="24"/>
          <w:lang w:bidi="da-DK"/>
        </w:rPr>
        <w:t xml:space="preserve"> </w:t>
      </w:r>
      <w:proofErr w:type="spellStart"/>
      <w:r w:rsidRPr="007E23ED">
        <w:rPr>
          <w:sz w:val="24"/>
          <w:szCs w:val="24"/>
          <w:lang w:bidi="da-DK"/>
        </w:rPr>
        <w:t>hyperthyroidisme</w:t>
      </w:r>
      <w:proofErr w:type="spellEnd"/>
      <w:r w:rsidRPr="007E23ED">
        <w:rPr>
          <w:sz w:val="24"/>
          <w:szCs w:val="24"/>
          <w:lang w:bidi="da-DK"/>
        </w:rPr>
        <w:t xml:space="preserve"> er den anbefalede startdosis 5 mg (= 1 ml af produktet) pr. dag.</w:t>
      </w:r>
    </w:p>
    <w:bookmarkEnd w:id="7"/>
    <w:p w14:paraId="6F77F585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Hvis det er muligt, anbefales den samlede daglige dosis at deles i to og gives morgen og aften.</w:t>
      </w:r>
    </w:p>
    <w:p w14:paraId="6812F0CA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kern w:val="14"/>
          <w:sz w:val="24"/>
          <w:szCs w:val="24"/>
          <w:lang w:bidi="da-DK"/>
        </w:rPr>
        <w:t>Dosis skal indgives direkte i munden ved brug af sprøjten.</w:t>
      </w:r>
    </w:p>
    <w:p w14:paraId="39AC70CA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Hvis dosering én gang dagligt er at foretrække af hensyn til compliance, er dette acceptabelt. En dosis på 2,5 mg (= 0,5 ml af produktet) givet to gange dagligt er mere effektiv på kort sigt.</w:t>
      </w:r>
    </w:p>
    <w:p w14:paraId="276FD571" w14:textId="77777777" w:rsidR="008C1542" w:rsidRPr="007E23ED" w:rsidRDefault="008C1542" w:rsidP="007E23ED">
      <w:pPr>
        <w:ind w:left="851"/>
        <w:rPr>
          <w:sz w:val="24"/>
          <w:szCs w:val="24"/>
          <w:lang w:bidi="da-DK"/>
        </w:rPr>
      </w:pPr>
      <w:r w:rsidRPr="007E23ED">
        <w:rPr>
          <w:sz w:val="24"/>
          <w:szCs w:val="24"/>
          <w:lang w:bidi="da-DK"/>
        </w:rPr>
        <w:t>Før en behandling påbegyndes bør en blodprøve udtages og vurderes med hensyn til hæmatologi, biokemi og total T4 i serum. Dette gentages efter 3 uger, 6 uger, 10 uger, 20 uger og derefter hver 3. måned.</w:t>
      </w:r>
    </w:p>
    <w:p w14:paraId="085C24A6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Ved de anbefalede monitoreringsintervaller bør dosis titreres til effekt i henhold til den totale T4 og til klinisk respons på behandlingen. Dosisjusteringer bør gøres i intervaller på 2,5 mg, og målet er at opnå den lavest mulige dosis.</w:t>
      </w:r>
    </w:p>
    <w:p w14:paraId="51F6AA8D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 xml:space="preserve">Hvis der er brug for mere end 10 mg </w:t>
      </w:r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om dagen, skal dyrene overvåges omhyggeligt.</w:t>
      </w:r>
    </w:p>
    <w:p w14:paraId="7EF9D08A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Den daglig dosis må ikke overstige 20 mg/dag.</w:t>
      </w:r>
    </w:p>
    <w:bookmarkEnd w:id="6"/>
    <w:p w14:paraId="50C23EDC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val="nl-NL"/>
        </w:rPr>
        <w:t>Dyr med hyperthyroidisme bør behandles resten af deres liv.</w:t>
      </w:r>
    </w:p>
    <w:p w14:paraId="05569339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55AA2A2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4.10</w:t>
      </w:r>
      <w:r w:rsidRPr="007E23ED">
        <w:rPr>
          <w:b/>
          <w:sz w:val="24"/>
          <w:szCs w:val="24"/>
        </w:rPr>
        <w:tab/>
        <w:t>Overdosering</w:t>
      </w:r>
    </w:p>
    <w:p w14:paraId="2EF0C5EC" w14:textId="77777777" w:rsidR="008C1542" w:rsidRPr="007E23ED" w:rsidRDefault="008C1542" w:rsidP="007E23ED">
      <w:pPr>
        <w:pStyle w:val="Brdtekst"/>
        <w:ind w:left="851"/>
        <w:jc w:val="left"/>
        <w:rPr>
          <w:spacing w:val="-1"/>
          <w:sz w:val="24"/>
          <w:szCs w:val="24"/>
          <w:lang w:val="nl-NL"/>
        </w:rPr>
      </w:pPr>
      <w:bookmarkStart w:id="8" w:name="_Hlk68185773"/>
      <w:r w:rsidRPr="007E23ED">
        <w:rPr>
          <w:spacing w:val="-1"/>
          <w:sz w:val="24"/>
          <w:szCs w:val="24"/>
          <w:lang w:val="da-DK" w:bidi="da-DK"/>
        </w:rPr>
        <w:t xml:space="preserve">I toleranceundersøgelser med raske unge katte forekom følgende dosisrelaterede kliniske tegn ved doser på op til 30 mg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thiamazol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/dyr/dag: anoreksi, opkastning, sløvhed,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pruritus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og hæmatologiske og biokemiske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abnormaliteter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såsom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neutropeni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,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lymfopeni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, reduceret serumkalium- og fosforniveauer, øgede magnesium- og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kreatininniveauer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og forekomsten af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antinukleære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antistoffer. Efter at have modtaget dosis på 30 mg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thiamazol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/dag viste nogle katte tegn på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hæmolytisk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anæmi og alvorlig klinisk forværring. Nogle af disse tegn forekommer også hos katte med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hyperhyroidisme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, der er under behandling med doser på op til 20 mg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thiamazol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dagligt.</w:t>
      </w:r>
    </w:p>
    <w:p w14:paraId="65E5B5D7" w14:textId="77777777" w:rsidR="008C1542" w:rsidRPr="007E23ED" w:rsidRDefault="008C1542" w:rsidP="007E23ED">
      <w:pPr>
        <w:pStyle w:val="Brdtekst"/>
        <w:ind w:left="851"/>
        <w:jc w:val="left"/>
        <w:rPr>
          <w:spacing w:val="-1"/>
          <w:sz w:val="24"/>
          <w:szCs w:val="24"/>
          <w:lang w:val="nl-NL"/>
        </w:rPr>
      </w:pPr>
      <w:r w:rsidRPr="007E23ED">
        <w:rPr>
          <w:spacing w:val="-1"/>
          <w:sz w:val="24"/>
          <w:szCs w:val="24"/>
          <w:lang w:val="da-DK" w:bidi="da-DK"/>
        </w:rPr>
        <w:t xml:space="preserve">Hvis der gives for høje doser hos katte med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hyperhyroidisme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kan der forekomme tegn på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hypothyroidisme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. Dette er dog sjældent, da </w:t>
      </w:r>
      <w:proofErr w:type="spellStart"/>
      <w:r w:rsidRPr="007E23ED">
        <w:rPr>
          <w:spacing w:val="-1"/>
          <w:sz w:val="24"/>
          <w:szCs w:val="24"/>
          <w:lang w:val="da-DK" w:bidi="da-DK"/>
        </w:rPr>
        <w:t>hypothyroidisme</w:t>
      </w:r>
      <w:proofErr w:type="spellEnd"/>
      <w:r w:rsidRPr="007E23ED">
        <w:rPr>
          <w:spacing w:val="-1"/>
          <w:sz w:val="24"/>
          <w:szCs w:val="24"/>
          <w:lang w:val="da-DK" w:bidi="da-DK"/>
        </w:rPr>
        <w:t xml:space="preserve"> normalt korrigeres af negative feedback-mekanismer. Se pkt. 4.6.</w:t>
      </w:r>
    </w:p>
    <w:p w14:paraId="387DE168" w14:textId="77777777" w:rsidR="008C1542" w:rsidRPr="007E23ED" w:rsidRDefault="008C1542" w:rsidP="007E23ED">
      <w:pPr>
        <w:pStyle w:val="Brdtekst"/>
        <w:ind w:left="851"/>
        <w:jc w:val="left"/>
        <w:rPr>
          <w:sz w:val="24"/>
          <w:szCs w:val="24"/>
          <w:lang w:val="nl-NL"/>
        </w:rPr>
      </w:pPr>
      <w:r w:rsidRPr="007E23ED">
        <w:rPr>
          <w:spacing w:val="-1"/>
          <w:sz w:val="24"/>
          <w:szCs w:val="24"/>
          <w:lang w:val="da-DK" w:bidi="da-DK"/>
        </w:rPr>
        <w:t>Hvis der opstår en overdosering, skal du stoppe behandlingen og give symptomatisk og understøttende behandling.</w:t>
      </w:r>
    </w:p>
    <w:bookmarkEnd w:id="8"/>
    <w:p w14:paraId="59AAE17E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B9986A1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4.11</w:t>
      </w:r>
      <w:r w:rsidRPr="007E23ED">
        <w:rPr>
          <w:b/>
          <w:sz w:val="24"/>
          <w:szCs w:val="24"/>
        </w:rPr>
        <w:tab/>
        <w:t>Tilbageholdelsestid</w:t>
      </w:r>
    </w:p>
    <w:p w14:paraId="21599D58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bookmarkStart w:id="9" w:name="_Hlk72422693"/>
      <w:r w:rsidRPr="007E23ED">
        <w:rPr>
          <w:sz w:val="24"/>
          <w:szCs w:val="24"/>
          <w:lang w:bidi="da-DK"/>
        </w:rPr>
        <w:t>Ikke relevant</w:t>
      </w:r>
      <w:bookmarkEnd w:id="9"/>
      <w:r w:rsidRPr="007E23ED">
        <w:rPr>
          <w:sz w:val="24"/>
          <w:szCs w:val="24"/>
          <w:lang w:bidi="da-DK"/>
        </w:rPr>
        <w:t>.</w:t>
      </w:r>
    </w:p>
    <w:p w14:paraId="1BCE7887" w14:textId="222C8791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1BF0A80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9C443E0" w14:textId="3674C61B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5.</w:t>
      </w:r>
      <w:r w:rsidRPr="007E23ED">
        <w:rPr>
          <w:b/>
          <w:sz w:val="24"/>
          <w:szCs w:val="24"/>
        </w:rPr>
        <w:tab/>
        <w:t>FARMAKOLOGISKE EGENSKABER</w:t>
      </w:r>
    </w:p>
    <w:p w14:paraId="096CC9DC" w14:textId="77777777" w:rsidR="005B0036" w:rsidRPr="007E23E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45D6E4E" w14:textId="77777777" w:rsidR="008C1542" w:rsidRPr="007E23ED" w:rsidRDefault="008C1542" w:rsidP="007E23ED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val="nl-NL" w:eastAsia="nl-NL"/>
        </w:rPr>
      </w:pPr>
      <w:proofErr w:type="spellStart"/>
      <w:r w:rsidRPr="007E23ED">
        <w:rPr>
          <w:color w:val="000000"/>
          <w:sz w:val="24"/>
          <w:szCs w:val="24"/>
          <w:lang w:bidi="da-DK"/>
        </w:rPr>
        <w:t>Farmakoterapeutisk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gruppe: </w:t>
      </w:r>
      <w:bookmarkStart w:id="10" w:name="_Hlk68105528"/>
      <w:bookmarkStart w:id="11" w:name="_Hlk68100539"/>
      <w:proofErr w:type="spellStart"/>
      <w:r w:rsidRPr="007E23ED">
        <w:rPr>
          <w:color w:val="000000"/>
          <w:sz w:val="24"/>
          <w:szCs w:val="24"/>
          <w:lang w:bidi="da-DK"/>
        </w:rPr>
        <w:t>antithyroidpræparater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: svovlholdige </w:t>
      </w:r>
      <w:proofErr w:type="spellStart"/>
      <w:r w:rsidRPr="007E23ED">
        <w:rPr>
          <w:color w:val="000000"/>
          <w:sz w:val="24"/>
          <w:szCs w:val="24"/>
          <w:lang w:bidi="da-DK"/>
        </w:rPr>
        <w:t>imidazolderivater</w:t>
      </w:r>
      <w:proofErr w:type="spellEnd"/>
      <w:r w:rsidRPr="007E23ED">
        <w:rPr>
          <w:color w:val="000000"/>
          <w:sz w:val="24"/>
          <w:szCs w:val="24"/>
          <w:lang w:bidi="da-DK"/>
        </w:rPr>
        <w:t>.</w:t>
      </w:r>
      <w:bookmarkEnd w:id="10"/>
      <w:bookmarkEnd w:id="11"/>
    </w:p>
    <w:p w14:paraId="7F5D6E57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val="nl-NL" w:eastAsia="nl-NL"/>
        </w:rPr>
      </w:pPr>
      <w:proofErr w:type="spellStart"/>
      <w:r w:rsidRPr="007E23ED">
        <w:rPr>
          <w:color w:val="000000"/>
          <w:sz w:val="24"/>
          <w:szCs w:val="24"/>
          <w:lang w:bidi="da-DK"/>
        </w:rPr>
        <w:t>ATCvet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kode: QH03BB02</w:t>
      </w:r>
    </w:p>
    <w:p w14:paraId="71B2D5E7" w14:textId="77777777" w:rsidR="005B0036" w:rsidRPr="007E23E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4C4F35B" w14:textId="38E0BA79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5.1</w:t>
      </w:r>
      <w:r w:rsidRPr="007E23ED">
        <w:rPr>
          <w:b/>
          <w:sz w:val="24"/>
          <w:szCs w:val="24"/>
        </w:rPr>
        <w:tab/>
      </w:r>
      <w:proofErr w:type="spellStart"/>
      <w:r w:rsidRPr="007E23ED">
        <w:rPr>
          <w:b/>
          <w:sz w:val="24"/>
          <w:szCs w:val="24"/>
        </w:rPr>
        <w:t>Farmakodynamiske</w:t>
      </w:r>
      <w:proofErr w:type="spellEnd"/>
      <w:r w:rsidRPr="007E23ED">
        <w:rPr>
          <w:b/>
          <w:sz w:val="24"/>
          <w:szCs w:val="24"/>
        </w:rPr>
        <w:t xml:space="preserve"> egenskaber</w:t>
      </w:r>
    </w:p>
    <w:p w14:paraId="4845B4D7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bookmarkStart w:id="12" w:name="_Hlk76631841"/>
      <w:proofErr w:type="spellStart"/>
      <w:r w:rsidRPr="007E23ED">
        <w:rPr>
          <w:sz w:val="24"/>
          <w:szCs w:val="24"/>
          <w:lang w:bidi="da-DK"/>
        </w:rPr>
        <w:t>Thiamazol</w:t>
      </w:r>
      <w:proofErr w:type="spellEnd"/>
      <w:r w:rsidRPr="007E23ED">
        <w:rPr>
          <w:sz w:val="24"/>
          <w:szCs w:val="24"/>
          <w:lang w:bidi="da-DK"/>
        </w:rPr>
        <w:t xml:space="preserve"> virker ved at blokere biosyntesen af </w:t>
      </w:r>
      <w:proofErr w:type="spellStart"/>
      <w:r w:rsidRPr="007E23ED">
        <w:rPr>
          <w:sz w:val="24"/>
          <w:szCs w:val="24"/>
          <w:lang w:bidi="da-DK"/>
        </w:rPr>
        <w:t>thyreoideahormon</w:t>
      </w:r>
      <w:proofErr w:type="spellEnd"/>
      <w:r w:rsidRPr="007E23ED">
        <w:rPr>
          <w:sz w:val="24"/>
          <w:szCs w:val="24"/>
          <w:lang w:bidi="da-DK"/>
        </w:rPr>
        <w:t xml:space="preserve"> in </w:t>
      </w:r>
      <w:proofErr w:type="spellStart"/>
      <w:r w:rsidRPr="007E23ED">
        <w:rPr>
          <w:sz w:val="24"/>
          <w:szCs w:val="24"/>
          <w:lang w:bidi="da-DK"/>
        </w:rPr>
        <w:t>vivo</w:t>
      </w:r>
      <w:proofErr w:type="spellEnd"/>
      <w:r w:rsidRPr="007E23ED">
        <w:rPr>
          <w:sz w:val="24"/>
          <w:szCs w:val="24"/>
          <w:lang w:bidi="da-DK"/>
        </w:rPr>
        <w:t xml:space="preserve">. Den primære virkning er at hæmme bindingen af </w:t>
      </w:r>
      <w:proofErr w:type="spellStart"/>
      <w:r w:rsidRPr="007E23ED">
        <w:rPr>
          <w:sz w:val="24"/>
          <w:szCs w:val="24"/>
          <w:lang w:bidi="da-DK"/>
        </w:rPr>
        <w:t>iodid</w:t>
      </w:r>
      <w:proofErr w:type="spellEnd"/>
      <w:r w:rsidRPr="007E23ED">
        <w:rPr>
          <w:sz w:val="24"/>
          <w:szCs w:val="24"/>
          <w:lang w:bidi="da-DK"/>
        </w:rPr>
        <w:t xml:space="preserve"> til enzymet </w:t>
      </w:r>
      <w:proofErr w:type="spellStart"/>
      <w:r w:rsidRPr="007E23ED">
        <w:rPr>
          <w:sz w:val="24"/>
          <w:szCs w:val="24"/>
          <w:lang w:bidi="da-DK"/>
        </w:rPr>
        <w:t>thyroidperoxidase</w:t>
      </w:r>
      <w:proofErr w:type="spellEnd"/>
      <w:r w:rsidRPr="007E23ED">
        <w:rPr>
          <w:sz w:val="24"/>
          <w:szCs w:val="24"/>
          <w:lang w:bidi="da-DK"/>
        </w:rPr>
        <w:t xml:space="preserve"> og på den måde forhindre katalyseret </w:t>
      </w:r>
      <w:proofErr w:type="spellStart"/>
      <w:r w:rsidRPr="007E23ED">
        <w:rPr>
          <w:sz w:val="24"/>
          <w:szCs w:val="24"/>
          <w:lang w:bidi="da-DK"/>
        </w:rPr>
        <w:t>iodering</w:t>
      </w:r>
      <w:proofErr w:type="spellEnd"/>
      <w:r w:rsidRPr="007E23ED">
        <w:rPr>
          <w:sz w:val="24"/>
          <w:szCs w:val="24"/>
          <w:lang w:bidi="da-DK"/>
        </w:rPr>
        <w:t xml:space="preserve"> af </w:t>
      </w:r>
      <w:proofErr w:type="spellStart"/>
      <w:r w:rsidRPr="007E23ED">
        <w:rPr>
          <w:sz w:val="24"/>
          <w:szCs w:val="24"/>
          <w:lang w:bidi="da-DK"/>
        </w:rPr>
        <w:t>thyroglobulin</w:t>
      </w:r>
      <w:proofErr w:type="spellEnd"/>
      <w:r w:rsidRPr="007E23ED">
        <w:rPr>
          <w:sz w:val="24"/>
          <w:szCs w:val="24"/>
          <w:lang w:bidi="da-DK"/>
        </w:rPr>
        <w:t xml:space="preserve"> og T3- og T4-syntese.</w:t>
      </w:r>
    </w:p>
    <w:bookmarkEnd w:id="12"/>
    <w:p w14:paraId="46D28E32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6A5F307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5.2</w:t>
      </w:r>
      <w:r w:rsidRPr="007E23ED">
        <w:rPr>
          <w:b/>
          <w:sz w:val="24"/>
          <w:szCs w:val="24"/>
        </w:rPr>
        <w:tab/>
      </w:r>
      <w:proofErr w:type="spellStart"/>
      <w:r w:rsidRPr="007E23ED">
        <w:rPr>
          <w:b/>
          <w:sz w:val="24"/>
          <w:szCs w:val="24"/>
        </w:rPr>
        <w:t>Farmakokinetiske</w:t>
      </w:r>
      <w:proofErr w:type="spellEnd"/>
      <w:r w:rsidRPr="007E23ED">
        <w:rPr>
          <w:b/>
          <w:sz w:val="24"/>
          <w:szCs w:val="24"/>
        </w:rPr>
        <w:t xml:space="preserve"> egenskaber</w:t>
      </w:r>
    </w:p>
    <w:p w14:paraId="5C7549A6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bidi="da-DK"/>
        </w:rPr>
      </w:pPr>
      <w:bookmarkStart w:id="13" w:name="_Hlk76631879"/>
      <w:r w:rsidRPr="007E23ED">
        <w:rPr>
          <w:color w:val="000000"/>
          <w:sz w:val="24"/>
          <w:szCs w:val="24"/>
          <w:lang w:bidi="da-DK"/>
        </w:rPr>
        <w:t xml:space="preserve">Efter en oral dosering er givet til raske katte absorberes </w:t>
      </w:r>
      <w:proofErr w:type="spellStart"/>
      <w:r w:rsidRPr="007E23ED">
        <w:rPr>
          <w:color w:val="000000"/>
          <w:sz w:val="24"/>
          <w:szCs w:val="24"/>
          <w:lang w:bidi="da-DK"/>
        </w:rPr>
        <w:t>thiamazol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hurtigt og fuldstændigt med en biotilgængelighed på &gt;75 %. Det skal bemærkes at der er en betydelig variation mellem dyrene. Elimination af lægemidlet fra </w:t>
      </w:r>
      <w:proofErr w:type="spellStart"/>
      <w:r w:rsidRPr="007E23ED">
        <w:rPr>
          <w:color w:val="000000"/>
          <w:sz w:val="24"/>
          <w:szCs w:val="24"/>
          <w:lang w:bidi="da-DK"/>
        </w:rPr>
        <w:t>katteplasma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er hurtig med en halveringstid på 2,5-7,8 timer.</w:t>
      </w:r>
    </w:p>
    <w:p w14:paraId="1A975F84" w14:textId="205E846F" w:rsidR="008C1542" w:rsidRPr="007E23ED" w:rsidRDefault="008C1542" w:rsidP="007E23ED">
      <w:pPr>
        <w:ind w:left="851"/>
        <w:rPr>
          <w:color w:val="000000"/>
          <w:sz w:val="24"/>
          <w:szCs w:val="24"/>
          <w:lang w:val="nl-NL" w:eastAsia="nl-NL"/>
        </w:rPr>
      </w:pPr>
      <w:r w:rsidRPr="007E23ED">
        <w:rPr>
          <w:sz w:val="24"/>
          <w:szCs w:val="24"/>
        </w:rPr>
        <w:t>De højeste plasmakoncentrationer</w:t>
      </w:r>
      <w:r w:rsidRPr="007E23ED">
        <w:rPr>
          <w:color w:val="000000"/>
          <w:sz w:val="24"/>
          <w:szCs w:val="24"/>
          <w:lang w:bidi="da-DK"/>
        </w:rPr>
        <w:t xml:space="preserve"> forekommer en halv til en hel time efter dosering er givet. </w:t>
      </w:r>
      <w:proofErr w:type="spellStart"/>
      <w:r w:rsidRPr="007E23ED">
        <w:rPr>
          <w:color w:val="000000"/>
          <w:sz w:val="24"/>
          <w:szCs w:val="24"/>
          <w:lang w:bidi="da-DK"/>
        </w:rPr>
        <w:t>C</w:t>
      </w:r>
      <w:r w:rsidRPr="007E23ED">
        <w:rPr>
          <w:color w:val="000000"/>
          <w:sz w:val="24"/>
          <w:szCs w:val="24"/>
          <w:vertAlign w:val="subscript"/>
          <w:lang w:bidi="da-DK"/>
        </w:rPr>
        <w:t>max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ligger mellem 0,8</w:t>
      </w:r>
      <w:r w:rsidRPr="007E23ED">
        <w:rPr>
          <w:color w:val="000000"/>
          <w:sz w:val="24"/>
          <w:szCs w:val="24"/>
          <w:lang w:bidi="da-DK"/>
        </w:rPr>
        <w:noBreakHyphen/>
        <w:t>2,0 </w:t>
      </w:r>
      <w:proofErr w:type="spellStart"/>
      <w:r w:rsidRPr="007E23ED">
        <w:rPr>
          <w:color w:val="000000"/>
          <w:sz w:val="24"/>
          <w:szCs w:val="24"/>
          <w:lang w:bidi="da-DK"/>
        </w:rPr>
        <w:t>μg</w:t>
      </w:r>
      <w:proofErr w:type="spellEnd"/>
      <w:r w:rsidRPr="007E23ED">
        <w:rPr>
          <w:color w:val="000000"/>
          <w:sz w:val="24"/>
          <w:szCs w:val="24"/>
          <w:lang w:bidi="da-DK"/>
        </w:rPr>
        <w:t>/ml.</w:t>
      </w:r>
    </w:p>
    <w:p w14:paraId="3C38083F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val="nl-NL" w:eastAsia="nl-NL"/>
        </w:rPr>
      </w:pPr>
      <w:r w:rsidRPr="007E23ED">
        <w:rPr>
          <w:color w:val="000000"/>
          <w:sz w:val="24"/>
          <w:szCs w:val="24"/>
          <w:lang w:bidi="da-DK"/>
        </w:rPr>
        <w:t xml:space="preserve">Hos rotter har undersøgelser vist at </w:t>
      </w:r>
      <w:proofErr w:type="spellStart"/>
      <w:r w:rsidRPr="007E23ED">
        <w:rPr>
          <w:color w:val="000000"/>
          <w:sz w:val="24"/>
          <w:szCs w:val="24"/>
          <w:lang w:bidi="da-DK"/>
        </w:rPr>
        <w:t>thiamazol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er dårligt bundet til plasmaprotein (5 %); 40 % var bundet til røde blodlegemer. Der er ikke undersøgelser med katte vedrørende metabolismen af </w:t>
      </w:r>
      <w:proofErr w:type="spellStart"/>
      <w:r w:rsidRPr="007E23ED">
        <w:rPr>
          <w:color w:val="000000"/>
          <w:sz w:val="24"/>
          <w:szCs w:val="24"/>
          <w:lang w:bidi="da-DK"/>
        </w:rPr>
        <w:t>thiamazol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, men hos rotter </w:t>
      </w:r>
      <w:proofErr w:type="spellStart"/>
      <w:r w:rsidRPr="007E23ED">
        <w:rPr>
          <w:color w:val="000000"/>
          <w:sz w:val="24"/>
          <w:szCs w:val="24"/>
          <w:lang w:bidi="da-DK"/>
        </w:rPr>
        <w:t>metaboliseres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</w:t>
      </w:r>
      <w:proofErr w:type="spellStart"/>
      <w:r w:rsidRPr="007E23ED">
        <w:rPr>
          <w:color w:val="000000"/>
          <w:sz w:val="24"/>
          <w:szCs w:val="24"/>
          <w:lang w:bidi="da-DK"/>
        </w:rPr>
        <w:t>thiamazol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hurtigt i skjoldbruskkirtlen.</w:t>
      </w:r>
    </w:p>
    <w:p w14:paraId="4CA122B1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eastAsia="nl-NL"/>
        </w:rPr>
      </w:pPr>
      <w:r w:rsidRPr="007E23ED">
        <w:rPr>
          <w:color w:val="000000"/>
          <w:sz w:val="24"/>
          <w:szCs w:val="24"/>
          <w:lang w:bidi="da-DK"/>
        </w:rPr>
        <w:t>Ca. 64 % af dosis udskilles via urinen og kun 7,8 % udskilles i fæces. Dette i modsætning til mennesket, hvor leveren er vigtig for den metaboliske nedbrydning af forbindelsen. Den tid hvor lægemidlet er til stede i skjoldbruskkirtlen, antages at være længere end tilstedeværelsen i plasma.</w:t>
      </w:r>
    </w:p>
    <w:bookmarkEnd w:id="13"/>
    <w:p w14:paraId="5CBCB6EB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val="nl-NL"/>
        </w:rPr>
        <w:t>Undersøgelser har vist at i mennesker og rotter passerer lægemidlet moderkagen og opkoncentreres i fosterets skjoldbruskkirtel. Der er også en høj grad af opkoncentrering i modermælken.</w:t>
      </w:r>
    </w:p>
    <w:p w14:paraId="12FFDF56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D27A734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5.3</w:t>
      </w:r>
      <w:r w:rsidRPr="007E23ED">
        <w:rPr>
          <w:b/>
          <w:sz w:val="24"/>
          <w:szCs w:val="24"/>
        </w:rPr>
        <w:tab/>
        <w:t>Miljømæssige forhold</w:t>
      </w:r>
    </w:p>
    <w:p w14:paraId="7546623C" w14:textId="14A9513D" w:rsidR="005B0036" w:rsidRPr="007E23ED" w:rsidRDefault="008C154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E23ED">
        <w:rPr>
          <w:sz w:val="24"/>
          <w:szCs w:val="24"/>
        </w:rPr>
        <w:t>-</w:t>
      </w:r>
    </w:p>
    <w:p w14:paraId="28338AD0" w14:textId="77777777" w:rsidR="005B0036" w:rsidRPr="007E23ED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C612082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528F7FE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6.</w:t>
      </w:r>
      <w:r w:rsidRPr="007E23ED">
        <w:rPr>
          <w:b/>
          <w:sz w:val="24"/>
          <w:szCs w:val="24"/>
        </w:rPr>
        <w:tab/>
        <w:t>FARMACEUTISKE OPLYSNINGER</w:t>
      </w:r>
    </w:p>
    <w:p w14:paraId="5FBE79CD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953A5F6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6.1</w:t>
      </w:r>
      <w:r w:rsidRPr="007E23ED">
        <w:rPr>
          <w:b/>
          <w:sz w:val="24"/>
          <w:szCs w:val="24"/>
        </w:rPr>
        <w:tab/>
        <w:t>Hjælpestoffer</w:t>
      </w:r>
    </w:p>
    <w:p w14:paraId="43F8FF31" w14:textId="77777777" w:rsidR="008C1542" w:rsidRPr="007E23ED" w:rsidRDefault="008C1542" w:rsidP="007E23ED">
      <w:pPr>
        <w:ind w:left="851"/>
        <w:rPr>
          <w:sz w:val="24"/>
          <w:szCs w:val="24"/>
        </w:rPr>
      </w:pPr>
      <w:r w:rsidRPr="007E23ED">
        <w:rPr>
          <w:sz w:val="24"/>
          <w:szCs w:val="24"/>
          <w:lang w:bidi="da-DK"/>
        </w:rPr>
        <w:t>Natriumbenzoat (E211)</w:t>
      </w:r>
    </w:p>
    <w:p w14:paraId="4262D0F8" w14:textId="77777777" w:rsidR="008C1542" w:rsidRPr="007E23ED" w:rsidRDefault="008C1542" w:rsidP="007E23ED">
      <w:pPr>
        <w:ind w:left="851"/>
        <w:rPr>
          <w:sz w:val="24"/>
          <w:szCs w:val="24"/>
        </w:rPr>
      </w:pPr>
      <w:r w:rsidRPr="007E23ED">
        <w:rPr>
          <w:sz w:val="24"/>
          <w:szCs w:val="24"/>
          <w:lang w:bidi="da-DK"/>
        </w:rPr>
        <w:t>Glycerol</w:t>
      </w:r>
    </w:p>
    <w:p w14:paraId="63F78F96" w14:textId="77777777" w:rsidR="008C1542" w:rsidRPr="007E23ED" w:rsidRDefault="008C1542" w:rsidP="007E23ED">
      <w:pPr>
        <w:ind w:left="851"/>
        <w:rPr>
          <w:sz w:val="24"/>
          <w:szCs w:val="24"/>
        </w:rPr>
      </w:pPr>
      <w:proofErr w:type="spellStart"/>
      <w:r w:rsidRPr="007E23ED">
        <w:rPr>
          <w:sz w:val="24"/>
          <w:szCs w:val="24"/>
          <w:lang w:bidi="da-DK"/>
        </w:rPr>
        <w:t>Povidon</w:t>
      </w:r>
      <w:proofErr w:type="spellEnd"/>
    </w:p>
    <w:p w14:paraId="2B4C5100" w14:textId="77777777" w:rsidR="008C1542" w:rsidRPr="007E23ED" w:rsidRDefault="008C1542" w:rsidP="007E23ED">
      <w:pPr>
        <w:ind w:left="851"/>
        <w:rPr>
          <w:sz w:val="24"/>
          <w:szCs w:val="24"/>
        </w:rPr>
      </w:pPr>
      <w:proofErr w:type="spellStart"/>
      <w:r w:rsidRPr="007E23ED">
        <w:rPr>
          <w:sz w:val="24"/>
          <w:szCs w:val="24"/>
          <w:lang w:bidi="da-DK"/>
        </w:rPr>
        <w:t>Hypromellose</w:t>
      </w:r>
      <w:proofErr w:type="spellEnd"/>
    </w:p>
    <w:p w14:paraId="29CC28DF" w14:textId="77777777" w:rsidR="008C1542" w:rsidRPr="007E23ED" w:rsidRDefault="008C1542" w:rsidP="007E23ED">
      <w:pPr>
        <w:ind w:left="851"/>
        <w:rPr>
          <w:sz w:val="24"/>
          <w:szCs w:val="24"/>
        </w:rPr>
      </w:pPr>
      <w:proofErr w:type="spellStart"/>
      <w:r w:rsidRPr="007E23ED">
        <w:rPr>
          <w:sz w:val="24"/>
          <w:szCs w:val="24"/>
          <w:lang w:bidi="da-DK"/>
        </w:rPr>
        <w:t>Dinatriumphosphatdihydrat</w:t>
      </w:r>
      <w:proofErr w:type="spellEnd"/>
    </w:p>
    <w:p w14:paraId="1848AB83" w14:textId="77777777" w:rsidR="008C1542" w:rsidRPr="007E23ED" w:rsidRDefault="008C1542" w:rsidP="007E23ED">
      <w:pPr>
        <w:ind w:left="851"/>
        <w:rPr>
          <w:sz w:val="24"/>
          <w:szCs w:val="24"/>
        </w:rPr>
      </w:pPr>
      <w:proofErr w:type="spellStart"/>
      <w:r w:rsidRPr="007E23ED">
        <w:rPr>
          <w:sz w:val="24"/>
          <w:szCs w:val="24"/>
          <w:lang w:bidi="da-DK"/>
        </w:rPr>
        <w:t>Natriumdihydrogenphosphat-dihydrat</w:t>
      </w:r>
      <w:proofErr w:type="spellEnd"/>
    </w:p>
    <w:p w14:paraId="36E8726B" w14:textId="77777777" w:rsidR="008C1542" w:rsidRPr="007E23ED" w:rsidRDefault="008C1542" w:rsidP="007E23ED">
      <w:pPr>
        <w:ind w:left="851"/>
        <w:rPr>
          <w:sz w:val="24"/>
          <w:szCs w:val="24"/>
          <w:lang w:val="en-GB"/>
        </w:rPr>
      </w:pPr>
      <w:proofErr w:type="spellStart"/>
      <w:r w:rsidRPr="007E23ED">
        <w:rPr>
          <w:sz w:val="24"/>
          <w:szCs w:val="24"/>
          <w:lang w:val="en-US" w:bidi="da-DK"/>
        </w:rPr>
        <w:t>Citronsyre</w:t>
      </w:r>
      <w:proofErr w:type="spellEnd"/>
    </w:p>
    <w:p w14:paraId="0E7A44B2" w14:textId="77777777" w:rsidR="008C1542" w:rsidRPr="007E23ED" w:rsidRDefault="008C1542" w:rsidP="007E23ED">
      <w:pPr>
        <w:ind w:left="851"/>
        <w:rPr>
          <w:sz w:val="24"/>
          <w:szCs w:val="24"/>
          <w:lang w:val="en-US"/>
        </w:rPr>
      </w:pPr>
      <w:proofErr w:type="spellStart"/>
      <w:r w:rsidRPr="007E23ED">
        <w:rPr>
          <w:sz w:val="24"/>
          <w:szCs w:val="24"/>
          <w:lang w:val="en-US" w:bidi="da-DK"/>
        </w:rPr>
        <w:t>Natriumhydroxid</w:t>
      </w:r>
      <w:proofErr w:type="spellEnd"/>
    </w:p>
    <w:p w14:paraId="03AA21A2" w14:textId="77777777" w:rsidR="008C1542" w:rsidRPr="007E23ED" w:rsidRDefault="008C1542" w:rsidP="007E23ED">
      <w:pPr>
        <w:ind w:left="851"/>
        <w:rPr>
          <w:sz w:val="24"/>
          <w:szCs w:val="24"/>
          <w:lang w:val="en-US"/>
        </w:rPr>
      </w:pPr>
      <w:proofErr w:type="spellStart"/>
      <w:r w:rsidRPr="007E23ED">
        <w:rPr>
          <w:sz w:val="24"/>
          <w:szCs w:val="24"/>
          <w:lang w:val="en-US" w:bidi="da-DK"/>
        </w:rPr>
        <w:t>Natriumcyclamat</w:t>
      </w:r>
      <w:proofErr w:type="spellEnd"/>
    </w:p>
    <w:p w14:paraId="30D8E379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val="en-US" w:bidi="da-DK"/>
        </w:rPr>
        <w:t>Sucralose</w:t>
      </w:r>
    </w:p>
    <w:p w14:paraId="0B9B6576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val="en-US" w:bidi="da-DK"/>
        </w:rPr>
        <w:t>Anis (</w:t>
      </w:r>
      <w:proofErr w:type="spellStart"/>
      <w:r w:rsidRPr="007E23ED">
        <w:rPr>
          <w:sz w:val="24"/>
          <w:szCs w:val="24"/>
          <w:lang w:val="en-US" w:bidi="da-DK"/>
        </w:rPr>
        <w:t>smag</w:t>
      </w:r>
      <w:proofErr w:type="spellEnd"/>
      <w:r w:rsidRPr="007E23ED">
        <w:rPr>
          <w:sz w:val="24"/>
          <w:szCs w:val="24"/>
          <w:lang w:val="en-US" w:bidi="da-DK"/>
        </w:rPr>
        <w:t>)</w:t>
      </w:r>
    </w:p>
    <w:p w14:paraId="639024CD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Vand, renset</w:t>
      </w:r>
    </w:p>
    <w:p w14:paraId="456D675D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2618317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6.2</w:t>
      </w:r>
      <w:r w:rsidRPr="007E23ED">
        <w:rPr>
          <w:b/>
          <w:sz w:val="24"/>
          <w:szCs w:val="24"/>
        </w:rPr>
        <w:tab/>
        <w:t>Uforligeligheder</w:t>
      </w:r>
    </w:p>
    <w:p w14:paraId="2A1E55AA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kern w:val="14"/>
          <w:sz w:val="24"/>
          <w:szCs w:val="24"/>
          <w:lang w:bidi="da-DK"/>
        </w:rPr>
        <w:t>Da der ikke foreligger undersøgelser vedrørende eventuelle uforligeligheder, bør dette lægemiddel ikke blandes med andre lægemidler.</w:t>
      </w:r>
    </w:p>
    <w:p w14:paraId="6ACFDECD" w14:textId="2768C1F2" w:rsidR="00860C95" w:rsidRDefault="00860C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E528D8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3A33E3B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6.3</w:t>
      </w:r>
      <w:r w:rsidRPr="007E23ED">
        <w:rPr>
          <w:b/>
          <w:sz w:val="24"/>
          <w:szCs w:val="24"/>
        </w:rPr>
        <w:tab/>
        <w:t>Opbevaringstid</w:t>
      </w:r>
    </w:p>
    <w:p w14:paraId="477FC8A4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Opbevaringstid for veterinærlægemidlet i salgspakning: 24 måneder.</w:t>
      </w:r>
    </w:p>
    <w:p w14:paraId="0C412468" w14:textId="77777777" w:rsidR="008C1542" w:rsidRPr="007E23ED" w:rsidRDefault="008C1542" w:rsidP="007E23ED">
      <w:pPr>
        <w:ind w:left="851"/>
        <w:rPr>
          <w:sz w:val="24"/>
          <w:szCs w:val="24"/>
          <w:lang w:val="nl-NL"/>
        </w:rPr>
      </w:pPr>
      <w:r w:rsidRPr="007E23ED">
        <w:rPr>
          <w:sz w:val="24"/>
          <w:szCs w:val="24"/>
          <w:lang w:bidi="da-DK"/>
        </w:rPr>
        <w:t>Opbevaringstid efter første åbning af den indre emballage: 90 dage</w:t>
      </w:r>
    </w:p>
    <w:p w14:paraId="0CFF40CB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76568F7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6.4</w:t>
      </w:r>
      <w:r w:rsidRPr="007E23ED">
        <w:rPr>
          <w:b/>
          <w:sz w:val="24"/>
          <w:szCs w:val="24"/>
        </w:rPr>
        <w:tab/>
        <w:t>Særlige opbevaringsforhold</w:t>
      </w:r>
    </w:p>
    <w:p w14:paraId="6DA20CCD" w14:textId="77777777" w:rsidR="008C1542" w:rsidRPr="007E23ED" w:rsidRDefault="008C1542" w:rsidP="007E23ED">
      <w:pPr>
        <w:ind w:left="851"/>
        <w:rPr>
          <w:sz w:val="24"/>
          <w:szCs w:val="24"/>
          <w:lang w:bidi="da-DK"/>
        </w:rPr>
      </w:pPr>
      <w:r w:rsidRPr="007E23ED">
        <w:rPr>
          <w:sz w:val="24"/>
          <w:szCs w:val="24"/>
          <w:lang w:bidi="da-DK"/>
        </w:rPr>
        <w:t>Dette veterinærlægemiddel kræver ingen særlige forholdsregler vedrørende opbevaringen.</w:t>
      </w:r>
    </w:p>
    <w:p w14:paraId="54022B6A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2485A12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6.5</w:t>
      </w:r>
      <w:r w:rsidRPr="007E23ED">
        <w:rPr>
          <w:b/>
          <w:sz w:val="24"/>
          <w:szCs w:val="24"/>
        </w:rPr>
        <w:tab/>
        <w:t>Emballage</w:t>
      </w:r>
    </w:p>
    <w:p w14:paraId="740F7E2A" w14:textId="77777777" w:rsidR="001D75D3" w:rsidRPr="00CA1718" w:rsidRDefault="001D75D3" w:rsidP="001D75D3">
      <w:pPr>
        <w:ind w:left="851"/>
        <w:rPr>
          <w:color w:val="000000"/>
          <w:sz w:val="24"/>
          <w:szCs w:val="24"/>
          <w:lang w:bidi="da-DK"/>
        </w:rPr>
      </w:pPr>
      <w:r w:rsidRPr="00CA1718">
        <w:rPr>
          <w:snapToGrid w:val="0"/>
          <w:kern w:val="20"/>
          <w:sz w:val="24"/>
          <w:szCs w:val="24"/>
          <w:lang w:bidi="da-DK"/>
        </w:rPr>
        <w:t xml:space="preserve">Ravfarvet type III glasflaske eller højdensitet </w:t>
      </w:r>
      <w:proofErr w:type="spellStart"/>
      <w:r w:rsidRPr="00CA1718">
        <w:rPr>
          <w:snapToGrid w:val="0"/>
          <w:kern w:val="20"/>
          <w:sz w:val="24"/>
          <w:szCs w:val="24"/>
          <w:lang w:bidi="da-DK"/>
        </w:rPr>
        <w:t>polyethylen</w:t>
      </w:r>
      <w:proofErr w:type="spellEnd"/>
      <w:r w:rsidRPr="00CA1718">
        <w:rPr>
          <w:snapToGrid w:val="0"/>
          <w:kern w:val="20"/>
          <w:sz w:val="24"/>
          <w:szCs w:val="24"/>
          <w:lang w:bidi="da-DK"/>
        </w:rPr>
        <w:t xml:space="preserve"> (HDPE) flasker indeholdende 30 ml, 50 ml eller 100 ml, med børnesikret polypropylen (PP) skruelåg og vedlagt en </w:t>
      </w:r>
      <w:r w:rsidRPr="00CA1718">
        <w:rPr>
          <w:color w:val="000000"/>
          <w:sz w:val="24"/>
          <w:szCs w:val="24"/>
          <w:lang w:bidi="da-DK"/>
        </w:rPr>
        <w:t xml:space="preserve">lavdensitets </w:t>
      </w:r>
      <w:proofErr w:type="spellStart"/>
      <w:r w:rsidRPr="00CA1718">
        <w:rPr>
          <w:color w:val="000000"/>
          <w:sz w:val="24"/>
          <w:szCs w:val="24"/>
          <w:lang w:bidi="da-DK"/>
        </w:rPr>
        <w:t>polyethylen</w:t>
      </w:r>
      <w:proofErr w:type="spellEnd"/>
      <w:r w:rsidRPr="00CA1718">
        <w:rPr>
          <w:color w:val="000000"/>
          <w:sz w:val="24"/>
          <w:szCs w:val="24"/>
          <w:lang w:bidi="da-DK"/>
        </w:rPr>
        <w:t xml:space="preserve"> (LDPE) sprøjte</w:t>
      </w:r>
      <w:r w:rsidRPr="00CA1718">
        <w:rPr>
          <w:snapToGrid w:val="0"/>
          <w:kern w:val="20"/>
          <w:sz w:val="24"/>
          <w:szCs w:val="24"/>
          <w:lang w:bidi="da-DK"/>
        </w:rPr>
        <w:t>.</w:t>
      </w:r>
      <w:r w:rsidRPr="00CA1718">
        <w:rPr>
          <w:color w:val="000000"/>
          <w:sz w:val="24"/>
          <w:szCs w:val="24"/>
          <w:lang w:bidi="da-DK"/>
        </w:rPr>
        <w:t xml:space="preserve"> </w:t>
      </w:r>
    </w:p>
    <w:p w14:paraId="1167F6B7" w14:textId="77777777" w:rsidR="001D75D3" w:rsidRPr="00CA1718" w:rsidRDefault="001D75D3" w:rsidP="001D75D3">
      <w:pPr>
        <w:ind w:left="851"/>
        <w:rPr>
          <w:color w:val="000000"/>
          <w:sz w:val="24"/>
          <w:szCs w:val="24"/>
          <w:lang w:bidi="da-DK"/>
        </w:rPr>
      </w:pPr>
      <w:r w:rsidRPr="00CA1718">
        <w:rPr>
          <w:color w:val="000000"/>
          <w:sz w:val="24"/>
          <w:szCs w:val="24"/>
          <w:lang w:bidi="da-DK"/>
        </w:rPr>
        <w:t xml:space="preserve">1,0 oral doseringssprøjte med en graduering på 0,01 ml med </w:t>
      </w:r>
      <w:r w:rsidRPr="00CA1718">
        <w:rPr>
          <w:snapToGrid w:val="0"/>
          <w:kern w:val="20"/>
          <w:sz w:val="24"/>
          <w:szCs w:val="24"/>
          <w:lang w:bidi="da-DK"/>
        </w:rPr>
        <w:t>polypropylen (PP)</w:t>
      </w:r>
      <w:r w:rsidRPr="00CA1718">
        <w:rPr>
          <w:color w:val="000000"/>
          <w:sz w:val="24"/>
          <w:szCs w:val="24"/>
          <w:lang w:bidi="da-DK"/>
        </w:rPr>
        <w:t xml:space="preserve"> cylinder og</w:t>
      </w:r>
      <w:r w:rsidRPr="00CA1718">
        <w:rPr>
          <w:snapToGrid w:val="0"/>
          <w:kern w:val="20"/>
          <w:sz w:val="24"/>
          <w:szCs w:val="24"/>
          <w:lang w:bidi="da-DK"/>
        </w:rPr>
        <w:t xml:space="preserve"> højdensitet </w:t>
      </w:r>
      <w:proofErr w:type="spellStart"/>
      <w:r w:rsidRPr="00CA1718">
        <w:rPr>
          <w:snapToGrid w:val="0"/>
          <w:kern w:val="20"/>
          <w:sz w:val="24"/>
          <w:szCs w:val="24"/>
          <w:lang w:bidi="da-DK"/>
        </w:rPr>
        <w:t>polyethylen</w:t>
      </w:r>
      <w:proofErr w:type="spellEnd"/>
      <w:r w:rsidRPr="00CA1718">
        <w:rPr>
          <w:snapToGrid w:val="0"/>
          <w:kern w:val="20"/>
          <w:sz w:val="24"/>
          <w:szCs w:val="24"/>
          <w:lang w:bidi="da-DK"/>
        </w:rPr>
        <w:t xml:space="preserve"> (HDPE) </w:t>
      </w:r>
      <w:r w:rsidRPr="00CA1718">
        <w:rPr>
          <w:color w:val="000000"/>
          <w:sz w:val="24"/>
          <w:szCs w:val="24"/>
          <w:lang w:bidi="da-DK"/>
        </w:rPr>
        <w:t xml:space="preserve">stempel eller 1,5 ml oral doseringssprøjte med en graduering på 0,05 ml med lavdensitets </w:t>
      </w:r>
      <w:proofErr w:type="spellStart"/>
      <w:r w:rsidRPr="00CA1718">
        <w:rPr>
          <w:color w:val="000000"/>
          <w:sz w:val="24"/>
          <w:szCs w:val="24"/>
          <w:lang w:bidi="da-DK"/>
        </w:rPr>
        <w:t>polyethylen</w:t>
      </w:r>
      <w:proofErr w:type="spellEnd"/>
      <w:r w:rsidRPr="00CA1718">
        <w:rPr>
          <w:color w:val="000000"/>
          <w:sz w:val="24"/>
          <w:szCs w:val="24"/>
          <w:lang w:bidi="da-DK"/>
        </w:rPr>
        <w:t xml:space="preserve"> (LDPE) cylinder og polystyren (PS) stempel.</w:t>
      </w:r>
    </w:p>
    <w:p w14:paraId="5C707BDB" w14:textId="77777777" w:rsidR="001D75D3" w:rsidRPr="00CA1718" w:rsidRDefault="001D75D3" w:rsidP="001D75D3">
      <w:pPr>
        <w:ind w:left="851"/>
        <w:rPr>
          <w:sz w:val="24"/>
          <w:szCs w:val="24"/>
        </w:rPr>
      </w:pPr>
    </w:p>
    <w:p w14:paraId="624C754C" w14:textId="77777777" w:rsidR="001D75D3" w:rsidRDefault="001D75D3" w:rsidP="001D75D3">
      <w:pPr>
        <w:pStyle w:val="TableParagraph"/>
        <w:ind w:left="851"/>
        <w:rPr>
          <w:sz w:val="24"/>
          <w:szCs w:val="24"/>
          <w:lang w:val="da-DK" w:bidi="da-DK"/>
        </w:rPr>
      </w:pPr>
      <w:r>
        <w:rPr>
          <w:sz w:val="24"/>
          <w:szCs w:val="24"/>
          <w:lang w:val="da-DK" w:bidi="da-DK"/>
        </w:rPr>
        <w:t>Pakningsstørrelser:</w:t>
      </w:r>
    </w:p>
    <w:p w14:paraId="2A3CBE4D" w14:textId="77777777" w:rsidR="001D75D3" w:rsidRDefault="001D75D3" w:rsidP="001D75D3">
      <w:pPr>
        <w:pStyle w:val="TableParagraph"/>
        <w:numPr>
          <w:ilvl w:val="0"/>
          <w:numId w:val="4"/>
        </w:numPr>
        <w:ind w:left="1276" w:hanging="425"/>
        <w:rPr>
          <w:sz w:val="24"/>
          <w:szCs w:val="24"/>
          <w:lang w:val="da-DK" w:bidi="da-DK"/>
        </w:rPr>
      </w:pPr>
      <w:r>
        <w:rPr>
          <w:sz w:val="24"/>
          <w:szCs w:val="24"/>
          <w:lang w:val="da-DK" w:bidi="da-DK"/>
        </w:rPr>
        <w:t>Karton: 1 flaske med 30 ml og én doseringssprøjte med graduering.</w:t>
      </w:r>
    </w:p>
    <w:p w14:paraId="775D53B4" w14:textId="77777777" w:rsidR="001D75D3" w:rsidRDefault="001D75D3" w:rsidP="001D75D3">
      <w:pPr>
        <w:pStyle w:val="TableParagraph"/>
        <w:numPr>
          <w:ilvl w:val="0"/>
          <w:numId w:val="4"/>
        </w:numPr>
        <w:ind w:left="1276" w:hanging="425"/>
        <w:rPr>
          <w:sz w:val="24"/>
          <w:szCs w:val="24"/>
          <w:lang w:val="da-DK" w:bidi="da-DK"/>
        </w:rPr>
      </w:pPr>
      <w:r>
        <w:rPr>
          <w:sz w:val="24"/>
          <w:szCs w:val="24"/>
          <w:lang w:val="da-DK" w:bidi="da-DK"/>
        </w:rPr>
        <w:t>Karton: 1 flaske med 50 ml og</w:t>
      </w:r>
      <w:r w:rsidRPr="002D284D">
        <w:rPr>
          <w:sz w:val="24"/>
          <w:szCs w:val="24"/>
          <w:lang w:val="da-DK" w:bidi="da-DK"/>
        </w:rPr>
        <w:t xml:space="preserve"> </w:t>
      </w:r>
      <w:r>
        <w:rPr>
          <w:sz w:val="24"/>
          <w:szCs w:val="24"/>
          <w:lang w:val="da-DK" w:bidi="da-DK"/>
        </w:rPr>
        <w:t>én doseringssprøjte med graduering.</w:t>
      </w:r>
    </w:p>
    <w:p w14:paraId="52612862" w14:textId="77777777" w:rsidR="001D75D3" w:rsidRDefault="001D75D3" w:rsidP="001D75D3">
      <w:pPr>
        <w:pStyle w:val="TableParagraph"/>
        <w:numPr>
          <w:ilvl w:val="0"/>
          <w:numId w:val="4"/>
        </w:numPr>
        <w:ind w:left="1276" w:hanging="425"/>
        <w:rPr>
          <w:sz w:val="24"/>
          <w:szCs w:val="24"/>
          <w:lang w:val="da-DK" w:bidi="da-DK"/>
        </w:rPr>
      </w:pPr>
      <w:r>
        <w:rPr>
          <w:sz w:val="24"/>
          <w:szCs w:val="24"/>
          <w:lang w:val="da-DK" w:bidi="da-DK"/>
        </w:rPr>
        <w:t>Karton: 1 flaske med 100 ml og én doseringssprøjte med graduering.</w:t>
      </w:r>
    </w:p>
    <w:p w14:paraId="74572B83" w14:textId="77777777" w:rsidR="001D75D3" w:rsidRDefault="001D75D3" w:rsidP="001D75D3">
      <w:pPr>
        <w:ind w:left="851"/>
        <w:rPr>
          <w:sz w:val="24"/>
          <w:szCs w:val="24"/>
          <w:lang w:bidi="da-DK"/>
        </w:rPr>
      </w:pPr>
    </w:p>
    <w:p w14:paraId="4F2D40B7" w14:textId="77777777" w:rsidR="001D75D3" w:rsidRDefault="001D75D3" w:rsidP="001D75D3">
      <w:pPr>
        <w:ind w:left="851"/>
        <w:rPr>
          <w:bCs/>
          <w:snapToGrid w:val="0"/>
          <w:kern w:val="20"/>
          <w:sz w:val="24"/>
          <w:szCs w:val="24"/>
          <w:lang w:val="nl-NL"/>
        </w:rPr>
      </w:pPr>
      <w:r w:rsidRPr="00CA1718">
        <w:rPr>
          <w:sz w:val="24"/>
          <w:szCs w:val="24"/>
          <w:lang w:bidi="da-DK"/>
        </w:rPr>
        <w:t>Ikke alle pakningsstørrelser er nødvendigvis markedsført.</w:t>
      </w:r>
    </w:p>
    <w:p w14:paraId="0DCEF2B1" w14:textId="77777777" w:rsidR="005B0036" w:rsidRPr="001D75D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  <w:lang w:val="nl-NL"/>
        </w:rPr>
      </w:pPr>
    </w:p>
    <w:p w14:paraId="574118C3" w14:textId="77777777" w:rsidR="005B0036" w:rsidRPr="007E23ED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6.6</w:t>
      </w:r>
      <w:r w:rsidRPr="007E23ED">
        <w:rPr>
          <w:b/>
          <w:sz w:val="24"/>
          <w:szCs w:val="24"/>
        </w:rPr>
        <w:tab/>
        <w:t>Særlige forholdsregler ved bortskaffelse af rester af lægemidlet eller affald</w:t>
      </w:r>
    </w:p>
    <w:p w14:paraId="769E9B72" w14:textId="77777777" w:rsidR="008C1542" w:rsidRPr="007E23ED" w:rsidRDefault="008C1542" w:rsidP="007E23ED">
      <w:pPr>
        <w:ind w:left="851"/>
        <w:rPr>
          <w:sz w:val="24"/>
          <w:szCs w:val="24"/>
        </w:rPr>
      </w:pPr>
      <w:r w:rsidRPr="007E23ED">
        <w:rPr>
          <w:sz w:val="24"/>
          <w:szCs w:val="24"/>
        </w:rPr>
        <w:t>Ikke anvendte veterinærlægemidler, samt affald heraf bør destrueres i henhold til lokale retningslinjer</w:t>
      </w:r>
    </w:p>
    <w:p w14:paraId="316DC132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A9958D4" w14:textId="77777777" w:rsidR="005B0036" w:rsidRPr="007E23ED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7.</w:t>
      </w:r>
      <w:r w:rsidRPr="007E23ED">
        <w:rPr>
          <w:b/>
          <w:sz w:val="24"/>
          <w:szCs w:val="24"/>
        </w:rPr>
        <w:tab/>
        <w:t>INDEHAVER AF MARKEDSFØRINGSTILLADELSEN</w:t>
      </w:r>
    </w:p>
    <w:p w14:paraId="48633F1C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val="de-DE" w:eastAsia="nl-NL"/>
        </w:rPr>
      </w:pPr>
      <w:r w:rsidRPr="007E23ED">
        <w:rPr>
          <w:color w:val="000000"/>
          <w:sz w:val="24"/>
          <w:szCs w:val="24"/>
          <w:lang w:bidi="da-DK"/>
        </w:rPr>
        <w:t xml:space="preserve">CP-Pharma </w:t>
      </w:r>
      <w:proofErr w:type="spellStart"/>
      <w:r w:rsidRPr="007E23ED">
        <w:rPr>
          <w:color w:val="000000"/>
          <w:sz w:val="24"/>
          <w:szCs w:val="24"/>
          <w:lang w:bidi="da-DK"/>
        </w:rPr>
        <w:t>Handelsgesellschaft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</w:t>
      </w:r>
      <w:proofErr w:type="spellStart"/>
      <w:r w:rsidRPr="007E23ED">
        <w:rPr>
          <w:color w:val="000000"/>
          <w:sz w:val="24"/>
          <w:szCs w:val="24"/>
          <w:lang w:bidi="da-DK"/>
        </w:rPr>
        <w:t>mbH</w:t>
      </w:r>
      <w:proofErr w:type="spellEnd"/>
      <w:r w:rsidRPr="007E23ED">
        <w:rPr>
          <w:color w:val="000000"/>
          <w:sz w:val="24"/>
          <w:szCs w:val="24"/>
          <w:lang w:bidi="da-DK"/>
        </w:rPr>
        <w:t xml:space="preserve"> </w:t>
      </w:r>
    </w:p>
    <w:p w14:paraId="2278FEBF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val="de-DE" w:eastAsia="nl-NL"/>
        </w:rPr>
      </w:pPr>
      <w:proofErr w:type="spellStart"/>
      <w:r w:rsidRPr="007E23ED">
        <w:rPr>
          <w:color w:val="000000"/>
          <w:sz w:val="24"/>
          <w:szCs w:val="24"/>
          <w:lang w:val="en-US" w:bidi="da-DK"/>
        </w:rPr>
        <w:t>Ostlandring</w:t>
      </w:r>
      <w:proofErr w:type="spellEnd"/>
      <w:r w:rsidRPr="007E23ED">
        <w:rPr>
          <w:color w:val="000000"/>
          <w:sz w:val="24"/>
          <w:szCs w:val="24"/>
          <w:lang w:val="en-US" w:bidi="da-DK"/>
        </w:rPr>
        <w:t xml:space="preserve"> 13 </w:t>
      </w:r>
    </w:p>
    <w:p w14:paraId="16D1BC9B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val="de-DE" w:eastAsia="nl-NL"/>
        </w:rPr>
      </w:pPr>
      <w:r w:rsidRPr="007E23ED">
        <w:rPr>
          <w:color w:val="000000"/>
          <w:sz w:val="24"/>
          <w:szCs w:val="24"/>
          <w:lang w:val="en-US" w:bidi="da-DK"/>
        </w:rPr>
        <w:t xml:space="preserve">31303 </w:t>
      </w:r>
      <w:proofErr w:type="spellStart"/>
      <w:r w:rsidRPr="007E23ED">
        <w:rPr>
          <w:color w:val="000000"/>
          <w:sz w:val="24"/>
          <w:szCs w:val="24"/>
          <w:lang w:val="en-US" w:bidi="da-DK"/>
        </w:rPr>
        <w:t>Burgdorf</w:t>
      </w:r>
      <w:proofErr w:type="spellEnd"/>
    </w:p>
    <w:p w14:paraId="073D4A46" w14:textId="77777777" w:rsidR="008C1542" w:rsidRPr="007E23ED" w:rsidRDefault="008C1542" w:rsidP="007E23ED">
      <w:pPr>
        <w:ind w:left="851"/>
        <w:rPr>
          <w:color w:val="000000"/>
          <w:sz w:val="24"/>
          <w:szCs w:val="24"/>
          <w:lang w:val="de-DE" w:eastAsia="nl-NL"/>
        </w:rPr>
      </w:pPr>
      <w:proofErr w:type="spellStart"/>
      <w:r w:rsidRPr="007E23ED">
        <w:rPr>
          <w:color w:val="000000"/>
          <w:sz w:val="24"/>
          <w:szCs w:val="24"/>
          <w:lang w:val="en-US" w:bidi="da-DK"/>
        </w:rPr>
        <w:t>Tyskland</w:t>
      </w:r>
      <w:proofErr w:type="spellEnd"/>
    </w:p>
    <w:p w14:paraId="5557093D" w14:textId="77777777" w:rsidR="008C1542" w:rsidRPr="007E23ED" w:rsidRDefault="008C1542" w:rsidP="007E23ED">
      <w:pPr>
        <w:tabs>
          <w:tab w:val="left" w:pos="1304"/>
        </w:tabs>
        <w:ind w:left="851"/>
        <w:rPr>
          <w:sz w:val="24"/>
          <w:szCs w:val="24"/>
          <w:lang w:val="de-DE"/>
        </w:rPr>
      </w:pPr>
    </w:p>
    <w:p w14:paraId="070A50A4" w14:textId="77777777" w:rsidR="008C1542" w:rsidRPr="007E23ED" w:rsidRDefault="008C1542" w:rsidP="007E23ED">
      <w:pPr>
        <w:tabs>
          <w:tab w:val="left" w:pos="1304"/>
        </w:tabs>
        <w:ind w:left="851"/>
        <w:rPr>
          <w:b/>
          <w:bCs/>
          <w:sz w:val="24"/>
          <w:szCs w:val="24"/>
          <w:lang w:val="de-DE"/>
        </w:rPr>
      </w:pPr>
      <w:proofErr w:type="spellStart"/>
      <w:r w:rsidRPr="007E23ED">
        <w:rPr>
          <w:b/>
          <w:bCs/>
          <w:sz w:val="24"/>
          <w:szCs w:val="24"/>
          <w:lang w:val="de-DE"/>
        </w:rPr>
        <w:t>Repræsentant</w:t>
      </w:r>
      <w:proofErr w:type="spellEnd"/>
    </w:p>
    <w:p w14:paraId="31C45123" w14:textId="77777777" w:rsidR="008C1542" w:rsidRPr="007E23ED" w:rsidRDefault="008C1542" w:rsidP="007E23ED">
      <w:pPr>
        <w:tabs>
          <w:tab w:val="left" w:pos="1304"/>
        </w:tabs>
        <w:ind w:left="851"/>
        <w:rPr>
          <w:sz w:val="24"/>
          <w:szCs w:val="24"/>
          <w:lang w:val="de-DE"/>
        </w:rPr>
      </w:pPr>
      <w:proofErr w:type="spellStart"/>
      <w:r w:rsidRPr="007E23ED">
        <w:rPr>
          <w:sz w:val="24"/>
          <w:szCs w:val="24"/>
          <w:lang w:val="de-DE"/>
        </w:rPr>
        <w:t>Scanvet</w:t>
      </w:r>
      <w:proofErr w:type="spellEnd"/>
      <w:r w:rsidRPr="007E23ED">
        <w:rPr>
          <w:sz w:val="24"/>
          <w:szCs w:val="24"/>
          <w:lang w:val="de-DE"/>
        </w:rPr>
        <w:t xml:space="preserve"> Animal Health A/S</w:t>
      </w:r>
    </w:p>
    <w:p w14:paraId="53696FF9" w14:textId="77777777" w:rsidR="008C1542" w:rsidRPr="007E23ED" w:rsidRDefault="008C1542" w:rsidP="007E23ED">
      <w:pPr>
        <w:tabs>
          <w:tab w:val="left" w:pos="1304"/>
        </w:tabs>
        <w:ind w:left="851"/>
        <w:rPr>
          <w:sz w:val="24"/>
          <w:szCs w:val="24"/>
          <w:lang w:val="de-DE"/>
        </w:rPr>
      </w:pPr>
      <w:proofErr w:type="spellStart"/>
      <w:r w:rsidRPr="007E23ED">
        <w:rPr>
          <w:sz w:val="24"/>
          <w:szCs w:val="24"/>
          <w:lang w:val="de-DE"/>
        </w:rPr>
        <w:t>Kongevejen</w:t>
      </w:r>
      <w:proofErr w:type="spellEnd"/>
      <w:r w:rsidRPr="007E23ED">
        <w:rPr>
          <w:sz w:val="24"/>
          <w:szCs w:val="24"/>
          <w:lang w:val="de-DE"/>
        </w:rPr>
        <w:t xml:space="preserve"> 66</w:t>
      </w:r>
    </w:p>
    <w:p w14:paraId="0EF98F82" w14:textId="0A5CCEB3" w:rsidR="008C1542" w:rsidRPr="007E23ED" w:rsidRDefault="008C1542" w:rsidP="007E23ED">
      <w:pPr>
        <w:tabs>
          <w:tab w:val="left" w:pos="1304"/>
        </w:tabs>
        <w:ind w:left="851"/>
        <w:rPr>
          <w:sz w:val="24"/>
          <w:szCs w:val="24"/>
          <w:lang w:val="de-DE"/>
        </w:rPr>
      </w:pPr>
      <w:r w:rsidRPr="007E23ED">
        <w:rPr>
          <w:sz w:val="24"/>
          <w:szCs w:val="24"/>
          <w:lang w:val="de-DE"/>
        </w:rPr>
        <w:t xml:space="preserve">3480 </w:t>
      </w:r>
      <w:proofErr w:type="spellStart"/>
      <w:r w:rsidRPr="007E23ED">
        <w:rPr>
          <w:sz w:val="24"/>
          <w:szCs w:val="24"/>
          <w:lang w:val="de-DE"/>
        </w:rPr>
        <w:t>Fredensborg</w:t>
      </w:r>
      <w:proofErr w:type="spellEnd"/>
    </w:p>
    <w:p w14:paraId="1D06A0C6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2528062" w14:textId="77777777" w:rsidR="005B0036" w:rsidRPr="007E23E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8.</w:t>
      </w:r>
      <w:r w:rsidRPr="007E23ED">
        <w:rPr>
          <w:b/>
          <w:sz w:val="24"/>
          <w:szCs w:val="24"/>
        </w:rPr>
        <w:tab/>
        <w:t>MARKEDSFØRINGSTILLADELSESNUMMER (NUMRE)</w:t>
      </w:r>
    </w:p>
    <w:p w14:paraId="5213E8C5" w14:textId="4372EB2B" w:rsidR="005B0036" w:rsidRPr="007E23ED" w:rsidRDefault="008C154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E23ED">
        <w:rPr>
          <w:sz w:val="24"/>
          <w:szCs w:val="24"/>
        </w:rPr>
        <w:t>66791</w:t>
      </w:r>
    </w:p>
    <w:p w14:paraId="60D5BE1B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EB0B45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9.</w:t>
      </w:r>
      <w:r w:rsidRPr="007E23ED">
        <w:rPr>
          <w:b/>
          <w:sz w:val="24"/>
          <w:szCs w:val="24"/>
        </w:rPr>
        <w:tab/>
        <w:t>DATO FOR FØRSTE MARKEDSFØRINGSTILLADELSE</w:t>
      </w:r>
    </w:p>
    <w:p w14:paraId="0E1C1A68" w14:textId="207F992A" w:rsidR="005B0036" w:rsidRPr="007E23ED" w:rsidRDefault="001A321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12. december 2022</w:t>
      </w:r>
    </w:p>
    <w:p w14:paraId="672DAE12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E7BD269" w14:textId="77777777" w:rsidR="005B0036" w:rsidRPr="007E23ED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10.</w:t>
      </w:r>
      <w:r w:rsidRPr="007E23ED">
        <w:rPr>
          <w:b/>
          <w:sz w:val="24"/>
          <w:szCs w:val="24"/>
        </w:rPr>
        <w:tab/>
        <w:t>DATO FOR ÆNDRING AF TEKSTEN</w:t>
      </w:r>
    </w:p>
    <w:p w14:paraId="4F43F93C" w14:textId="15157367" w:rsidR="005B0036" w:rsidRPr="007E23ED" w:rsidRDefault="001D75D3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februar 2024</w:t>
      </w:r>
      <w:bookmarkStart w:id="14" w:name="_GoBack"/>
      <w:bookmarkEnd w:id="14"/>
    </w:p>
    <w:p w14:paraId="7DBD4CA2" w14:textId="77777777" w:rsidR="005B0036" w:rsidRPr="007E23ED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231DAE3" w14:textId="77777777" w:rsidR="005B0036" w:rsidRPr="007E23ED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E23ED">
        <w:rPr>
          <w:b/>
          <w:sz w:val="24"/>
          <w:szCs w:val="24"/>
        </w:rPr>
        <w:t>11.</w:t>
      </w:r>
      <w:r w:rsidRPr="007E23ED">
        <w:rPr>
          <w:b/>
          <w:sz w:val="24"/>
          <w:szCs w:val="24"/>
        </w:rPr>
        <w:tab/>
        <w:t>UDLEVERINGSBESTEMMELSE</w:t>
      </w:r>
    </w:p>
    <w:p w14:paraId="2DA71001" w14:textId="271664DD" w:rsidR="005B0036" w:rsidRPr="007E23ED" w:rsidRDefault="007E23ED" w:rsidP="005B003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7E23ED">
        <w:rPr>
          <w:szCs w:val="24"/>
        </w:rPr>
        <w:t>B</w:t>
      </w:r>
    </w:p>
    <w:sectPr w:rsidR="005B0036" w:rsidRPr="007E23ED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5C828" w14:textId="77777777" w:rsidR="001D1166" w:rsidRDefault="001D1166">
      <w:r>
        <w:separator/>
      </w:r>
    </w:p>
  </w:endnote>
  <w:endnote w:type="continuationSeparator" w:id="0">
    <w:p w14:paraId="587412E5" w14:textId="77777777" w:rsidR="001D1166" w:rsidRDefault="001D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9615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1C48C02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C3BDD2D" w14:textId="05B4F19D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82903">
      <w:rPr>
        <w:i/>
        <w:noProof/>
        <w:snapToGrid w:val="0"/>
        <w:sz w:val="18"/>
      </w:rPr>
      <w:t>Felithyrol Vet., oral opløsning 5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7ED62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78A952F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A89D19C" w14:textId="3A3103C0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82903">
      <w:rPr>
        <w:i/>
        <w:noProof/>
        <w:snapToGrid w:val="0"/>
        <w:sz w:val="18"/>
      </w:rPr>
      <w:t>Felithyrol Vet., oral opløsning 5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D532" w14:textId="77777777" w:rsidR="001D1166" w:rsidRDefault="001D1166">
      <w:r>
        <w:separator/>
      </w:r>
    </w:p>
  </w:footnote>
  <w:footnote w:type="continuationSeparator" w:id="0">
    <w:p w14:paraId="216FA413" w14:textId="77777777" w:rsidR="001D1166" w:rsidRDefault="001D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103E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4D48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40085F"/>
    <w:multiLevelType w:val="hybridMultilevel"/>
    <w:tmpl w:val="FBDEF622"/>
    <w:lvl w:ilvl="0" w:tplc="2B62A41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1FB5635"/>
    <w:multiLevelType w:val="hybridMultilevel"/>
    <w:tmpl w:val="0AF4AD94"/>
    <w:lvl w:ilvl="0" w:tplc="2B62A41A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F476693"/>
    <w:multiLevelType w:val="hybridMultilevel"/>
    <w:tmpl w:val="8AD0E2F6"/>
    <w:lvl w:ilvl="0" w:tplc="A0C2D9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6"/>
    <w:rsid w:val="0003527F"/>
    <w:rsid w:val="00065C7D"/>
    <w:rsid w:val="000C6CD4"/>
    <w:rsid w:val="001577E4"/>
    <w:rsid w:val="00182903"/>
    <w:rsid w:val="001858CA"/>
    <w:rsid w:val="001A321D"/>
    <w:rsid w:val="001C4AEF"/>
    <w:rsid w:val="001D1166"/>
    <w:rsid w:val="001D3CC5"/>
    <w:rsid w:val="001D75D3"/>
    <w:rsid w:val="00322BDE"/>
    <w:rsid w:val="00406EE7"/>
    <w:rsid w:val="00407013"/>
    <w:rsid w:val="004A62CC"/>
    <w:rsid w:val="00565A74"/>
    <w:rsid w:val="005B0036"/>
    <w:rsid w:val="005F5831"/>
    <w:rsid w:val="00611A0E"/>
    <w:rsid w:val="00662012"/>
    <w:rsid w:val="00666B01"/>
    <w:rsid w:val="006B1539"/>
    <w:rsid w:val="006F5621"/>
    <w:rsid w:val="007E23ED"/>
    <w:rsid w:val="007E2A00"/>
    <w:rsid w:val="008010F2"/>
    <w:rsid w:val="00860C95"/>
    <w:rsid w:val="008C1542"/>
    <w:rsid w:val="009202AE"/>
    <w:rsid w:val="009D66C6"/>
    <w:rsid w:val="00A13E87"/>
    <w:rsid w:val="00A96525"/>
    <w:rsid w:val="00AE29E5"/>
    <w:rsid w:val="00AE5757"/>
    <w:rsid w:val="00B25EB8"/>
    <w:rsid w:val="00BC634B"/>
    <w:rsid w:val="00BF2AE0"/>
    <w:rsid w:val="00C479BF"/>
    <w:rsid w:val="00DA7CB9"/>
    <w:rsid w:val="00DD6D71"/>
    <w:rsid w:val="00DF32BE"/>
    <w:rsid w:val="00E14F0A"/>
    <w:rsid w:val="00E42C48"/>
    <w:rsid w:val="00E97BD3"/>
    <w:rsid w:val="00EB5778"/>
    <w:rsid w:val="00EE5253"/>
    <w:rsid w:val="00FA66E4"/>
    <w:rsid w:val="00FD6433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9112E"/>
  <w15:chartTrackingRefBased/>
  <w15:docId w15:val="{AC5D608A-3FD3-4A38-A8A0-35121A80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Brdtekst">
    <w:name w:val="Body Text"/>
    <w:basedOn w:val="Normal"/>
    <w:link w:val="BrdtekstTegn"/>
    <w:semiHidden/>
    <w:unhideWhenUsed/>
    <w:rsid w:val="008C1542"/>
    <w:pPr>
      <w:jc w:val="both"/>
    </w:pPr>
    <w:rPr>
      <w:sz w:val="22"/>
      <w:lang w:val="en-GB"/>
    </w:rPr>
  </w:style>
  <w:style w:type="character" w:customStyle="1" w:styleId="BrdtekstTegn">
    <w:name w:val="Brødtekst Tegn"/>
    <w:basedOn w:val="Standardskrifttypeiafsnit"/>
    <w:link w:val="Brdtekst"/>
    <w:semiHidden/>
    <w:rsid w:val="008C154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C1542"/>
    <w:pPr>
      <w:widowControl w:val="0"/>
      <w:autoSpaceDE w:val="0"/>
      <w:autoSpaceDN w:val="0"/>
    </w:pPr>
    <w:rPr>
      <w:sz w:val="22"/>
      <w:szCs w:val="22"/>
      <w:lang w:val="nl-NL"/>
    </w:rPr>
  </w:style>
  <w:style w:type="paragraph" w:styleId="Listeafsnit">
    <w:name w:val="List Paragraph"/>
    <w:basedOn w:val="Normal"/>
    <w:uiPriority w:val="34"/>
    <w:qFormat/>
    <w:rsid w:val="0086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9-01-SKB%20SPC%20Vet%20skabelon%20(GL-QRDv8.2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009-01-SKB SPC Vet skabelon (GL-QRDv8.2)</Template>
  <TotalTime>1</TotalTime>
  <Pages>6</Pages>
  <Words>1770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2023121365 punkt 6.5</dc:description>
  <cp:lastModifiedBy>Nanna Helene Lillelund</cp:lastModifiedBy>
  <cp:revision>2</cp:revision>
  <dcterms:created xsi:type="dcterms:W3CDTF">2024-02-19T08:14:00Z</dcterms:created>
  <dcterms:modified xsi:type="dcterms:W3CDTF">2024-02-19T08:14:00Z</dcterms:modified>
</cp:coreProperties>
</file>