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FD4EB4" w:rsidRPr="00EE1688" w:rsidRDefault="001F7D26" w:rsidP="00FD4EB4">
      <w:pPr>
        <w:tabs>
          <w:tab w:val="left" w:pos="6804"/>
        </w:tabs>
        <w:rPr>
          <w:b/>
          <w:sz w:val="24"/>
          <w:szCs w:val="24"/>
        </w:rPr>
      </w:pP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 w:rsidR="004965D7">
        <w:fldChar w:fldCharType="begin"/>
      </w:r>
      <w:r w:rsidR="004965D7">
        <w:instrText xml:space="preserve"> INCLUDEPICTURE  "cid:image004.jpg@01D117E9.E5553340" \* MERGEFORMATINET </w:instrText>
      </w:r>
      <w:r w:rsidR="004965D7">
        <w:fldChar w:fldCharType="separate"/>
      </w:r>
      <w:r w:rsidR="00182055">
        <w:fldChar w:fldCharType="begin"/>
      </w:r>
      <w:r w:rsidR="00182055">
        <w:instrText xml:space="preserve"> INCLUDEPICTURE  "cid:image004.jpg@01D117E9.E5553340" \* MERGEFORMATINET </w:instrText>
      </w:r>
      <w:r w:rsidR="00182055">
        <w:fldChar w:fldCharType="separate"/>
      </w:r>
      <w:r w:rsidR="00861C48">
        <w:fldChar w:fldCharType="begin"/>
      </w:r>
      <w:r w:rsidR="00861C48">
        <w:instrText xml:space="preserve"> INCLUDEPICTURE  "cid:image004.jpg@01D117E9.E5553340" \* MERGEFORMATINET </w:instrText>
      </w:r>
      <w:r w:rsidR="00861C48">
        <w:fldChar w:fldCharType="separate"/>
      </w:r>
      <w:r w:rsidR="000A6C7D">
        <w:fldChar w:fldCharType="begin"/>
      </w:r>
      <w:r w:rsidR="000A6C7D">
        <w:instrText xml:space="preserve"> INCLUDEPICTURE  "cid:image004.jpg@01D117E9.E5553340" \* MERGEFORMATINET </w:instrText>
      </w:r>
      <w:r w:rsidR="000A6C7D">
        <w:fldChar w:fldCharType="separate"/>
      </w:r>
      <w:r w:rsidR="007600D5">
        <w:fldChar w:fldCharType="begin"/>
      </w:r>
      <w:r w:rsidR="007600D5">
        <w:instrText xml:space="preserve"> INCLUDEPICTURE  "cid:image004.jpg@01D117E9.E5553340" \* MERGEFORMATINET </w:instrText>
      </w:r>
      <w:r w:rsidR="007600D5">
        <w:fldChar w:fldCharType="separate"/>
      </w:r>
      <w:r w:rsidR="00817C64">
        <w:fldChar w:fldCharType="begin"/>
      </w:r>
      <w:r w:rsidR="00817C64">
        <w:instrText xml:space="preserve"> INCLUDEPICTURE  "cid:image004.jpg@01D117E9.E5553340" \* MERGEFORMATINET </w:instrText>
      </w:r>
      <w:r w:rsidR="00817C64">
        <w:fldChar w:fldCharType="separate"/>
      </w:r>
      <w:r w:rsidR="004516F3">
        <w:fldChar w:fldCharType="begin"/>
      </w:r>
      <w:r w:rsidR="004516F3">
        <w:instrText xml:space="preserve"> </w:instrText>
      </w:r>
      <w:r w:rsidR="004516F3">
        <w:instrText>INCLUDEPICTURE  "cid:image004.jpg@01D117E9.E5553340" \* MERGEFORMATINET</w:instrText>
      </w:r>
      <w:r w:rsidR="004516F3">
        <w:instrText xml:space="preserve"> </w:instrText>
      </w:r>
      <w:r w:rsidR="004516F3">
        <w:fldChar w:fldCharType="separate"/>
      </w:r>
      <w:r w:rsidR="004516F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1" o:spid="_x0000_i1025" type="#_x0000_t75" alt="LMST_auto_stor" style="width:192.75pt;height:55.5pt">
            <v:imagedata r:id="rId7" r:href="rId8"/>
          </v:shape>
        </w:pict>
      </w:r>
      <w:r w:rsidR="004516F3">
        <w:fldChar w:fldCharType="end"/>
      </w:r>
      <w:r w:rsidR="00817C64">
        <w:fldChar w:fldCharType="end"/>
      </w:r>
      <w:r w:rsidR="007600D5">
        <w:fldChar w:fldCharType="end"/>
      </w:r>
      <w:r w:rsidR="000A6C7D">
        <w:fldChar w:fldCharType="end"/>
      </w:r>
      <w:r w:rsidR="00861C48">
        <w:fldChar w:fldCharType="end"/>
      </w:r>
      <w:r w:rsidR="00182055">
        <w:fldChar w:fldCharType="end"/>
      </w:r>
      <w:r w:rsidR="004965D7">
        <w:fldChar w:fldCharType="end"/>
      </w:r>
      <w:r>
        <w:fldChar w:fldCharType="end"/>
      </w:r>
    </w:p>
    <w:p w:rsidR="00FD4EB4" w:rsidRPr="00EE1688" w:rsidRDefault="00FD4EB4" w:rsidP="00FD4EB4">
      <w:pPr>
        <w:tabs>
          <w:tab w:val="left" w:pos="6804"/>
        </w:tabs>
        <w:rPr>
          <w:b/>
          <w:sz w:val="24"/>
          <w:szCs w:val="24"/>
        </w:rPr>
      </w:pPr>
    </w:p>
    <w:p w:rsidR="00FD4EB4" w:rsidRPr="00EE1688" w:rsidRDefault="007600D5" w:rsidP="00FD4EB4">
      <w:pPr>
        <w:tabs>
          <w:tab w:val="left" w:pos="6804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17. december 2024</w:t>
      </w:r>
    </w:p>
    <w:p w:rsidR="00FD4EB4" w:rsidRPr="00EE1688" w:rsidRDefault="00FD4EB4" w:rsidP="00FD4EB4">
      <w:pPr>
        <w:tabs>
          <w:tab w:val="left" w:pos="8222"/>
        </w:tabs>
        <w:rPr>
          <w:sz w:val="24"/>
          <w:szCs w:val="24"/>
        </w:rPr>
      </w:pPr>
    </w:p>
    <w:p w:rsidR="00FD4EB4" w:rsidRPr="00EE1688" w:rsidRDefault="00FD4EB4" w:rsidP="00FD4EB4">
      <w:pPr>
        <w:tabs>
          <w:tab w:val="left" w:pos="8222"/>
        </w:tabs>
        <w:jc w:val="center"/>
        <w:rPr>
          <w:b/>
          <w:sz w:val="24"/>
          <w:szCs w:val="24"/>
        </w:rPr>
      </w:pPr>
      <w:r w:rsidRPr="00EE1688">
        <w:rPr>
          <w:b/>
          <w:sz w:val="24"/>
          <w:szCs w:val="24"/>
        </w:rPr>
        <w:t>PRODUKTRESUMÉ</w:t>
      </w:r>
    </w:p>
    <w:p w:rsidR="00FD4EB4" w:rsidRPr="00EE1688" w:rsidRDefault="00FD4EB4" w:rsidP="00FD4EB4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FD4EB4" w:rsidRPr="00EE1688" w:rsidRDefault="00FD4EB4" w:rsidP="00FD4EB4">
      <w:pPr>
        <w:tabs>
          <w:tab w:val="left" w:pos="8222"/>
        </w:tabs>
        <w:jc w:val="center"/>
        <w:rPr>
          <w:b/>
          <w:sz w:val="24"/>
          <w:szCs w:val="24"/>
        </w:rPr>
      </w:pPr>
      <w:r w:rsidRPr="00EE1688">
        <w:rPr>
          <w:b/>
          <w:sz w:val="24"/>
          <w:szCs w:val="24"/>
        </w:rPr>
        <w:t>for</w:t>
      </w:r>
    </w:p>
    <w:p w:rsidR="00FD4EB4" w:rsidRPr="00EE1688" w:rsidRDefault="00FD4EB4" w:rsidP="00FD4EB4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FD4EB4" w:rsidRPr="00EE1688" w:rsidRDefault="00FD4EB4" w:rsidP="00FD4EB4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 w:rsidRPr="00EE1688">
        <w:rPr>
          <w:b/>
          <w:sz w:val="24"/>
          <w:szCs w:val="24"/>
        </w:rPr>
        <w:t>Finilac</w:t>
      </w:r>
      <w:proofErr w:type="spellEnd"/>
      <w:r w:rsidRPr="00EE1688">
        <w:rPr>
          <w:b/>
          <w:sz w:val="24"/>
          <w:szCs w:val="24"/>
        </w:rPr>
        <w:t xml:space="preserve"> </w:t>
      </w:r>
      <w:proofErr w:type="spellStart"/>
      <w:r w:rsidRPr="00EE1688">
        <w:rPr>
          <w:b/>
          <w:sz w:val="24"/>
          <w:szCs w:val="24"/>
        </w:rPr>
        <w:t>Vet</w:t>
      </w:r>
      <w:proofErr w:type="spellEnd"/>
      <w:r w:rsidRPr="00EE1688">
        <w:rPr>
          <w:b/>
          <w:sz w:val="24"/>
          <w:szCs w:val="24"/>
        </w:rPr>
        <w:t>., oral opløsning</w:t>
      </w:r>
    </w:p>
    <w:p w:rsidR="00FD4EB4" w:rsidRPr="00EE1688" w:rsidRDefault="00FD4EB4" w:rsidP="00FD4EB4">
      <w:pPr>
        <w:tabs>
          <w:tab w:val="left" w:pos="8222"/>
        </w:tabs>
        <w:jc w:val="both"/>
        <w:rPr>
          <w:sz w:val="24"/>
          <w:szCs w:val="24"/>
        </w:rPr>
      </w:pPr>
    </w:p>
    <w:p w:rsidR="00FD4EB4" w:rsidRPr="00EE1688" w:rsidRDefault="00FD4EB4" w:rsidP="00FD4EB4">
      <w:pPr>
        <w:tabs>
          <w:tab w:val="left" w:pos="8222"/>
        </w:tabs>
        <w:jc w:val="both"/>
        <w:rPr>
          <w:sz w:val="24"/>
          <w:szCs w:val="24"/>
        </w:rPr>
      </w:pPr>
    </w:p>
    <w:p w:rsidR="00FD4EB4" w:rsidRPr="00EE1688" w:rsidRDefault="00FD4EB4" w:rsidP="00817C64">
      <w:pPr>
        <w:tabs>
          <w:tab w:val="left" w:pos="8222"/>
        </w:tabs>
        <w:ind w:left="567" w:hanging="567"/>
        <w:rPr>
          <w:b/>
          <w:sz w:val="24"/>
          <w:szCs w:val="24"/>
        </w:rPr>
      </w:pPr>
      <w:r w:rsidRPr="00EE1688">
        <w:rPr>
          <w:b/>
          <w:sz w:val="24"/>
          <w:szCs w:val="24"/>
        </w:rPr>
        <w:t>0.</w:t>
      </w:r>
      <w:r w:rsidRPr="00EE1688">
        <w:rPr>
          <w:b/>
          <w:sz w:val="24"/>
          <w:szCs w:val="24"/>
        </w:rPr>
        <w:tab/>
        <w:t>D.SP.NR.</w:t>
      </w:r>
    </w:p>
    <w:p w:rsidR="00FD4EB4" w:rsidRPr="00EE1688" w:rsidRDefault="00FD4EB4" w:rsidP="00817C64">
      <w:pPr>
        <w:tabs>
          <w:tab w:val="left" w:pos="8222"/>
        </w:tabs>
        <w:ind w:left="567"/>
        <w:rPr>
          <w:sz w:val="24"/>
          <w:szCs w:val="24"/>
        </w:rPr>
      </w:pPr>
      <w:r w:rsidRPr="00EE1688">
        <w:rPr>
          <w:sz w:val="24"/>
          <w:szCs w:val="24"/>
        </w:rPr>
        <w:t>29180</w:t>
      </w:r>
    </w:p>
    <w:p w:rsidR="00FD4EB4" w:rsidRPr="00EE1688" w:rsidRDefault="00FD4EB4" w:rsidP="00FD4EB4">
      <w:pPr>
        <w:tabs>
          <w:tab w:val="left" w:pos="8222"/>
        </w:tabs>
        <w:ind w:left="851"/>
        <w:rPr>
          <w:sz w:val="24"/>
          <w:szCs w:val="24"/>
        </w:rPr>
      </w:pPr>
    </w:p>
    <w:p w:rsidR="00FD4EB4" w:rsidRPr="00817C64" w:rsidRDefault="00FD4EB4" w:rsidP="00817C64">
      <w:pPr>
        <w:pStyle w:val="Listeafsnit"/>
        <w:numPr>
          <w:ilvl w:val="0"/>
          <w:numId w:val="8"/>
        </w:numPr>
        <w:tabs>
          <w:tab w:val="left" w:pos="8222"/>
        </w:tabs>
        <w:ind w:left="567" w:hanging="567"/>
        <w:rPr>
          <w:b/>
          <w:sz w:val="24"/>
          <w:szCs w:val="24"/>
        </w:rPr>
      </w:pPr>
      <w:r w:rsidRPr="00817C64">
        <w:rPr>
          <w:b/>
          <w:sz w:val="24"/>
          <w:szCs w:val="24"/>
        </w:rPr>
        <w:t>VETERINÆRLÆGEMIDLETS NAVN</w:t>
      </w:r>
    </w:p>
    <w:p w:rsidR="007600D5" w:rsidRDefault="007600D5" w:rsidP="00817C64">
      <w:pPr>
        <w:tabs>
          <w:tab w:val="left" w:pos="8222"/>
        </w:tabs>
        <w:ind w:firstLine="567"/>
        <w:rPr>
          <w:szCs w:val="22"/>
        </w:rPr>
      </w:pPr>
      <w:proofErr w:type="spellStart"/>
      <w:r w:rsidRPr="00A25210">
        <w:rPr>
          <w:szCs w:val="22"/>
        </w:rPr>
        <w:t>Finilac</w:t>
      </w:r>
      <w:proofErr w:type="spellEnd"/>
      <w:r w:rsidRPr="00A25210">
        <w:rPr>
          <w:szCs w:val="22"/>
        </w:rPr>
        <w:t xml:space="preserve"> </w:t>
      </w:r>
      <w:proofErr w:type="spellStart"/>
      <w:r w:rsidRPr="00A25210">
        <w:rPr>
          <w:szCs w:val="22"/>
        </w:rPr>
        <w:t>Vet</w:t>
      </w:r>
      <w:proofErr w:type="spellEnd"/>
      <w:r w:rsidRPr="00A25210">
        <w:rPr>
          <w:szCs w:val="22"/>
        </w:rPr>
        <w:t>.</w:t>
      </w:r>
    </w:p>
    <w:p w:rsidR="007600D5" w:rsidRDefault="007600D5" w:rsidP="007600D5">
      <w:pPr>
        <w:tabs>
          <w:tab w:val="left" w:pos="8222"/>
        </w:tabs>
        <w:rPr>
          <w:szCs w:val="22"/>
        </w:rPr>
      </w:pPr>
    </w:p>
    <w:p w:rsidR="007600D5" w:rsidRDefault="007600D5" w:rsidP="00817C64">
      <w:pPr>
        <w:tabs>
          <w:tab w:val="left" w:pos="8222"/>
        </w:tabs>
        <w:ind w:firstLine="567"/>
        <w:rPr>
          <w:szCs w:val="22"/>
        </w:rPr>
      </w:pPr>
      <w:r>
        <w:rPr>
          <w:szCs w:val="22"/>
        </w:rPr>
        <w:t>Lægemiddelform: Oral opløsning</w:t>
      </w:r>
    </w:p>
    <w:p w:rsidR="007600D5" w:rsidRPr="00F260F0" w:rsidRDefault="007600D5" w:rsidP="00817C64">
      <w:pPr>
        <w:tabs>
          <w:tab w:val="left" w:pos="8222"/>
        </w:tabs>
        <w:ind w:firstLine="567"/>
        <w:rPr>
          <w:szCs w:val="22"/>
        </w:rPr>
      </w:pPr>
      <w:r>
        <w:rPr>
          <w:szCs w:val="22"/>
        </w:rPr>
        <w:t>Styrke: 50 mikrogram/ml</w:t>
      </w:r>
    </w:p>
    <w:p w:rsidR="007600D5" w:rsidRPr="00F260F0" w:rsidRDefault="007600D5" w:rsidP="007600D5">
      <w:pPr>
        <w:rPr>
          <w:szCs w:val="22"/>
        </w:rPr>
      </w:pPr>
    </w:p>
    <w:p w:rsidR="007600D5" w:rsidRPr="00F260F0" w:rsidRDefault="007600D5" w:rsidP="007600D5">
      <w:pPr>
        <w:pStyle w:val="Style1"/>
      </w:pPr>
      <w:r w:rsidRPr="00F260F0">
        <w:t>2.</w:t>
      </w:r>
      <w:r w:rsidRPr="00F260F0">
        <w:tab/>
        <w:t>KVALITATIV OG KVANTITATIV SAMMENSÆTNING</w:t>
      </w:r>
    </w:p>
    <w:p w:rsidR="007600D5" w:rsidRPr="00F260F0" w:rsidRDefault="007600D5" w:rsidP="007600D5">
      <w:pPr>
        <w:rPr>
          <w:szCs w:val="22"/>
        </w:rPr>
      </w:pPr>
    </w:p>
    <w:p w:rsidR="007600D5" w:rsidRPr="00A25210" w:rsidRDefault="007600D5" w:rsidP="007600D5">
      <w:pPr>
        <w:ind w:firstLine="567"/>
        <w:rPr>
          <w:szCs w:val="22"/>
        </w:rPr>
      </w:pPr>
      <w:r w:rsidRPr="00A25210">
        <w:rPr>
          <w:szCs w:val="22"/>
        </w:rPr>
        <w:t>Hver ml indeholder:</w:t>
      </w:r>
    </w:p>
    <w:p w:rsidR="007600D5" w:rsidRPr="00A25210" w:rsidRDefault="007600D5" w:rsidP="007600D5">
      <w:pPr>
        <w:spacing w:line="259" w:lineRule="auto"/>
        <w:rPr>
          <w:szCs w:val="22"/>
        </w:rPr>
      </w:pPr>
    </w:p>
    <w:p w:rsidR="007600D5" w:rsidRPr="005E0FCE" w:rsidRDefault="007600D5" w:rsidP="007600D5">
      <w:pPr>
        <w:spacing w:line="251" w:lineRule="auto"/>
        <w:ind w:firstLine="567"/>
        <w:rPr>
          <w:b/>
          <w:bCs/>
          <w:szCs w:val="22"/>
        </w:rPr>
      </w:pPr>
      <w:r w:rsidRPr="005E0FCE">
        <w:rPr>
          <w:b/>
          <w:bCs/>
          <w:szCs w:val="22"/>
        </w:rPr>
        <w:t>Aktivt stof:</w:t>
      </w:r>
    </w:p>
    <w:p w:rsidR="007600D5" w:rsidRPr="00A25210" w:rsidRDefault="007600D5" w:rsidP="007600D5">
      <w:pPr>
        <w:ind w:firstLine="567"/>
        <w:rPr>
          <w:szCs w:val="22"/>
        </w:rPr>
      </w:pPr>
      <w:proofErr w:type="spellStart"/>
      <w:r w:rsidRPr="00A25210">
        <w:rPr>
          <w:szCs w:val="22"/>
        </w:rPr>
        <w:t>Cabergolin</w:t>
      </w:r>
      <w:proofErr w:type="spellEnd"/>
      <w:r w:rsidRPr="00A25210">
        <w:rPr>
          <w:szCs w:val="22"/>
        </w:rPr>
        <w:t xml:space="preserve"> 50 mikrogram.</w:t>
      </w:r>
    </w:p>
    <w:p w:rsidR="007600D5" w:rsidRPr="00A25210" w:rsidRDefault="007600D5" w:rsidP="007600D5">
      <w:pPr>
        <w:spacing w:line="259" w:lineRule="auto"/>
        <w:rPr>
          <w:szCs w:val="22"/>
        </w:rPr>
      </w:pPr>
      <w:r w:rsidRPr="00A25210">
        <w:rPr>
          <w:szCs w:val="22"/>
        </w:rPr>
        <w:t xml:space="preserve"> </w:t>
      </w:r>
    </w:p>
    <w:p w:rsidR="007600D5" w:rsidRPr="00A25210" w:rsidRDefault="007600D5" w:rsidP="007600D5">
      <w:pPr>
        <w:ind w:firstLine="567"/>
        <w:rPr>
          <w:szCs w:val="22"/>
          <w:u w:val="single"/>
        </w:rPr>
      </w:pPr>
      <w:r w:rsidRPr="005E0FCE">
        <w:rPr>
          <w:b/>
          <w:bCs/>
          <w:szCs w:val="22"/>
        </w:rPr>
        <w:t>Hjælpestof:</w:t>
      </w:r>
    </w:p>
    <w:p w:rsidR="007600D5" w:rsidRPr="00F260F0" w:rsidRDefault="007600D5" w:rsidP="007600D5">
      <w:pPr>
        <w:rPr>
          <w:szCs w:val="22"/>
        </w:rPr>
      </w:pPr>
    </w:p>
    <w:tbl>
      <w:tblPr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6"/>
      </w:tblGrid>
      <w:tr w:rsidR="007600D5" w:rsidTr="007600D5">
        <w:tc>
          <w:tcPr>
            <w:tcW w:w="6516" w:type="dxa"/>
            <w:shd w:val="clear" w:color="auto" w:fill="auto"/>
            <w:vAlign w:val="center"/>
          </w:tcPr>
          <w:p w:rsidR="007600D5" w:rsidRPr="00F260F0" w:rsidRDefault="007600D5" w:rsidP="00941438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F260F0">
              <w:rPr>
                <w:b/>
                <w:bCs/>
                <w:iCs/>
                <w:szCs w:val="22"/>
              </w:rPr>
              <w:t>Kvalitativ sammensætning af hjælpestoffer og andre bestanddele</w:t>
            </w:r>
          </w:p>
        </w:tc>
      </w:tr>
      <w:tr w:rsidR="007600D5" w:rsidTr="007600D5">
        <w:tc>
          <w:tcPr>
            <w:tcW w:w="6516" w:type="dxa"/>
            <w:shd w:val="clear" w:color="auto" w:fill="auto"/>
            <w:vAlign w:val="center"/>
          </w:tcPr>
          <w:p w:rsidR="007600D5" w:rsidRDefault="007600D5" w:rsidP="00941438">
            <w:pPr>
              <w:spacing w:before="60"/>
              <w:ind w:left="567" w:hanging="567"/>
              <w:rPr>
                <w:iCs/>
                <w:szCs w:val="22"/>
              </w:rPr>
            </w:pPr>
            <w:r>
              <w:rPr>
                <w:iCs/>
                <w:szCs w:val="22"/>
              </w:rPr>
              <w:t>Triglycerider, middelkædelængde</w:t>
            </w:r>
          </w:p>
          <w:p w:rsidR="007600D5" w:rsidRPr="00F260F0" w:rsidRDefault="007600D5" w:rsidP="00941438">
            <w:pPr>
              <w:spacing w:before="60"/>
              <w:ind w:left="567" w:hanging="567"/>
              <w:rPr>
                <w:iCs/>
                <w:szCs w:val="22"/>
              </w:rPr>
            </w:pPr>
          </w:p>
        </w:tc>
      </w:tr>
    </w:tbl>
    <w:p w:rsidR="007600D5" w:rsidRDefault="007600D5" w:rsidP="007600D5">
      <w:pPr>
        <w:tabs>
          <w:tab w:val="left" w:pos="567"/>
        </w:tabs>
        <w:spacing w:after="15" w:line="259" w:lineRule="auto"/>
        <w:rPr>
          <w:szCs w:val="22"/>
        </w:rPr>
      </w:pPr>
      <w:r>
        <w:rPr>
          <w:kern w:val="14"/>
          <w:szCs w:val="22"/>
        </w:rPr>
        <w:tab/>
      </w:r>
      <w:r w:rsidRPr="00A25210">
        <w:rPr>
          <w:kern w:val="14"/>
          <w:szCs w:val="22"/>
        </w:rPr>
        <w:t>Klar, farveløs til let brunlig opløsning.</w:t>
      </w:r>
    </w:p>
    <w:p w:rsidR="007600D5" w:rsidRPr="00F260F0" w:rsidRDefault="007600D5" w:rsidP="007600D5">
      <w:pPr>
        <w:rPr>
          <w:szCs w:val="22"/>
        </w:rPr>
      </w:pPr>
    </w:p>
    <w:p w:rsidR="007600D5" w:rsidRPr="00F260F0" w:rsidRDefault="007600D5" w:rsidP="007600D5">
      <w:pPr>
        <w:pStyle w:val="Style1"/>
      </w:pPr>
      <w:r w:rsidRPr="00F260F0">
        <w:t>3.</w:t>
      </w:r>
      <w:r w:rsidRPr="00F260F0">
        <w:tab/>
        <w:t>KLINISKE OPLYSNINGER</w:t>
      </w:r>
    </w:p>
    <w:p w:rsidR="007600D5" w:rsidRPr="00F260F0" w:rsidRDefault="007600D5" w:rsidP="007600D5">
      <w:pPr>
        <w:rPr>
          <w:szCs w:val="22"/>
        </w:rPr>
      </w:pPr>
    </w:p>
    <w:p w:rsidR="007600D5" w:rsidRPr="00F260F0" w:rsidRDefault="007600D5" w:rsidP="007600D5">
      <w:pPr>
        <w:pStyle w:val="Style1"/>
      </w:pPr>
      <w:r w:rsidRPr="00F260F0">
        <w:t>3.1</w:t>
      </w:r>
      <w:r w:rsidRPr="00F260F0">
        <w:tab/>
        <w:t>Dyrearter, som lægemidlet er beregnet til</w:t>
      </w:r>
    </w:p>
    <w:p w:rsidR="007600D5" w:rsidRDefault="007600D5" w:rsidP="007600D5">
      <w:pPr>
        <w:rPr>
          <w:szCs w:val="22"/>
        </w:rPr>
      </w:pPr>
    </w:p>
    <w:p w:rsidR="007600D5" w:rsidRPr="00A25210" w:rsidRDefault="007600D5" w:rsidP="007600D5">
      <w:pPr>
        <w:tabs>
          <w:tab w:val="left" w:pos="567"/>
          <w:tab w:val="left" w:pos="8222"/>
        </w:tabs>
        <w:rPr>
          <w:szCs w:val="22"/>
        </w:rPr>
      </w:pPr>
      <w:r>
        <w:rPr>
          <w:szCs w:val="22"/>
        </w:rPr>
        <w:tab/>
      </w:r>
      <w:r w:rsidRPr="00A25210">
        <w:rPr>
          <w:szCs w:val="22"/>
        </w:rPr>
        <w:t>Hund</w:t>
      </w:r>
      <w:r>
        <w:rPr>
          <w:szCs w:val="22"/>
        </w:rPr>
        <w:t xml:space="preserve"> og k</w:t>
      </w:r>
      <w:r w:rsidRPr="00A25210">
        <w:rPr>
          <w:szCs w:val="22"/>
        </w:rPr>
        <w:t>at</w:t>
      </w:r>
      <w:r>
        <w:rPr>
          <w:szCs w:val="22"/>
        </w:rPr>
        <w:t>.</w:t>
      </w:r>
    </w:p>
    <w:p w:rsidR="007600D5" w:rsidRPr="00F260F0" w:rsidRDefault="007600D5" w:rsidP="007600D5">
      <w:pPr>
        <w:rPr>
          <w:szCs w:val="22"/>
        </w:rPr>
      </w:pPr>
    </w:p>
    <w:p w:rsidR="007600D5" w:rsidRPr="00F260F0" w:rsidRDefault="007600D5" w:rsidP="007600D5">
      <w:pPr>
        <w:pStyle w:val="Style1"/>
      </w:pPr>
      <w:r w:rsidRPr="00F260F0">
        <w:t>3.2</w:t>
      </w:r>
      <w:r w:rsidRPr="00F260F0">
        <w:tab/>
        <w:t>Terapeutiske indikationer for hver dyreart, som lægemidlet er beregnet til</w:t>
      </w:r>
    </w:p>
    <w:p w:rsidR="007600D5" w:rsidRPr="00F260F0" w:rsidRDefault="007600D5" w:rsidP="007600D5">
      <w:pPr>
        <w:rPr>
          <w:szCs w:val="22"/>
        </w:rPr>
      </w:pPr>
    </w:p>
    <w:p w:rsidR="007600D5" w:rsidRPr="00A25210" w:rsidRDefault="007600D5" w:rsidP="007600D5">
      <w:pPr>
        <w:tabs>
          <w:tab w:val="left" w:pos="426"/>
        </w:tabs>
        <w:spacing w:after="15" w:line="259" w:lineRule="auto"/>
        <w:ind w:left="567"/>
        <w:rPr>
          <w:szCs w:val="22"/>
        </w:rPr>
      </w:pPr>
      <w:r w:rsidRPr="00A25210">
        <w:rPr>
          <w:szCs w:val="22"/>
        </w:rPr>
        <w:t>Behandling af falsk drægtighed hos tæver.</w:t>
      </w:r>
    </w:p>
    <w:p w:rsidR="007600D5" w:rsidRPr="00A25210" w:rsidRDefault="007600D5" w:rsidP="007600D5">
      <w:pPr>
        <w:tabs>
          <w:tab w:val="left" w:pos="426"/>
        </w:tabs>
        <w:spacing w:after="15" w:line="259" w:lineRule="auto"/>
        <w:ind w:left="567"/>
        <w:rPr>
          <w:szCs w:val="22"/>
        </w:rPr>
      </w:pPr>
      <w:r w:rsidRPr="00A25210">
        <w:rPr>
          <w:szCs w:val="22"/>
        </w:rPr>
        <w:t>Undertrykkelse af laktation hos tæver og hunkatte.</w:t>
      </w:r>
    </w:p>
    <w:p w:rsidR="007600D5" w:rsidRPr="00F260F0" w:rsidRDefault="007600D5" w:rsidP="007600D5">
      <w:pPr>
        <w:rPr>
          <w:szCs w:val="22"/>
        </w:rPr>
      </w:pPr>
    </w:p>
    <w:p w:rsidR="007600D5" w:rsidRPr="00F260F0" w:rsidRDefault="007600D5" w:rsidP="007600D5">
      <w:pPr>
        <w:pStyle w:val="Style1"/>
      </w:pPr>
      <w:r w:rsidRPr="00F260F0">
        <w:t>3.3</w:t>
      </w:r>
      <w:r w:rsidRPr="00F260F0">
        <w:tab/>
        <w:t>Kontraindikationer</w:t>
      </w:r>
    </w:p>
    <w:p w:rsidR="007600D5" w:rsidRPr="00F260F0" w:rsidRDefault="007600D5" w:rsidP="007600D5">
      <w:pPr>
        <w:rPr>
          <w:szCs w:val="22"/>
        </w:rPr>
      </w:pPr>
    </w:p>
    <w:p w:rsidR="007600D5" w:rsidRPr="00A25210" w:rsidRDefault="007600D5" w:rsidP="007600D5">
      <w:pPr>
        <w:tabs>
          <w:tab w:val="left" w:pos="426"/>
        </w:tabs>
        <w:ind w:left="567"/>
        <w:rPr>
          <w:szCs w:val="22"/>
        </w:rPr>
      </w:pPr>
      <w:r>
        <w:rPr>
          <w:szCs w:val="22"/>
        </w:rPr>
        <w:lastRenderedPageBreak/>
        <w:t>Må</w:t>
      </w:r>
      <w:r w:rsidRPr="00A25210">
        <w:rPr>
          <w:szCs w:val="22"/>
        </w:rPr>
        <w:t xml:space="preserve"> ikke anvendes til drægtige dyr, da </w:t>
      </w:r>
      <w:r>
        <w:rPr>
          <w:szCs w:val="22"/>
        </w:rPr>
        <w:t>veterinærlægemidlet</w:t>
      </w:r>
      <w:r w:rsidRPr="00A25210">
        <w:rPr>
          <w:szCs w:val="22"/>
        </w:rPr>
        <w:t xml:space="preserve"> kan føre til abort.</w:t>
      </w:r>
    </w:p>
    <w:p w:rsidR="007600D5" w:rsidRPr="00A25210" w:rsidRDefault="007600D5" w:rsidP="007600D5">
      <w:pPr>
        <w:tabs>
          <w:tab w:val="left" w:pos="426"/>
        </w:tabs>
        <w:ind w:left="567"/>
        <w:rPr>
          <w:szCs w:val="22"/>
        </w:rPr>
      </w:pPr>
      <w:r>
        <w:rPr>
          <w:szCs w:val="22"/>
        </w:rPr>
        <w:t>Må</w:t>
      </w:r>
      <w:r w:rsidRPr="00A25210">
        <w:rPr>
          <w:szCs w:val="22"/>
        </w:rPr>
        <w:t xml:space="preserve"> ikke anvendes sammen med dopaminantagonister.</w:t>
      </w:r>
    </w:p>
    <w:p w:rsidR="007600D5" w:rsidRPr="00A25210" w:rsidRDefault="007600D5" w:rsidP="007600D5">
      <w:pPr>
        <w:tabs>
          <w:tab w:val="left" w:pos="426"/>
        </w:tabs>
        <w:ind w:left="567"/>
        <w:rPr>
          <w:szCs w:val="22"/>
        </w:rPr>
      </w:pPr>
      <w:r>
        <w:rPr>
          <w:szCs w:val="22"/>
        </w:rPr>
        <w:t>Må</w:t>
      </w:r>
      <w:r w:rsidRPr="00A25210">
        <w:rPr>
          <w:szCs w:val="22"/>
        </w:rPr>
        <w:t xml:space="preserve"> ikke anvendes i tilfælde af overfølsomhed over for det aktive stof eller </w:t>
      </w:r>
      <w:r>
        <w:rPr>
          <w:szCs w:val="22"/>
        </w:rPr>
        <w:t xml:space="preserve">over for </w:t>
      </w:r>
      <w:r w:rsidRPr="00A25210">
        <w:rPr>
          <w:szCs w:val="22"/>
        </w:rPr>
        <w:t>et eller flere af hjælpestofferne.</w:t>
      </w:r>
    </w:p>
    <w:p w:rsidR="007600D5" w:rsidRPr="00A25210" w:rsidRDefault="007600D5" w:rsidP="007600D5">
      <w:pPr>
        <w:tabs>
          <w:tab w:val="left" w:pos="426"/>
        </w:tabs>
        <w:ind w:left="567"/>
        <w:rPr>
          <w:szCs w:val="22"/>
        </w:rPr>
      </w:pPr>
    </w:p>
    <w:p w:rsidR="007600D5" w:rsidRPr="00A25210" w:rsidRDefault="007600D5" w:rsidP="007600D5">
      <w:pPr>
        <w:tabs>
          <w:tab w:val="left" w:pos="426"/>
        </w:tabs>
        <w:ind w:left="567"/>
        <w:rPr>
          <w:szCs w:val="22"/>
        </w:rPr>
      </w:pPr>
      <w:proofErr w:type="spellStart"/>
      <w:r w:rsidRPr="00A25210">
        <w:rPr>
          <w:szCs w:val="22"/>
        </w:rPr>
        <w:t>Cabergolin</w:t>
      </w:r>
      <w:proofErr w:type="spellEnd"/>
      <w:r w:rsidRPr="00A25210">
        <w:rPr>
          <w:szCs w:val="22"/>
        </w:rPr>
        <w:t xml:space="preserve"> kan inducere forbigående hypotension hos behandlede dyr. </w:t>
      </w:r>
      <w:r>
        <w:rPr>
          <w:szCs w:val="22"/>
        </w:rPr>
        <w:t>Må</w:t>
      </w:r>
      <w:r w:rsidRPr="00A25210">
        <w:rPr>
          <w:szCs w:val="22"/>
        </w:rPr>
        <w:t xml:space="preserve"> ikke anvendes til dyr, der aktuelt behandles med </w:t>
      </w:r>
      <w:proofErr w:type="spellStart"/>
      <w:r w:rsidRPr="00A25210">
        <w:rPr>
          <w:szCs w:val="22"/>
        </w:rPr>
        <w:t>hypotensiva</w:t>
      </w:r>
      <w:proofErr w:type="spellEnd"/>
      <w:r w:rsidRPr="00A25210">
        <w:rPr>
          <w:szCs w:val="22"/>
        </w:rPr>
        <w:t xml:space="preserve">. </w:t>
      </w:r>
      <w:r>
        <w:rPr>
          <w:szCs w:val="22"/>
        </w:rPr>
        <w:t>Må</w:t>
      </w:r>
      <w:r w:rsidRPr="00A25210">
        <w:rPr>
          <w:szCs w:val="22"/>
        </w:rPr>
        <w:t xml:space="preserve"> ikke anvendes direkte efter kirurgi, mens dyret stadig er påvirket af </w:t>
      </w:r>
      <w:proofErr w:type="spellStart"/>
      <w:r w:rsidRPr="00A25210">
        <w:rPr>
          <w:szCs w:val="22"/>
        </w:rPr>
        <w:t>anæstetika</w:t>
      </w:r>
      <w:proofErr w:type="spellEnd"/>
      <w:r w:rsidRPr="00A25210">
        <w:rPr>
          <w:szCs w:val="22"/>
        </w:rPr>
        <w:t>.</w:t>
      </w:r>
    </w:p>
    <w:p w:rsidR="007600D5" w:rsidRPr="00F260F0" w:rsidRDefault="007600D5" w:rsidP="007600D5">
      <w:pPr>
        <w:rPr>
          <w:szCs w:val="22"/>
        </w:rPr>
      </w:pPr>
    </w:p>
    <w:p w:rsidR="007600D5" w:rsidRPr="00F260F0" w:rsidRDefault="007600D5" w:rsidP="007600D5">
      <w:pPr>
        <w:pStyle w:val="Style1"/>
      </w:pPr>
      <w:r w:rsidRPr="00F260F0">
        <w:t>3.4</w:t>
      </w:r>
      <w:r w:rsidRPr="00F260F0">
        <w:tab/>
        <w:t>Særlige advarsler</w:t>
      </w:r>
    </w:p>
    <w:p w:rsidR="007600D5" w:rsidRPr="00F260F0" w:rsidRDefault="007600D5" w:rsidP="007600D5">
      <w:pPr>
        <w:rPr>
          <w:szCs w:val="22"/>
        </w:rPr>
      </w:pPr>
    </w:p>
    <w:p w:rsidR="007600D5" w:rsidRPr="00A25210" w:rsidRDefault="007600D5" w:rsidP="007600D5">
      <w:pPr>
        <w:tabs>
          <w:tab w:val="left" w:pos="567"/>
        </w:tabs>
        <w:rPr>
          <w:szCs w:val="22"/>
        </w:rPr>
      </w:pPr>
      <w:r>
        <w:rPr>
          <w:szCs w:val="22"/>
        </w:rPr>
        <w:tab/>
        <w:t>Ingen.</w:t>
      </w:r>
    </w:p>
    <w:p w:rsidR="007600D5" w:rsidRPr="00F260F0" w:rsidRDefault="007600D5" w:rsidP="007600D5">
      <w:pPr>
        <w:rPr>
          <w:szCs w:val="22"/>
        </w:rPr>
      </w:pPr>
    </w:p>
    <w:p w:rsidR="007600D5" w:rsidRPr="00F260F0" w:rsidRDefault="007600D5" w:rsidP="007600D5">
      <w:pPr>
        <w:pStyle w:val="Style1"/>
      </w:pPr>
      <w:r w:rsidRPr="00F260F0">
        <w:t>3.5</w:t>
      </w:r>
      <w:r w:rsidRPr="00F260F0">
        <w:tab/>
        <w:t>Særlige forholdsregler vedrørende brugen</w:t>
      </w:r>
    </w:p>
    <w:p w:rsidR="007600D5" w:rsidRPr="00F260F0" w:rsidRDefault="007600D5" w:rsidP="007600D5">
      <w:pPr>
        <w:rPr>
          <w:szCs w:val="22"/>
        </w:rPr>
      </w:pPr>
    </w:p>
    <w:p w:rsidR="007600D5" w:rsidRPr="00F260F0" w:rsidRDefault="007600D5" w:rsidP="007600D5">
      <w:pPr>
        <w:ind w:left="567"/>
        <w:rPr>
          <w:szCs w:val="22"/>
        </w:rPr>
      </w:pPr>
      <w:r w:rsidRPr="00F260F0">
        <w:rPr>
          <w:szCs w:val="22"/>
          <w:u w:val="single"/>
        </w:rPr>
        <w:t>Særlige forholdsregler vedrørende sikker brug hos de dyrearter, som lægemidlet er beregnet til:</w:t>
      </w:r>
    </w:p>
    <w:p w:rsidR="007600D5" w:rsidRDefault="007600D5" w:rsidP="007600D5">
      <w:pPr>
        <w:ind w:left="567"/>
        <w:rPr>
          <w:szCs w:val="22"/>
        </w:rPr>
      </w:pPr>
      <w:r w:rsidRPr="00A25210">
        <w:rPr>
          <w:szCs w:val="22"/>
        </w:rPr>
        <w:t>Der bør udvises forsigtighed hos dyr med signifikant nedsat leverfunktion.</w:t>
      </w:r>
      <w:r w:rsidRPr="008C7C7E">
        <w:rPr>
          <w:szCs w:val="22"/>
        </w:rPr>
        <w:t xml:space="preserve"> </w:t>
      </w:r>
      <w:r w:rsidRPr="00A25210">
        <w:rPr>
          <w:szCs w:val="22"/>
        </w:rPr>
        <w:t>Yderligere støttebehandling bør omfatte restriktion af vand- og kulhydratindtagelse, samt mere motion.</w:t>
      </w:r>
    </w:p>
    <w:p w:rsidR="007600D5" w:rsidRPr="00F260F0" w:rsidRDefault="007600D5" w:rsidP="007600D5">
      <w:pPr>
        <w:ind w:left="567"/>
        <w:rPr>
          <w:szCs w:val="22"/>
        </w:rPr>
      </w:pPr>
    </w:p>
    <w:p w:rsidR="007600D5" w:rsidRPr="00F260F0" w:rsidRDefault="007600D5" w:rsidP="007600D5">
      <w:pPr>
        <w:ind w:left="567"/>
        <w:rPr>
          <w:szCs w:val="22"/>
        </w:rPr>
      </w:pPr>
      <w:r w:rsidRPr="00F260F0">
        <w:rPr>
          <w:szCs w:val="22"/>
          <w:u w:val="single"/>
        </w:rPr>
        <w:t xml:space="preserve">Særlige forholdsregler for personer, </w:t>
      </w:r>
      <w:r>
        <w:rPr>
          <w:szCs w:val="22"/>
          <w:u w:val="single"/>
        </w:rPr>
        <w:t>der administrerer</w:t>
      </w:r>
      <w:r w:rsidRPr="00F260F0">
        <w:rPr>
          <w:szCs w:val="22"/>
          <w:u w:val="single"/>
        </w:rPr>
        <w:t xml:space="preserve"> </w:t>
      </w:r>
      <w:r>
        <w:rPr>
          <w:szCs w:val="22"/>
          <w:u w:val="single"/>
        </w:rPr>
        <w:t>veterinær</w:t>
      </w:r>
      <w:r w:rsidRPr="00F260F0">
        <w:rPr>
          <w:szCs w:val="22"/>
          <w:u w:val="single"/>
        </w:rPr>
        <w:t>lægemidlet til dyr:</w:t>
      </w:r>
    </w:p>
    <w:p w:rsidR="007600D5" w:rsidRPr="00A25210" w:rsidRDefault="007600D5" w:rsidP="007600D5">
      <w:pPr>
        <w:pStyle w:val="LOQblauw"/>
        <w:tabs>
          <w:tab w:val="left" w:pos="426"/>
        </w:tabs>
        <w:ind w:left="567"/>
        <w:rPr>
          <w:rFonts w:ascii="Times New Roman" w:hAnsi="Times New Roman" w:cs="Times New Roman"/>
          <w:color w:val="auto"/>
        </w:rPr>
      </w:pPr>
      <w:r w:rsidRPr="00A25210">
        <w:rPr>
          <w:rFonts w:ascii="Times New Roman" w:hAnsi="Times New Roman" w:cs="Times New Roman"/>
          <w:color w:val="auto"/>
        </w:rPr>
        <w:t>Vask hænder efter brug.</w:t>
      </w:r>
    </w:p>
    <w:p w:rsidR="007600D5" w:rsidRPr="00A25210" w:rsidRDefault="007600D5" w:rsidP="007600D5">
      <w:pPr>
        <w:pStyle w:val="LOQblauw"/>
        <w:tabs>
          <w:tab w:val="left" w:pos="426"/>
        </w:tabs>
        <w:ind w:left="567"/>
        <w:rPr>
          <w:rFonts w:ascii="Times New Roman" w:hAnsi="Times New Roman" w:cs="Times New Roman"/>
          <w:color w:val="auto"/>
        </w:rPr>
      </w:pPr>
      <w:r w:rsidRPr="00A25210">
        <w:rPr>
          <w:rFonts w:ascii="Times New Roman" w:hAnsi="Times New Roman" w:cs="Times New Roman"/>
          <w:color w:val="auto"/>
        </w:rPr>
        <w:t>Undgå kontakt med hud og øjne. Vask straks stænk af.</w:t>
      </w:r>
    </w:p>
    <w:p w:rsidR="007600D5" w:rsidRPr="00A25210" w:rsidRDefault="007600D5" w:rsidP="007600D5">
      <w:pPr>
        <w:pStyle w:val="LOQblauw"/>
        <w:tabs>
          <w:tab w:val="left" w:pos="426"/>
        </w:tabs>
        <w:ind w:left="567"/>
        <w:rPr>
          <w:rFonts w:ascii="Times New Roman" w:hAnsi="Times New Roman" w:cs="Times New Roman"/>
          <w:color w:val="auto"/>
        </w:rPr>
      </w:pPr>
      <w:r w:rsidRPr="00A25210">
        <w:rPr>
          <w:rFonts w:ascii="Times New Roman" w:hAnsi="Times New Roman" w:cs="Times New Roman"/>
          <w:color w:val="auto"/>
        </w:rPr>
        <w:t xml:space="preserve">Kvinder i den fertile alder og ammende kvinder må ikke håndtere </w:t>
      </w:r>
      <w:r>
        <w:rPr>
          <w:rFonts w:ascii="Times New Roman" w:hAnsi="Times New Roman" w:cs="Times New Roman"/>
          <w:color w:val="auto"/>
        </w:rPr>
        <w:t>veterinærlægemidlet</w:t>
      </w:r>
      <w:r w:rsidRPr="00A25210">
        <w:rPr>
          <w:rFonts w:ascii="Times New Roman" w:hAnsi="Times New Roman" w:cs="Times New Roman"/>
          <w:color w:val="auto"/>
        </w:rPr>
        <w:t xml:space="preserve">, eller de skal bære uigennemtrængelige handsker, mens de administrerer </w:t>
      </w:r>
      <w:r>
        <w:rPr>
          <w:rFonts w:ascii="Times New Roman" w:hAnsi="Times New Roman" w:cs="Times New Roman"/>
          <w:color w:val="auto"/>
        </w:rPr>
        <w:t>veterinærlægemidlet</w:t>
      </w:r>
      <w:r w:rsidRPr="00A25210">
        <w:rPr>
          <w:rFonts w:ascii="Times New Roman" w:hAnsi="Times New Roman" w:cs="Times New Roman"/>
          <w:color w:val="auto"/>
        </w:rPr>
        <w:t>.</w:t>
      </w:r>
    </w:p>
    <w:p w:rsidR="007600D5" w:rsidRPr="00A25210" w:rsidRDefault="007600D5" w:rsidP="007600D5">
      <w:pPr>
        <w:pStyle w:val="LOQblauw"/>
        <w:tabs>
          <w:tab w:val="left" w:pos="426"/>
        </w:tabs>
        <w:ind w:left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Ved</w:t>
      </w:r>
      <w:r w:rsidRPr="00A25210">
        <w:rPr>
          <w:rFonts w:ascii="Times New Roman" w:hAnsi="Times New Roman" w:cs="Times New Roman"/>
          <w:color w:val="auto"/>
        </w:rPr>
        <w:t xml:space="preserve"> overfølsom over for </w:t>
      </w:r>
      <w:proofErr w:type="spellStart"/>
      <w:r w:rsidRPr="00A25210">
        <w:rPr>
          <w:rFonts w:ascii="Times New Roman" w:hAnsi="Times New Roman" w:cs="Times New Roman"/>
          <w:color w:val="auto"/>
        </w:rPr>
        <w:t>cabergolin</w:t>
      </w:r>
      <w:proofErr w:type="spellEnd"/>
      <w:r w:rsidRPr="00A25210">
        <w:rPr>
          <w:rFonts w:ascii="Times New Roman" w:hAnsi="Times New Roman" w:cs="Times New Roman"/>
          <w:color w:val="auto"/>
        </w:rPr>
        <w:t xml:space="preserve"> eller </w:t>
      </w:r>
      <w:r>
        <w:rPr>
          <w:rFonts w:ascii="Times New Roman" w:hAnsi="Times New Roman" w:cs="Times New Roman"/>
          <w:color w:val="auto"/>
        </w:rPr>
        <w:t>over for et eller flere</w:t>
      </w:r>
      <w:r w:rsidRPr="00A25210">
        <w:rPr>
          <w:rFonts w:ascii="Times New Roman" w:hAnsi="Times New Roman" w:cs="Times New Roman"/>
          <w:color w:val="auto"/>
        </w:rPr>
        <w:t xml:space="preserve"> af de andre indholdsstoffer i </w:t>
      </w:r>
      <w:r>
        <w:rPr>
          <w:rFonts w:ascii="Times New Roman" w:hAnsi="Times New Roman" w:cs="Times New Roman"/>
          <w:color w:val="auto"/>
        </w:rPr>
        <w:t>veterinærlægemidlet</w:t>
      </w:r>
      <w:r w:rsidRPr="00A25210">
        <w:rPr>
          <w:rFonts w:ascii="Times New Roman" w:hAnsi="Times New Roman" w:cs="Times New Roman"/>
          <w:color w:val="auto"/>
        </w:rPr>
        <w:t xml:space="preserve">, bør kontakt med </w:t>
      </w:r>
      <w:r>
        <w:rPr>
          <w:rFonts w:ascii="Times New Roman" w:hAnsi="Times New Roman" w:cs="Times New Roman"/>
          <w:color w:val="auto"/>
        </w:rPr>
        <w:t>veterinærlægemidlet undgås</w:t>
      </w:r>
      <w:r w:rsidRPr="00A25210">
        <w:rPr>
          <w:rFonts w:ascii="Times New Roman" w:hAnsi="Times New Roman" w:cs="Times New Roman"/>
          <w:color w:val="auto"/>
        </w:rPr>
        <w:t>.</w:t>
      </w:r>
    </w:p>
    <w:p w:rsidR="007600D5" w:rsidRPr="00A25210" w:rsidRDefault="007600D5" w:rsidP="007600D5">
      <w:pPr>
        <w:pStyle w:val="LOQblauw"/>
        <w:tabs>
          <w:tab w:val="left" w:pos="426"/>
        </w:tabs>
        <w:ind w:left="567"/>
        <w:rPr>
          <w:rFonts w:ascii="Times New Roman" w:hAnsi="Times New Roman" w:cs="Times New Roman"/>
          <w:color w:val="auto"/>
        </w:rPr>
      </w:pPr>
      <w:r w:rsidRPr="00A25210">
        <w:rPr>
          <w:rFonts w:ascii="Times New Roman" w:hAnsi="Times New Roman" w:cs="Times New Roman"/>
          <w:color w:val="auto"/>
        </w:rPr>
        <w:t xml:space="preserve">Fyldte injektionssprøjter må ikke efterlades uden opsyn, når der er børn til stede. I tilfælde af </w:t>
      </w:r>
      <w:r>
        <w:rPr>
          <w:rFonts w:ascii="Times New Roman" w:hAnsi="Times New Roman" w:cs="Times New Roman"/>
          <w:color w:val="auto"/>
        </w:rPr>
        <w:t xml:space="preserve">utilsigtet </w:t>
      </w:r>
      <w:r w:rsidRPr="00A25210">
        <w:rPr>
          <w:rFonts w:ascii="Times New Roman" w:hAnsi="Times New Roman" w:cs="Times New Roman"/>
          <w:color w:val="auto"/>
        </w:rPr>
        <w:t>ind</w:t>
      </w:r>
      <w:r>
        <w:rPr>
          <w:rFonts w:ascii="Times New Roman" w:hAnsi="Times New Roman" w:cs="Times New Roman"/>
          <w:color w:val="auto"/>
        </w:rPr>
        <w:t>tagelse</w:t>
      </w:r>
      <w:r w:rsidRPr="00A25210">
        <w:rPr>
          <w:rFonts w:ascii="Times New Roman" w:hAnsi="Times New Roman" w:cs="Times New Roman"/>
          <w:color w:val="auto"/>
        </w:rPr>
        <w:t xml:space="preserve"> ved hændeligt uheld, især hos et barn, skal der straks søges lægehjælp, og indlægssedlen eller etiketten bør vises til lægen.</w:t>
      </w:r>
    </w:p>
    <w:p w:rsidR="007600D5" w:rsidRPr="00A25210" w:rsidRDefault="007600D5" w:rsidP="007600D5">
      <w:pPr>
        <w:tabs>
          <w:tab w:val="left" w:pos="426"/>
          <w:tab w:val="left" w:pos="851"/>
          <w:tab w:val="left" w:pos="8222"/>
        </w:tabs>
        <w:ind w:left="567"/>
        <w:rPr>
          <w:szCs w:val="22"/>
        </w:rPr>
      </w:pPr>
    </w:p>
    <w:p w:rsidR="007600D5" w:rsidRPr="00F260F0" w:rsidRDefault="007600D5" w:rsidP="007600D5">
      <w:pPr>
        <w:ind w:left="567"/>
        <w:rPr>
          <w:szCs w:val="22"/>
        </w:rPr>
      </w:pPr>
      <w:r w:rsidRPr="00F260F0">
        <w:rPr>
          <w:szCs w:val="22"/>
          <w:u w:val="single"/>
        </w:rPr>
        <w:t>Særlige forholdsregler vedrørende beskyttelse af miljøet:</w:t>
      </w:r>
    </w:p>
    <w:p w:rsidR="007600D5" w:rsidRPr="00F260F0" w:rsidRDefault="007600D5" w:rsidP="007600D5">
      <w:pPr>
        <w:ind w:left="567"/>
        <w:rPr>
          <w:szCs w:val="22"/>
        </w:rPr>
      </w:pPr>
      <w:r w:rsidRPr="00F260F0">
        <w:t>Ikke relevant.</w:t>
      </w:r>
    </w:p>
    <w:p w:rsidR="007600D5" w:rsidRPr="00F260F0" w:rsidRDefault="007600D5" w:rsidP="007600D5">
      <w:pPr>
        <w:rPr>
          <w:szCs w:val="22"/>
        </w:rPr>
      </w:pPr>
    </w:p>
    <w:p w:rsidR="007600D5" w:rsidRPr="00F260F0" w:rsidRDefault="007600D5" w:rsidP="007600D5">
      <w:pPr>
        <w:pStyle w:val="Style1"/>
      </w:pPr>
      <w:r w:rsidRPr="00F260F0">
        <w:t>3.6</w:t>
      </w:r>
      <w:r w:rsidRPr="00F260F0">
        <w:tab/>
        <w:t>Bivirkninger</w:t>
      </w:r>
    </w:p>
    <w:p w:rsidR="007600D5" w:rsidRPr="00F260F0" w:rsidRDefault="007600D5" w:rsidP="007600D5">
      <w:pPr>
        <w:rPr>
          <w:szCs w:val="22"/>
        </w:rPr>
      </w:pPr>
    </w:p>
    <w:p w:rsidR="007600D5" w:rsidRPr="00F260F0" w:rsidRDefault="007600D5" w:rsidP="007600D5">
      <w:pPr>
        <w:ind w:firstLine="567"/>
        <w:rPr>
          <w:szCs w:val="22"/>
        </w:rPr>
      </w:pPr>
      <w:r>
        <w:rPr>
          <w:szCs w:val="22"/>
        </w:rPr>
        <w:t>Hunde:</w:t>
      </w:r>
    </w:p>
    <w:tbl>
      <w:tblPr>
        <w:tblW w:w="5001" w:type="pct"/>
        <w:tblInd w:w="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4"/>
        <w:gridCol w:w="5266"/>
      </w:tblGrid>
      <w:tr w:rsidR="007600D5" w:rsidRPr="008C7C7E" w:rsidTr="007600D5">
        <w:tc>
          <w:tcPr>
            <w:tcW w:w="2266" w:type="pct"/>
          </w:tcPr>
          <w:p w:rsidR="007600D5" w:rsidRPr="00F260F0" w:rsidRDefault="007600D5" w:rsidP="00941438">
            <w:pPr>
              <w:spacing w:before="60" w:after="60"/>
              <w:rPr>
                <w:szCs w:val="22"/>
              </w:rPr>
            </w:pPr>
            <w:r w:rsidRPr="00F260F0">
              <w:t>Sjælden</w:t>
            </w:r>
          </w:p>
          <w:p w:rsidR="007600D5" w:rsidRPr="00F260F0" w:rsidRDefault="007600D5" w:rsidP="00941438">
            <w:pPr>
              <w:spacing w:before="60" w:after="60"/>
              <w:rPr>
                <w:szCs w:val="22"/>
              </w:rPr>
            </w:pPr>
            <w:r w:rsidRPr="00F260F0">
              <w:t>(1 til 10</w:t>
            </w:r>
            <w:r>
              <w:t> </w:t>
            </w:r>
            <w:r w:rsidRPr="00F260F0">
              <w:t>dyr ud af 10</w:t>
            </w:r>
            <w:r>
              <w:t>.</w:t>
            </w:r>
            <w:r w:rsidRPr="00F260F0">
              <w:t>000</w:t>
            </w:r>
            <w:r>
              <w:t> </w:t>
            </w:r>
            <w:r w:rsidRPr="00F260F0">
              <w:t>behandlede dyr):</w:t>
            </w:r>
          </w:p>
        </w:tc>
        <w:tc>
          <w:tcPr>
            <w:tcW w:w="2734" w:type="pct"/>
          </w:tcPr>
          <w:p w:rsidR="007600D5" w:rsidRPr="008C7C7E" w:rsidRDefault="007600D5" w:rsidP="00941438">
            <w:pPr>
              <w:rPr>
                <w:bCs/>
                <w:iCs/>
                <w:szCs w:val="22"/>
              </w:rPr>
            </w:pPr>
            <w:proofErr w:type="spellStart"/>
            <w:r>
              <w:rPr>
                <w:bCs/>
                <w:iCs/>
                <w:szCs w:val="22"/>
              </w:rPr>
              <w:t>Døsighed</w:t>
            </w:r>
            <w:r w:rsidRPr="008C7C7E">
              <w:rPr>
                <w:bCs/>
                <w:iCs/>
                <w:szCs w:val="22"/>
                <w:vertAlign w:val="superscript"/>
              </w:rPr>
              <w:t>a</w:t>
            </w:r>
            <w:proofErr w:type="spellEnd"/>
            <w:r w:rsidRPr="008C7C7E">
              <w:rPr>
                <w:bCs/>
                <w:iCs/>
                <w:szCs w:val="22"/>
              </w:rPr>
              <w:t xml:space="preserve">, </w:t>
            </w:r>
            <w:proofErr w:type="spellStart"/>
            <w:r w:rsidRPr="00093F13">
              <w:rPr>
                <w:bCs/>
                <w:iCs/>
                <w:szCs w:val="22"/>
              </w:rPr>
              <w:t>a</w:t>
            </w:r>
            <w:r w:rsidRPr="008C7C7E">
              <w:rPr>
                <w:bCs/>
                <w:iCs/>
                <w:szCs w:val="22"/>
              </w:rPr>
              <w:t>nore</w:t>
            </w:r>
            <w:r w:rsidRPr="00093F13">
              <w:rPr>
                <w:bCs/>
                <w:iCs/>
                <w:szCs w:val="22"/>
              </w:rPr>
              <w:t>ksi</w:t>
            </w:r>
            <w:r w:rsidRPr="008C7C7E">
              <w:rPr>
                <w:bCs/>
                <w:iCs/>
                <w:szCs w:val="22"/>
                <w:vertAlign w:val="superscript"/>
              </w:rPr>
              <w:t>a</w:t>
            </w:r>
            <w:proofErr w:type="spellEnd"/>
          </w:p>
          <w:p w:rsidR="007600D5" w:rsidRPr="008C7C7E" w:rsidRDefault="007600D5" w:rsidP="00941438">
            <w:pPr>
              <w:rPr>
                <w:bCs/>
                <w:iCs/>
                <w:szCs w:val="22"/>
              </w:rPr>
            </w:pPr>
            <w:proofErr w:type="spellStart"/>
            <w:proofErr w:type="gramStart"/>
            <w:r w:rsidRPr="00093F13">
              <w:rPr>
                <w:bCs/>
                <w:iCs/>
                <w:szCs w:val="22"/>
              </w:rPr>
              <w:t>opkastning</w:t>
            </w:r>
            <w:r w:rsidRPr="008C7C7E">
              <w:rPr>
                <w:bCs/>
                <w:iCs/>
                <w:szCs w:val="22"/>
                <w:vertAlign w:val="superscript"/>
              </w:rPr>
              <w:t>a,b</w:t>
            </w:r>
            <w:proofErr w:type="spellEnd"/>
            <w:proofErr w:type="gramEnd"/>
          </w:p>
          <w:p w:rsidR="007600D5" w:rsidRPr="008C7C7E" w:rsidRDefault="007600D5" w:rsidP="00941438">
            <w:pPr>
              <w:spacing w:before="60" w:after="60"/>
              <w:rPr>
                <w:iCs/>
                <w:szCs w:val="22"/>
              </w:rPr>
            </w:pPr>
            <w:r w:rsidRPr="008C7C7E">
              <w:rPr>
                <w:bCs/>
                <w:iCs/>
                <w:szCs w:val="22"/>
              </w:rPr>
              <w:t>Neurologi</w:t>
            </w:r>
            <w:r w:rsidRPr="00093F13">
              <w:rPr>
                <w:bCs/>
                <w:iCs/>
                <w:szCs w:val="22"/>
              </w:rPr>
              <w:t xml:space="preserve">ske </w:t>
            </w:r>
            <w:r>
              <w:rPr>
                <w:bCs/>
                <w:iCs/>
                <w:szCs w:val="22"/>
              </w:rPr>
              <w:t>tegn</w:t>
            </w:r>
            <w:r w:rsidRPr="008C7C7E">
              <w:rPr>
                <w:bCs/>
                <w:iCs/>
                <w:szCs w:val="22"/>
              </w:rPr>
              <w:t xml:space="preserve"> (</w:t>
            </w:r>
            <w:r w:rsidRPr="00093F13">
              <w:rPr>
                <w:bCs/>
                <w:iCs/>
                <w:szCs w:val="22"/>
              </w:rPr>
              <w:t xml:space="preserve">f.eks. søvnighed, </w:t>
            </w:r>
            <w:proofErr w:type="spellStart"/>
            <w:r w:rsidRPr="00093F13">
              <w:rPr>
                <w:bCs/>
                <w:iCs/>
                <w:szCs w:val="22"/>
              </w:rPr>
              <w:t>muskeltremor</w:t>
            </w:r>
            <w:proofErr w:type="spellEnd"/>
            <w:r w:rsidRPr="00093F13">
              <w:rPr>
                <w:bCs/>
                <w:iCs/>
                <w:szCs w:val="22"/>
              </w:rPr>
              <w:t xml:space="preserve">, </w:t>
            </w:r>
            <w:proofErr w:type="spellStart"/>
            <w:r w:rsidRPr="00093F13">
              <w:rPr>
                <w:bCs/>
                <w:iCs/>
                <w:szCs w:val="22"/>
              </w:rPr>
              <w:t>ataksi</w:t>
            </w:r>
            <w:proofErr w:type="spellEnd"/>
            <w:r w:rsidRPr="00093F13">
              <w:rPr>
                <w:bCs/>
                <w:iCs/>
                <w:szCs w:val="22"/>
              </w:rPr>
              <w:t>, hyperaktivitet, krampeanfald</w:t>
            </w:r>
            <w:r w:rsidRPr="008C7C7E">
              <w:rPr>
                <w:bCs/>
                <w:iCs/>
                <w:szCs w:val="22"/>
              </w:rPr>
              <w:t>)</w:t>
            </w:r>
          </w:p>
        </w:tc>
      </w:tr>
      <w:tr w:rsidR="007600D5" w:rsidRPr="008C7C7E" w:rsidTr="007600D5">
        <w:tc>
          <w:tcPr>
            <w:tcW w:w="2266" w:type="pct"/>
          </w:tcPr>
          <w:p w:rsidR="007600D5" w:rsidRPr="00F260F0" w:rsidRDefault="007600D5" w:rsidP="00941438">
            <w:pPr>
              <w:spacing w:before="60" w:after="60"/>
              <w:rPr>
                <w:szCs w:val="22"/>
              </w:rPr>
            </w:pPr>
            <w:r w:rsidRPr="00F260F0">
              <w:t>Meget sjælden</w:t>
            </w:r>
          </w:p>
          <w:p w:rsidR="007600D5" w:rsidRPr="00F260F0" w:rsidRDefault="007600D5" w:rsidP="00941438">
            <w:pPr>
              <w:spacing w:before="60" w:after="60"/>
              <w:rPr>
                <w:szCs w:val="22"/>
              </w:rPr>
            </w:pPr>
            <w:r w:rsidRPr="00F260F0">
              <w:t>(&lt; 1</w:t>
            </w:r>
            <w:r>
              <w:t> </w:t>
            </w:r>
            <w:r w:rsidRPr="00F260F0">
              <w:t>dyr ud af 10</w:t>
            </w:r>
            <w:r>
              <w:t>.</w:t>
            </w:r>
            <w:r w:rsidRPr="00F260F0">
              <w:t>000 behandlede dyr, herunder enkeltstående indberetninger):</w:t>
            </w:r>
          </w:p>
        </w:tc>
        <w:tc>
          <w:tcPr>
            <w:tcW w:w="2734" w:type="pct"/>
          </w:tcPr>
          <w:p w:rsidR="007600D5" w:rsidRPr="005E0FCE" w:rsidRDefault="007600D5" w:rsidP="00941438">
            <w:pPr>
              <w:rPr>
                <w:bCs/>
                <w:iCs/>
                <w:szCs w:val="22"/>
              </w:rPr>
            </w:pPr>
            <w:proofErr w:type="spellStart"/>
            <w:r w:rsidRPr="005E0FCE">
              <w:rPr>
                <w:bCs/>
                <w:iCs/>
                <w:szCs w:val="22"/>
              </w:rPr>
              <w:t>Hypotension</w:t>
            </w:r>
            <w:r w:rsidRPr="005E0FCE">
              <w:rPr>
                <w:bCs/>
                <w:iCs/>
                <w:szCs w:val="22"/>
                <w:vertAlign w:val="superscript"/>
              </w:rPr>
              <w:t>c</w:t>
            </w:r>
            <w:proofErr w:type="spellEnd"/>
          </w:p>
          <w:p w:rsidR="007600D5" w:rsidRPr="008C7C7E" w:rsidRDefault="007600D5" w:rsidP="00941438">
            <w:pPr>
              <w:rPr>
                <w:bCs/>
                <w:iCs/>
                <w:szCs w:val="22"/>
              </w:rPr>
            </w:pPr>
            <w:r w:rsidRPr="008C7C7E">
              <w:rPr>
                <w:bCs/>
                <w:iCs/>
                <w:szCs w:val="22"/>
              </w:rPr>
              <w:t>Allergi</w:t>
            </w:r>
            <w:r w:rsidRPr="00093F13">
              <w:rPr>
                <w:bCs/>
                <w:iCs/>
                <w:szCs w:val="22"/>
              </w:rPr>
              <w:t>sk reaktion</w:t>
            </w:r>
            <w:r w:rsidRPr="008C7C7E">
              <w:rPr>
                <w:bCs/>
                <w:iCs/>
                <w:szCs w:val="22"/>
              </w:rPr>
              <w:t xml:space="preserve"> (</w:t>
            </w:r>
            <w:r w:rsidRPr="00093F13">
              <w:rPr>
                <w:bCs/>
                <w:iCs/>
                <w:szCs w:val="22"/>
              </w:rPr>
              <w:t xml:space="preserve">f.eks. </w:t>
            </w:r>
            <w:r>
              <w:rPr>
                <w:bCs/>
                <w:iCs/>
                <w:szCs w:val="22"/>
              </w:rPr>
              <w:t>allergisk ødem</w:t>
            </w:r>
            <w:r w:rsidRPr="008C7C7E">
              <w:rPr>
                <w:bCs/>
                <w:iCs/>
                <w:szCs w:val="22"/>
              </w:rPr>
              <w:t xml:space="preserve">, </w:t>
            </w:r>
            <w:proofErr w:type="spellStart"/>
            <w:r w:rsidRPr="008C7C7E">
              <w:rPr>
                <w:bCs/>
                <w:iCs/>
                <w:szCs w:val="22"/>
              </w:rPr>
              <w:t>urticaria</w:t>
            </w:r>
            <w:proofErr w:type="spellEnd"/>
            <w:r w:rsidRPr="008C7C7E">
              <w:rPr>
                <w:bCs/>
                <w:iCs/>
                <w:szCs w:val="22"/>
              </w:rPr>
              <w:t xml:space="preserve">, </w:t>
            </w:r>
            <w:proofErr w:type="spellStart"/>
            <w:r w:rsidRPr="008C7C7E">
              <w:rPr>
                <w:bCs/>
                <w:iCs/>
                <w:szCs w:val="22"/>
              </w:rPr>
              <w:t>allergic</w:t>
            </w:r>
            <w:proofErr w:type="spellEnd"/>
            <w:r w:rsidRPr="008C7C7E">
              <w:rPr>
                <w:bCs/>
                <w:iCs/>
                <w:szCs w:val="22"/>
              </w:rPr>
              <w:t xml:space="preserve"> </w:t>
            </w:r>
            <w:proofErr w:type="spellStart"/>
            <w:r w:rsidRPr="008C7C7E">
              <w:rPr>
                <w:bCs/>
                <w:iCs/>
                <w:szCs w:val="22"/>
              </w:rPr>
              <w:t>dermatitis</w:t>
            </w:r>
            <w:proofErr w:type="spellEnd"/>
            <w:r w:rsidRPr="008C7C7E">
              <w:rPr>
                <w:bCs/>
                <w:iCs/>
                <w:szCs w:val="22"/>
              </w:rPr>
              <w:t xml:space="preserve">, </w:t>
            </w:r>
            <w:proofErr w:type="spellStart"/>
            <w:r w:rsidRPr="008C7C7E">
              <w:rPr>
                <w:bCs/>
                <w:iCs/>
                <w:szCs w:val="22"/>
              </w:rPr>
              <w:t>pruritus</w:t>
            </w:r>
            <w:proofErr w:type="spellEnd"/>
            <w:r w:rsidRPr="008C7C7E">
              <w:rPr>
                <w:bCs/>
                <w:iCs/>
                <w:szCs w:val="22"/>
              </w:rPr>
              <w:t>)</w:t>
            </w:r>
          </w:p>
          <w:p w:rsidR="007600D5" w:rsidRPr="008C7C7E" w:rsidRDefault="007600D5" w:rsidP="00941438">
            <w:pPr>
              <w:spacing w:before="60" w:after="60"/>
              <w:rPr>
                <w:iCs/>
                <w:szCs w:val="22"/>
              </w:rPr>
            </w:pPr>
          </w:p>
        </w:tc>
      </w:tr>
    </w:tbl>
    <w:p w:rsidR="007600D5" w:rsidRPr="005E0FCE" w:rsidRDefault="007600D5" w:rsidP="007600D5">
      <w:pPr>
        <w:ind w:left="567"/>
        <w:rPr>
          <w:bCs/>
          <w:szCs w:val="22"/>
        </w:rPr>
      </w:pPr>
      <w:r w:rsidRPr="005E0FCE">
        <w:rPr>
          <w:bCs/>
          <w:szCs w:val="22"/>
          <w:vertAlign w:val="superscript"/>
        </w:rPr>
        <w:t>a</w:t>
      </w:r>
      <w:r w:rsidRPr="005E0FCE">
        <w:rPr>
          <w:bCs/>
          <w:szCs w:val="22"/>
        </w:rPr>
        <w:t xml:space="preserve"> normalt moderate og forbigående</w:t>
      </w:r>
    </w:p>
    <w:p w:rsidR="007600D5" w:rsidRPr="00093F13" w:rsidRDefault="007600D5" w:rsidP="007600D5">
      <w:pPr>
        <w:ind w:left="567"/>
        <w:rPr>
          <w:bCs/>
          <w:szCs w:val="22"/>
        </w:rPr>
      </w:pPr>
      <w:r w:rsidRPr="00093F13">
        <w:rPr>
          <w:bCs/>
          <w:szCs w:val="22"/>
          <w:vertAlign w:val="superscript"/>
        </w:rPr>
        <w:t>b</w:t>
      </w:r>
      <w:r w:rsidRPr="00093F13">
        <w:rPr>
          <w:bCs/>
          <w:szCs w:val="22"/>
        </w:rPr>
        <w:t xml:space="preserve"> </w:t>
      </w:r>
      <w:r w:rsidRPr="00A25210">
        <w:rPr>
          <w:szCs w:val="22"/>
        </w:rPr>
        <w:t>forekommer normalt kun efter den første administration</w:t>
      </w:r>
      <w:r>
        <w:rPr>
          <w:szCs w:val="22"/>
        </w:rPr>
        <w:t xml:space="preserve"> og derfor skal </w:t>
      </w:r>
      <w:r w:rsidRPr="00A25210">
        <w:rPr>
          <w:szCs w:val="22"/>
        </w:rPr>
        <w:t xml:space="preserve">behandlingen ikke </w:t>
      </w:r>
      <w:r>
        <w:rPr>
          <w:szCs w:val="22"/>
        </w:rPr>
        <w:t xml:space="preserve">nødvendigvis </w:t>
      </w:r>
      <w:r w:rsidRPr="00A25210">
        <w:rPr>
          <w:szCs w:val="22"/>
        </w:rPr>
        <w:t>stoppes, da det ikke er sandsynligt, at de</w:t>
      </w:r>
      <w:r>
        <w:rPr>
          <w:szCs w:val="22"/>
        </w:rPr>
        <w:t>t</w:t>
      </w:r>
      <w:r w:rsidRPr="00A25210">
        <w:rPr>
          <w:szCs w:val="22"/>
        </w:rPr>
        <w:t xml:space="preserve"> igen opstår efter de følgende administrationer.</w:t>
      </w:r>
    </w:p>
    <w:p w:rsidR="007600D5" w:rsidRPr="00A25210" w:rsidRDefault="007600D5" w:rsidP="007600D5">
      <w:pPr>
        <w:tabs>
          <w:tab w:val="left" w:pos="426"/>
        </w:tabs>
        <w:ind w:left="567"/>
        <w:rPr>
          <w:bCs/>
          <w:szCs w:val="22"/>
        </w:rPr>
      </w:pPr>
      <w:r w:rsidRPr="00093F13">
        <w:rPr>
          <w:bCs/>
          <w:szCs w:val="22"/>
          <w:vertAlign w:val="superscript"/>
        </w:rPr>
        <w:t>c</w:t>
      </w:r>
      <w:r w:rsidRPr="00093F13">
        <w:rPr>
          <w:bCs/>
          <w:szCs w:val="22"/>
        </w:rPr>
        <w:t xml:space="preserve"> </w:t>
      </w:r>
      <w:r>
        <w:rPr>
          <w:bCs/>
          <w:szCs w:val="22"/>
        </w:rPr>
        <w:t>forbigående</w:t>
      </w:r>
    </w:p>
    <w:p w:rsidR="007600D5" w:rsidRDefault="007600D5" w:rsidP="007600D5">
      <w:pPr>
        <w:rPr>
          <w:szCs w:val="22"/>
        </w:rPr>
      </w:pPr>
    </w:p>
    <w:p w:rsidR="007600D5" w:rsidRPr="008C7C7E" w:rsidRDefault="007600D5" w:rsidP="007600D5">
      <w:pPr>
        <w:ind w:left="567"/>
        <w:rPr>
          <w:szCs w:val="22"/>
        </w:rPr>
      </w:pPr>
      <w:r>
        <w:rPr>
          <w:szCs w:val="22"/>
        </w:rPr>
        <w:t>Katte:</w:t>
      </w:r>
    </w:p>
    <w:tbl>
      <w:tblPr>
        <w:tblW w:w="5001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4"/>
        <w:gridCol w:w="5266"/>
      </w:tblGrid>
      <w:tr w:rsidR="007600D5" w:rsidRPr="007949BE" w:rsidTr="007600D5">
        <w:tc>
          <w:tcPr>
            <w:tcW w:w="2266" w:type="pct"/>
          </w:tcPr>
          <w:p w:rsidR="007600D5" w:rsidRPr="00F260F0" w:rsidRDefault="007600D5" w:rsidP="00941438">
            <w:pPr>
              <w:spacing w:before="60" w:after="60"/>
              <w:rPr>
                <w:szCs w:val="22"/>
              </w:rPr>
            </w:pPr>
            <w:r w:rsidRPr="00F260F0">
              <w:t>Meget sjælden</w:t>
            </w:r>
          </w:p>
          <w:p w:rsidR="007600D5" w:rsidRPr="00F260F0" w:rsidRDefault="007600D5" w:rsidP="00941438">
            <w:pPr>
              <w:spacing w:before="60" w:after="60"/>
              <w:rPr>
                <w:szCs w:val="22"/>
              </w:rPr>
            </w:pPr>
            <w:r w:rsidRPr="00F260F0">
              <w:lastRenderedPageBreak/>
              <w:t>(&lt; 1</w:t>
            </w:r>
            <w:r>
              <w:t> </w:t>
            </w:r>
            <w:r w:rsidRPr="00F260F0">
              <w:t>dyr ud af 10</w:t>
            </w:r>
            <w:r>
              <w:t>.</w:t>
            </w:r>
            <w:r w:rsidRPr="00F260F0">
              <w:t>000</w:t>
            </w:r>
            <w:r>
              <w:t> </w:t>
            </w:r>
            <w:r w:rsidRPr="00F260F0">
              <w:t>behandlede dyr, herunder enkeltstående indberetninger):</w:t>
            </w:r>
          </w:p>
        </w:tc>
        <w:tc>
          <w:tcPr>
            <w:tcW w:w="2734" w:type="pct"/>
          </w:tcPr>
          <w:p w:rsidR="007600D5" w:rsidRPr="007949BE" w:rsidRDefault="007600D5" w:rsidP="00941438">
            <w:pPr>
              <w:rPr>
                <w:bCs/>
                <w:iCs/>
                <w:szCs w:val="22"/>
              </w:rPr>
            </w:pPr>
            <w:proofErr w:type="spellStart"/>
            <w:r w:rsidRPr="007949BE">
              <w:rPr>
                <w:bCs/>
                <w:iCs/>
                <w:szCs w:val="22"/>
              </w:rPr>
              <w:lastRenderedPageBreak/>
              <w:t>D</w:t>
            </w:r>
            <w:r w:rsidRPr="00093F13">
              <w:rPr>
                <w:bCs/>
                <w:iCs/>
                <w:szCs w:val="22"/>
              </w:rPr>
              <w:t>øsighed</w:t>
            </w:r>
            <w:r w:rsidRPr="007949BE">
              <w:rPr>
                <w:bCs/>
                <w:iCs/>
                <w:szCs w:val="22"/>
                <w:vertAlign w:val="superscript"/>
              </w:rPr>
              <w:t>a</w:t>
            </w:r>
            <w:proofErr w:type="spellEnd"/>
          </w:p>
          <w:p w:rsidR="007600D5" w:rsidRPr="007949BE" w:rsidRDefault="007600D5" w:rsidP="00941438">
            <w:pPr>
              <w:rPr>
                <w:bCs/>
                <w:iCs/>
                <w:szCs w:val="22"/>
              </w:rPr>
            </w:pPr>
            <w:r w:rsidRPr="007949BE">
              <w:rPr>
                <w:bCs/>
                <w:iCs/>
                <w:szCs w:val="22"/>
              </w:rPr>
              <w:lastRenderedPageBreak/>
              <w:t>Allergi</w:t>
            </w:r>
            <w:r w:rsidRPr="00093F13">
              <w:rPr>
                <w:bCs/>
                <w:iCs/>
                <w:szCs w:val="22"/>
              </w:rPr>
              <w:t>sk</w:t>
            </w:r>
            <w:r w:rsidRPr="007949BE">
              <w:rPr>
                <w:bCs/>
                <w:iCs/>
                <w:szCs w:val="22"/>
              </w:rPr>
              <w:t xml:space="preserve"> rea</w:t>
            </w:r>
            <w:r w:rsidRPr="00093F13">
              <w:rPr>
                <w:bCs/>
                <w:iCs/>
                <w:szCs w:val="22"/>
              </w:rPr>
              <w:t>k</w:t>
            </w:r>
            <w:r w:rsidRPr="007949BE">
              <w:rPr>
                <w:bCs/>
                <w:iCs/>
                <w:szCs w:val="22"/>
              </w:rPr>
              <w:t>tion (</w:t>
            </w:r>
            <w:r w:rsidRPr="00093F13">
              <w:rPr>
                <w:bCs/>
                <w:iCs/>
                <w:szCs w:val="22"/>
              </w:rPr>
              <w:t>f.eks.</w:t>
            </w:r>
            <w:r w:rsidRPr="007949BE">
              <w:rPr>
                <w:bCs/>
                <w:iCs/>
                <w:szCs w:val="22"/>
              </w:rPr>
              <w:t xml:space="preserve"> allergi</w:t>
            </w:r>
            <w:r>
              <w:rPr>
                <w:bCs/>
                <w:iCs/>
                <w:szCs w:val="22"/>
              </w:rPr>
              <w:t>sk ødem</w:t>
            </w:r>
            <w:r w:rsidRPr="007949BE">
              <w:rPr>
                <w:bCs/>
                <w:iCs/>
                <w:szCs w:val="22"/>
              </w:rPr>
              <w:t xml:space="preserve">, </w:t>
            </w:r>
            <w:proofErr w:type="spellStart"/>
            <w:r w:rsidRPr="007949BE">
              <w:rPr>
                <w:bCs/>
                <w:iCs/>
                <w:szCs w:val="22"/>
              </w:rPr>
              <w:t>urticaria</w:t>
            </w:r>
            <w:proofErr w:type="spellEnd"/>
            <w:r w:rsidRPr="007949BE">
              <w:rPr>
                <w:bCs/>
                <w:iCs/>
                <w:szCs w:val="22"/>
              </w:rPr>
              <w:t>, allergi</w:t>
            </w:r>
            <w:r>
              <w:rPr>
                <w:bCs/>
                <w:iCs/>
                <w:szCs w:val="22"/>
              </w:rPr>
              <w:t>sk</w:t>
            </w:r>
            <w:r w:rsidRPr="007949BE">
              <w:rPr>
                <w:bCs/>
                <w:iCs/>
                <w:szCs w:val="22"/>
              </w:rPr>
              <w:t xml:space="preserve"> </w:t>
            </w:r>
            <w:proofErr w:type="spellStart"/>
            <w:r w:rsidRPr="007949BE">
              <w:rPr>
                <w:bCs/>
                <w:iCs/>
                <w:szCs w:val="22"/>
              </w:rPr>
              <w:t>dermatitis</w:t>
            </w:r>
            <w:proofErr w:type="spellEnd"/>
            <w:r w:rsidRPr="007949BE">
              <w:rPr>
                <w:bCs/>
                <w:iCs/>
                <w:szCs w:val="22"/>
              </w:rPr>
              <w:t xml:space="preserve">, </w:t>
            </w:r>
            <w:proofErr w:type="spellStart"/>
            <w:r w:rsidRPr="007949BE">
              <w:rPr>
                <w:bCs/>
                <w:iCs/>
                <w:szCs w:val="22"/>
              </w:rPr>
              <w:t>pruritus</w:t>
            </w:r>
            <w:proofErr w:type="spellEnd"/>
            <w:r w:rsidRPr="007949BE">
              <w:rPr>
                <w:bCs/>
                <w:iCs/>
                <w:szCs w:val="22"/>
              </w:rPr>
              <w:t>)</w:t>
            </w:r>
          </w:p>
          <w:p w:rsidR="007600D5" w:rsidRPr="007949BE" w:rsidRDefault="007600D5" w:rsidP="00941438">
            <w:pPr>
              <w:rPr>
                <w:bCs/>
                <w:iCs/>
                <w:szCs w:val="22"/>
              </w:rPr>
            </w:pPr>
            <w:r w:rsidRPr="007949BE">
              <w:rPr>
                <w:bCs/>
                <w:iCs/>
                <w:szCs w:val="22"/>
              </w:rPr>
              <w:t>Neurologi</w:t>
            </w:r>
            <w:r w:rsidRPr="00093F13">
              <w:rPr>
                <w:bCs/>
                <w:iCs/>
                <w:szCs w:val="22"/>
              </w:rPr>
              <w:t>ske tegn</w:t>
            </w:r>
            <w:r w:rsidRPr="007949BE">
              <w:rPr>
                <w:bCs/>
                <w:iCs/>
                <w:szCs w:val="22"/>
              </w:rPr>
              <w:t xml:space="preserve"> (</w:t>
            </w:r>
            <w:r w:rsidRPr="00093F13">
              <w:rPr>
                <w:bCs/>
                <w:iCs/>
                <w:szCs w:val="22"/>
              </w:rPr>
              <w:t>f.eks. søvnighed</w:t>
            </w:r>
            <w:r w:rsidRPr="007949BE">
              <w:rPr>
                <w:bCs/>
                <w:iCs/>
                <w:szCs w:val="22"/>
              </w:rPr>
              <w:t xml:space="preserve">, </w:t>
            </w:r>
            <w:proofErr w:type="spellStart"/>
            <w:r w:rsidRPr="007949BE">
              <w:rPr>
                <w:bCs/>
                <w:iCs/>
                <w:szCs w:val="22"/>
              </w:rPr>
              <w:t>mus</w:t>
            </w:r>
            <w:r w:rsidRPr="00093F13">
              <w:rPr>
                <w:bCs/>
                <w:iCs/>
                <w:szCs w:val="22"/>
              </w:rPr>
              <w:t>keltremor</w:t>
            </w:r>
            <w:proofErr w:type="spellEnd"/>
            <w:r w:rsidRPr="00093F13">
              <w:rPr>
                <w:bCs/>
                <w:iCs/>
                <w:szCs w:val="22"/>
              </w:rPr>
              <w:t xml:space="preserve">, </w:t>
            </w:r>
            <w:proofErr w:type="spellStart"/>
            <w:r w:rsidRPr="00093F13">
              <w:rPr>
                <w:bCs/>
                <w:iCs/>
                <w:szCs w:val="22"/>
              </w:rPr>
              <w:t>ataksi</w:t>
            </w:r>
            <w:proofErr w:type="spellEnd"/>
            <w:r w:rsidRPr="00093F13">
              <w:rPr>
                <w:bCs/>
                <w:iCs/>
                <w:szCs w:val="22"/>
              </w:rPr>
              <w:t>, hyperaktivitet</w:t>
            </w:r>
            <w:r>
              <w:rPr>
                <w:bCs/>
                <w:iCs/>
                <w:szCs w:val="22"/>
              </w:rPr>
              <w:t>, krampeanfald</w:t>
            </w:r>
            <w:r w:rsidRPr="007949BE">
              <w:rPr>
                <w:bCs/>
                <w:iCs/>
                <w:szCs w:val="22"/>
              </w:rPr>
              <w:t>)</w:t>
            </w:r>
          </w:p>
          <w:p w:rsidR="007600D5" w:rsidRPr="00093F13" w:rsidRDefault="007600D5" w:rsidP="00941438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297618">
              <w:rPr>
                <w:bCs/>
                <w:iCs/>
                <w:szCs w:val="22"/>
              </w:rPr>
              <w:t>Hypotension</w:t>
            </w:r>
            <w:r w:rsidRPr="00297618">
              <w:rPr>
                <w:bCs/>
                <w:iCs/>
                <w:szCs w:val="22"/>
                <w:vertAlign w:val="superscript"/>
              </w:rPr>
              <w:t>b</w:t>
            </w:r>
            <w:proofErr w:type="spellEnd"/>
          </w:p>
        </w:tc>
      </w:tr>
      <w:tr w:rsidR="007600D5" w:rsidTr="007600D5">
        <w:tc>
          <w:tcPr>
            <w:tcW w:w="2266" w:type="pct"/>
          </w:tcPr>
          <w:p w:rsidR="007600D5" w:rsidRPr="00F260F0" w:rsidRDefault="007600D5" w:rsidP="00941438">
            <w:pPr>
              <w:spacing w:before="60" w:after="60"/>
              <w:rPr>
                <w:szCs w:val="22"/>
              </w:rPr>
            </w:pPr>
            <w:r>
              <w:rPr>
                <w:szCs w:val="22"/>
              </w:rPr>
              <w:lastRenderedPageBreak/>
              <w:t>Ikke bestemt (hyppighed kan ikke estimeres ud fra forhåndenværende data)</w:t>
            </w:r>
          </w:p>
        </w:tc>
        <w:tc>
          <w:tcPr>
            <w:tcW w:w="2734" w:type="pct"/>
          </w:tcPr>
          <w:p w:rsidR="007600D5" w:rsidRPr="00297618" w:rsidRDefault="007600D5" w:rsidP="00941438">
            <w:pPr>
              <w:rPr>
                <w:bCs/>
                <w:iCs/>
                <w:szCs w:val="22"/>
              </w:rPr>
            </w:pPr>
            <w:proofErr w:type="spellStart"/>
            <w:r w:rsidRPr="00297618">
              <w:rPr>
                <w:bCs/>
                <w:iCs/>
                <w:szCs w:val="22"/>
              </w:rPr>
              <w:t>Anore</w:t>
            </w:r>
            <w:r>
              <w:rPr>
                <w:bCs/>
                <w:iCs/>
                <w:szCs w:val="22"/>
              </w:rPr>
              <w:t>ksi</w:t>
            </w:r>
            <w:r w:rsidRPr="00297618">
              <w:rPr>
                <w:bCs/>
                <w:iCs/>
                <w:szCs w:val="22"/>
                <w:vertAlign w:val="superscript"/>
              </w:rPr>
              <w:t>a</w:t>
            </w:r>
            <w:proofErr w:type="spellEnd"/>
          </w:p>
          <w:p w:rsidR="007600D5" w:rsidRPr="00F260F0" w:rsidRDefault="007600D5" w:rsidP="00941438">
            <w:pPr>
              <w:spacing w:before="60" w:after="60"/>
              <w:rPr>
                <w:iCs/>
                <w:szCs w:val="22"/>
              </w:rPr>
            </w:pPr>
            <w:proofErr w:type="spellStart"/>
            <w:proofErr w:type="gramStart"/>
            <w:r>
              <w:rPr>
                <w:bCs/>
                <w:iCs/>
                <w:szCs w:val="22"/>
              </w:rPr>
              <w:t>Opkastning</w:t>
            </w:r>
            <w:r w:rsidRPr="00297618">
              <w:rPr>
                <w:bCs/>
                <w:iCs/>
                <w:szCs w:val="22"/>
                <w:vertAlign w:val="superscript"/>
              </w:rPr>
              <w:t>a,c</w:t>
            </w:r>
            <w:proofErr w:type="spellEnd"/>
            <w:proofErr w:type="gramEnd"/>
          </w:p>
        </w:tc>
      </w:tr>
    </w:tbl>
    <w:p w:rsidR="007600D5" w:rsidRPr="007600D5" w:rsidRDefault="007600D5" w:rsidP="007600D5">
      <w:pPr>
        <w:ind w:left="567"/>
        <w:rPr>
          <w:bCs/>
          <w:szCs w:val="22"/>
        </w:rPr>
      </w:pPr>
      <w:r w:rsidRPr="007600D5">
        <w:rPr>
          <w:bCs/>
          <w:szCs w:val="22"/>
          <w:vertAlign w:val="superscript"/>
        </w:rPr>
        <w:t>a</w:t>
      </w:r>
      <w:r w:rsidRPr="007600D5">
        <w:rPr>
          <w:bCs/>
          <w:szCs w:val="22"/>
        </w:rPr>
        <w:t xml:space="preserve"> normalt moderate og forbigående</w:t>
      </w:r>
    </w:p>
    <w:p w:rsidR="007600D5" w:rsidRPr="00093F13" w:rsidRDefault="007600D5" w:rsidP="007600D5">
      <w:pPr>
        <w:ind w:left="567"/>
        <w:rPr>
          <w:bCs/>
          <w:szCs w:val="22"/>
        </w:rPr>
      </w:pPr>
      <w:r w:rsidRPr="00093F13">
        <w:rPr>
          <w:bCs/>
          <w:szCs w:val="22"/>
          <w:vertAlign w:val="superscript"/>
        </w:rPr>
        <w:t>b</w:t>
      </w:r>
      <w:r w:rsidRPr="00093F13">
        <w:rPr>
          <w:bCs/>
          <w:szCs w:val="22"/>
        </w:rPr>
        <w:t xml:space="preserve"> forbigående</w:t>
      </w:r>
    </w:p>
    <w:p w:rsidR="007600D5" w:rsidRPr="00093F13" w:rsidRDefault="007600D5" w:rsidP="007600D5">
      <w:pPr>
        <w:ind w:left="567"/>
        <w:rPr>
          <w:bCs/>
          <w:szCs w:val="22"/>
        </w:rPr>
      </w:pPr>
      <w:r w:rsidRPr="00093F13">
        <w:rPr>
          <w:bCs/>
          <w:szCs w:val="22"/>
          <w:vertAlign w:val="superscript"/>
        </w:rPr>
        <w:t>c</w:t>
      </w:r>
      <w:r w:rsidRPr="00093F13">
        <w:rPr>
          <w:bCs/>
          <w:szCs w:val="22"/>
        </w:rPr>
        <w:t xml:space="preserve"> </w:t>
      </w:r>
      <w:r w:rsidRPr="00A25210">
        <w:rPr>
          <w:szCs w:val="22"/>
        </w:rPr>
        <w:t>forekommer normalt kun efter den første administration</w:t>
      </w:r>
      <w:r>
        <w:rPr>
          <w:szCs w:val="22"/>
        </w:rPr>
        <w:t xml:space="preserve"> og derfor skal </w:t>
      </w:r>
      <w:r w:rsidRPr="00A25210">
        <w:rPr>
          <w:szCs w:val="22"/>
        </w:rPr>
        <w:t xml:space="preserve">behandlingen ikke </w:t>
      </w:r>
      <w:r>
        <w:rPr>
          <w:szCs w:val="22"/>
        </w:rPr>
        <w:t xml:space="preserve">nødvendigvis </w:t>
      </w:r>
      <w:r w:rsidRPr="00A25210">
        <w:rPr>
          <w:szCs w:val="22"/>
        </w:rPr>
        <w:t xml:space="preserve">stoppes, da det ikke er sandsynligt, at </w:t>
      </w:r>
      <w:r>
        <w:rPr>
          <w:szCs w:val="22"/>
        </w:rPr>
        <w:t xml:space="preserve">det </w:t>
      </w:r>
      <w:r w:rsidRPr="00A25210">
        <w:rPr>
          <w:szCs w:val="22"/>
        </w:rPr>
        <w:t>igen opstår efter de følgende administrationer.</w:t>
      </w:r>
    </w:p>
    <w:p w:rsidR="007600D5" w:rsidRPr="007949BE" w:rsidRDefault="007600D5" w:rsidP="007600D5">
      <w:pPr>
        <w:ind w:left="567"/>
        <w:rPr>
          <w:szCs w:val="22"/>
        </w:rPr>
      </w:pPr>
    </w:p>
    <w:p w:rsidR="007600D5" w:rsidRDefault="007600D5" w:rsidP="007600D5">
      <w:pPr>
        <w:ind w:left="567"/>
      </w:pPr>
      <w:bookmarkStart w:id="1" w:name="_Hlk66891708"/>
      <w:r w:rsidRPr="00F260F0">
        <w:t>Indberetning af bivirkninger er vigtigt, da det muliggør løbende sikkerhedsovervågning af et veterinærlægemiddel. Indberetningerne sendes, helst via en dyrlæge, til enten indehaveren af markedsføringstilladelsen</w:t>
      </w:r>
      <w:r>
        <w:t xml:space="preserve"> eller dennes lokale repræsentant</w:t>
      </w:r>
      <w:r w:rsidRPr="00F260F0">
        <w:t xml:space="preserve"> eller til den nationale kompetente myndighed via det nationale indberetningssystem. Se </w:t>
      </w:r>
      <w:r w:rsidRPr="007B3CD1">
        <w:t xml:space="preserve">også sidste afsnit i </w:t>
      </w:r>
      <w:r w:rsidRPr="00F260F0">
        <w:t>indlægssedlen for de relevante kontaktoplysninger.</w:t>
      </w:r>
    </w:p>
    <w:bookmarkEnd w:id="1"/>
    <w:p w:rsidR="007600D5" w:rsidRPr="00371B54" w:rsidRDefault="007600D5" w:rsidP="007600D5">
      <w:pPr>
        <w:rPr>
          <w:szCs w:val="22"/>
        </w:rPr>
      </w:pPr>
    </w:p>
    <w:p w:rsidR="007600D5" w:rsidRPr="00F260F0" w:rsidRDefault="007600D5" w:rsidP="007600D5">
      <w:pPr>
        <w:pStyle w:val="Style1"/>
      </w:pPr>
      <w:r w:rsidRPr="00F260F0">
        <w:t>3.7</w:t>
      </w:r>
      <w:r w:rsidRPr="00F260F0">
        <w:tab/>
        <w:t>Anvendelse under drægtighed, laktation eller æglægning</w:t>
      </w:r>
    </w:p>
    <w:p w:rsidR="007600D5" w:rsidRDefault="007600D5" w:rsidP="007600D5">
      <w:pPr>
        <w:rPr>
          <w:szCs w:val="22"/>
        </w:rPr>
      </w:pPr>
    </w:p>
    <w:p w:rsidR="007600D5" w:rsidRPr="00F260F0" w:rsidRDefault="007600D5" w:rsidP="007600D5">
      <w:pPr>
        <w:ind w:left="567"/>
        <w:rPr>
          <w:szCs w:val="22"/>
        </w:rPr>
      </w:pPr>
      <w:r>
        <w:rPr>
          <w:szCs w:val="22"/>
          <w:u w:val="single"/>
        </w:rPr>
        <w:t>Drægtighed</w:t>
      </w:r>
      <w:r>
        <w:t>:</w:t>
      </w:r>
    </w:p>
    <w:p w:rsidR="007600D5" w:rsidRPr="00A25210" w:rsidRDefault="007600D5" w:rsidP="007600D5">
      <w:pPr>
        <w:pStyle w:val="LOQblauw"/>
        <w:tabs>
          <w:tab w:val="left" w:pos="426"/>
        </w:tabs>
        <w:ind w:left="567"/>
        <w:rPr>
          <w:rFonts w:ascii="Times New Roman" w:hAnsi="Times New Roman" w:cs="Times New Roman"/>
          <w:color w:val="auto"/>
        </w:rPr>
      </w:pPr>
      <w:proofErr w:type="spellStart"/>
      <w:r w:rsidRPr="00A25210">
        <w:rPr>
          <w:rFonts w:ascii="Times New Roman" w:hAnsi="Times New Roman" w:cs="Times New Roman"/>
          <w:color w:val="auto"/>
        </w:rPr>
        <w:t>Cabergolin</w:t>
      </w:r>
      <w:proofErr w:type="spellEnd"/>
      <w:r w:rsidRPr="00A25210">
        <w:rPr>
          <w:rFonts w:ascii="Times New Roman" w:hAnsi="Times New Roman" w:cs="Times New Roman"/>
          <w:color w:val="auto"/>
        </w:rPr>
        <w:t xml:space="preserve"> har evnen til at fremkalde abort i de senere drægtighedsstadier og må ikke anvendes til drægtige dyr. En differentialdiagnose mellem graviditet og falsk graviditet bør udføres korrekt. </w:t>
      </w:r>
    </w:p>
    <w:p w:rsidR="007600D5" w:rsidRDefault="007600D5" w:rsidP="007600D5">
      <w:pPr>
        <w:tabs>
          <w:tab w:val="left" w:pos="426"/>
        </w:tabs>
        <w:ind w:left="567"/>
        <w:rPr>
          <w:szCs w:val="22"/>
        </w:rPr>
      </w:pPr>
    </w:p>
    <w:p w:rsidR="007600D5" w:rsidRDefault="007600D5" w:rsidP="007600D5">
      <w:pPr>
        <w:tabs>
          <w:tab w:val="left" w:pos="426"/>
        </w:tabs>
        <w:ind w:left="567"/>
        <w:rPr>
          <w:szCs w:val="22"/>
        </w:rPr>
      </w:pPr>
      <w:r>
        <w:rPr>
          <w:szCs w:val="22"/>
          <w:u w:val="single"/>
        </w:rPr>
        <w:t>Laktation</w:t>
      </w:r>
      <w:r>
        <w:t>:</w:t>
      </w:r>
    </w:p>
    <w:p w:rsidR="007600D5" w:rsidRPr="00A25210" w:rsidRDefault="007600D5" w:rsidP="007600D5">
      <w:pPr>
        <w:tabs>
          <w:tab w:val="left" w:pos="426"/>
        </w:tabs>
        <w:ind w:left="567"/>
        <w:rPr>
          <w:szCs w:val="22"/>
        </w:rPr>
      </w:pPr>
      <w:r>
        <w:rPr>
          <w:szCs w:val="22"/>
        </w:rPr>
        <w:t>Veterinærlægemidlet</w:t>
      </w:r>
      <w:r w:rsidRPr="00A25210">
        <w:rPr>
          <w:szCs w:val="22"/>
        </w:rPr>
        <w:t xml:space="preserve"> er indiceret til at hæmme laktation: </w:t>
      </w:r>
      <w:proofErr w:type="spellStart"/>
      <w:r>
        <w:rPr>
          <w:szCs w:val="22"/>
        </w:rPr>
        <w:t>Cabergolin</w:t>
      </w:r>
      <w:proofErr w:type="spellEnd"/>
      <w:r>
        <w:rPr>
          <w:szCs w:val="22"/>
        </w:rPr>
        <w:t xml:space="preserve"> h</w:t>
      </w:r>
      <w:r w:rsidRPr="00A25210">
        <w:rPr>
          <w:szCs w:val="22"/>
        </w:rPr>
        <w:t>æm</w:t>
      </w:r>
      <w:r>
        <w:rPr>
          <w:szCs w:val="22"/>
        </w:rPr>
        <w:t>mer</w:t>
      </w:r>
      <w:r w:rsidRPr="00A25210">
        <w:rPr>
          <w:szCs w:val="22"/>
        </w:rPr>
        <w:t xml:space="preserve"> </w:t>
      </w:r>
      <w:proofErr w:type="spellStart"/>
      <w:r w:rsidRPr="00A25210">
        <w:rPr>
          <w:szCs w:val="22"/>
        </w:rPr>
        <w:t>prolaktinsecernering</w:t>
      </w:r>
      <w:proofErr w:type="spellEnd"/>
      <w:r w:rsidRPr="00A25210">
        <w:rPr>
          <w:szCs w:val="22"/>
        </w:rPr>
        <w:t xml:space="preserve"> </w:t>
      </w:r>
      <w:r>
        <w:rPr>
          <w:szCs w:val="22"/>
        </w:rPr>
        <w:t>hvilket</w:t>
      </w:r>
      <w:r w:rsidRPr="00A25210">
        <w:rPr>
          <w:szCs w:val="22"/>
        </w:rPr>
        <w:t xml:space="preserve"> medfører, at laktationen hurtigt ophører og størrelsen af mælkekirtlerne reduceres. </w:t>
      </w:r>
      <w:r>
        <w:rPr>
          <w:szCs w:val="22"/>
        </w:rPr>
        <w:t>Veterinærlægemidlet</w:t>
      </w:r>
      <w:r w:rsidRPr="00A25210">
        <w:rPr>
          <w:szCs w:val="22"/>
        </w:rPr>
        <w:t xml:space="preserve"> må ikke anvendes til </w:t>
      </w:r>
      <w:proofErr w:type="spellStart"/>
      <w:r w:rsidRPr="00A25210">
        <w:rPr>
          <w:szCs w:val="22"/>
        </w:rPr>
        <w:t>lakterende</w:t>
      </w:r>
      <w:proofErr w:type="spellEnd"/>
      <w:r w:rsidRPr="00A25210">
        <w:rPr>
          <w:szCs w:val="22"/>
        </w:rPr>
        <w:t xml:space="preserve"> dyr, med mindre en hæmning af laktationen er påkrævet.</w:t>
      </w:r>
    </w:p>
    <w:p w:rsidR="007600D5" w:rsidRPr="00F260F0" w:rsidRDefault="007600D5" w:rsidP="007600D5">
      <w:pPr>
        <w:rPr>
          <w:szCs w:val="22"/>
        </w:rPr>
      </w:pPr>
    </w:p>
    <w:p w:rsidR="007600D5" w:rsidRPr="00F260F0" w:rsidRDefault="007600D5" w:rsidP="007600D5">
      <w:pPr>
        <w:pStyle w:val="Style1"/>
      </w:pPr>
      <w:r w:rsidRPr="00F260F0">
        <w:t>3.8</w:t>
      </w:r>
      <w:r w:rsidRPr="00F260F0">
        <w:tab/>
        <w:t>Interaktion med andre lægemidler og andre former for interaktion</w:t>
      </w:r>
    </w:p>
    <w:p w:rsidR="007600D5" w:rsidRPr="00F260F0" w:rsidRDefault="007600D5" w:rsidP="007600D5">
      <w:pPr>
        <w:rPr>
          <w:szCs w:val="22"/>
        </w:rPr>
      </w:pPr>
    </w:p>
    <w:p w:rsidR="007600D5" w:rsidRPr="00A25210" w:rsidRDefault="007600D5" w:rsidP="007600D5">
      <w:pPr>
        <w:tabs>
          <w:tab w:val="left" w:pos="426"/>
        </w:tabs>
        <w:ind w:left="426"/>
        <w:rPr>
          <w:szCs w:val="22"/>
        </w:rPr>
      </w:pPr>
      <w:r w:rsidRPr="00A25210">
        <w:rPr>
          <w:szCs w:val="22"/>
        </w:rPr>
        <w:t xml:space="preserve">Da </w:t>
      </w:r>
      <w:proofErr w:type="spellStart"/>
      <w:r w:rsidRPr="00A25210">
        <w:rPr>
          <w:szCs w:val="22"/>
        </w:rPr>
        <w:t>cabergolin</w:t>
      </w:r>
      <w:proofErr w:type="spellEnd"/>
      <w:r w:rsidRPr="00A25210">
        <w:rPr>
          <w:szCs w:val="22"/>
        </w:rPr>
        <w:t xml:space="preserve"> udøver sin terapeutiske virkning ved direkte stimulering af dopaminreceptorerne, må </w:t>
      </w:r>
      <w:r>
        <w:rPr>
          <w:szCs w:val="22"/>
        </w:rPr>
        <w:t>veterinærlægemidlet</w:t>
      </w:r>
      <w:r w:rsidRPr="00A25210">
        <w:rPr>
          <w:szCs w:val="22"/>
        </w:rPr>
        <w:t xml:space="preserve"> ikke administreres sammen med lægemidler, der har en dopaminantagonist-aktivitet (såsom </w:t>
      </w:r>
      <w:proofErr w:type="spellStart"/>
      <w:r w:rsidRPr="00A25210">
        <w:rPr>
          <w:szCs w:val="22"/>
        </w:rPr>
        <w:t>phenothiaziner</w:t>
      </w:r>
      <w:proofErr w:type="spellEnd"/>
      <w:r w:rsidRPr="00A25210">
        <w:rPr>
          <w:szCs w:val="22"/>
        </w:rPr>
        <w:t xml:space="preserve">, </w:t>
      </w:r>
      <w:proofErr w:type="spellStart"/>
      <w:r w:rsidRPr="00A25210">
        <w:rPr>
          <w:szCs w:val="22"/>
        </w:rPr>
        <w:t>butyrophenoner</w:t>
      </w:r>
      <w:proofErr w:type="spellEnd"/>
      <w:r w:rsidRPr="00A25210">
        <w:rPr>
          <w:szCs w:val="22"/>
        </w:rPr>
        <w:t xml:space="preserve">, </w:t>
      </w:r>
      <w:proofErr w:type="spellStart"/>
      <w:r w:rsidRPr="00A25210">
        <w:rPr>
          <w:szCs w:val="22"/>
        </w:rPr>
        <w:t>metoclopramid</w:t>
      </w:r>
      <w:proofErr w:type="spellEnd"/>
      <w:r w:rsidRPr="00A25210">
        <w:rPr>
          <w:szCs w:val="22"/>
        </w:rPr>
        <w:t xml:space="preserve">), da disse kan reducere den </w:t>
      </w:r>
      <w:proofErr w:type="spellStart"/>
      <w:r w:rsidRPr="00A25210">
        <w:rPr>
          <w:szCs w:val="22"/>
        </w:rPr>
        <w:t>prolaktin</w:t>
      </w:r>
      <w:proofErr w:type="spellEnd"/>
      <w:r w:rsidRPr="00A25210">
        <w:rPr>
          <w:szCs w:val="22"/>
        </w:rPr>
        <w:t>-inhiberende virkning (se også pkt. </w:t>
      </w:r>
      <w:r>
        <w:rPr>
          <w:szCs w:val="22"/>
        </w:rPr>
        <w:t>3</w:t>
      </w:r>
      <w:r w:rsidRPr="00A25210">
        <w:rPr>
          <w:szCs w:val="22"/>
        </w:rPr>
        <w:t>.3).</w:t>
      </w:r>
    </w:p>
    <w:p w:rsidR="007600D5" w:rsidRPr="00A25210" w:rsidRDefault="007600D5" w:rsidP="007600D5">
      <w:pPr>
        <w:pStyle w:val="LOQblauw"/>
        <w:tabs>
          <w:tab w:val="left" w:pos="426"/>
        </w:tabs>
        <w:ind w:left="426"/>
        <w:rPr>
          <w:rFonts w:ascii="Times New Roman" w:hAnsi="Times New Roman" w:cs="Times New Roman"/>
          <w:color w:val="auto"/>
        </w:rPr>
      </w:pPr>
      <w:r w:rsidRPr="00A25210">
        <w:rPr>
          <w:rFonts w:ascii="Times New Roman" w:hAnsi="Times New Roman" w:cs="Times New Roman"/>
          <w:color w:val="auto"/>
        </w:rPr>
        <w:t xml:space="preserve">Da </w:t>
      </w:r>
      <w:proofErr w:type="spellStart"/>
      <w:r w:rsidRPr="00A25210">
        <w:rPr>
          <w:rFonts w:ascii="Times New Roman" w:hAnsi="Times New Roman" w:cs="Times New Roman"/>
          <w:color w:val="auto"/>
        </w:rPr>
        <w:t>cabergolin</w:t>
      </w:r>
      <w:proofErr w:type="spellEnd"/>
      <w:r w:rsidRPr="00A25210">
        <w:rPr>
          <w:rFonts w:ascii="Times New Roman" w:hAnsi="Times New Roman" w:cs="Times New Roman"/>
          <w:color w:val="auto"/>
        </w:rPr>
        <w:t xml:space="preserve"> kan inducere forbigående hypotension, må </w:t>
      </w:r>
      <w:r>
        <w:rPr>
          <w:rFonts w:ascii="Times New Roman" w:hAnsi="Times New Roman" w:cs="Times New Roman"/>
          <w:color w:val="auto"/>
        </w:rPr>
        <w:t>veterinærlægemidlet</w:t>
      </w:r>
      <w:r w:rsidRPr="00A25210">
        <w:rPr>
          <w:rFonts w:ascii="Times New Roman" w:hAnsi="Times New Roman" w:cs="Times New Roman"/>
          <w:color w:val="auto"/>
        </w:rPr>
        <w:t xml:space="preserve"> ikke anvendes til dyr, der samtidigt behandles med </w:t>
      </w:r>
      <w:proofErr w:type="spellStart"/>
      <w:r w:rsidRPr="00A25210">
        <w:rPr>
          <w:rFonts w:ascii="Times New Roman" w:hAnsi="Times New Roman" w:cs="Times New Roman"/>
          <w:color w:val="auto"/>
        </w:rPr>
        <w:t>hypotensive</w:t>
      </w:r>
      <w:proofErr w:type="spellEnd"/>
      <w:r w:rsidRPr="00A25210">
        <w:rPr>
          <w:rFonts w:ascii="Times New Roman" w:hAnsi="Times New Roman" w:cs="Times New Roman"/>
          <w:color w:val="auto"/>
        </w:rPr>
        <w:t xml:space="preserve"> lægemidler (se også pkt. </w:t>
      </w:r>
      <w:r>
        <w:rPr>
          <w:rFonts w:ascii="Times New Roman" w:hAnsi="Times New Roman" w:cs="Times New Roman"/>
          <w:color w:val="auto"/>
        </w:rPr>
        <w:t>3</w:t>
      </w:r>
      <w:r w:rsidRPr="00A25210">
        <w:rPr>
          <w:rFonts w:ascii="Times New Roman" w:hAnsi="Times New Roman" w:cs="Times New Roman"/>
          <w:color w:val="auto"/>
        </w:rPr>
        <w:t xml:space="preserve">.3 og </w:t>
      </w:r>
      <w:r>
        <w:rPr>
          <w:rFonts w:ascii="Times New Roman" w:hAnsi="Times New Roman" w:cs="Times New Roman"/>
          <w:color w:val="auto"/>
        </w:rPr>
        <w:t>3</w:t>
      </w:r>
      <w:r w:rsidRPr="00A25210">
        <w:rPr>
          <w:rFonts w:ascii="Times New Roman" w:hAnsi="Times New Roman" w:cs="Times New Roman"/>
          <w:color w:val="auto"/>
        </w:rPr>
        <w:t>.6).</w:t>
      </w:r>
    </w:p>
    <w:p w:rsidR="007600D5" w:rsidRPr="00F260F0" w:rsidRDefault="007600D5" w:rsidP="007600D5">
      <w:pPr>
        <w:rPr>
          <w:szCs w:val="22"/>
        </w:rPr>
      </w:pPr>
    </w:p>
    <w:p w:rsidR="007600D5" w:rsidRPr="00F260F0" w:rsidRDefault="007600D5" w:rsidP="007600D5">
      <w:pPr>
        <w:pStyle w:val="Style1"/>
      </w:pPr>
      <w:r w:rsidRPr="00F260F0">
        <w:t>3.9</w:t>
      </w:r>
      <w:r w:rsidRPr="00F260F0">
        <w:tab/>
      </w:r>
      <w:r>
        <w:t>Administrations</w:t>
      </w:r>
      <w:r w:rsidRPr="00F260F0">
        <w:t>veje og dosering</w:t>
      </w:r>
    </w:p>
    <w:p w:rsidR="007600D5" w:rsidRPr="00F260F0" w:rsidRDefault="007600D5" w:rsidP="007600D5">
      <w:pPr>
        <w:rPr>
          <w:szCs w:val="22"/>
        </w:rPr>
      </w:pPr>
    </w:p>
    <w:p w:rsidR="007600D5" w:rsidRDefault="007600D5" w:rsidP="007600D5">
      <w:pPr>
        <w:pStyle w:val="LOQblauw"/>
        <w:tabs>
          <w:tab w:val="left" w:pos="426"/>
        </w:tabs>
        <w:ind w:left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Oral </w:t>
      </w:r>
      <w:bookmarkStart w:id="2" w:name="_Hlk173396889"/>
      <w:r>
        <w:rPr>
          <w:rFonts w:ascii="Times New Roman" w:hAnsi="Times New Roman" w:cs="Times New Roman"/>
          <w:color w:val="auto"/>
        </w:rPr>
        <w:t>anvendelse.</w:t>
      </w:r>
      <w:bookmarkEnd w:id="2"/>
    </w:p>
    <w:p w:rsidR="007600D5" w:rsidRDefault="007600D5" w:rsidP="007600D5">
      <w:pPr>
        <w:pStyle w:val="LOQblauw"/>
        <w:tabs>
          <w:tab w:val="left" w:pos="426"/>
        </w:tabs>
        <w:ind w:left="567"/>
        <w:rPr>
          <w:rFonts w:ascii="Times New Roman" w:hAnsi="Times New Roman" w:cs="Times New Roman"/>
          <w:color w:val="auto"/>
        </w:rPr>
      </w:pPr>
    </w:p>
    <w:p w:rsidR="007600D5" w:rsidRPr="00A25210" w:rsidRDefault="007600D5" w:rsidP="007600D5">
      <w:pPr>
        <w:pStyle w:val="LOQblauw"/>
        <w:tabs>
          <w:tab w:val="left" w:pos="426"/>
        </w:tabs>
        <w:ind w:left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Veterinærlægemidlet</w:t>
      </w:r>
      <w:r w:rsidRPr="00A25210">
        <w:rPr>
          <w:rFonts w:ascii="Times New Roman" w:hAnsi="Times New Roman" w:cs="Times New Roman"/>
          <w:color w:val="auto"/>
        </w:rPr>
        <w:t xml:space="preserve"> skal administreres oralt enten direkte i munden eller ved at blande det med mad.</w:t>
      </w:r>
    </w:p>
    <w:p w:rsidR="007600D5" w:rsidRPr="00A25210" w:rsidRDefault="007600D5" w:rsidP="007600D5">
      <w:pPr>
        <w:pStyle w:val="LOQblauw"/>
        <w:tabs>
          <w:tab w:val="left" w:pos="426"/>
        </w:tabs>
        <w:ind w:left="567"/>
        <w:rPr>
          <w:rFonts w:ascii="Times New Roman" w:hAnsi="Times New Roman" w:cs="Times New Roman"/>
          <w:color w:val="auto"/>
        </w:rPr>
      </w:pPr>
    </w:p>
    <w:p w:rsidR="007600D5" w:rsidRPr="00A25210" w:rsidRDefault="007600D5" w:rsidP="007600D5">
      <w:pPr>
        <w:pStyle w:val="LOQblauw"/>
        <w:tabs>
          <w:tab w:val="left" w:pos="426"/>
        </w:tabs>
        <w:ind w:left="567"/>
        <w:rPr>
          <w:rFonts w:ascii="Times New Roman" w:hAnsi="Times New Roman" w:cs="Times New Roman"/>
          <w:color w:val="auto"/>
        </w:rPr>
      </w:pPr>
      <w:r w:rsidRPr="00A25210">
        <w:rPr>
          <w:rFonts w:ascii="Times New Roman" w:hAnsi="Times New Roman" w:cs="Times New Roman"/>
          <w:color w:val="auto"/>
        </w:rPr>
        <w:t xml:space="preserve">Doseringen er 0,1 ml/kg legemsvægt (svarende til 5 mikrogram/kg legemsvægt </w:t>
      </w:r>
      <w:proofErr w:type="spellStart"/>
      <w:r w:rsidRPr="00A25210">
        <w:rPr>
          <w:rFonts w:ascii="Times New Roman" w:hAnsi="Times New Roman" w:cs="Times New Roman"/>
          <w:color w:val="auto"/>
        </w:rPr>
        <w:t>cabergolin</w:t>
      </w:r>
      <w:proofErr w:type="spellEnd"/>
      <w:r w:rsidRPr="00A25210">
        <w:rPr>
          <w:rFonts w:ascii="Times New Roman" w:hAnsi="Times New Roman" w:cs="Times New Roman"/>
          <w:color w:val="auto"/>
        </w:rPr>
        <w:t xml:space="preserve">) en gang daglig i 4-6 på hinanden følgende dage, afhængig af den kliniske tilstands sværhedsgrad. </w:t>
      </w:r>
    </w:p>
    <w:p w:rsidR="007600D5" w:rsidRPr="00A25210" w:rsidRDefault="007600D5" w:rsidP="007600D5">
      <w:pPr>
        <w:pStyle w:val="LOQblauw"/>
        <w:tabs>
          <w:tab w:val="left" w:pos="426"/>
        </w:tabs>
        <w:ind w:left="567"/>
        <w:rPr>
          <w:rFonts w:ascii="Times New Roman" w:hAnsi="Times New Roman" w:cs="Times New Roman"/>
          <w:color w:val="auto"/>
        </w:rPr>
      </w:pPr>
      <w:r w:rsidRPr="00A25210">
        <w:rPr>
          <w:rFonts w:ascii="Times New Roman" w:hAnsi="Times New Roman" w:cs="Times New Roman"/>
          <w:color w:val="auto"/>
        </w:rPr>
        <w:t>Hvis symptomerne ikke går væk efter et enkelt behandlingsforløb, eller hvis de vender tilbage efter endt behandling, kan behandlingsforløbet gentages.</w:t>
      </w:r>
    </w:p>
    <w:p w:rsidR="007600D5" w:rsidRPr="00A25210" w:rsidRDefault="007600D5" w:rsidP="007600D5">
      <w:pPr>
        <w:pStyle w:val="LOQblauw"/>
        <w:tabs>
          <w:tab w:val="left" w:pos="426"/>
        </w:tabs>
        <w:ind w:left="567"/>
        <w:rPr>
          <w:rFonts w:ascii="Times New Roman" w:hAnsi="Times New Roman" w:cs="Times New Roman"/>
          <w:color w:val="auto"/>
        </w:rPr>
      </w:pPr>
      <w:r w:rsidRPr="00C158E4">
        <w:rPr>
          <w:rFonts w:ascii="Times New Roman" w:hAnsi="Times New Roman" w:cs="Times New Roman"/>
          <w:color w:val="auto"/>
        </w:rPr>
        <w:t>For at sikre korrekt dosering bør legemsvægten beregnes så nøjagtigt som muligt.</w:t>
      </w:r>
    </w:p>
    <w:p w:rsidR="007600D5" w:rsidRDefault="007600D5" w:rsidP="007600D5">
      <w:pPr>
        <w:rPr>
          <w:b/>
          <w:szCs w:val="22"/>
        </w:rPr>
      </w:pPr>
    </w:p>
    <w:p w:rsidR="007600D5" w:rsidRPr="00F260F0" w:rsidRDefault="007600D5" w:rsidP="007600D5">
      <w:pPr>
        <w:pStyle w:val="Style1"/>
      </w:pPr>
      <w:r w:rsidRPr="00F260F0">
        <w:t>3.10</w:t>
      </w:r>
      <w:r w:rsidRPr="00F260F0">
        <w:tab/>
        <w:t>Symptomer på overdosering (og, hvis relevant, nødforanstaltninger og modgift)</w:t>
      </w:r>
    </w:p>
    <w:p w:rsidR="007600D5" w:rsidRDefault="007600D5" w:rsidP="007600D5">
      <w:pPr>
        <w:rPr>
          <w:szCs w:val="22"/>
        </w:rPr>
      </w:pPr>
    </w:p>
    <w:p w:rsidR="007600D5" w:rsidRPr="00A25210" w:rsidRDefault="007600D5" w:rsidP="007600D5">
      <w:pPr>
        <w:tabs>
          <w:tab w:val="left" w:pos="426"/>
        </w:tabs>
        <w:autoSpaceDE w:val="0"/>
        <w:autoSpaceDN w:val="0"/>
        <w:adjustRightInd w:val="0"/>
        <w:ind w:left="567"/>
        <w:rPr>
          <w:szCs w:val="22"/>
        </w:rPr>
      </w:pPr>
      <w:r w:rsidRPr="00A25210">
        <w:rPr>
          <w:szCs w:val="22"/>
        </w:rPr>
        <w:t xml:space="preserve">De eksperimentelle data indikerer, at en enkelt overdosering med </w:t>
      </w:r>
      <w:proofErr w:type="spellStart"/>
      <w:r w:rsidRPr="00A25210">
        <w:rPr>
          <w:szCs w:val="22"/>
        </w:rPr>
        <w:t>cabergolin</w:t>
      </w:r>
      <w:proofErr w:type="spellEnd"/>
      <w:r w:rsidRPr="00A25210">
        <w:rPr>
          <w:szCs w:val="22"/>
        </w:rPr>
        <w:t xml:space="preserve"> kan føre til en øget sandsynlighed for opkastning efter behandlingen og muligvis en øget hypotension efter behandlingen.</w:t>
      </w:r>
    </w:p>
    <w:p w:rsidR="007600D5" w:rsidRPr="00A25210" w:rsidRDefault="007600D5" w:rsidP="007600D5">
      <w:pPr>
        <w:tabs>
          <w:tab w:val="left" w:pos="426"/>
        </w:tabs>
        <w:spacing w:line="259" w:lineRule="auto"/>
        <w:ind w:left="567"/>
        <w:rPr>
          <w:szCs w:val="22"/>
        </w:rPr>
      </w:pPr>
      <w:r w:rsidRPr="00A25210">
        <w:rPr>
          <w:szCs w:val="22"/>
        </w:rPr>
        <w:t xml:space="preserve">Der bør gives generel støttebehandling for at fjerne ikke absorberet lægemiddel samt opretholde blodtrykket, hvis det er nødvendigt. Parenteral administration af en dopaminantagonist som en modgift, såsom </w:t>
      </w:r>
      <w:proofErr w:type="spellStart"/>
      <w:r w:rsidRPr="00A25210">
        <w:rPr>
          <w:szCs w:val="22"/>
        </w:rPr>
        <w:t>metoclopramid</w:t>
      </w:r>
      <w:proofErr w:type="spellEnd"/>
      <w:r w:rsidRPr="00A25210">
        <w:rPr>
          <w:szCs w:val="22"/>
        </w:rPr>
        <w:t>, kan overvejes.</w:t>
      </w:r>
    </w:p>
    <w:p w:rsidR="007600D5" w:rsidRPr="00F260F0" w:rsidRDefault="007600D5" w:rsidP="007600D5">
      <w:pPr>
        <w:rPr>
          <w:szCs w:val="22"/>
        </w:rPr>
      </w:pPr>
    </w:p>
    <w:p w:rsidR="007600D5" w:rsidRPr="00F260F0" w:rsidRDefault="007600D5" w:rsidP="007600D5">
      <w:pPr>
        <w:pStyle w:val="Style1"/>
      </w:pPr>
      <w:r w:rsidRPr="00F260F0">
        <w:t>3.11</w:t>
      </w:r>
      <w:r w:rsidRPr="00F260F0">
        <w:tab/>
        <w:t>Særlige begrænsninger og betingelser for anvendelse, herunder begrænsninger for anvendelsen af antimikrobielle og antiparasitære veterinærlægemidler for at begrænse risikoen for udvikling af resistens</w:t>
      </w:r>
    </w:p>
    <w:p w:rsidR="007600D5" w:rsidRPr="00F260F0" w:rsidRDefault="007600D5" w:rsidP="007600D5">
      <w:pPr>
        <w:rPr>
          <w:szCs w:val="22"/>
        </w:rPr>
      </w:pPr>
    </w:p>
    <w:p w:rsidR="007600D5" w:rsidRDefault="007600D5" w:rsidP="007600D5">
      <w:pPr>
        <w:ind w:firstLine="567"/>
        <w:rPr>
          <w:szCs w:val="22"/>
        </w:rPr>
      </w:pPr>
      <w:r w:rsidRPr="002132D8">
        <w:rPr>
          <w:szCs w:val="22"/>
        </w:rPr>
        <w:t>Ikke relevant.</w:t>
      </w:r>
      <w:r>
        <w:rPr>
          <w:szCs w:val="22"/>
        </w:rPr>
        <w:t xml:space="preserve"> </w:t>
      </w:r>
    </w:p>
    <w:p w:rsidR="007600D5" w:rsidRPr="00F260F0" w:rsidRDefault="007600D5" w:rsidP="007600D5">
      <w:pPr>
        <w:rPr>
          <w:szCs w:val="22"/>
        </w:rPr>
      </w:pPr>
    </w:p>
    <w:p w:rsidR="007600D5" w:rsidRPr="00F260F0" w:rsidRDefault="007600D5" w:rsidP="007600D5">
      <w:pPr>
        <w:pStyle w:val="Style1"/>
      </w:pPr>
      <w:r w:rsidRPr="00F260F0">
        <w:t>3.12</w:t>
      </w:r>
      <w:r w:rsidRPr="00F260F0">
        <w:tab/>
        <w:t>Tilbageholdelsestid</w:t>
      </w:r>
      <w:r>
        <w:t>(er)</w:t>
      </w:r>
    </w:p>
    <w:p w:rsidR="007600D5" w:rsidRPr="00F260F0" w:rsidRDefault="007600D5" w:rsidP="007600D5">
      <w:pPr>
        <w:rPr>
          <w:szCs w:val="22"/>
        </w:rPr>
      </w:pPr>
    </w:p>
    <w:p w:rsidR="007600D5" w:rsidRDefault="007600D5" w:rsidP="007600D5">
      <w:pPr>
        <w:tabs>
          <w:tab w:val="left" w:pos="567"/>
          <w:tab w:val="left" w:pos="851"/>
          <w:tab w:val="left" w:pos="8222"/>
        </w:tabs>
        <w:rPr>
          <w:szCs w:val="22"/>
        </w:rPr>
      </w:pPr>
      <w:r>
        <w:rPr>
          <w:szCs w:val="22"/>
        </w:rPr>
        <w:tab/>
      </w:r>
      <w:r w:rsidRPr="00A25210">
        <w:rPr>
          <w:szCs w:val="22"/>
        </w:rPr>
        <w:t>Ikke relevant.</w:t>
      </w:r>
    </w:p>
    <w:p w:rsidR="007600D5" w:rsidRDefault="007600D5" w:rsidP="007600D5">
      <w:pPr>
        <w:rPr>
          <w:szCs w:val="22"/>
        </w:rPr>
      </w:pPr>
    </w:p>
    <w:p w:rsidR="007600D5" w:rsidRPr="00F260F0" w:rsidRDefault="007600D5" w:rsidP="007600D5">
      <w:pPr>
        <w:rPr>
          <w:szCs w:val="22"/>
        </w:rPr>
      </w:pPr>
    </w:p>
    <w:p w:rsidR="007600D5" w:rsidRPr="00F260F0" w:rsidRDefault="007600D5" w:rsidP="007600D5">
      <w:pPr>
        <w:pStyle w:val="Style1"/>
      </w:pPr>
      <w:r w:rsidRPr="0069601F">
        <w:t>4.</w:t>
      </w:r>
      <w:r w:rsidRPr="0069601F">
        <w:tab/>
      </w:r>
      <w:r w:rsidRPr="00F260F0">
        <w:t>FARMAKOLOGISKE OPLYSNINGER</w:t>
      </w:r>
    </w:p>
    <w:p w:rsidR="007600D5" w:rsidRPr="0069601F" w:rsidRDefault="007600D5" w:rsidP="007600D5">
      <w:pPr>
        <w:rPr>
          <w:szCs w:val="22"/>
        </w:rPr>
      </w:pPr>
    </w:p>
    <w:p w:rsidR="007600D5" w:rsidRDefault="007600D5" w:rsidP="007600D5">
      <w:pPr>
        <w:pStyle w:val="Style1"/>
      </w:pPr>
      <w:r w:rsidRPr="0069601F">
        <w:t>4.1</w:t>
      </w:r>
      <w:r w:rsidRPr="0069601F">
        <w:tab/>
      </w:r>
      <w:proofErr w:type="spellStart"/>
      <w:r w:rsidRPr="00F260F0">
        <w:t>ATCvet</w:t>
      </w:r>
      <w:proofErr w:type="spellEnd"/>
      <w:r w:rsidRPr="00F260F0">
        <w:t>-kode:</w:t>
      </w:r>
      <w:r>
        <w:t xml:space="preserve"> </w:t>
      </w:r>
    </w:p>
    <w:p w:rsidR="007600D5" w:rsidRPr="00F260F0" w:rsidRDefault="007600D5" w:rsidP="007600D5">
      <w:pPr>
        <w:pStyle w:val="Style1"/>
      </w:pPr>
      <w:r>
        <w:rPr>
          <w:b w:val="0"/>
          <w:bCs/>
        </w:rPr>
        <w:tab/>
      </w:r>
      <w:r w:rsidRPr="00CD0EFB">
        <w:rPr>
          <w:b w:val="0"/>
          <w:bCs/>
        </w:rPr>
        <w:t>QG 02 CB 03.</w:t>
      </w:r>
    </w:p>
    <w:p w:rsidR="007600D5" w:rsidRPr="00F260F0" w:rsidRDefault="007600D5" w:rsidP="007600D5">
      <w:pPr>
        <w:rPr>
          <w:szCs w:val="22"/>
        </w:rPr>
      </w:pPr>
    </w:p>
    <w:p w:rsidR="007600D5" w:rsidRPr="00F260F0" w:rsidRDefault="007600D5" w:rsidP="007600D5">
      <w:pPr>
        <w:pStyle w:val="Style1"/>
      </w:pPr>
      <w:r w:rsidRPr="00F260F0">
        <w:t>4.2</w:t>
      </w:r>
      <w:r w:rsidRPr="00F260F0">
        <w:tab/>
      </w:r>
      <w:proofErr w:type="spellStart"/>
      <w:r w:rsidRPr="00F260F0">
        <w:t>Farmakodynamiske</w:t>
      </w:r>
      <w:proofErr w:type="spellEnd"/>
      <w:r w:rsidRPr="00F260F0">
        <w:t xml:space="preserve"> oplysninger</w:t>
      </w:r>
    </w:p>
    <w:p w:rsidR="007600D5" w:rsidRDefault="007600D5" w:rsidP="007600D5">
      <w:pPr>
        <w:rPr>
          <w:szCs w:val="22"/>
        </w:rPr>
      </w:pPr>
    </w:p>
    <w:p w:rsidR="007600D5" w:rsidRDefault="007600D5" w:rsidP="007600D5">
      <w:pPr>
        <w:tabs>
          <w:tab w:val="left" w:pos="426"/>
        </w:tabs>
        <w:ind w:left="567"/>
        <w:rPr>
          <w:szCs w:val="22"/>
        </w:rPr>
      </w:pPr>
      <w:proofErr w:type="spellStart"/>
      <w:r w:rsidRPr="00A25210">
        <w:rPr>
          <w:szCs w:val="22"/>
        </w:rPr>
        <w:t>Cabergolin</w:t>
      </w:r>
      <w:proofErr w:type="spellEnd"/>
      <w:r w:rsidRPr="00A25210">
        <w:rPr>
          <w:szCs w:val="22"/>
        </w:rPr>
        <w:t xml:space="preserve"> er et </w:t>
      </w:r>
      <w:proofErr w:type="spellStart"/>
      <w:r w:rsidRPr="00A25210">
        <w:rPr>
          <w:szCs w:val="22"/>
        </w:rPr>
        <w:t>ergolinderivat</w:t>
      </w:r>
      <w:proofErr w:type="spellEnd"/>
      <w:r w:rsidRPr="00A25210">
        <w:rPr>
          <w:szCs w:val="22"/>
        </w:rPr>
        <w:t xml:space="preserve">. Det har dopaminerg aktivitet, hvilket fører til hæmning af </w:t>
      </w:r>
      <w:proofErr w:type="spellStart"/>
      <w:r w:rsidRPr="00A25210">
        <w:rPr>
          <w:szCs w:val="22"/>
        </w:rPr>
        <w:t>prolaktinsecerneringen</w:t>
      </w:r>
      <w:proofErr w:type="spellEnd"/>
      <w:r w:rsidRPr="00A25210">
        <w:rPr>
          <w:szCs w:val="22"/>
        </w:rPr>
        <w:t xml:space="preserve"> i </w:t>
      </w:r>
      <w:proofErr w:type="spellStart"/>
      <w:r w:rsidRPr="00A25210">
        <w:rPr>
          <w:szCs w:val="22"/>
        </w:rPr>
        <w:t>hypofyseforlappen</w:t>
      </w:r>
      <w:proofErr w:type="spellEnd"/>
      <w:r w:rsidRPr="00A25210">
        <w:rPr>
          <w:szCs w:val="22"/>
        </w:rPr>
        <w:t xml:space="preserve">. Virkningsmekanismen for </w:t>
      </w:r>
      <w:proofErr w:type="spellStart"/>
      <w:r w:rsidRPr="00A25210">
        <w:rPr>
          <w:szCs w:val="22"/>
        </w:rPr>
        <w:t>cabergolin</w:t>
      </w:r>
      <w:proofErr w:type="spellEnd"/>
      <w:r w:rsidRPr="00A25210">
        <w:rPr>
          <w:szCs w:val="22"/>
        </w:rPr>
        <w:t xml:space="preserve"> blev undersøgt i </w:t>
      </w:r>
      <w:r w:rsidRPr="00A25210">
        <w:rPr>
          <w:i/>
          <w:szCs w:val="22"/>
        </w:rPr>
        <w:t xml:space="preserve">in </w:t>
      </w:r>
      <w:proofErr w:type="spellStart"/>
      <w:r w:rsidRPr="00A25210">
        <w:rPr>
          <w:i/>
          <w:szCs w:val="22"/>
        </w:rPr>
        <w:t>vitro</w:t>
      </w:r>
      <w:proofErr w:type="spellEnd"/>
      <w:r w:rsidRPr="00A25210">
        <w:rPr>
          <w:i/>
          <w:szCs w:val="22"/>
        </w:rPr>
        <w:t>-</w:t>
      </w:r>
      <w:r w:rsidRPr="00A25210">
        <w:rPr>
          <w:szCs w:val="22"/>
        </w:rPr>
        <w:t xml:space="preserve"> og </w:t>
      </w:r>
      <w:r w:rsidRPr="00A25210">
        <w:rPr>
          <w:i/>
          <w:szCs w:val="22"/>
        </w:rPr>
        <w:t xml:space="preserve">in </w:t>
      </w:r>
      <w:proofErr w:type="spellStart"/>
      <w:r w:rsidRPr="00A25210">
        <w:rPr>
          <w:i/>
          <w:szCs w:val="22"/>
        </w:rPr>
        <w:t>vivo</w:t>
      </w:r>
      <w:proofErr w:type="spellEnd"/>
      <w:r w:rsidRPr="00A25210">
        <w:rPr>
          <w:i/>
          <w:szCs w:val="22"/>
        </w:rPr>
        <w:t>-</w:t>
      </w:r>
      <w:r w:rsidRPr="00A25210">
        <w:rPr>
          <w:szCs w:val="22"/>
        </w:rPr>
        <w:t>modeller. De vigtigste detaljer er angivet nedenfor:</w:t>
      </w:r>
    </w:p>
    <w:p w:rsidR="007600D5" w:rsidRPr="00A25210" w:rsidRDefault="007600D5" w:rsidP="007600D5">
      <w:pPr>
        <w:tabs>
          <w:tab w:val="left" w:pos="426"/>
        </w:tabs>
        <w:rPr>
          <w:szCs w:val="22"/>
        </w:rPr>
      </w:pPr>
    </w:p>
    <w:p w:rsidR="007600D5" w:rsidRPr="00A25210" w:rsidRDefault="007600D5" w:rsidP="007600D5">
      <w:pPr>
        <w:numPr>
          <w:ilvl w:val="0"/>
          <w:numId w:val="5"/>
        </w:numPr>
        <w:tabs>
          <w:tab w:val="left" w:pos="1418"/>
        </w:tabs>
        <w:ind w:left="1134" w:hanging="283"/>
        <w:rPr>
          <w:szCs w:val="22"/>
        </w:rPr>
      </w:pPr>
      <w:proofErr w:type="spellStart"/>
      <w:r w:rsidRPr="00A25210">
        <w:rPr>
          <w:szCs w:val="22"/>
        </w:rPr>
        <w:t>Cabergolin</w:t>
      </w:r>
      <w:proofErr w:type="spellEnd"/>
      <w:r w:rsidRPr="00A25210">
        <w:rPr>
          <w:szCs w:val="22"/>
        </w:rPr>
        <w:t xml:space="preserve"> hæmmer </w:t>
      </w:r>
      <w:proofErr w:type="spellStart"/>
      <w:r w:rsidRPr="00A25210">
        <w:rPr>
          <w:szCs w:val="22"/>
        </w:rPr>
        <w:t>prolaktinsecerneringen</w:t>
      </w:r>
      <w:proofErr w:type="spellEnd"/>
      <w:r w:rsidRPr="00A25210">
        <w:rPr>
          <w:szCs w:val="22"/>
        </w:rPr>
        <w:t xml:space="preserve"> i hypofysen og hæmmer alle </w:t>
      </w:r>
      <w:proofErr w:type="spellStart"/>
      <w:r w:rsidRPr="00A25210">
        <w:rPr>
          <w:szCs w:val="22"/>
        </w:rPr>
        <w:t>prolaktinafhængige</w:t>
      </w:r>
      <w:proofErr w:type="spellEnd"/>
      <w:r w:rsidRPr="00A25210">
        <w:rPr>
          <w:szCs w:val="22"/>
        </w:rPr>
        <w:t xml:space="preserve"> processer, såsom laktation. Maksimal hæmning opnås efter</w:t>
      </w:r>
      <w:r>
        <w:rPr>
          <w:szCs w:val="22"/>
        </w:rPr>
        <w:t xml:space="preserve"> </w:t>
      </w:r>
      <w:r w:rsidRPr="00A25210">
        <w:rPr>
          <w:szCs w:val="22"/>
        </w:rPr>
        <w:t xml:space="preserve">4-8 timer og varer i flere dage, afhængig af den administrerede dosis. </w:t>
      </w:r>
    </w:p>
    <w:p w:rsidR="007600D5" w:rsidRPr="00A25210" w:rsidRDefault="007600D5" w:rsidP="007600D5">
      <w:pPr>
        <w:numPr>
          <w:ilvl w:val="0"/>
          <w:numId w:val="5"/>
        </w:numPr>
        <w:tabs>
          <w:tab w:val="left" w:pos="1418"/>
        </w:tabs>
        <w:ind w:left="1134" w:hanging="283"/>
        <w:rPr>
          <w:szCs w:val="22"/>
        </w:rPr>
      </w:pPr>
      <w:proofErr w:type="spellStart"/>
      <w:r w:rsidRPr="00A25210">
        <w:rPr>
          <w:szCs w:val="22"/>
        </w:rPr>
        <w:t>Cabergolin</w:t>
      </w:r>
      <w:proofErr w:type="spellEnd"/>
      <w:r w:rsidRPr="00A25210">
        <w:rPr>
          <w:szCs w:val="22"/>
        </w:rPr>
        <w:t xml:space="preserve"> har ingen andre virkninger på det endokrine system end hæmning af </w:t>
      </w:r>
      <w:proofErr w:type="spellStart"/>
      <w:r w:rsidRPr="00A25210">
        <w:rPr>
          <w:szCs w:val="22"/>
        </w:rPr>
        <w:t>prolaktinsecerneringen</w:t>
      </w:r>
      <w:proofErr w:type="spellEnd"/>
      <w:r w:rsidRPr="00A25210">
        <w:rPr>
          <w:szCs w:val="22"/>
        </w:rPr>
        <w:t>.</w:t>
      </w:r>
    </w:p>
    <w:p w:rsidR="007600D5" w:rsidRPr="00A25210" w:rsidRDefault="007600D5" w:rsidP="007600D5">
      <w:pPr>
        <w:numPr>
          <w:ilvl w:val="0"/>
          <w:numId w:val="5"/>
        </w:numPr>
        <w:tabs>
          <w:tab w:val="left" w:pos="1418"/>
        </w:tabs>
        <w:ind w:left="1134" w:hanging="283"/>
        <w:rPr>
          <w:szCs w:val="22"/>
        </w:rPr>
      </w:pPr>
      <w:proofErr w:type="spellStart"/>
      <w:r w:rsidRPr="00A25210">
        <w:rPr>
          <w:szCs w:val="22"/>
        </w:rPr>
        <w:t>Cabergolin</w:t>
      </w:r>
      <w:proofErr w:type="spellEnd"/>
      <w:r w:rsidRPr="00A25210">
        <w:rPr>
          <w:szCs w:val="22"/>
        </w:rPr>
        <w:t xml:space="preserve"> er en dopaminagonist i centralnervesystemet ved selektiv interaktion med de </w:t>
      </w:r>
      <w:proofErr w:type="spellStart"/>
      <w:r w:rsidRPr="00A25210">
        <w:rPr>
          <w:szCs w:val="22"/>
        </w:rPr>
        <w:t>dopaminerge</w:t>
      </w:r>
      <w:proofErr w:type="spellEnd"/>
      <w:r w:rsidRPr="00A25210">
        <w:rPr>
          <w:szCs w:val="22"/>
        </w:rPr>
        <w:t xml:space="preserve"> D</w:t>
      </w:r>
      <w:r w:rsidRPr="00A25210">
        <w:rPr>
          <w:szCs w:val="22"/>
          <w:vertAlign w:val="subscript"/>
        </w:rPr>
        <w:t>2</w:t>
      </w:r>
      <w:r w:rsidRPr="00A25210">
        <w:rPr>
          <w:szCs w:val="22"/>
        </w:rPr>
        <w:t>-receptorer.</w:t>
      </w:r>
    </w:p>
    <w:p w:rsidR="007600D5" w:rsidRPr="00A25210" w:rsidRDefault="007600D5" w:rsidP="007600D5">
      <w:pPr>
        <w:numPr>
          <w:ilvl w:val="0"/>
          <w:numId w:val="5"/>
        </w:numPr>
        <w:tabs>
          <w:tab w:val="left" w:pos="1418"/>
        </w:tabs>
        <w:ind w:left="1134" w:hanging="283"/>
        <w:rPr>
          <w:szCs w:val="22"/>
        </w:rPr>
      </w:pPr>
      <w:proofErr w:type="spellStart"/>
      <w:r w:rsidRPr="00A25210">
        <w:rPr>
          <w:szCs w:val="22"/>
        </w:rPr>
        <w:t>Cabergolin</w:t>
      </w:r>
      <w:proofErr w:type="spellEnd"/>
      <w:r w:rsidRPr="00A25210">
        <w:rPr>
          <w:szCs w:val="22"/>
        </w:rPr>
        <w:t xml:space="preserve"> har affinitet for de </w:t>
      </w:r>
      <w:proofErr w:type="spellStart"/>
      <w:r w:rsidRPr="00A25210">
        <w:rPr>
          <w:szCs w:val="22"/>
        </w:rPr>
        <w:t>noradrenerge</w:t>
      </w:r>
      <w:proofErr w:type="spellEnd"/>
      <w:r w:rsidRPr="00A25210">
        <w:rPr>
          <w:szCs w:val="22"/>
        </w:rPr>
        <w:t xml:space="preserve"> receptorer, hvilket dog ikke fører til en påvirkning af noradrenalin- og serotoninmetabolismen.</w:t>
      </w:r>
    </w:p>
    <w:p w:rsidR="007600D5" w:rsidRPr="00A25210" w:rsidRDefault="007600D5" w:rsidP="007600D5">
      <w:pPr>
        <w:numPr>
          <w:ilvl w:val="0"/>
          <w:numId w:val="5"/>
        </w:numPr>
        <w:tabs>
          <w:tab w:val="left" w:pos="1418"/>
        </w:tabs>
        <w:ind w:left="1134" w:hanging="283"/>
        <w:rPr>
          <w:szCs w:val="22"/>
        </w:rPr>
      </w:pPr>
      <w:proofErr w:type="spellStart"/>
      <w:r w:rsidRPr="00A25210">
        <w:rPr>
          <w:szCs w:val="22"/>
        </w:rPr>
        <w:t>Cabergolin</w:t>
      </w:r>
      <w:proofErr w:type="spellEnd"/>
      <w:r w:rsidRPr="00A25210">
        <w:rPr>
          <w:szCs w:val="22"/>
        </w:rPr>
        <w:t xml:space="preserve"> er et </w:t>
      </w:r>
      <w:proofErr w:type="spellStart"/>
      <w:r w:rsidRPr="00A25210">
        <w:rPr>
          <w:szCs w:val="22"/>
        </w:rPr>
        <w:t>emetikum</w:t>
      </w:r>
      <w:proofErr w:type="spellEnd"/>
      <w:r w:rsidRPr="00A25210">
        <w:rPr>
          <w:szCs w:val="22"/>
        </w:rPr>
        <w:t xml:space="preserve"> som de andre </w:t>
      </w:r>
      <w:proofErr w:type="spellStart"/>
      <w:r w:rsidRPr="00A25210">
        <w:rPr>
          <w:szCs w:val="22"/>
        </w:rPr>
        <w:t>ergolinderivater</w:t>
      </w:r>
      <w:proofErr w:type="spellEnd"/>
      <w:r w:rsidRPr="00A25210">
        <w:rPr>
          <w:szCs w:val="22"/>
        </w:rPr>
        <w:t xml:space="preserve"> (sammenlignelig styrke med </w:t>
      </w:r>
      <w:proofErr w:type="spellStart"/>
      <w:r w:rsidRPr="00A25210">
        <w:rPr>
          <w:szCs w:val="22"/>
        </w:rPr>
        <w:t>bromcriptin</w:t>
      </w:r>
      <w:proofErr w:type="spellEnd"/>
      <w:r w:rsidRPr="00A25210">
        <w:rPr>
          <w:szCs w:val="22"/>
        </w:rPr>
        <w:t xml:space="preserve"> og </w:t>
      </w:r>
      <w:proofErr w:type="spellStart"/>
      <w:r w:rsidRPr="00A25210">
        <w:rPr>
          <w:szCs w:val="22"/>
        </w:rPr>
        <w:t>pergolid</w:t>
      </w:r>
      <w:proofErr w:type="spellEnd"/>
      <w:r w:rsidRPr="00A25210">
        <w:rPr>
          <w:szCs w:val="22"/>
        </w:rPr>
        <w:t>).</w:t>
      </w:r>
    </w:p>
    <w:p w:rsidR="007600D5" w:rsidRPr="00F260F0" w:rsidRDefault="007600D5" w:rsidP="007600D5">
      <w:pPr>
        <w:rPr>
          <w:szCs w:val="22"/>
        </w:rPr>
      </w:pPr>
    </w:p>
    <w:p w:rsidR="007600D5" w:rsidRPr="00F260F0" w:rsidRDefault="007600D5" w:rsidP="007600D5">
      <w:pPr>
        <w:pStyle w:val="Style1"/>
      </w:pPr>
      <w:r w:rsidRPr="00F260F0">
        <w:t>4.3</w:t>
      </w:r>
      <w:r w:rsidRPr="00F260F0">
        <w:tab/>
      </w:r>
      <w:proofErr w:type="spellStart"/>
      <w:r w:rsidRPr="00F260F0">
        <w:t>Farmakokinetiske</w:t>
      </w:r>
      <w:proofErr w:type="spellEnd"/>
      <w:r w:rsidRPr="00F260F0">
        <w:t xml:space="preserve"> oplysninger</w:t>
      </w:r>
    </w:p>
    <w:p w:rsidR="007600D5" w:rsidRPr="00F260F0" w:rsidRDefault="007600D5" w:rsidP="007600D5">
      <w:pPr>
        <w:rPr>
          <w:szCs w:val="22"/>
        </w:rPr>
      </w:pPr>
    </w:p>
    <w:p w:rsidR="007600D5" w:rsidRPr="00A25210" w:rsidRDefault="007600D5" w:rsidP="007600D5">
      <w:pPr>
        <w:tabs>
          <w:tab w:val="left" w:pos="426"/>
        </w:tabs>
        <w:ind w:left="567"/>
        <w:rPr>
          <w:szCs w:val="22"/>
        </w:rPr>
      </w:pPr>
      <w:r w:rsidRPr="00A25210">
        <w:rPr>
          <w:szCs w:val="22"/>
        </w:rPr>
        <w:t xml:space="preserve">Der foreligger ingen </w:t>
      </w:r>
      <w:proofErr w:type="spellStart"/>
      <w:r w:rsidRPr="00A25210">
        <w:rPr>
          <w:szCs w:val="22"/>
        </w:rPr>
        <w:t>farmakokinetiske</w:t>
      </w:r>
      <w:proofErr w:type="spellEnd"/>
      <w:r w:rsidRPr="00A25210">
        <w:rPr>
          <w:szCs w:val="22"/>
        </w:rPr>
        <w:t xml:space="preserve"> data for det anbefalede doseringsprogram for hunde og katte.</w:t>
      </w:r>
    </w:p>
    <w:p w:rsidR="007600D5" w:rsidRPr="00A25210" w:rsidRDefault="007600D5" w:rsidP="007600D5">
      <w:pPr>
        <w:tabs>
          <w:tab w:val="left" w:pos="426"/>
        </w:tabs>
        <w:ind w:left="567"/>
        <w:rPr>
          <w:szCs w:val="22"/>
        </w:rPr>
      </w:pPr>
      <w:r w:rsidRPr="00A25210">
        <w:rPr>
          <w:szCs w:val="22"/>
        </w:rPr>
        <w:t xml:space="preserve">Der blev udført </w:t>
      </w:r>
      <w:proofErr w:type="spellStart"/>
      <w:r w:rsidRPr="00A25210">
        <w:rPr>
          <w:szCs w:val="22"/>
        </w:rPr>
        <w:t>farmakokinetiske</w:t>
      </w:r>
      <w:proofErr w:type="spellEnd"/>
      <w:r w:rsidRPr="00A25210">
        <w:rPr>
          <w:szCs w:val="22"/>
        </w:rPr>
        <w:t xml:space="preserve"> studier med hunde med en daglig dosis på 80 µg/kg legemsvægt (16 gange den anbefalede dosis). Hundene blev behandlet i 30 dage. </w:t>
      </w:r>
      <w:proofErr w:type="spellStart"/>
      <w:r w:rsidRPr="00A25210">
        <w:rPr>
          <w:szCs w:val="22"/>
        </w:rPr>
        <w:t>Farmakokinetiske</w:t>
      </w:r>
      <w:proofErr w:type="spellEnd"/>
      <w:r w:rsidRPr="00A25210">
        <w:rPr>
          <w:szCs w:val="22"/>
        </w:rPr>
        <w:t xml:space="preserve"> vurderinger blev udført på dag 1 og 28.</w:t>
      </w:r>
    </w:p>
    <w:p w:rsidR="007600D5" w:rsidRPr="00A25210" w:rsidRDefault="007600D5" w:rsidP="007600D5">
      <w:pPr>
        <w:tabs>
          <w:tab w:val="left" w:pos="426"/>
        </w:tabs>
        <w:ind w:left="567"/>
        <w:rPr>
          <w:szCs w:val="22"/>
        </w:rPr>
      </w:pPr>
    </w:p>
    <w:p w:rsidR="007600D5" w:rsidRPr="00A25210" w:rsidRDefault="007600D5" w:rsidP="007600D5">
      <w:pPr>
        <w:tabs>
          <w:tab w:val="left" w:pos="426"/>
        </w:tabs>
        <w:ind w:left="567"/>
        <w:rPr>
          <w:szCs w:val="22"/>
          <w:u w:val="single"/>
        </w:rPr>
      </w:pPr>
      <w:r w:rsidRPr="00A25210">
        <w:rPr>
          <w:szCs w:val="22"/>
          <w:u w:val="single"/>
        </w:rPr>
        <w:t>Absorption</w:t>
      </w:r>
    </w:p>
    <w:p w:rsidR="007600D5" w:rsidRPr="00A25210" w:rsidRDefault="007600D5" w:rsidP="007600D5">
      <w:pPr>
        <w:numPr>
          <w:ilvl w:val="0"/>
          <w:numId w:val="6"/>
        </w:numPr>
        <w:tabs>
          <w:tab w:val="clear" w:pos="360"/>
          <w:tab w:val="left" w:pos="426"/>
          <w:tab w:val="num" w:pos="1134"/>
          <w:tab w:val="num" w:pos="1211"/>
        </w:tabs>
        <w:ind w:left="567" w:firstLine="0"/>
        <w:rPr>
          <w:szCs w:val="22"/>
        </w:rPr>
      </w:pPr>
      <w:proofErr w:type="spellStart"/>
      <w:r w:rsidRPr="00A25210">
        <w:rPr>
          <w:szCs w:val="22"/>
        </w:rPr>
        <w:t>Tmax</w:t>
      </w:r>
      <w:proofErr w:type="spellEnd"/>
      <w:r w:rsidRPr="00A25210">
        <w:rPr>
          <w:szCs w:val="22"/>
        </w:rPr>
        <w:t xml:space="preserve"> = 1 time på dag 1og 0,5-2 timer (gennemsnit 75 minutter) på dag 28,</w:t>
      </w:r>
    </w:p>
    <w:p w:rsidR="007600D5" w:rsidRDefault="007600D5" w:rsidP="007600D5">
      <w:pPr>
        <w:numPr>
          <w:ilvl w:val="0"/>
          <w:numId w:val="6"/>
        </w:numPr>
        <w:tabs>
          <w:tab w:val="clear" w:pos="360"/>
          <w:tab w:val="left" w:pos="426"/>
          <w:tab w:val="num" w:pos="1134"/>
          <w:tab w:val="num" w:pos="1211"/>
        </w:tabs>
        <w:ind w:left="1134" w:hanging="567"/>
        <w:rPr>
          <w:szCs w:val="22"/>
        </w:rPr>
      </w:pPr>
      <w:proofErr w:type="spellStart"/>
      <w:r w:rsidRPr="00A25210">
        <w:rPr>
          <w:szCs w:val="22"/>
        </w:rPr>
        <w:lastRenderedPageBreak/>
        <w:t>Cmax</w:t>
      </w:r>
      <w:proofErr w:type="spellEnd"/>
      <w:r w:rsidRPr="00A25210">
        <w:rPr>
          <w:szCs w:val="22"/>
        </w:rPr>
        <w:t xml:space="preserve"> varierede fra 1140 til 3155 </w:t>
      </w:r>
      <w:proofErr w:type="spellStart"/>
      <w:r w:rsidRPr="00A25210">
        <w:rPr>
          <w:szCs w:val="22"/>
        </w:rPr>
        <w:t>pg</w:t>
      </w:r>
      <w:proofErr w:type="spellEnd"/>
      <w:r w:rsidRPr="00A25210">
        <w:rPr>
          <w:szCs w:val="22"/>
        </w:rPr>
        <w:t>/ml (gennemsnit 2147 </w:t>
      </w:r>
      <w:proofErr w:type="spellStart"/>
      <w:r w:rsidRPr="00A25210">
        <w:rPr>
          <w:szCs w:val="22"/>
        </w:rPr>
        <w:t>pg</w:t>
      </w:r>
      <w:proofErr w:type="spellEnd"/>
      <w:r w:rsidRPr="00A25210">
        <w:rPr>
          <w:szCs w:val="22"/>
        </w:rPr>
        <w:t>/ml) på dag 1 og fra 455 til 4217 </w:t>
      </w:r>
      <w:proofErr w:type="spellStart"/>
      <w:r w:rsidRPr="00A25210">
        <w:rPr>
          <w:szCs w:val="22"/>
        </w:rPr>
        <w:t>pg</w:t>
      </w:r>
      <w:proofErr w:type="spellEnd"/>
      <w:r w:rsidRPr="00A25210">
        <w:rPr>
          <w:szCs w:val="22"/>
        </w:rPr>
        <w:t>/ml (gennemsnit 2336 </w:t>
      </w:r>
      <w:proofErr w:type="spellStart"/>
      <w:r w:rsidRPr="00A25210">
        <w:rPr>
          <w:szCs w:val="22"/>
        </w:rPr>
        <w:t>pg</w:t>
      </w:r>
      <w:proofErr w:type="spellEnd"/>
      <w:r w:rsidRPr="00A25210">
        <w:rPr>
          <w:szCs w:val="22"/>
        </w:rPr>
        <w:t>/ml) på dag 28,</w:t>
      </w:r>
    </w:p>
    <w:p w:rsidR="007600D5" w:rsidRPr="007600D5" w:rsidRDefault="007600D5" w:rsidP="007600D5">
      <w:pPr>
        <w:numPr>
          <w:ilvl w:val="0"/>
          <w:numId w:val="6"/>
        </w:numPr>
        <w:tabs>
          <w:tab w:val="clear" w:pos="360"/>
          <w:tab w:val="left" w:pos="426"/>
          <w:tab w:val="num" w:pos="1134"/>
          <w:tab w:val="num" w:pos="1211"/>
        </w:tabs>
        <w:ind w:left="1134" w:hanging="567"/>
        <w:rPr>
          <w:szCs w:val="22"/>
        </w:rPr>
      </w:pPr>
      <w:r w:rsidRPr="007600D5">
        <w:rPr>
          <w:szCs w:val="22"/>
        </w:rPr>
        <w:t>AUC (0-24 t) på dag 1 varierede fra 3896 til 10216 pg.t.ml-1 (gennemsnit 7056 pg.t.ml-1) og på dag 28 fra 3231 til 19043 pg.t.ml-1 (gennemsnit 11137 pg.t.ml-1).</w:t>
      </w:r>
    </w:p>
    <w:p w:rsidR="007600D5" w:rsidRPr="007600D5" w:rsidRDefault="007600D5" w:rsidP="007600D5">
      <w:pPr>
        <w:tabs>
          <w:tab w:val="left" w:pos="426"/>
          <w:tab w:val="num" w:pos="1134"/>
        </w:tabs>
        <w:rPr>
          <w:szCs w:val="22"/>
        </w:rPr>
      </w:pPr>
    </w:p>
    <w:p w:rsidR="007600D5" w:rsidRPr="00A25210" w:rsidRDefault="007600D5" w:rsidP="007600D5">
      <w:pPr>
        <w:tabs>
          <w:tab w:val="left" w:pos="567"/>
          <w:tab w:val="num" w:pos="1134"/>
        </w:tabs>
        <w:rPr>
          <w:szCs w:val="22"/>
          <w:u w:val="single"/>
        </w:rPr>
      </w:pPr>
      <w:r w:rsidRPr="007600D5">
        <w:rPr>
          <w:szCs w:val="22"/>
        </w:rPr>
        <w:tab/>
      </w:r>
      <w:r w:rsidRPr="00A25210">
        <w:rPr>
          <w:szCs w:val="22"/>
          <w:u w:val="single"/>
        </w:rPr>
        <w:t>Elimination</w:t>
      </w:r>
    </w:p>
    <w:p w:rsidR="007600D5" w:rsidRPr="006672C7" w:rsidRDefault="007600D5" w:rsidP="007600D5">
      <w:pPr>
        <w:numPr>
          <w:ilvl w:val="0"/>
          <w:numId w:val="7"/>
        </w:numPr>
        <w:tabs>
          <w:tab w:val="clear" w:pos="360"/>
          <w:tab w:val="left" w:pos="1134"/>
        </w:tabs>
        <w:ind w:left="567" w:firstLine="0"/>
        <w:rPr>
          <w:szCs w:val="22"/>
        </w:rPr>
      </w:pPr>
      <w:r w:rsidRPr="00A25210">
        <w:rPr>
          <w:szCs w:val="22"/>
        </w:rPr>
        <w:t>Plasmahalveringstid hos hunde t½ på dag 1 ~ 19 timer, t½ på dag 28 ~ 10 timer.</w:t>
      </w:r>
    </w:p>
    <w:p w:rsidR="007600D5" w:rsidRDefault="007600D5" w:rsidP="007600D5">
      <w:pPr>
        <w:rPr>
          <w:b/>
          <w:szCs w:val="22"/>
        </w:rPr>
      </w:pPr>
    </w:p>
    <w:p w:rsidR="007600D5" w:rsidRPr="00F260F0" w:rsidRDefault="007600D5" w:rsidP="007600D5">
      <w:pPr>
        <w:rPr>
          <w:szCs w:val="22"/>
        </w:rPr>
      </w:pPr>
    </w:p>
    <w:p w:rsidR="007600D5" w:rsidRPr="00F260F0" w:rsidRDefault="007600D5" w:rsidP="007600D5">
      <w:pPr>
        <w:pStyle w:val="Style1"/>
      </w:pPr>
      <w:r w:rsidRPr="00F260F0">
        <w:t>5.</w:t>
      </w:r>
      <w:r w:rsidRPr="00F260F0">
        <w:tab/>
        <w:t>FARMACEUTISKE OPLYSNINGER</w:t>
      </w:r>
    </w:p>
    <w:p w:rsidR="007600D5" w:rsidRDefault="007600D5" w:rsidP="007600D5">
      <w:pPr>
        <w:rPr>
          <w:szCs w:val="22"/>
        </w:rPr>
      </w:pPr>
    </w:p>
    <w:p w:rsidR="007600D5" w:rsidRPr="00F260F0" w:rsidRDefault="007600D5" w:rsidP="007600D5">
      <w:pPr>
        <w:pStyle w:val="Style1"/>
      </w:pPr>
      <w:r w:rsidRPr="00F260F0">
        <w:t>5.1</w:t>
      </w:r>
      <w:r w:rsidRPr="00F260F0">
        <w:tab/>
        <w:t>Væsentlige uforligeligheder</w:t>
      </w:r>
    </w:p>
    <w:p w:rsidR="007600D5" w:rsidRPr="00F260F0" w:rsidRDefault="007600D5" w:rsidP="007600D5">
      <w:pPr>
        <w:rPr>
          <w:szCs w:val="22"/>
        </w:rPr>
      </w:pPr>
    </w:p>
    <w:p w:rsidR="007600D5" w:rsidRPr="00A25210" w:rsidRDefault="007600D5" w:rsidP="007600D5">
      <w:pPr>
        <w:tabs>
          <w:tab w:val="left" w:pos="426"/>
        </w:tabs>
        <w:spacing w:after="15" w:line="259" w:lineRule="auto"/>
        <w:ind w:left="567"/>
        <w:rPr>
          <w:szCs w:val="22"/>
        </w:rPr>
      </w:pPr>
      <w:r w:rsidRPr="00A309EE">
        <w:rPr>
          <w:szCs w:val="22"/>
        </w:rPr>
        <w:t xml:space="preserve">Da der ikke </w:t>
      </w:r>
      <w:r w:rsidRPr="00C158E4">
        <w:rPr>
          <w:szCs w:val="22"/>
        </w:rPr>
        <w:t>foreligger</w:t>
      </w:r>
      <w:r w:rsidRPr="00A309EE">
        <w:rPr>
          <w:szCs w:val="22"/>
        </w:rPr>
        <w:t xml:space="preserve"> undersøgelser </w:t>
      </w:r>
      <w:r w:rsidRPr="00C158E4">
        <w:rPr>
          <w:szCs w:val="22"/>
        </w:rPr>
        <w:t>vedrørende</w:t>
      </w:r>
      <w:r w:rsidRPr="00A309EE">
        <w:rPr>
          <w:szCs w:val="22"/>
        </w:rPr>
        <w:t xml:space="preserve"> eventuelle uforligeligheder, bør dette </w:t>
      </w:r>
      <w:r>
        <w:rPr>
          <w:szCs w:val="22"/>
        </w:rPr>
        <w:t>veterinær</w:t>
      </w:r>
      <w:r w:rsidRPr="00A309EE">
        <w:rPr>
          <w:szCs w:val="22"/>
        </w:rPr>
        <w:t xml:space="preserve">lægemiddel ikke blandes med andre </w:t>
      </w:r>
      <w:r w:rsidRPr="00C158E4">
        <w:rPr>
          <w:szCs w:val="22"/>
        </w:rPr>
        <w:t>veterinær</w:t>
      </w:r>
      <w:r w:rsidRPr="00A309EE">
        <w:rPr>
          <w:szCs w:val="22"/>
        </w:rPr>
        <w:t>lægemidler</w:t>
      </w:r>
      <w:r>
        <w:rPr>
          <w:szCs w:val="22"/>
        </w:rPr>
        <w:t xml:space="preserve"> eller med andre vandige opløsninger (f.eks. mælk)</w:t>
      </w:r>
      <w:r w:rsidRPr="00A25210">
        <w:rPr>
          <w:szCs w:val="22"/>
        </w:rPr>
        <w:t>.</w:t>
      </w:r>
    </w:p>
    <w:p w:rsidR="007600D5" w:rsidRPr="00F260F0" w:rsidRDefault="007600D5" w:rsidP="007600D5">
      <w:pPr>
        <w:rPr>
          <w:szCs w:val="22"/>
        </w:rPr>
      </w:pPr>
    </w:p>
    <w:p w:rsidR="007600D5" w:rsidRPr="00F260F0" w:rsidRDefault="007600D5" w:rsidP="007600D5">
      <w:pPr>
        <w:pStyle w:val="Style1"/>
      </w:pPr>
      <w:r w:rsidRPr="00F260F0">
        <w:t>5.2</w:t>
      </w:r>
      <w:r w:rsidRPr="00F260F0">
        <w:tab/>
        <w:t>Opbevaringstid</w:t>
      </w:r>
    </w:p>
    <w:p w:rsidR="007600D5" w:rsidRDefault="007600D5" w:rsidP="007600D5">
      <w:pPr>
        <w:rPr>
          <w:szCs w:val="22"/>
        </w:rPr>
      </w:pPr>
    </w:p>
    <w:p w:rsidR="007600D5" w:rsidRPr="00A25210" w:rsidRDefault="007600D5" w:rsidP="007600D5">
      <w:pPr>
        <w:tabs>
          <w:tab w:val="left" w:pos="426"/>
        </w:tabs>
        <w:ind w:left="567" w:right="1945"/>
        <w:rPr>
          <w:szCs w:val="22"/>
        </w:rPr>
      </w:pPr>
      <w:r>
        <w:rPr>
          <w:szCs w:val="22"/>
        </w:rPr>
        <w:t>Opbevaringstid for veterinærlægemidlet i</w:t>
      </w:r>
      <w:r w:rsidRPr="00A25210">
        <w:rPr>
          <w:szCs w:val="22"/>
        </w:rPr>
        <w:t xml:space="preserve"> salgspakning: 3 år.</w:t>
      </w:r>
    </w:p>
    <w:p w:rsidR="007600D5" w:rsidRPr="00A25210" w:rsidRDefault="007600D5" w:rsidP="007600D5">
      <w:pPr>
        <w:tabs>
          <w:tab w:val="left" w:pos="426"/>
        </w:tabs>
        <w:ind w:left="567" w:right="1945"/>
        <w:rPr>
          <w:szCs w:val="22"/>
        </w:rPr>
      </w:pPr>
      <w:r>
        <w:rPr>
          <w:szCs w:val="22"/>
        </w:rPr>
        <w:t>Opbevaringstid e</w:t>
      </w:r>
      <w:r w:rsidRPr="00A25210">
        <w:rPr>
          <w:szCs w:val="22"/>
        </w:rPr>
        <w:t>fter første åbning af den indre emballage: 28 dage.</w:t>
      </w:r>
    </w:p>
    <w:p w:rsidR="007600D5" w:rsidRPr="00F260F0" w:rsidRDefault="007600D5" w:rsidP="007600D5">
      <w:pPr>
        <w:rPr>
          <w:szCs w:val="22"/>
        </w:rPr>
      </w:pPr>
    </w:p>
    <w:p w:rsidR="007600D5" w:rsidRPr="00F260F0" w:rsidRDefault="007600D5" w:rsidP="007600D5">
      <w:pPr>
        <w:pStyle w:val="Style1"/>
      </w:pPr>
      <w:r w:rsidRPr="00F260F0">
        <w:t>5.3</w:t>
      </w:r>
      <w:r w:rsidRPr="00F260F0">
        <w:tab/>
        <w:t>Særlige forholdsregler vedrørende opbevaring</w:t>
      </w:r>
    </w:p>
    <w:p w:rsidR="007600D5" w:rsidRPr="00F260F0" w:rsidRDefault="007600D5" w:rsidP="007600D5">
      <w:pPr>
        <w:rPr>
          <w:szCs w:val="22"/>
        </w:rPr>
      </w:pPr>
    </w:p>
    <w:p w:rsidR="007600D5" w:rsidRPr="00A25210" w:rsidRDefault="007600D5" w:rsidP="007600D5">
      <w:pPr>
        <w:tabs>
          <w:tab w:val="left" w:pos="426"/>
          <w:tab w:val="left" w:pos="851"/>
          <w:tab w:val="left" w:pos="8222"/>
        </w:tabs>
        <w:ind w:left="567"/>
        <w:rPr>
          <w:szCs w:val="22"/>
          <w:lang w:bidi="da-DK"/>
        </w:rPr>
      </w:pPr>
      <w:r w:rsidRPr="00A25210">
        <w:rPr>
          <w:szCs w:val="22"/>
          <w:lang w:bidi="da-DK"/>
        </w:rPr>
        <w:t xml:space="preserve">Må ikke opbevares over 30 °C. </w:t>
      </w:r>
    </w:p>
    <w:p w:rsidR="007600D5" w:rsidRPr="00A25210" w:rsidRDefault="007600D5" w:rsidP="007600D5">
      <w:pPr>
        <w:tabs>
          <w:tab w:val="left" w:pos="426"/>
          <w:tab w:val="left" w:pos="851"/>
          <w:tab w:val="left" w:pos="8222"/>
        </w:tabs>
        <w:ind w:left="567"/>
        <w:rPr>
          <w:szCs w:val="22"/>
          <w:lang w:bidi="da-DK"/>
        </w:rPr>
      </w:pPr>
      <w:r w:rsidRPr="00A25210">
        <w:rPr>
          <w:szCs w:val="22"/>
          <w:lang w:bidi="da-DK"/>
        </w:rPr>
        <w:t xml:space="preserve">Opbevar flasken i den ydre </w:t>
      </w:r>
      <w:r>
        <w:rPr>
          <w:szCs w:val="22"/>
          <w:lang w:bidi="da-DK"/>
        </w:rPr>
        <w:t>æske</w:t>
      </w:r>
      <w:r w:rsidRPr="00A25210">
        <w:rPr>
          <w:szCs w:val="22"/>
          <w:lang w:bidi="da-DK"/>
        </w:rPr>
        <w:t xml:space="preserve"> for at beskytte mod lys.</w:t>
      </w:r>
    </w:p>
    <w:p w:rsidR="007600D5" w:rsidRPr="00C95833" w:rsidRDefault="007600D5" w:rsidP="007600D5">
      <w:pPr>
        <w:rPr>
          <w:szCs w:val="22"/>
        </w:rPr>
      </w:pPr>
    </w:p>
    <w:p w:rsidR="007600D5" w:rsidRPr="00F260F0" w:rsidRDefault="007600D5" w:rsidP="007600D5">
      <w:pPr>
        <w:pStyle w:val="Style1"/>
      </w:pPr>
      <w:r w:rsidRPr="00F260F0">
        <w:t>5.4</w:t>
      </w:r>
      <w:r w:rsidRPr="00F260F0">
        <w:tab/>
        <w:t>Den indre emballages art og indhold</w:t>
      </w:r>
    </w:p>
    <w:p w:rsidR="007600D5" w:rsidRPr="00F260F0" w:rsidRDefault="007600D5" w:rsidP="007600D5">
      <w:pPr>
        <w:rPr>
          <w:szCs w:val="22"/>
        </w:rPr>
      </w:pPr>
    </w:p>
    <w:p w:rsidR="007600D5" w:rsidRPr="00A25210" w:rsidRDefault="007600D5" w:rsidP="007600D5">
      <w:pPr>
        <w:tabs>
          <w:tab w:val="left" w:pos="426"/>
        </w:tabs>
        <w:autoSpaceDE w:val="0"/>
        <w:autoSpaceDN w:val="0"/>
        <w:adjustRightInd w:val="0"/>
        <w:ind w:left="567"/>
        <w:rPr>
          <w:szCs w:val="22"/>
        </w:rPr>
      </w:pPr>
      <w:r w:rsidRPr="00A25210">
        <w:rPr>
          <w:szCs w:val="22"/>
        </w:rPr>
        <w:t xml:space="preserve">Brun type III glasflaske, lukket med en konisk ’Luer </w:t>
      </w:r>
      <w:proofErr w:type="spellStart"/>
      <w:r w:rsidRPr="00A25210">
        <w:rPr>
          <w:szCs w:val="22"/>
        </w:rPr>
        <w:t>slip’-adapter</w:t>
      </w:r>
      <w:proofErr w:type="spellEnd"/>
      <w:r w:rsidRPr="00A25210">
        <w:rPr>
          <w:szCs w:val="22"/>
        </w:rPr>
        <w:t xml:space="preserve"> til injektionssprøjter (lavdensitets-</w:t>
      </w:r>
      <w:proofErr w:type="spellStart"/>
      <w:r w:rsidRPr="00A25210">
        <w:rPr>
          <w:szCs w:val="22"/>
        </w:rPr>
        <w:t>polyethylen</w:t>
      </w:r>
      <w:proofErr w:type="spellEnd"/>
      <w:r w:rsidRPr="00A25210">
        <w:rPr>
          <w:szCs w:val="22"/>
        </w:rPr>
        <w:t>) og et skruelåg (højdensitets-</w:t>
      </w:r>
      <w:proofErr w:type="spellStart"/>
      <w:r w:rsidRPr="00A25210">
        <w:rPr>
          <w:szCs w:val="22"/>
        </w:rPr>
        <w:t>polyethylen</w:t>
      </w:r>
      <w:proofErr w:type="spellEnd"/>
      <w:r w:rsidRPr="00A25210">
        <w:rPr>
          <w:szCs w:val="22"/>
        </w:rPr>
        <w:t>).</w:t>
      </w:r>
    </w:p>
    <w:p w:rsidR="007600D5" w:rsidRPr="00A25210" w:rsidRDefault="007600D5" w:rsidP="007600D5">
      <w:pPr>
        <w:tabs>
          <w:tab w:val="left" w:pos="426"/>
        </w:tabs>
        <w:autoSpaceDE w:val="0"/>
        <w:autoSpaceDN w:val="0"/>
        <w:adjustRightInd w:val="0"/>
        <w:ind w:left="567"/>
        <w:rPr>
          <w:szCs w:val="22"/>
        </w:rPr>
      </w:pPr>
      <w:r w:rsidRPr="00A25210">
        <w:rPr>
          <w:szCs w:val="22"/>
        </w:rPr>
        <w:t>Flasken er pakket i en kartonæske.</w:t>
      </w:r>
    </w:p>
    <w:p w:rsidR="007600D5" w:rsidRPr="00A25210" w:rsidRDefault="007600D5" w:rsidP="007600D5">
      <w:pPr>
        <w:tabs>
          <w:tab w:val="left" w:pos="426"/>
        </w:tabs>
        <w:autoSpaceDE w:val="0"/>
        <w:autoSpaceDN w:val="0"/>
        <w:adjustRightInd w:val="0"/>
        <w:ind w:left="567"/>
        <w:rPr>
          <w:szCs w:val="22"/>
        </w:rPr>
      </w:pPr>
      <w:r w:rsidRPr="00A25210">
        <w:rPr>
          <w:szCs w:val="22"/>
        </w:rPr>
        <w:t>Orale injektionssprøjter af plastik (1 ml og 3 ml) vil medfølge for alle pakningsstørrelser.</w:t>
      </w:r>
    </w:p>
    <w:p w:rsidR="007600D5" w:rsidRPr="00A25210" w:rsidRDefault="007600D5" w:rsidP="007600D5">
      <w:pPr>
        <w:tabs>
          <w:tab w:val="left" w:pos="426"/>
        </w:tabs>
        <w:autoSpaceDE w:val="0"/>
        <w:autoSpaceDN w:val="0"/>
        <w:adjustRightInd w:val="0"/>
        <w:ind w:left="567"/>
        <w:rPr>
          <w:szCs w:val="22"/>
        </w:rPr>
      </w:pPr>
    </w:p>
    <w:p w:rsidR="007600D5" w:rsidRPr="00A25210" w:rsidRDefault="007600D5" w:rsidP="007600D5">
      <w:pPr>
        <w:tabs>
          <w:tab w:val="left" w:pos="426"/>
        </w:tabs>
        <w:autoSpaceDE w:val="0"/>
        <w:autoSpaceDN w:val="0"/>
        <w:adjustRightInd w:val="0"/>
        <w:ind w:left="567"/>
        <w:rPr>
          <w:szCs w:val="22"/>
          <w:u w:val="single"/>
        </w:rPr>
      </w:pPr>
      <w:r w:rsidRPr="00A25210">
        <w:rPr>
          <w:szCs w:val="22"/>
          <w:u w:val="single"/>
        </w:rPr>
        <w:t>Pakningsstørrelser</w:t>
      </w:r>
    </w:p>
    <w:p w:rsidR="007600D5" w:rsidRPr="00A25210" w:rsidRDefault="007600D5" w:rsidP="007600D5">
      <w:pPr>
        <w:tabs>
          <w:tab w:val="left" w:pos="426"/>
        </w:tabs>
        <w:autoSpaceDE w:val="0"/>
        <w:autoSpaceDN w:val="0"/>
        <w:adjustRightInd w:val="0"/>
        <w:ind w:left="567"/>
        <w:rPr>
          <w:szCs w:val="22"/>
        </w:rPr>
      </w:pPr>
      <w:r w:rsidRPr="00A25210">
        <w:rPr>
          <w:szCs w:val="22"/>
        </w:rPr>
        <w:t>3 ml (i en flaske med en kapacitet på 5 ml), 10 ml, 15 ml, 25 ml og 50 ml.</w:t>
      </w:r>
    </w:p>
    <w:p w:rsidR="007600D5" w:rsidRDefault="007600D5" w:rsidP="007600D5">
      <w:pPr>
        <w:ind w:left="567"/>
      </w:pPr>
    </w:p>
    <w:p w:rsidR="007600D5" w:rsidRPr="00F260F0" w:rsidRDefault="007600D5" w:rsidP="007600D5">
      <w:pPr>
        <w:ind w:left="567"/>
        <w:rPr>
          <w:szCs w:val="22"/>
        </w:rPr>
      </w:pPr>
      <w:r w:rsidRPr="00F260F0">
        <w:t>Ikke alle pakningsstørrelser er nødvendigvis markedsført.</w:t>
      </w:r>
    </w:p>
    <w:p w:rsidR="007600D5" w:rsidRPr="00F260F0" w:rsidRDefault="007600D5" w:rsidP="007600D5">
      <w:pPr>
        <w:rPr>
          <w:szCs w:val="22"/>
        </w:rPr>
      </w:pPr>
    </w:p>
    <w:p w:rsidR="007600D5" w:rsidRPr="00F260F0" w:rsidRDefault="007600D5" w:rsidP="007600D5">
      <w:pPr>
        <w:pStyle w:val="Style1"/>
      </w:pPr>
      <w:r w:rsidRPr="00F260F0">
        <w:t>5.5</w:t>
      </w:r>
      <w:r w:rsidRPr="00F260F0">
        <w:tab/>
        <w:t>Særlige forholdsregler vedrørende bortskaffelse af ubrugte veterinærlægemidler eller affaldsmaterialer fra brugen heraf</w:t>
      </w:r>
    </w:p>
    <w:p w:rsidR="007600D5" w:rsidRPr="00A25210" w:rsidRDefault="007600D5" w:rsidP="007600D5">
      <w:pPr>
        <w:tabs>
          <w:tab w:val="left" w:pos="426"/>
        </w:tabs>
        <w:rPr>
          <w:szCs w:val="22"/>
        </w:rPr>
      </w:pPr>
    </w:p>
    <w:p w:rsidR="007600D5" w:rsidRPr="00F260F0" w:rsidRDefault="007600D5" w:rsidP="007600D5">
      <w:pPr>
        <w:ind w:left="567"/>
        <w:rPr>
          <w:szCs w:val="22"/>
        </w:rPr>
      </w:pPr>
      <w:r w:rsidRPr="00F260F0">
        <w:t>Lægemidler må ikke bortskaffes sammen med spildevand eller</w:t>
      </w:r>
      <w:r>
        <w:t xml:space="preserve"> </w:t>
      </w:r>
      <w:r w:rsidRPr="00F260F0">
        <w:t>husholdningsaffald.</w:t>
      </w:r>
    </w:p>
    <w:p w:rsidR="007600D5" w:rsidRPr="00F260F0" w:rsidRDefault="007600D5" w:rsidP="007600D5">
      <w:pPr>
        <w:ind w:left="567"/>
        <w:rPr>
          <w:szCs w:val="22"/>
        </w:rPr>
      </w:pPr>
    </w:p>
    <w:p w:rsidR="007600D5" w:rsidRPr="00F260F0" w:rsidRDefault="007600D5" w:rsidP="007600D5">
      <w:pPr>
        <w:ind w:left="567" w:right="-143"/>
        <w:rPr>
          <w:szCs w:val="22"/>
        </w:rPr>
      </w:pPr>
      <w:r w:rsidRPr="00F260F0">
        <w:t>Benyt returordninger ved bortskaffelse af ubrugte veterinærlægemidler eller affaldsmaterialer herfra i henhold til lokale retningslinjer og nationale indsamlingsordninger, der er relevante for det pågældende veterinærlægemiddel.</w:t>
      </w:r>
    </w:p>
    <w:p w:rsidR="007600D5" w:rsidRPr="00F260F0" w:rsidRDefault="007600D5" w:rsidP="007600D5">
      <w:pPr>
        <w:rPr>
          <w:szCs w:val="22"/>
        </w:rPr>
      </w:pPr>
    </w:p>
    <w:p w:rsidR="007600D5" w:rsidRPr="00F260F0" w:rsidRDefault="007600D5" w:rsidP="007600D5">
      <w:pPr>
        <w:rPr>
          <w:szCs w:val="22"/>
        </w:rPr>
      </w:pPr>
    </w:p>
    <w:p w:rsidR="007600D5" w:rsidRPr="00F260F0" w:rsidRDefault="007600D5" w:rsidP="007600D5">
      <w:pPr>
        <w:pStyle w:val="Style1"/>
      </w:pPr>
      <w:r w:rsidRPr="00F260F0">
        <w:t>6.</w:t>
      </w:r>
      <w:r w:rsidRPr="00F260F0">
        <w:tab/>
        <w:t>NAVN PÅ INDEHAVEREN AF MARKEDSFØRINGSTILLADELSEN</w:t>
      </w:r>
    </w:p>
    <w:p w:rsidR="007600D5" w:rsidRPr="00F260F0" w:rsidRDefault="007600D5" w:rsidP="007600D5">
      <w:pPr>
        <w:rPr>
          <w:szCs w:val="22"/>
        </w:rPr>
      </w:pPr>
    </w:p>
    <w:p w:rsidR="007600D5" w:rsidRPr="002132D8" w:rsidRDefault="007600D5" w:rsidP="007600D5">
      <w:pPr>
        <w:tabs>
          <w:tab w:val="left" w:pos="426"/>
        </w:tabs>
        <w:ind w:left="567"/>
        <w:rPr>
          <w:szCs w:val="22"/>
          <w:lang w:val="nl-NL"/>
        </w:rPr>
      </w:pPr>
      <w:r w:rsidRPr="00A25210">
        <w:rPr>
          <w:szCs w:val="22"/>
        </w:rPr>
        <w:t xml:space="preserve">Le </w:t>
      </w:r>
      <w:proofErr w:type="spellStart"/>
      <w:r w:rsidRPr="00A25210">
        <w:rPr>
          <w:szCs w:val="22"/>
        </w:rPr>
        <w:t>Vet</w:t>
      </w:r>
      <w:proofErr w:type="spellEnd"/>
      <w:r w:rsidRPr="00A25210">
        <w:rPr>
          <w:szCs w:val="22"/>
        </w:rPr>
        <w:t xml:space="preserve">. </w:t>
      </w:r>
      <w:r w:rsidRPr="002132D8">
        <w:rPr>
          <w:szCs w:val="22"/>
          <w:lang w:val="nl-NL"/>
        </w:rPr>
        <w:t xml:space="preserve">Beheer B.V. </w:t>
      </w:r>
    </w:p>
    <w:p w:rsidR="007600D5" w:rsidRPr="007600D5" w:rsidRDefault="007600D5" w:rsidP="007600D5">
      <w:pPr>
        <w:tabs>
          <w:tab w:val="left" w:pos="426"/>
        </w:tabs>
        <w:ind w:left="567"/>
        <w:rPr>
          <w:szCs w:val="22"/>
        </w:rPr>
      </w:pPr>
      <w:proofErr w:type="spellStart"/>
      <w:r w:rsidRPr="007600D5">
        <w:rPr>
          <w:szCs w:val="22"/>
        </w:rPr>
        <w:t>Wilgenweg</w:t>
      </w:r>
      <w:proofErr w:type="spellEnd"/>
      <w:r w:rsidRPr="007600D5">
        <w:rPr>
          <w:szCs w:val="22"/>
        </w:rPr>
        <w:t xml:space="preserve"> 7 </w:t>
      </w:r>
    </w:p>
    <w:p w:rsidR="007600D5" w:rsidRPr="007600D5" w:rsidRDefault="007600D5" w:rsidP="007600D5">
      <w:pPr>
        <w:tabs>
          <w:tab w:val="left" w:pos="426"/>
        </w:tabs>
        <w:ind w:left="567"/>
        <w:rPr>
          <w:szCs w:val="22"/>
        </w:rPr>
      </w:pPr>
      <w:r w:rsidRPr="007600D5">
        <w:rPr>
          <w:szCs w:val="22"/>
        </w:rPr>
        <w:lastRenderedPageBreak/>
        <w:t xml:space="preserve">3421 TV </w:t>
      </w:r>
      <w:proofErr w:type="spellStart"/>
      <w:r w:rsidRPr="007600D5">
        <w:rPr>
          <w:szCs w:val="22"/>
        </w:rPr>
        <w:t>Oudewater</w:t>
      </w:r>
      <w:proofErr w:type="spellEnd"/>
      <w:r w:rsidRPr="007600D5">
        <w:rPr>
          <w:szCs w:val="22"/>
        </w:rPr>
        <w:t xml:space="preserve"> </w:t>
      </w:r>
    </w:p>
    <w:p w:rsidR="007600D5" w:rsidRPr="00941438" w:rsidRDefault="007600D5" w:rsidP="007600D5">
      <w:pPr>
        <w:tabs>
          <w:tab w:val="left" w:pos="426"/>
        </w:tabs>
        <w:ind w:left="567"/>
        <w:rPr>
          <w:szCs w:val="22"/>
          <w:lang w:val="en-US"/>
        </w:rPr>
      </w:pPr>
      <w:r w:rsidRPr="00941438">
        <w:rPr>
          <w:szCs w:val="22"/>
          <w:lang w:val="en-US"/>
        </w:rPr>
        <w:t xml:space="preserve">Holland </w:t>
      </w:r>
    </w:p>
    <w:p w:rsidR="007600D5" w:rsidRPr="00941438" w:rsidRDefault="007600D5" w:rsidP="007600D5">
      <w:pPr>
        <w:tabs>
          <w:tab w:val="left" w:pos="426"/>
        </w:tabs>
        <w:ind w:left="567"/>
        <w:rPr>
          <w:szCs w:val="22"/>
          <w:lang w:val="en-US"/>
        </w:rPr>
      </w:pPr>
    </w:p>
    <w:p w:rsidR="007600D5" w:rsidRPr="00941438" w:rsidRDefault="007600D5" w:rsidP="007600D5">
      <w:pPr>
        <w:tabs>
          <w:tab w:val="left" w:pos="426"/>
        </w:tabs>
        <w:ind w:left="567" w:right="-318"/>
        <w:rPr>
          <w:b/>
          <w:szCs w:val="22"/>
          <w:lang w:val="en-US"/>
        </w:rPr>
      </w:pPr>
      <w:proofErr w:type="spellStart"/>
      <w:r w:rsidRPr="00941438">
        <w:rPr>
          <w:b/>
          <w:szCs w:val="22"/>
          <w:lang w:val="en-US"/>
        </w:rPr>
        <w:t>Repræsentant</w:t>
      </w:r>
      <w:proofErr w:type="spellEnd"/>
    </w:p>
    <w:p w:rsidR="007600D5" w:rsidRPr="00941438" w:rsidRDefault="007600D5" w:rsidP="007600D5">
      <w:pPr>
        <w:tabs>
          <w:tab w:val="left" w:pos="426"/>
          <w:tab w:val="left" w:pos="851"/>
          <w:tab w:val="left" w:pos="8222"/>
        </w:tabs>
        <w:ind w:left="567"/>
        <w:rPr>
          <w:rFonts w:eastAsia="Cambria"/>
          <w:szCs w:val="22"/>
          <w:lang w:val="en-US" w:eastAsia="da-DK" w:bidi="da-DK"/>
        </w:rPr>
      </w:pPr>
      <w:proofErr w:type="spellStart"/>
      <w:r w:rsidRPr="00941438">
        <w:rPr>
          <w:rFonts w:eastAsia="Cambria"/>
          <w:szCs w:val="22"/>
          <w:lang w:val="en-US" w:eastAsia="da-DK" w:bidi="da-DK"/>
        </w:rPr>
        <w:t>Dechra</w:t>
      </w:r>
      <w:proofErr w:type="spellEnd"/>
      <w:r w:rsidRPr="00941438">
        <w:rPr>
          <w:rFonts w:eastAsia="Cambria"/>
          <w:szCs w:val="22"/>
          <w:lang w:val="en-US" w:eastAsia="da-DK" w:bidi="da-DK"/>
        </w:rPr>
        <w:t xml:space="preserve"> Veterinary Products A/S</w:t>
      </w:r>
    </w:p>
    <w:p w:rsidR="007600D5" w:rsidRPr="008C7C7E" w:rsidRDefault="007600D5" w:rsidP="007600D5">
      <w:pPr>
        <w:tabs>
          <w:tab w:val="left" w:pos="426"/>
          <w:tab w:val="left" w:pos="851"/>
          <w:tab w:val="left" w:pos="8222"/>
        </w:tabs>
        <w:ind w:left="567"/>
        <w:rPr>
          <w:rFonts w:eastAsia="Cambria"/>
          <w:szCs w:val="22"/>
          <w:lang w:eastAsia="da-DK" w:bidi="da-DK"/>
        </w:rPr>
      </w:pPr>
      <w:proofErr w:type="spellStart"/>
      <w:r w:rsidRPr="008C7C7E">
        <w:rPr>
          <w:rFonts w:eastAsia="Cambria"/>
          <w:szCs w:val="22"/>
          <w:lang w:eastAsia="da-DK" w:bidi="da-DK"/>
        </w:rPr>
        <w:t>Mekuvej</w:t>
      </w:r>
      <w:proofErr w:type="spellEnd"/>
      <w:r w:rsidRPr="008C7C7E">
        <w:rPr>
          <w:rFonts w:eastAsia="Cambria"/>
          <w:szCs w:val="22"/>
          <w:lang w:eastAsia="da-DK" w:bidi="da-DK"/>
        </w:rPr>
        <w:t xml:space="preserve"> 9</w:t>
      </w:r>
    </w:p>
    <w:p w:rsidR="007600D5" w:rsidRPr="00A25210" w:rsidRDefault="007600D5" w:rsidP="007600D5">
      <w:pPr>
        <w:tabs>
          <w:tab w:val="left" w:pos="426"/>
          <w:tab w:val="left" w:pos="851"/>
          <w:tab w:val="left" w:pos="8222"/>
        </w:tabs>
        <w:ind w:left="567"/>
        <w:rPr>
          <w:rFonts w:eastAsia="Cambria"/>
          <w:szCs w:val="22"/>
          <w:lang w:eastAsia="da-DK" w:bidi="da-DK"/>
        </w:rPr>
      </w:pPr>
      <w:r w:rsidRPr="00A25210">
        <w:rPr>
          <w:rFonts w:eastAsia="Cambria"/>
          <w:szCs w:val="22"/>
          <w:lang w:eastAsia="da-DK" w:bidi="da-DK"/>
        </w:rPr>
        <w:t>7171 Uldum</w:t>
      </w:r>
    </w:p>
    <w:p w:rsidR="007600D5" w:rsidRPr="00F260F0" w:rsidRDefault="007600D5" w:rsidP="007600D5">
      <w:pPr>
        <w:rPr>
          <w:szCs w:val="22"/>
        </w:rPr>
      </w:pPr>
    </w:p>
    <w:p w:rsidR="007600D5" w:rsidRPr="00F260F0" w:rsidRDefault="007600D5" w:rsidP="007600D5">
      <w:pPr>
        <w:rPr>
          <w:szCs w:val="22"/>
        </w:rPr>
      </w:pPr>
    </w:p>
    <w:p w:rsidR="007600D5" w:rsidRPr="00F260F0" w:rsidRDefault="007600D5" w:rsidP="007600D5">
      <w:pPr>
        <w:pStyle w:val="Style1"/>
      </w:pPr>
      <w:r w:rsidRPr="00F260F0">
        <w:t>7.</w:t>
      </w:r>
      <w:r w:rsidRPr="00F260F0">
        <w:tab/>
        <w:t>MARKEDSFØRINGSTILLADELSESNUMMER (-NUMRE)</w:t>
      </w:r>
    </w:p>
    <w:p w:rsidR="007600D5" w:rsidRPr="00F260F0" w:rsidRDefault="007600D5" w:rsidP="007600D5">
      <w:pPr>
        <w:rPr>
          <w:szCs w:val="22"/>
        </w:rPr>
      </w:pPr>
    </w:p>
    <w:p w:rsidR="007600D5" w:rsidRDefault="007600D5" w:rsidP="007600D5">
      <w:pPr>
        <w:ind w:firstLine="567"/>
        <w:rPr>
          <w:szCs w:val="22"/>
        </w:rPr>
      </w:pPr>
      <w:r>
        <w:rPr>
          <w:szCs w:val="22"/>
        </w:rPr>
        <w:t xml:space="preserve">MT nr. </w:t>
      </w:r>
      <w:r w:rsidRPr="00A25210">
        <w:rPr>
          <w:szCs w:val="22"/>
        </w:rPr>
        <w:t>53808</w:t>
      </w:r>
    </w:p>
    <w:p w:rsidR="007600D5" w:rsidRDefault="007600D5" w:rsidP="007600D5">
      <w:pPr>
        <w:rPr>
          <w:szCs w:val="22"/>
        </w:rPr>
      </w:pPr>
    </w:p>
    <w:p w:rsidR="007600D5" w:rsidRPr="00F260F0" w:rsidRDefault="007600D5" w:rsidP="007600D5">
      <w:pPr>
        <w:rPr>
          <w:szCs w:val="22"/>
        </w:rPr>
      </w:pPr>
    </w:p>
    <w:p w:rsidR="007600D5" w:rsidRPr="00F260F0" w:rsidRDefault="007600D5" w:rsidP="007600D5">
      <w:pPr>
        <w:pStyle w:val="Style1"/>
      </w:pPr>
      <w:r w:rsidRPr="00F260F0">
        <w:t>8.</w:t>
      </w:r>
      <w:r w:rsidRPr="00F260F0">
        <w:tab/>
        <w:t>DATO FOR FØRSTE TILLADELSE</w:t>
      </w:r>
    </w:p>
    <w:p w:rsidR="007600D5" w:rsidRPr="00F260F0" w:rsidRDefault="007600D5" w:rsidP="007600D5">
      <w:pPr>
        <w:rPr>
          <w:szCs w:val="22"/>
        </w:rPr>
      </w:pPr>
    </w:p>
    <w:p w:rsidR="007600D5" w:rsidRDefault="007600D5" w:rsidP="007600D5">
      <w:pPr>
        <w:ind w:firstLine="567"/>
      </w:pPr>
      <w:r w:rsidRPr="00F260F0">
        <w:t>Dato for første markedsføringstilladelse:</w:t>
      </w:r>
      <w:r>
        <w:t xml:space="preserve"> </w:t>
      </w:r>
      <w:r w:rsidRPr="00A25210">
        <w:rPr>
          <w:szCs w:val="22"/>
        </w:rPr>
        <w:t>12. marts 2015</w:t>
      </w:r>
    </w:p>
    <w:p w:rsidR="007600D5" w:rsidRDefault="007600D5" w:rsidP="007600D5"/>
    <w:p w:rsidR="007600D5" w:rsidRPr="00F260F0" w:rsidRDefault="007600D5" w:rsidP="007600D5">
      <w:pPr>
        <w:rPr>
          <w:szCs w:val="22"/>
        </w:rPr>
      </w:pPr>
    </w:p>
    <w:p w:rsidR="007600D5" w:rsidRPr="00F260F0" w:rsidRDefault="007600D5" w:rsidP="007600D5">
      <w:pPr>
        <w:pStyle w:val="Style1"/>
      </w:pPr>
      <w:r w:rsidRPr="00F260F0">
        <w:t>9.</w:t>
      </w:r>
      <w:r w:rsidRPr="00F260F0">
        <w:tab/>
        <w:t>DATO FOR SENESTE ÆNDRING AF PRODUKTRESUMÉET</w:t>
      </w:r>
    </w:p>
    <w:p w:rsidR="007600D5" w:rsidRPr="00F260F0" w:rsidRDefault="007600D5" w:rsidP="007600D5">
      <w:pPr>
        <w:rPr>
          <w:szCs w:val="22"/>
        </w:rPr>
      </w:pPr>
    </w:p>
    <w:p w:rsidR="007600D5" w:rsidRPr="00F260F0" w:rsidRDefault="007600D5" w:rsidP="007600D5">
      <w:pPr>
        <w:ind w:firstLine="567"/>
        <w:rPr>
          <w:szCs w:val="22"/>
        </w:rPr>
      </w:pPr>
      <w:r>
        <w:rPr>
          <w:szCs w:val="22"/>
        </w:rPr>
        <w:t>17. december 2024</w:t>
      </w:r>
    </w:p>
    <w:p w:rsidR="007600D5" w:rsidRPr="00F260F0" w:rsidRDefault="007600D5" w:rsidP="007600D5">
      <w:pPr>
        <w:rPr>
          <w:szCs w:val="22"/>
        </w:rPr>
      </w:pPr>
    </w:p>
    <w:p w:rsidR="007600D5" w:rsidRPr="00F260F0" w:rsidRDefault="007600D5" w:rsidP="007600D5">
      <w:pPr>
        <w:pStyle w:val="Style1"/>
      </w:pPr>
      <w:r w:rsidRPr="00F260F0">
        <w:t>10.</w:t>
      </w:r>
      <w:r w:rsidRPr="00F260F0">
        <w:tab/>
        <w:t>KLASSIFICERING AF VETERINÆRLÆGEMIDLER</w:t>
      </w:r>
    </w:p>
    <w:p w:rsidR="007600D5" w:rsidRPr="00F260F0" w:rsidRDefault="007600D5" w:rsidP="007600D5">
      <w:pPr>
        <w:rPr>
          <w:szCs w:val="22"/>
        </w:rPr>
      </w:pPr>
    </w:p>
    <w:p w:rsidR="007600D5" w:rsidRPr="00F260F0" w:rsidRDefault="007600D5" w:rsidP="007600D5">
      <w:pPr>
        <w:ind w:left="567" w:right="-318"/>
        <w:rPr>
          <w:szCs w:val="22"/>
        </w:rPr>
      </w:pPr>
      <w:r w:rsidRPr="00DD32B3">
        <w:rPr>
          <w:szCs w:val="22"/>
        </w:rPr>
        <w:t>B</w:t>
      </w:r>
    </w:p>
    <w:p w:rsidR="007600D5" w:rsidRPr="00F260F0" w:rsidRDefault="007600D5" w:rsidP="007600D5">
      <w:pPr>
        <w:ind w:left="567" w:right="-318"/>
        <w:rPr>
          <w:szCs w:val="22"/>
        </w:rPr>
      </w:pPr>
      <w:bookmarkStart w:id="3" w:name="_Hlk73467306"/>
      <w:r w:rsidRPr="00F260F0">
        <w:t>Der findes detaljerede oplysninger om dette veterinærlægemiddel i EU-lægemiddeldatabasen.</w:t>
      </w:r>
    </w:p>
    <w:bookmarkEnd w:id="3"/>
    <w:sectPr w:rsidR="007600D5" w:rsidRPr="00F260F0" w:rsidSect="00C479B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EB4" w:rsidRDefault="00FD4EB4">
      <w:r>
        <w:separator/>
      </w:r>
    </w:p>
  </w:endnote>
  <w:endnote w:type="continuationSeparator" w:id="0">
    <w:p w:rsidR="00FD4EB4" w:rsidRDefault="00FD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182055">
      <w:rPr>
        <w:i/>
        <w:noProof/>
        <w:snapToGrid w:val="0"/>
        <w:sz w:val="18"/>
      </w:rPr>
      <w:t>Finilac Vet., oral opløsning 50 mikrogram-ml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FD4EB4">
      <w:rPr>
        <w:i/>
        <w:noProof/>
        <w:snapToGrid w:val="0"/>
        <w:sz w:val="18"/>
      </w:rPr>
      <w:t>Dokument353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EB4" w:rsidRDefault="00FD4EB4">
      <w:r>
        <w:separator/>
      </w:r>
    </w:p>
  </w:footnote>
  <w:footnote w:type="continuationSeparator" w:id="0">
    <w:p w:rsidR="00FD4EB4" w:rsidRDefault="00FD4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F5B06"/>
    <w:multiLevelType w:val="hybridMultilevel"/>
    <w:tmpl w:val="87D43E78"/>
    <w:lvl w:ilvl="0" w:tplc="DA4C46DA">
      <w:start w:val="1"/>
      <w:numFmt w:val="bullet"/>
      <w:lvlText w:val="•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100BFE">
      <w:start w:val="1"/>
      <w:numFmt w:val="bullet"/>
      <w:lvlText w:val="o"/>
      <w:lvlJc w:val="left"/>
      <w:pPr>
        <w:ind w:left="2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C0752C">
      <w:start w:val="1"/>
      <w:numFmt w:val="bullet"/>
      <w:lvlText w:val="▪"/>
      <w:lvlJc w:val="left"/>
      <w:pPr>
        <w:ind w:left="27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C6073E">
      <w:start w:val="1"/>
      <w:numFmt w:val="bullet"/>
      <w:lvlText w:val="•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D2DF84">
      <w:start w:val="1"/>
      <w:numFmt w:val="bullet"/>
      <w:lvlText w:val="o"/>
      <w:lvlJc w:val="left"/>
      <w:pPr>
        <w:ind w:left="4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80D80A">
      <w:start w:val="1"/>
      <w:numFmt w:val="bullet"/>
      <w:lvlText w:val="▪"/>
      <w:lvlJc w:val="left"/>
      <w:pPr>
        <w:ind w:left="48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E80FE0">
      <w:start w:val="1"/>
      <w:numFmt w:val="bullet"/>
      <w:lvlText w:val="•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5C6216">
      <w:start w:val="1"/>
      <w:numFmt w:val="bullet"/>
      <w:lvlText w:val="o"/>
      <w:lvlJc w:val="left"/>
      <w:pPr>
        <w:ind w:left="6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AAF046">
      <w:start w:val="1"/>
      <w:numFmt w:val="bullet"/>
      <w:lvlText w:val="▪"/>
      <w:lvlJc w:val="left"/>
      <w:pPr>
        <w:ind w:left="7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6F0D09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54E00EB"/>
    <w:multiLevelType w:val="hybridMultilevel"/>
    <w:tmpl w:val="44C0E1D0"/>
    <w:lvl w:ilvl="0" w:tplc="18980398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BE1638"/>
    <w:multiLevelType w:val="hybridMultilevel"/>
    <w:tmpl w:val="A4A4DB4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3C90D7C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B4"/>
    <w:rsid w:val="0003527F"/>
    <w:rsid w:val="00052615"/>
    <w:rsid w:val="00065C7D"/>
    <w:rsid w:val="000A6C7D"/>
    <w:rsid w:val="000C6CD4"/>
    <w:rsid w:val="001577E4"/>
    <w:rsid w:val="00182055"/>
    <w:rsid w:val="001858CA"/>
    <w:rsid w:val="001C4AEF"/>
    <w:rsid w:val="001D3CC5"/>
    <w:rsid w:val="001E6597"/>
    <w:rsid w:val="001F7D26"/>
    <w:rsid w:val="00257BAD"/>
    <w:rsid w:val="00322BDE"/>
    <w:rsid w:val="00406EE7"/>
    <w:rsid w:val="00407013"/>
    <w:rsid w:val="00422E99"/>
    <w:rsid w:val="004516F3"/>
    <w:rsid w:val="004965D7"/>
    <w:rsid w:val="004A62CC"/>
    <w:rsid w:val="00565A74"/>
    <w:rsid w:val="005B0036"/>
    <w:rsid w:val="005F5831"/>
    <w:rsid w:val="00662012"/>
    <w:rsid w:val="00666B01"/>
    <w:rsid w:val="006B1539"/>
    <w:rsid w:val="006D4B41"/>
    <w:rsid w:val="006F5621"/>
    <w:rsid w:val="007600D5"/>
    <w:rsid w:val="007E2A00"/>
    <w:rsid w:val="008010F2"/>
    <w:rsid w:val="00817C64"/>
    <w:rsid w:val="00861C48"/>
    <w:rsid w:val="008D279F"/>
    <w:rsid w:val="009202AE"/>
    <w:rsid w:val="00932676"/>
    <w:rsid w:val="009D66C6"/>
    <w:rsid w:val="00A96525"/>
    <w:rsid w:val="00AE29E5"/>
    <w:rsid w:val="00AE5757"/>
    <w:rsid w:val="00B25EB8"/>
    <w:rsid w:val="00BC634B"/>
    <w:rsid w:val="00BF2AE0"/>
    <w:rsid w:val="00C064F1"/>
    <w:rsid w:val="00C26E52"/>
    <w:rsid w:val="00C479BF"/>
    <w:rsid w:val="00CB5EC6"/>
    <w:rsid w:val="00D567AA"/>
    <w:rsid w:val="00D74740"/>
    <w:rsid w:val="00DC1891"/>
    <w:rsid w:val="00DD6D71"/>
    <w:rsid w:val="00DF32BE"/>
    <w:rsid w:val="00E14F0A"/>
    <w:rsid w:val="00EB5778"/>
    <w:rsid w:val="00EE5253"/>
    <w:rsid w:val="00F47133"/>
    <w:rsid w:val="00FA66E4"/>
    <w:rsid w:val="00FD4EB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A16ACCC-CE47-475A-B72B-CF4339F7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  <w:style w:type="paragraph" w:customStyle="1" w:styleId="LOQblauw">
    <w:name w:val="LOQ blauw"/>
    <w:basedOn w:val="Normal"/>
    <w:link w:val="LOQblauwChar"/>
    <w:qFormat/>
    <w:rsid w:val="00FD4EB4"/>
    <w:pPr>
      <w:autoSpaceDE w:val="0"/>
      <w:autoSpaceDN w:val="0"/>
      <w:adjustRightInd w:val="0"/>
    </w:pPr>
    <w:rPr>
      <w:rFonts w:ascii="Times-Roman" w:hAnsi="Times-Roman" w:cs="Times-Roman"/>
      <w:color w:val="353EF9"/>
      <w:sz w:val="22"/>
      <w:szCs w:val="22"/>
      <w:lang w:eastAsia="da-DK" w:bidi="da-DK"/>
    </w:rPr>
  </w:style>
  <w:style w:type="character" w:customStyle="1" w:styleId="LOQblauwChar">
    <w:name w:val="LOQ blauw Char"/>
    <w:link w:val="LOQblauw"/>
    <w:rsid w:val="00FD4EB4"/>
    <w:rPr>
      <w:rFonts w:ascii="Times-Roman" w:hAnsi="Times-Roman" w:cs="Times-Roman"/>
      <w:color w:val="353EF9"/>
      <w:sz w:val="22"/>
      <w:szCs w:val="22"/>
      <w:lang w:bidi="da-DK"/>
    </w:rPr>
  </w:style>
  <w:style w:type="paragraph" w:customStyle="1" w:styleId="Style1">
    <w:name w:val="Style1"/>
    <w:basedOn w:val="Normal"/>
    <w:qFormat/>
    <w:rsid w:val="007600D5"/>
    <w:pPr>
      <w:tabs>
        <w:tab w:val="left" w:pos="0"/>
      </w:tabs>
      <w:ind w:left="567" w:hanging="567"/>
    </w:pPr>
    <w:rPr>
      <w:b/>
      <w:sz w:val="22"/>
      <w:szCs w:val="22"/>
    </w:rPr>
  </w:style>
  <w:style w:type="paragraph" w:styleId="Listeafsnit">
    <w:name w:val="List Paragraph"/>
    <w:basedOn w:val="Normal"/>
    <w:uiPriority w:val="34"/>
    <w:qFormat/>
    <w:rsid w:val="00817C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117E9.E555334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1374</Words>
  <Characters>9684</Characters>
  <Application>Microsoft Office Word</Application>
  <DocSecurity>4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Wæver</dc:creator>
  <cp:keywords/>
  <dc:description>2024011681 QRD9</dc:description>
  <cp:lastModifiedBy>Alexandra Wæver</cp:lastModifiedBy>
  <cp:revision>2</cp:revision>
  <dcterms:created xsi:type="dcterms:W3CDTF">2024-12-17T07:46:00Z</dcterms:created>
  <dcterms:modified xsi:type="dcterms:W3CDTF">2024-12-17T07:46:00Z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Vet.dotm</vt:lpwstr>
  </property>
</Properties>
</file>