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E0A1" w14:textId="77777777" w:rsidR="005B0036" w:rsidRPr="003F3CA1" w:rsidRDefault="005B0036" w:rsidP="005B0036">
      <w:pPr>
        <w:rPr>
          <w:sz w:val="24"/>
          <w:szCs w:val="24"/>
        </w:rPr>
      </w:pPr>
      <w:bookmarkStart w:id="0" w:name="_GoBack"/>
      <w:bookmarkEnd w:id="0"/>
      <w:r w:rsidRPr="003F3CA1">
        <w:rPr>
          <w:noProof/>
          <w:sz w:val="24"/>
          <w:szCs w:val="24"/>
          <w:lang w:eastAsia="da-DK"/>
        </w:rPr>
        <w:drawing>
          <wp:inline distT="0" distB="0" distL="0" distR="0" wp14:anchorId="0F13288F" wp14:editId="6D07A83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CC4B79E" w14:textId="77777777" w:rsidR="00C479BF" w:rsidRPr="003F3CA1" w:rsidRDefault="00C479BF" w:rsidP="005B0036">
      <w:pPr>
        <w:rPr>
          <w:sz w:val="24"/>
          <w:szCs w:val="24"/>
        </w:rPr>
      </w:pPr>
    </w:p>
    <w:p w14:paraId="31C502C3" w14:textId="1D8690E5" w:rsidR="005B0036" w:rsidRPr="003F3CA1" w:rsidRDefault="005B0036" w:rsidP="005B0036">
      <w:pPr>
        <w:tabs>
          <w:tab w:val="right" w:pos="9356"/>
        </w:tabs>
        <w:rPr>
          <w:b/>
          <w:sz w:val="24"/>
          <w:szCs w:val="24"/>
        </w:rPr>
      </w:pPr>
      <w:r w:rsidRPr="003F3CA1">
        <w:rPr>
          <w:b/>
          <w:sz w:val="24"/>
          <w:szCs w:val="24"/>
        </w:rPr>
        <w:tab/>
      </w:r>
      <w:r w:rsidR="00515158">
        <w:rPr>
          <w:b/>
          <w:sz w:val="24"/>
          <w:szCs w:val="24"/>
        </w:rPr>
        <w:t>9. februar 2023</w:t>
      </w:r>
    </w:p>
    <w:p w14:paraId="6E07CEED" w14:textId="77777777" w:rsidR="005B0036" w:rsidRPr="003F3CA1" w:rsidRDefault="005B0036" w:rsidP="005B0036">
      <w:pPr>
        <w:rPr>
          <w:sz w:val="24"/>
          <w:szCs w:val="24"/>
        </w:rPr>
      </w:pPr>
    </w:p>
    <w:p w14:paraId="3C9A3D01" w14:textId="193313DC" w:rsidR="005B0036" w:rsidRDefault="005B0036" w:rsidP="005B0036">
      <w:pPr>
        <w:rPr>
          <w:sz w:val="24"/>
          <w:szCs w:val="24"/>
        </w:rPr>
      </w:pPr>
    </w:p>
    <w:p w14:paraId="578D94B8" w14:textId="77777777" w:rsidR="003F3CA1" w:rsidRPr="003F3CA1" w:rsidRDefault="003F3CA1" w:rsidP="005B0036">
      <w:pPr>
        <w:rPr>
          <w:sz w:val="24"/>
          <w:szCs w:val="24"/>
        </w:rPr>
      </w:pPr>
    </w:p>
    <w:p w14:paraId="1BA5A7D3" w14:textId="77777777" w:rsidR="005B0036" w:rsidRPr="003F3CA1" w:rsidRDefault="005B0036" w:rsidP="005B0036">
      <w:pPr>
        <w:tabs>
          <w:tab w:val="left" w:pos="8222"/>
        </w:tabs>
        <w:jc w:val="center"/>
        <w:rPr>
          <w:b/>
          <w:sz w:val="24"/>
          <w:szCs w:val="24"/>
        </w:rPr>
      </w:pPr>
      <w:r w:rsidRPr="003F3CA1">
        <w:rPr>
          <w:b/>
          <w:sz w:val="24"/>
          <w:szCs w:val="24"/>
        </w:rPr>
        <w:t>PRODUKTRESUMÉ</w:t>
      </w:r>
    </w:p>
    <w:p w14:paraId="3D241149" w14:textId="77777777" w:rsidR="005B0036" w:rsidRPr="003F3CA1" w:rsidRDefault="005B0036" w:rsidP="005B0036">
      <w:pPr>
        <w:tabs>
          <w:tab w:val="left" w:pos="8222"/>
        </w:tabs>
        <w:jc w:val="center"/>
        <w:rPr>
          <w:b/>
          <w:sz w:val="24"/>
          <w:szCs w:val="24"/>
        </w:rPr>
      </w:pPr>
    </w:p>
    <w:p w14:paraId="2BB7E9DF" w14:textId="77777777" w:rsidR="005B0036" w:rsidRPr="003F3CA1" w:rsidRDefault="005B0036" w:rsidP="005B0036">
      <w:pPr>
        <w:tabs>
          <w:tab w:val="left" w:pos="8222"/>
        </w:tabs>
        <w:jc w:val="center"/>
        <w:rPr>
          <w:b/>
          <w:sz w:val="24"/>
          <w:szCs w:val="24"/>
        </w:rPr>
      </w:pPr>
      <w:r w:rsidRPr="003F3CA1">
        <w:rPr>
          <w:b/>
          <w:sz w:val="24"/>
          <w:szCs w:val="24"/>
        </w:rPr>
        <w:t>for</w:t>
      </w:r>
    </w:p>
    <w:p w14:paraId="4993ED5F" w14:textId="77777777" w:rsidR="005B0036" w:rsidRPr="003F3CA1" w:rsidRDefault="005B0036" w:rsidP="005B0036">
      <w:pPr>
        <w:tabs>
          <w:tab w:val="left" w:pos="8222"/>
        </w:tabs>
        <w:jc w:val="center"/>
        <w:rPr>
          <w:b/>
          <w:sz w:val="24"/>
          <w:szCs w:val="24"/>
        </w:rPr>
      </w:pPr>
    </w:p>
    <w:p w14:paraId="4B063BCA" w14:textId="2ADCE4E9" w:rsidR="005B0036" w:rsidRPr="003F3CA1" w:rsidRDefault="00796BE9" w:rsidP="005B0036">
      <w:pPr>
        <w:tabs>
          <w:tab w:val="left" w:pos="8222"/>
        </w:tabs>
        <w:jc w:val="center"/>
        <w:rPr>
          <w:b/>
          <w:sz w:val="24"/>
          <w:szCs w:val="24"/>
        </w:rPr>
      </w:pPr>
      <w:r w:rsidRPr="003F3CA1">
        <w:rPr>
          <w:b/>
          <w:sz w:val="24"/>
          <w:szCs w:val="24"/>
        </w:rPr>
        <w:t xml:space="preserve">Fugasol </w:t>
      </w:r>
      <w:proofErr w:type="spellStart"/>
      <w:r w:rsidRPr="003F3CA1">
        <w:rPr>
          <w:b/>
          <w:sz w:val="24"/>
          <w:szCs w:val="24"/>
        </w:rPr>
        <w:t>Vet</w:t>
      </w:r>
      <w:proofErr w:type="spellEnd"/>
      <w:r w:rsidRPr="003F3CA1">
        <w:rPr>
          <w:b/>
          <w:sz w:val="24"/>
          <w:szCs w:val="24"/>
        </w:rPr>
        <w:t>., oral opløsning</w:t>
      </w:r>
    </w:p>
    <w:p w14:paraId="49308BE6" w14:textId="77777777" w:rsidR="005B0036" w:rsidRPr="003F3CA1" w:rsidRDefault="005B0036" w:rsidP="005B0036">
      <w:pPr>
        <w:tabs>
          <w:tab w:val="left" w:pos="8222"/>
        </w:tabs>
        <w:jc w:val="both"/>
        <w:rPr>
          <w:sz w:val="24"/>
          <w:szCs w:val="24"/>
        </w:rPr>
      </w:pPr>
    </w:p>
    <w:p w14:paraId="6673D663" w14:textId="77777777" w:rsidR="005B0036" w:rsidRPr="003F3CA1" w:rsidRDefault="005B0036" w:rsidP="005B0036">
      <w:pPr>
        <w:tabs>
          <w:tab w:val="left" w:pos="8222"/>
        </w:tabs>
        <w:jc w:val="both"/>
        <w:rPr>
          <w:sz w:val="24"/>
          <w:szCs w:val="24"/>
        </w:rPr>
      </w:pPr>
    </w:p>
    <w:p w14:paraId="04F47A05" w14:textId="77777777" w:rsidR="005B0036" w:rsidRPr="003F3CA1" w:rsidRDefault="005B0036" w:rsidP="005B0036">
      <w:pPr>
        <w:tabs>
          <w:tab w:val="left" w:pos="8222"/>
        </w:tabs>
        <w:ind w:left="851" w:hanging="851"/>
        <w:rPr>
          <w:b/>
          <w:sz w:val="24"/>
          <w:szCs w:val="24"/>
        </w:rPr>
      </w:pPr>
      <w:r w:rsidRPr="003F3CA1">
        <w:rPr>
          <w:b/>
          <w:sz w:val="24"/>
          <w:szCs w:val="24"/>
        </w:rPr>
        <w:t>0.</w:t>
      </w:r>
      <w:r w:rsidRPr="003F3CA1">
        <w:rPr>
          <w:b/>
          <w:sz w:val="24"/>
          <w:szCs w:val="24"/>
        </w:rPr>
        <w:tab/>
        <w:t>D.SP.NR.</w:t>
      </w:r>
    </w:p>
    <w:p w14:paraId="31F9D46E" w14:textId="5C2F71FF" w:rsidR="005B0036" w:rsidRPr="003F3CA1" w:rsidRDefault="00796BE9" w:rsidP="005B0036">
      <w:pPr>
        <w:tabs>
          <w:tab w:val="left" w:pos="8222"/>
        </w:tabs>
        <w:ind w:left="851"/>
        <w:rPr>
          <w:sz w:val="24"/>
          <w:szCs w:val="24"/>
        </w:rPr>
      </w:pPr>
      <w:r w:rsidRPr="003F3CA1">
        <w:rPr>
          <w:sz w:val="24"/>
          <w:szCs w:val="24"/>
        </w:rPr>
        <w:t>32757</w:t>
      </w:r>
    </w:p>
    <w:p w14:paraId="585745CB" w14:textId="77777777" w:rsidR="005B0036" w:rsidRPr="003F3CA1" w:rsidRDefault="005B0036" w:rsidP="005B0036">
      <w:pPr>
        <w:tabs>
          <w:tab w:val="left" w:pos="8222"/>
        </w:tabs>
        <w:ind w:left="851"/>
        <w:rPr>
          <w:sz w:val="24"/>
          <w:szCs w:val="24"/>
        </w:rPr>
      </w:pPr>
    </w:p>
    <w:p w14:paraId="271D61AD" w14:textId="77777777" w:rsidR="005B0036" w:rsidRPr="003F3CA1" w:rsidRDefault="005B0036" w:rsidP="005B0036">
      <w:pPr>
        <w:tabs>
          <w:tab w:val="left" w:pos="8222"/>
        </w:tabs>
        <w:ind w:left="851" w:hanging="851"/>
        <w:rPr>
          <w:b/>
          <w:sz w:val="24"/>
          <w:szCs w:val="24"/>
        </w:rPr>
      </w:pPr>
      <w:r w:rsidRPr="003F3CA1">
        <w:rPr>
          <w:b/>
          <w:sz w:val="24"/>
          <w:szCs w:val="24"/>
        </w:rPr>
        <w:t>1.</w:t>
      </w:r>
      <w:r w:rsidRPr="003F3CA1">
        <w:rPr>
          <w:b/>
          <w:sz w:val="24"/>
          <w:szCs w:val="24"/>
        </w:rPr>
        <w:tab/>
        <w:t>VETERINÆRLÆGEMIDLETS NAVN</w:t>
      </w:r>
    </w:p>
    <w:p w14:paraId="2D38F706" w14:textId="1259BF22" w:rsidR="005B0036" w:rsidRPr="003F3CA1" w:rsidRDefault="00796BE9" w:rsidP="005B0036">
      <w:pPr>
        <w:tabs>
          <w:tab w:val="left" w:pos="8222"/>
        </w:tabs>
        <w:ind w:left="851"/>
        <w:rPr>
          <w:sz w:val="24"/>
          <w:szCs w:val="24"/>
        </w:rPr>
      </w:pPr>
      <w:r w:rsidRPr="003F3CA1">
        <w:rPr>
          <w:sz w:val="24"/>
          <w:szCs w:val="24"/>
        </w:rPr>
        <w:t xml:space="preserve">Fugasol </w:t>
      </w:r>
      <w:proofErr w:type="spellStart"/>
      <w:r w:rsidRPr="003F3CA1">
        <w:rPr>
          <w:sz w:val="24"/>
          <w:szCs w:val="24"/>
        </w:rPr>
        <w:t>Vet</w:t>
      </w:r>
      <w:proofErr w:type="spellEnd"/>
      <w:r w:rsidRPr="003F3CA1">
        <w:rPr>
          <w:sz w:val="24"/>
          <w:szCs w:val="24"/>
        </w:rPr>
        <w:t>.</w:t>
      </w:r>
    </w:p>
    <w:p w14:paraId="7D697E76" w14:textId="77777777" w:rsidR="005B0036" w:rsidRPr="003F3CA1" w:rsidRDefault="005B0036" w:rsidP="005B0036">
      <w:pPr>
        <w:tabs>
          <w:tab w:val="left" w:pos="8222"/>
        </w:tabs>
        <w:ind w:left="851"/>
        <w:rPr>
          <w:sz w:val="24"/>
          <w:szCs w:val="24"/>
        </w:rPr>
      </w:pPr>
    </w:p>
    <w:p w14:paraId="53257A8A" w14:textId="77777777" w:rsidR="005B0036" w:rsidRPr="003F3CA1" w:rsidRDefault="005B0036" w:rsidP="005B0036">
      <w:pPr>
        <w:tabs>
          <w:tab w:val="left" w:pos="8222"/>
        </w:tabs>
        <w:ind w:left="851" w:hanging="851"/>
        <w:rPr>
          <w:b/>
          <w:sz w:val="24"/>
          <w:szCs w:val="24"/>
        </w:rPr>
      </w:pPr>
      <w:r w:rsidRPr="003F3CA1">
        <w:rPr>
          <w:b/>
          <w:sz w:val="24"/>
          <w:szCs w:val="24"/>
        </w:rPr>
        <w:t>2.</w:t>
      </w:r>
      <w:r w:rsidRPr="003F3CA1">
        <w:rPr>
          <w:b/>
          <w:sz w:val="24"/>
          <w:szCs w:val="24"/>
        </w:rPr>
        <w:tab/>
        <w:t>KVALITATIV OG KVANTITATIV SAMMENSÆTNING</w:t>
      </w:r>
    </w:p>
    <w:p w14:paraId="154A1D31" w14:textId="77777777" w:rsidR="00D36062" w:rsidRPr="003F3CA1" w:rsidRDefault="00D36062" w:rsidP="002A3B3A">
      <w:pPr>
        <w:ind w:left="851"/>
        <w:rPr>
          <w:sz w:val="24"/>
          <w:szCs w:val="24"/>
          <w:lang w:val="nl-NL"/>
        </w:rPr>
      </w:pPr>
      <w:r w:rsidRPr="003F3CA1">
        <w:rPr>
          <w:sz w:val="24"/>
          <w:szCs w:val="24"/>
          <w:lang w:bidi="da-DK"/>
        </w:rPr>
        <w:t>Hver ml indeholder:</w:t>
      </w:r>
    </w:p>
    <w:p w14:paraId="574E939A" w14:textId="77777777" w:rsidR="00D36062" w:rsidRPr="003F3CA1" w:rsidRDefault="00D36062" w:rsidP="002A3B3A">
      <w:pPr>
        <w:ind w:left="851"/>
        <w:rPr>
          <w:sz w:val="24"/>
          <w:szCs w:val="24"/>
          <w:lang w:val="nl-NL"/>
        </w:rPr>
      </w:pPr>
    </w:p>
    <w:p w14:paraId="7C815AA0" w14:textId="77777777" w:rsidR="00D36062" w:rsidRPr="003F3CA1" w:rsidRDefault="00D36062" w:rsidP="002A3B3A">
      <w:pPr>
        <w:ind w:left="851"/>
        <w:rPr>
          <w:b/>
          <w:sz w:val="24"/>
          <w:szCs w:val="24"/>
          <w:lang w:val="nl-NL"/>
        </w:rPr>
      </w:pPr>
      <w:bookmarkStart w:id="1" w:name="_Hlk83233073"/>
      <w:r w:rsidRPr="003F3CA1">
        <w:rPr>
          <w:b/>
          <w:sz w:val="24"/>
          <w:szCs w:val="24"/>
          <w:lang w:bidi="da-DK"/>
        </w:rPr>
        <w:t>Aktivt stof:</w:t>
      </w:r>
    </w:p>
    <w:p w14:paraId="097EAA9C" w14:textId="77777777" w:rsidR="00D36062" w:rsidRPr="003F3CA1" w:rsidRDefault="00D36062" w:rsidP="002A3B3A">
      <w:pPr>
        <w:ind w:left="851"/>
        <w:rPr>
          <w:b/>
          <w:sz w:val="24"/>
          <w:szCs w:val="24"/>
        </w:rPr>
      </w:pPr>
      <w:proofErr w:type="spellStart"/>
      <w:r w:rsidRPr="003F3CA1">
        <w:rPr>
          <w:sz w:val="24"/>
          <w:szCs w:val="24"/>
          <w:lang w:bidi="da-DK"/>
        </w:rPr>
        <w:t>Itraconazol</w:t>
      </w:r>
      <w:proofErr w:type="spellEnd"/>
      <w:r w:rsidRPr="003F3CA1">
        <w:rPr>
          <w:sz w:val="24"/>
          <w:szCs w:val="24"/>
          <w:lang w:bidi="da-DK"/>
        </w:rPr>
        <w:t xml:space="preserve"> 10 mg</w:t>
      </w:r>
    </w:p>
    <w:bookmarkEnd w:id="1"/>
    <w:p w14:paraId="5B63C729" w14:textId="77777777" w:rsidR="00D36062" w:rsidRPr="003F3CA1" w:rsidRDefault="00D36062" w:rsidP="002A3B3A">
      <w:pPr>
        <w:ind w:left="851"/>
        <w:rPr>
          <w:sz w:val="24"/>
          <w:szCs w:val="24"/>
        </w:rPr>
      </w:pPr>
    </w:p>
    <w:p w14:paraId="1DDC5B58" w14:textId="77777777" w:rsidR="00D36062" w:rsidRPr="003F3CA1" w:rsidRDefault="00D36062" w:rsidP="002A3B3A">
      <w:pPr>
        <w:ind w:left="851"/>
        <w:rPr>
          <w:b/>
          <w:sz w:val="24"/>
          <w:szCs w:val="24"/>
          <w:lang w:val="de-DE"/>
        </w:rPr>
      </w:pPr>
      <w:r w:rsidRPr="003F3CA1">
        <w:rPr>
          <w:sz w:val="24"/>
          <w:szCs w:val="24"/>
          <w:lang w:bidi="da-DK"/>
        </w:rPr>
        <w:t>Alle hjælpestoffer er anført under pkt. 6.1</w:t>
      </w:r>
    </w:p>
    <w:p w14:paraId="6A2DF406" w14:textId="77777777" w:rsidR="005B0036" w:rsidRPr="003F3CA1" w:rsidRDefault="005B0036" w:rsidP="005B0036">
      <w:pPr>
        <w:tabs>
          <w:tab w:val="left" w:pos="8222"/>
        </w:tabs>
        <w:ind w:left="851"/>
        <w:rPr>
          <w:sz w:val="24"/>
          <w:szCs w:val="24"/>
        </w:rPr>
      </w:pPr>
    </w:p>
    <w:p w14:paraId="7FF773C0" w14:textId="77777777" w:rsidR="005B0036" w:rsidRPr="003F3CA1" w:rsidRDefault="005B0036" w:rsidP="005B0036">
      <w:pPr>
        <w:tabs>
          <w:tab w:val="left" w:pos="8222"/>
        </w:tabs>
        <w:ind w:left="851" w:hanging="851"/>
        <w:rPr>
          <w:b/>
          <w:sz w:val="24"/>
          <w:szCs w:val="24"/>
        </w:rPr>
      </w:pPr>
      <w:r w:rsidRPr="003F3CA1">
        <w:rPr>
          <w:b/>
          <w:sz w:val="24"/>
          <w:szCs w:val="24"/>
        </w:rPr>
        <w:t>3.</w:t>
      </w:r>
      <w:r w:rsidRPr="003F3CA1">
        <w:rPr>
          <w:b/>
          <w:sz w:val="24"/>
          <w:szCs w:val="24"/>
        </w:rPr>
        <w:tab/>
        <w:t>LÆGEMIDDELFORM</w:t>
      </w:r>
    </w:p>
    <w:p w14:paraId="45B5200A" w14:textId="7E88EF1E" w:rsidR="00D36062" w:rsidRPr="003F3CA1" w:rsidRDefault="00D36062" w:rsidP="002A3B3A">
      <w:pPr>
        <w:ind w:left="851"/>
        <w:rPr>
          <w:rFonts w:eastAsia="Segoe UI"/>
          <w:sz w:val="24"/>
          <w:szCs w:val="24"/>
          <w:lang w:val="nl-NL"/>
        </w:rPr>
      </w:pPr>
      <w:r w:rsidRPr="003F3CA1">
        <w:rPr>
          <w:sz w:val="24"/>
          <w:szCs w:val="24"/>
          <w:lang w:bidi="da-DK"/>
        </w:rPr>
        <w:t>Oral opløsning</w:t>
      </w:r>
    </w:p>
    <w:p w14:paraId="509AF965" w14:textId="77777777" w:rsidR="00D36062" w:rsidRPr="003F3CA1" w:rsidRDefault="00D36062" w:rsidP="002A3B3A">
      <w:pPr>
        <w:ind w:left="851"/>
        <w:rPr>
          <w:sz w:val="24"/>
          <w:szCs w:val="24"/>
          <w:lang w:val="nl-NL"/>
        </w:rPr>
      </w:pPr>
      <w:r w:rsidRPr="003F3CA1">
        <w:rPr>
          <w:sz w:val="24"/>
          <w:szCs w:val="24"/>
          <w:lang w:bidi="da-DK"/>
        </w:rPr>
        <w:t>Gul til brunlig, klar til let opaliserende opløsning.</w:t>
      </w:r>
    </w:p>
    <w:p w14:paraId="2267A2D7" w14:textId="77777777" w:rsidR="005B0036" w:rsidRPr="003F3CA1" w:rsidRDefault="005B0036" w:rsidP="005B0036">
      <w:pPr>
        <w:tabs>
          <w:tab w:val="left" w:pos="851"/>
          <w:tab w:val="left" w:pos="8222"/>
        </w:tabs>
        <w:ind w:left="851"/>
        <w:rPr>
          <w:sz w:val="24"/>
          <w:szCs w:val="24"/>
        </w:rPr>
      </w:pPr>
    </w:p>
    <w:p w14:paraId="7CDEE246" w14:textId="77777777" w:rsidR="005B0036" w:rsidRPr="003F3CA1" w:rsidRDefault="005B0036" w:rsidP="005B0036">
      <w:pPr>
        <w:tabs>
          <w:tab w:val="left" w:pos="851"/>
          <w:tab w:val="left" w:pos="8222"/>
        </w:tabs>
        <w:ind w:left="851"/>
        <w:rPr>
          <w:sz w:val="24"/>
          <w:szCs w:val="24"/>
        </w:rPr>
      </w:pPr>
    </w:p>
    <w:p w14:paraId="0D9BA546" w14:textId="77777777" w:rsidR="005B0036" w:rsidRPr="003F3CA1" w:rsidRDefault="005B0036" w:rsidP="005B0036">
      <w:pPr>
        <w:tabs>
          <w:tab w:val="left" w:pos="8222"/>
        </w:tabs>
        <w:ind w:left="851" w:hanging="851"/>
        <w:rPr>
          <w:b/>
          <w:sz w:val="24"/>
          <w:szCs w:val="24"/>
        </w:rPr>
      </w:pPr>
      <w:r w:rsidRPr="003F3CA1">
        <w:rPr>
          <w:b/>
          <w:sz w:val="24"/>
          <w:szCs w:val="24"/>
        </w:rPr>
        <w:t>4.</w:t>
      </w:r>
      <w:r w:rsidRPr="003F3CA1">
        <w:rPr>
          <w:b/>
          <w:sz w:val="24"/>
          <w:szCs w:val="24"/>
        </w:rPr>
        <w:tab/>
        <w:t>KLINISKE OPLYSNINGER</w:t>
      </w:r>
    </w:p>
    <w:p w14:paraId="27201C10" w14:textId="77777777" w:rsidR="005B0036" w:rsidRPr="003F3CA1" w:rsidRDefault="005B0036" w:rsidP="005B0036">
      <w:pPr>
        <w:tabs>
          <w:tab w:val="left" w:pos="851"/>
          <w:tab w:val="left" w:pos="8222"/>
        </w:tabs>
        <w:ind w:left="851"/>
        <w:rPr>
          <w:sz w:val="24"/>
          <w:szCs w:val="24"/>
        </w:rPr>
      </w:pPr>
    </w:p>
    <w:p w14:paraId="15E15D0B" w14:textId="77777777" w:rsidR="005B0036" w:rsidRPr="003F3CA1" w:rsidRDefault="005B0036" w:rsidP="005B0036">
      <w:pPr>
        <w:tabs>
          <w:tab w:val="left" w:pos="8222"/>
        </w:tabs>
        <w:ind w:left="851" w:hanging="851"/>
        <w:rPr>
          <w:b/>
          <w:sz w:val="24"/>
          <w:szCs w:val="24"/>
          <w:u w:val="single"/>
        </w:rPr>
      </w:pPr>
      <w:r w:rsidRPr="003F3CA1">
        <w:rPr>
          <w:b/>
          <w:sz w:val="24"/>
          <w:szCs w:val="24"/>
        </w:rPr>
        <w:t>4.1</w:t>
      </w:r>
      <w:r w:rsidRPr="003F3CA1">
        <w:rPr>
          <w:b/>
          <w:sz w:val="24"/>
          <w:szCs w:val="24"/>
        </w:rPr>
        <w:tab/>
        <w:t>Dyrearter</w:t>
      </w:r>
    </w:p>
    <w:p w14:paraId="1C134E69" w14:textId="77777777" w:rsidR="00D36062" w:rsidRPr="003F3CA1" w:rsidRDefault="00D36062" w:rsidP="002A3B3A">
      <w:pPr>
        <w:ind w:left="851"/>
        <w:rPr>
          <w:bCs/>
          <w:sz w:val="24"/>
          <w:szCs w:val="24"/>
          <w:lang w:val="nl-NL"/>
        </w:rPr>
      </w:pPr>
      <w:r w:rsidRPr="003F3CA1">
        <w:rPr>
          <w:sz w:val="24"/>
          <w:szCs w:val="24"/>
          <w:lang w:bidi="da-DK"/>
        </w:rPr>
        <w:t>Kat</w:t>
      </w:r>
    </w:p>
    <w:p w14:paraId="0542B552" w14:textId="77777777" w:rsidR="005B0036" w:rsidRPr="003F3CA1" w:rsidRDefault="005B0036" w:rsidP="005B0036">
      <w:pPr>
        <w:tabs>
          <w:tab w:val="left" w:pos="8222"/>
        </w:tabs>
        <w:ind w:left="851"/>
        <w:rPr>
          <w:sz w:val="24"/>
          <w:szCs w:val="24"/>
        </w:rPr>
      </w:pPr>
    </w:p>
    <w:p w14:paraId="6B32B653" w14:textId="77777777" w:rsidR="005B0036" w:rsidRPr="003F3CA1" w:rsidRDefault="005B0036" w:rsidP="005B0036">
      <w:pPr>
        <w:pStyle w:val="Sidehoved"/>
        <w:tabs>
          <w:tab w:val="clear" w:pos="4819"/>
          <w:tab w:val="left" w:pos="8222"/>
        </w:tabs>
        <w:ind w:left="851" w:hanging="851"/>
        <w:rPr>
          <w:b/>
          <w:szCs w:val="24"/>
        </w:rPr>
      </w:pPr>
      <w:r w:rsidRPr="003F3CA1">
        <w:rPr>
          <w:b/>
          <w:szCs w:val="24"/>
        </w:rPr>
        <w:t>4.2</w:t>
      </w:r>
      <w:r w:rsidRPr="003F3CA1">
        <w:rPr>
          <w:b/>
          <w:szCs w:val="24"/>
        </w:rPr>
        <w:tab/>
        <w:t>Terapeutiske indikationer</w:t>
      </w:r>
    </w:p>
    <w:p w14:paraId="68D680AF" w14:textId="77777777" w:rsidR="00D36062" w:rsidRPr="003F3CA1" w:rsidRDefault="00D36062" w:rsidP="002A3B3A">
      <w:pPr>
        <w:ind w:left="851"/>
        <w:rPr>
          <w:rFonts w:eastAsia="Segoe UI"/>
          <w:i/>
          <w:iCs/>
          <w:sz w:val="24"/>
          <w:szCs w:val="24"/>
          <w:lang w:val="nl-NL"/>
        </w:rPr>
      </w:pPr>
      <w:r w:rsidRPr="003F3CA1">
        <w:rPr>
          <w:sz w:val="24"/>
          <w:szCs w:val="24"/>
          <w:lang w:bidi="da-DK"/>
        </w:rPr>
        <w:t xml:space="preserve">Behandling af </w:t>
      </w:r>
      <w:proofErr w:type="spellStart"/>
      <w:r w:rsidRPr="003F3CA1">
        <w:rPr>
          <w:sz w:val="24"/>
          <w:szCs w:val="24"/>
          <w:lang w:bidi="da-DK"/>
        </w:rPr>
        <w:t>dermatofytose</w:t>
      </w:r>
      <w:proofErr w:type="spellEnd"/>
      <w:r w:rsidRPr="003F3CA1">
        <w:rPr>
          <w:sz w:val="24"/>
          <w:szCs w:val="24"/>
          <w:lang w:bidi="da-DK"/>
        </w:rPr>
        <w:t xml:space="preserve"> forårsaget af </w:t>
      </w:r>
      <w:proofErr w:type="spellStart"/>
      <w:r w:rsidRPr="003F3CA1">
        <w:rPr>
          <w:i/>
          <w:iCs/>
          <w:sz w:val="24"/>
          <w:szCs w:val="24"/>
          <w:lang w:bidi="da-DK"/>
        </w:rPr>
        <w:t>Microsporum</w:t>
      </w:r>
      <w:proofErr w:type="spellEnd"/>
      <w:r w:rsidRPr="003F3CA1">
        <w:rPr>
          <w:i/>
          <w:iCs/>
          <w:sz w:val="24"/>
          <w:szCs w:val="24"/>
          <w:lang w:bidi="da-DK"/>
        </w:rPr>
        <w:t> </w:t>
      </w:r>
      <w:proofErr w:type="spellStart"/>
      <w:r w:rsidRPr="003F3CA1">
        <w:rPr>
          <w:i/>
          <w:iCs/>
          <w:sz w:val="24"/>
          <w:szCs w:val="24"/>
          <w:lang w:bidi="da-DK"/>
        </w:rPr>
        <w:t>canis</w:t>
      </w:r>
      <w:proofErr w:type="spellEnd"/>
      <w:r w:rsidRPr="003F3CA1">
        <w:rPr>
          <w:i/>
          <w:iCs/>
          <w:sz w:val="24"/>
          <w:szCs w:val="24"/>
          <w:lang w:bidi="da-DK"/>
        </w:rPr>
        <w:t>.</w:t>
      </w:r>
    </w:p>
    <w:p w14:paraId="1A2A6837" w14:textId="77777777" w:rsidR="005B0036" w:rsidRPr="003F3CA1" w:rsidRDefault="005B0036" w:rsidP="005B0036">
      <w:pPr>
        <w:pStyle w:val="Sidehoved"/>
        <w:tabs>
          <w:tab w:val="clear" w:pos="4819"/>
          <w:tab w:val="left" w:pos="8222"/>
        </w:tabs>
        <w:ind w:left="851"/>
        <w:rPr>
          <w:szCs w:val="24"/>
        </w:rPr>
      </w:pPr>
    </w:p>
    <w:p w14:paraId="67ECD88D" w14:textId="77777777" w:rsidR="005B0036" w:rsidRPr="003F3CA1" w:rsidRDefault="005B0036" w:rsidP="005B0036">
      <w:pPr>
        <w:pStyle w:val="Sidehoved"/>
        <w:tabs>
          <w:tab w:val="clear" w:pos="4819"/>
          <w:tab w:val="left" w:pos="851"/>
          <w:tab w:val="left" w:pos="8222"/>
        </w:tabs>
        <w:rPr>
          <w:b/>
          <w:szCs w:val="24"/>
        </w:rPr>
      </w:pPr>
      <w:r w:rsidRPr="003F3CA1">
        <w:rPr>
          <w:b/>
          <w:szCs w:val="24"/>
        </w:rPr>
        <w:t>4.3</w:t>
      </w:r>
      <w:r w:rsidRPr="003F3CA1">
        <w:rPr>
          <w:b/>
          <w:szCs w:val="24"/>
        </w:rPr>
        <w:tab/>
        <w:t>Kontraindikationer</w:t>
      </w:r>
    </w:p>
    <w:p w14:paraId="18B15290" w14:textId="77777777" w:rsidR="00D36062" w:rsidRPr="003F3CA1" w:rsidRDefault="00D36062" w:rsidP="002A3B3A">
      <w:pPr>
        <w:ind w:left="851"/>
        <w:rPr>
          <w:sz w:val="24"/>
          <w:szCs w:val="24"/>
        </w:rPr>
      </w:pPr>
      <w:r w:rsidRPr="003F3CA1">
        <w:rPr>
          <w:sz w:val="24"/>
          <w:szCs w:val="24"/>
          <w:lang w:bidi="da-DK"/>
        </w:rPr>
        <w:t xml:space="preserve">Bør ikke anvendes i tilfælde af overfølsomhed over for </w:t>
      </w:r>
      <w:proofErr w:type="spellStart"/>
      <w:r w:rsidRPr="003F3CA1">
        <w:rPr>
          <w:sz w:val="24"/>
          <w:szCs w:val="24"/>
          <w:lang w:bidi="da-DK"/>
        </w:rPr>
        <w:t>itraconazol</w:t>
      </w:r>
      <w:proofErr w:type="spellEnd"/>
      <w:r w:rsidRPr="003F3CA1">
        <w:rPr>
          <w:sz w:val="24"/>
          <w:szCs w:val="24"/>
          <w:lang w:bidi="da-DK"/>
        </w:rPr>
        <w:t xml:space="preserve">, over for andre </w:t>
      </w:r>
      <w:proofErr w:type="spellStart"/>
      <w:r w:rsidRPr="003F3CA1">
        <w:rPr>
          <w:sz w:val="24"/>
          <w:szCs w:val="24"/>
          <w:lang w:bidi="da-DK"/>
        </w:rPr>
        <w:t>azoler</w:t>
      </w:r>
      <w:proofErr w:type="spellEnd"/>
      <w:r w:rsidRPr="003F3CA1">
        <w:rPr>
          <w:sz w:val="24"/>
          <w:szCs w:val="24"/>
          <w:lang w:bidi="da-DK"/>
        </w:rPr>
        <w:t xml:space="preserve"> eller </w:t>
      </w:r>
      <w:r w:rsidRPr="003F3CA1">
        <w:rPr>
          <w:sz w:val="24"/>
          <w:szCs w:val="24"/>
        </w:rPr>
        <w:t>over for et eller flere af hjælpestofferne.</w:t>
      </w:r>
    </w:p>
    <w:p w14:paraId="65B910E3" w14:textId="77777777" w:rsidR="00D36062" w:rsidRPr="003F3CA1" w:rsidRDefault="00D36062" w:rsidP="002A3B3A">
      <w:pPr>
        <w:tabs>
          <w:tab w:val="left" w:pos="1304"/>
        </w:tabs>
        <w:ind w:left="851"/>
        <w:rPr>
          <w:sz w:val="24"/>
          <w:szCs w:val="24"/>
          <w:lang w:bidi="da-DK"/>
        </w:rPr>
      </w:pPr>
      <w:r w:rsidRPr="003F3CA1">
        <w:rPr>
          <w:sz w:val="24"/>
          <w:szCs w:val="24"/>
          <w:lang w:bidi="da-DK"/>
        </w:rPr>
        <w:t>Bør ikke anvendes i tilfælde af nedsat lever- eller nyrefunktion.</w:t>
      </w:r>
    </w:p>
    <w:p w14:paraId="07C9C59C" w14:textId="5795261B" w:rsidR="00D36062" w:rsidRPr="003F3CA1" w:rsidRDefault="00D36062" w:rsidP="002A3B3A">
      <w:pPr>
        <w:tabs>
          <w:tab w:val="left" w:pos="1304"/>
        </w:tabs>
        <w:ind w:left="851"/>
        <w:rPr>
          <w:sz w:val="24"/>
          <w:szCs w:val="24"/>
          <w:lang w:bidi="da-DK"/>
        </w:rPr>
      </w:pPr>
      <w:r w:rsidRPr="003F3CA1">
        <w:rPr>
          <w:sz w:val="24"/>
          <w:szCs w:val="24"/>
          <w:lang w:bidi="da-DK"/>
        </w:rPr>
        <w:t>Bør ikke anvendes til drægtige og diegivende hunkatte: se pkt</w:t>
      </w:r>
      <w:r w:rsidR="00905619">
        <w:rPr>
          <w:sz w:val="24"/>
          <w:szCs w:val="24"/>
          <w:lang w:bidi="da-DK"/>
        </w:rPr>
        <w:t>.</w:t>
      </w:r>
      <w:r w:rsidRPr="003F3CA1">
        <w:rPr>
          <w:sz w:val="24"/>
          <w:szCs w:val="24"/>
          <w:lang w:bidi="da-DK"/>
        </w:rPr>
        <w:t xml:space="preserve"> 4.7.</w:t>
      </w:r>
    </w:p>
    <w:p w14:paraId="1F0E335D" w14:textId="664A5D6A" w:rsidR="000E1700" w:rsidRDefault="000E1700">
      <w:pPr>
        <w:rPr>
          <w:sz w:val="24"/>
          <w:szCs w:val="24"/>
          <w:lang w:eastAsia="da-DK"/>
        </w:rPr>
      </w:pPr>
      <w:r>
        <w:rPr>
          <w:szCs w:val="24"/>
        </w:rPr>
        <w:br w:type="page"/>
      </w:r>
    </w:p>
    <w:p w14:paraId="4DEE8DBD" w14:textId="77777777" w:rsidR="005B0036" w:rsidRPr="003F3CA1" w:rsidRDefault="005B0036" w:rsidP="005B0036">
      <w:pPr>
        <w:pStyle w:val="Sidehoved"/>
        <w:tabs>
          <w:tab w:val="clear" w:pos="4819"/>
          <w:tab w:val="left" w:pos="8222"/>
        </w:tabs>
        <w:ind w:left="851"/>
        <w:rPr>
          <w:szCs w:val="24"/>
        </w:rPr>
      </w:pPr>
    </w:p>
    <w:p w14:paraId="7ED54708" w14:textId="77777777" w:rsidR="005B0036" w:rsidRPr="003F3CA1" w:rsidRDefault="005B0036" w:rsidP="005B0036">
      <w:pPr>
        <w:tabs>
          <w:tab w:val="left" w:pos="851"/>
          <w:tab w:val="left" w:pos="8222"/>
        </w:tabs>
        <w:rPr>
          <w:b/>
          <w:sz w:val="24"/>
          <w:szCs w:val="24"/>
        </w:rPr>
      </w:pPr>
      <w:r w:rsidRPr="003F3CA1">
        <w:rPr>
          <w:b/>
          <w:sz w:val="24"/>
          <w:szCs w:val="24"/>
        </w:rPr>
        <w:t>4.4</w:t>
      </w:r>
      <w:r w:rsidRPr="003F3CA1">
        <w:rPr>
          <w:b/>
          <w:sz w:val="24"/>
          <w:szCs w:val="24"/>
        </w:rPr>
        <w:tab/>
        <w:t>Særlige advarsler</w:t>
      </w:r>
    </w:p>
    <w:p w14:paraId="3D0B4936" w14:textId="77777777" w:rsidR="00D36062" w:rsidRPr="003F3CA1" w:rsidRDefault="00D36062" w:rsidP="002A3B3A">
      <w:pPr>
        <w:ind w:left="851"/>
        <w:rPr>
          <w:sz w:val="24"/>
          <w:szCs w:val="24"/>
        </w:rPr>
      </w:pPr>
      <w:r w:rsidRPr="003F3CA1">
        <w:rPr>
          <w:sz w:val="24"/>
          <w:szCs w:val="24"/>
          <w:lang w:bidi="da-DK"/>
        </w:rPr>
        <w:t xml:space="preserve">Nogle tilfælde af </w:t>
      </w:r>
      <w:proofErr w:type="spellStart"/>
      <w:r w:rsidRPr="003F3CA1">
        <w:rPr>
          <w:sz w:val="24"/>
          <w:szCs w:val="24"/>
          <w:lang w:bidi="da-DK"/>
        </w:rPr>
        <w:t>dermatofytose</w:t>
      </w:r>
      <w:proofErr w:type="spellEnd"/>
      <w:r w:rsidRPr="003F3CA1">
        <w:rPr>
          <w:sz w:val="24"/>
          <w:szCs w:val="24"/>
          <w:lang w:bidi="da-DK"/>
        </w:rPr>
        <w:t xml:space="preserve"> hos katte kan være svære at helbrede, især hvor der er flere katte sammen. Katte der er behandlet med </w:t>
      </w:r>
      <w:proofErr w:type="spellStart"/>
      <w:r w:rsidRPr="003F3CA1">
        <w:rPr>
          <w:sz w:val="24"/>
          <w:szCs w:val="24"/>
          <w:lang w:bidi="da-DK"/>
        </w:rPr>
        <w:t>itraconazol</w:t>
      </w:r>
      <w:proofErr w:type="spellEnd"/>
      <w:r w:rsidRPr="003F3CA1">
        <w:rPr>
          <w:sz w:val="24"/>
          <w:szCs w:val="24"/>
          <w:lang w:bidi="da-DK"/>
        </w:rPr>
        <w:t xml:space="preserve"> kan stadig inficere andre katte med </w:t>
      </w:r>
      <w:r w:rsidRPr="003F3CA1">
        <w:rPr>
          <w:i/>
          <w:iCs/>
          <w:sz w:val="24"/>
          <w:szCs w:val="24"/>
          <w:lang w:bidi="da-DK"/>
        </w:rPr>
        <w:t xml:space="preserve">M. </w:t>
      </w:r>
      <w:proofErr w:type="spellStart"/>
      <w:r w:rsidRPr="003F3CA1">
        <w:rPr>
          <w:i/>
          <w:iCs/>
          <w:sz w:val="24"/>
          <w:szCs w:val="24"/>
          <w:lang w:bidi="da-DK"/>
        </w:rPr>
        <w:t>canis</w:t>
      </w:r>
      <w:proofErr w:type="spellEnd"/>
      <w:r w:rsidRPr="003F3CA1">
        <w:rPr>
          <w:sz w:val="24"/>
          <w:szCs w:val="24"/>
          <w:lang w:bidi="da-DK"/>
        </w:rPr>
        <w:t xml:space="preserve">, så længe de ikke er helbredte for svampeinfektion. Det tilrådes derfor at minimere risikoen for re-infektion eller spredning af infektion ved at holde sunde dyr (inklusive hunde, da de også kan blive inficeret med </w:t>
      </w:r>
      <w:r w:rsidRPr="003F3CA1">
        <w:rPr>
          <w:i/>
          <w:iCs/>
          <w:sz w:val="24"/>
          <w:szCs w:val="24"/>
          <w:lang w:bidi="da-DK"/>
        </w:rPr>
        <w:t xml:space="preserve">M. </w:t>
      </w:r>
      <w:proofErr w:type="spellStart"/>
      <w:r w:rsidRPr="003F3CA1">
        <w:rPr>
          <w:i/>
          <w:iCs/>
          <w:sz w:val="24"/>
          <w:szCs w:val="24"/>
          <w:lang w:bidi="da-DK"/>
        </w:rPr>
        <w:t>canis</w:t>
      </w:r>
      <w:proofErr w:type="spellEnd"/>
      <w:r w:rsidRPr="003F3CA1">
        <w:rPr>
          <w:sz w:val="24"/>
          <w:szCs w:val="24"/>
          <w:lang w:bidi="da-DK"/>
        </w:rPr>
        <w:t>) adskilt fra katte, der er under behandling. Rengøring og desinfektion af området med passende svampedræbende produkter er stærkt anbefalet – især i tilfælde af flokproblemer.</w:t>
      </w:r>
    </w:p>
    <w:p w14:paraId="75046D20" w14:textId="77777777" w:rsidR="00D36062" w:rsidRPr="003F3CA1" w:rsidRDefault="00D36062" w:rsidP="002A3B3A">
      <w:pPr>
        <w:ind w:left="851"/>
        <w:rPr>
          <w:sz w:val="24"/>
          <w:szCs w:val="24"/>
        </w:rPr>
      </w:pPr>
    </w:p>
    <w:p w14:paraId="45DB5850" w14:textId="77777777" w:rsidR="00D36062" w:rsidRPr="003F3CA1" w:rsidRDefault="00D36062" w:rsidP="002A3B3A">
      <w:pPr>
        <w:ind w:left="851"/>
        <w:rPr>
          <w:sz w:val="24"/>
          <w:szCs w:val="24"/>
        </w:rPr>
      </w:pPr>
      <w:r w:rsidRPr="003F3CA1">
        <w:rPr>
          <w:sz w:val="24"/>
          <w:szCs w:val="24"/>
          <w:lang w:bidi="da-DK"/>
        </w:rPr>
        <w:t>Før en eventuel klipning af pelsen på inficerede katte, bør man først søge råd hos dyrlægen.</w:t>
      </w:r>
    </w:p>
    <w:p w14:paraId="0AD7E04A" w14:textId="77777777" w:rsidR="00D36062" w:rsidRPr="003F3CA1" w:rsidRDefault="00D36062" w:rsidP="002A3B3A">
      <w:pPr>
        <w:ind w:left="851"/>
        <w:rPr>
          <w:sz w:val="24"/>
          <w:szCs w:val="24"/>
        </w:rPr>
      </w:pPr>
    </w:p>
    <w:p w14:paraId="16C42797" w14:textId="77777777" w:rsidR="00D36062" w:rsidRPr="003F3CA1" w:rsidRDefault="00D36062" w:rsidP="002A3B3A">
      <w:pPr>
        <w:ind w:left="851"/>
        <w:rPr>
          <w:sz w:val="24"/>
          <w:szCs w:val="24"/>
        </w:rPr>
      </w:pPr>
      <w:r w:rsidRPr="003F3CA1">
        <w:rPr>
          <w:sz w:val="24"/>
          <w:szCs w:val="24"/>
          <w:lang w:bidi="da-DK"/>
        </w:rPr>
        <w:t>Klipning af pelsen anses for nyttig, da man ved at fjerne inficerede hår, stimulerer ny hårvækst og fremskynder restitutionen. Det anbefales kraftigt, at klipningen udføres af en dyrlæge.</w:t>
      </w:r>
      <w:r w:rsidRPr="003F3CA1">
        <w:rPr>
          <w:sz w:val="24"/>
          <w:szCs w:val="24"/>
        </w:rPr>
        <w:t xml:space="preserve"> </w:t>
      </w:r>
      <w:r w:rsidRPr="003F3CA1">
        <w:rPr>
          <w:sz w:val="24"/>
          <w:szCs w:val="24"/>
          <w:lang w:bidi="da-DK"/>
        </w:rPr>
        <w:t xml:space="preserve">I tilfælde, hvor infektionen er begrænset til et lille område, kan man nøjes med at klippe hårene i og omkring området, medens det, hvis katten lider af en generel </w:t>
      </w:r>
      <w:proofErr w:type="spellStart"/>
      <w:r w:rsidRPr="003F3CA1">
        <w:rPr>
          <w:sz w:val="24"/>
          <w:szCs w:val="24"/>
          <w:lang w:bidi="da-DK"/>
        </w:rPr>
        <w:t>dermatofytose</w:t>
      </w:r>
      <w:proofErr w:type="spellEnd"/>
      <w:r w:rsidRPr="003F3CA1">
        <w:rPr>
          <w:sz w:val="24"/>
          <w:szCs w:val="24"/>
          <w:lang w:bidi="da-DK"/>
        </w:rPr>
        <w:t xml:space="preserve">, anbefales at klippe katten helt. Klipning skal foregå med forsigtighed for ikke at forårsage traumer på den underliggende hud. Det anbefales, at der bæres </w:t>
      </w:r>
      <w:proofErr w:type="spellStart"/>
      <w:r w:rsidRPr="003F3CA1">
        <w:rPr>
          <w:sz w:val="24"/>
          <w:szCs w:val="24"/>
          <w:lang w:bidi="da-DK"/>
        </w:rPr>
        <w:t>engangs</w:t>
      </w:r>
      <w:proofErr w:type="spellEnd"/>
      <w:r w:rsidRPr="003F3CA1">
        <w:rPr>
          <w:sz w:val="24"/>
          <w:szCs w:val="24"/>
          <w:lang w:bidi="da-DK"/>
        </w:rPr>
        <w:t>-, beskyttelsestøj og handsker under klipningen af de berørte dyr. Klipningen af håret skal udføres i et godt ventileret rum, som kan desinficeres efter klipning. Hårene skal bortskaffes på passende vis, og alle instrumenter, klippemaskiner osv. skal desinficeres.</w:t>
      </w:r>
    </w:p>
    <w:p w14:paraId="7E2F81E0" w14:textId="77777777" w:rsidR="00D36062" w:rsidRPr="003F3CA1" w:rsidRDefault="00D36062" w:rsidP="002A3B3A">
      <w:pPr>
        <w:ind w:left="851"/>
        <w:rPr>
          <w:sz w:val="24"/>
          <w:szCs w:val="24"/>
        </w:rPr>
      </w:pPr>
    </w:p>
    <w:p w14:paraId="7F966D26" w14:textId="77777777" w:rsidR="00D36062" w:rsidRPr="003F3CA1" w:rsidRDefault="00D36062" w:rsidP="002A3B3A">
      <w:pPr>
        <w:ind w:left="851"/>
        <w:rPr>
          <w:sz w:val="24"/>
          <w:szCs w:val="24"/>
        </w:rPr>
      </w:pPr>
      <w:r w:rsidRPr="003F3CA1">
        <w:rPr>
          <w:sz w:val="24"/>
          <w:szCs w:val="24"/>
          <w:lang w:bidi="da-DK"/>
        </w:rPr>
        <w:t xml:space="preserve">Behandling af </w:t>
      </w:r>
      <w:proofErr w:type="spellStart"/>
      <w:r w:rsidRPr="003F3CA1">
        <w:rPr>
          <w:sz w:val="24"/>
          <w:szCs w:val="24"/>
          <w:lang w:bidi="da-DK"/>
        </w:rPr>
        <w:t>dermatofytose</w:t>
      </w:r>
      <w:proofErr w:type="spellEnd"/>
      <w:r w:rsidRPr="003F3CA1">
        <w:rPr>
          <w:sz w:val="24"/>
          <w:szCs w:val="24"/>
          <w:lang w:bidi="da-DK"/>
        </w:rPr>
        <w:t xml:space="preserve"> bør ikke begrænses til behandling af det eller de inficerede dyr. Det bør også omfatte desinfektion af området med passende svampedræbende produkter, da </w:t>
      </w:r>
      <w:r w:rsidRPr="003F3CA1">
        <w:rPr>
          <w:i/>
          <w:iCs/>
          <w:sz w:val="24"/>
          <w:szCs w:val="24"/>
          <w:lang w:bidi="da-DK"/>
        </w:rPr>
        <w:t xml:space="preserve">M. </w:t>
      </w:r>
      <w:proofErr w:type="spellStart"/>
      <w:r w:rsidRPr="003F3CA1">
        <w:rPr>
          <w:i/>
          <w:iCs/>
          <w:sz w:val="24"/>
          <w:szCs w:val="24"/>
          <w:lang w:bidi="da-DK"/>
        </w:rPr>
        <w:t>canis</w:t>
      </w:r>
      <w:proofErr w:type="spellEnd"/>
      <w:r w:rsidRPr="003F3CA1">
        <w:rPr>
          <w:sz w:val="24"/>
          <w:szCs w:val="24"/>
          <w:lang w:bidi="da-DK"/>
        </w:rPr>
        <w:t>-sporer kan overleve i miljøet i op til 18 måneder. Andre tiltag såsom daglig støvsugning, desinfektion af udstyr og bortskaffelse af alt potentielt kontamineret materiale, der ikke kan desinficeres, vil minimere risikoen for geninfektion og spredning af infektion. Desinfektion og støvsugning bør fortsættes i en længere periode efter, at katten er klinisk helbredt, men støvsugning kan begrænses til overflader, der ikke kan rengøres med en fugtig klud. Alle andre overflader skal rengøres med en fugtig klud. Alle klude, der bruges til rengøring, skal vaskes og desinficeres eller bortskaffes, og brugte støvsugerposer skal bortskaffes.</w:t>
      </w:r>
    </w:p>
    <w:p w14:paraId="48E657E5" w14:textId="77777777" w:rsidR="00D36062" w:rsidRPr="003F3CA1" w:rsidRDefault="00D36062" w:rsidP="002A3B3A">
      <w:pPr>
        <w:ind w:left="851"/>
        <w:rPr>
          <w:sz w:val="24"/>
          <w:szCs w:val="24"/>
        </w:rPr>
      </w:pPr>
    </w:p>
    <w:p w14:paraId="47C6C73B" w14:textId="77777777" w:rsidR="00D36062" w:rsidRPr="003F3CA1" w:rsidRDefault="00D36062" w:rsidP="002A3B3A">
      <w:pPr>
        <w:ind w:left="851"/>
        <w:rPr>
          <w:sz w:val="24"/>
          <w:szCs w:val="24"/>
        </w:rPr>
      </w:pPr>
      <w:r w:rsidRPr="003F3CA1">
        <w:rPr>
          <w:sz w:val="24"/>
          <w:szCs w:val="24"/>
          <w:lang w:bidi="da-DK"/>
        </w:rPr>
        <w:t xml:space="preserve">Foranstaltninger til at forhindre forekomst af </w:t>
      </w:r>
      <w:r w:rsidRPr="003F3CA1">
        <w:rPr>
          <w:i/>
          <w:iCs/>
          <w:sz w:val="24"/>
          <w:szCs w:val="24"/>
          <w:lang w:bidi="da-DK"/>
        </w:rPr>
        <w:t xml:space="preserve">M. </w:t>
      </w:r>
      <w:proofErr w:type="spellStart"/>
      <w:r w:rsidRPr="003F3CA1">
        <w:rPr>
          <w:i/>
          <w:iCs/>
          <w:sz w:val="24"/>
          <w:szCs w:val="24"/>
          <w:lang w:bidi="da-DK"/>
        </w:rPr>
        <w:t>canis</w:t>
      </w:r>
      <w:proofErr w:type="spellEnd"/>
      <w:r w:rsidRPr="003F3CA1">
        <w:rPr>
          <w:i/>
          <w:iCs/>
          <w:sz w:val="24"/>
          <w:szCs w:val="24"/>
          <w:lang w:bidi="da-DK"/>
        </w:rPr>
        <w:t xml:space="preserve"> </w:t>
      </w:r>
      <w:r w:rsidRPr="003F3CA1">
        <w:rPr>
          <w:sz w:val="24"/>
          <w:szCs w:val="24"/>
          <w:lang w:bidi="da-DK"/>
        </w:rPr>
        <w:t xml:space="preserve">i </w:t>
      </w:r>
      <w:proofErr w:type="spellStart"/>
      <w:r w:rsidRPr="003F3CA1">
        <w:rPr>
          <w:sz w:val="24"/>
          <w:szCs w:val="24"/>
          <w:lang w:bidi="da-DK"/>
        </w:rPr>
        <w:t>kattepopulationer</w:t>
      </w:r>
      <w:proofErr w:type="spellEnd"/>
      <w:r w:rsidRPr="003F3CA1">
        <w:rPr>
          <w:sz w:val="24"/>
          <w:szCs w:val="24"/>
          <w:lang w:bidi="da-DK"/>
        </w:rPr>
        <w:t xml:space="preserve"> kan omfatte isolering af nye katte, isolering af katte, der vender tilbage fra udstillinger eller avl, udelukkelse af besøgende og periodisk overvågning med en Woods lampe eller ved dyrkning for </w:t>
      </w:r>
      <w:r w:rsidRPr="003F3CA1">
        <w:rPr>
          <w:i/>
          <w:iCs/>
          <w:sz w:val="24"/>
          <w:szCs w:val="24"/>
          <w:lang w:bidi="da-DK"/>
        </w:rPr>
        <w:t xml:space="preserve">M. </w:t>
      </w:r>
      <w:proofErr w:type="spellStart"/>
      <w:r w:rsidRPr="003F3CA1">
        <w:rPr>
          <w:i/>
          <w:iCs/>
          <w:sz w:val="24"/>
          <w:szCs w:val="24"/>
          <w:lang w:bidi="da-DK"/>
        </w:rPr>
        <w:t>canis</w:t>
      </w:r>
      <w:proofErr w:type="spellEnd"/>
      <w:r w:rsidRPr="003F3CA1">
        <w:rPr>
          <w:sz w:val="24"/>
          <w:szCs w:val="24"/>
          <w:lang w:bidi="da-DK"/>
        </w:rPr>
        <w:t>.</w:t>
      </w:r>
    </w:p>
    <w:p w14:paraId="2FD5F083" w14:textId="77777777" w:rsidR="00D36062" w:rsidRPr="003F3CA1" w:rsidRDefault="00D36062" w:rsidP="002A3B3A">
      <w:pPr>
        <w:ind w:left="851"/>
        <w:rPr>
          <w:sz w:val="24"/>
          <w:szCs w:val="24"/>
        </w:rPr>
      </w:pPr>
    </w:p>
    <w:p w14:paraId="3D788F68" w14:textId="77777777" w:rsidR="00D36062" w:rsidRPr="003F3CA1" w:rsidRDefault="00D36062" w:rsidP="002A3B3A">
      <w:pPr>
        <w:ind w:left="851"/>
        <w:rPr>
          <w:sz w:val="24"/>
          <w:szCs w:val="24"/>
          <w:lang w:val="nl-NL"/>
        </w:rPr>
      </w:pPr>
      <w:r w:rsidRPr="003F3CA1">
        <w:rPr>
          <w:sz w:val="24"/>
          <w:szCs w:val="24"/>
          <w:lang w:bidi="da-DK"/>
        </w:rPr>
        <w:t>I refraktære tilfælde bør muligheden for en underliggende sygdom overvejes.</w:t>
      </w:r>
    </w:p>
    <w:p w14:paraId="55225D00" w14:textId="77777777" w:rsidR="00D36062" w:rsidRPr="003F3CA1" w:rsidRDefault="00D36062" w:rsidP="002A3B3A">
      <w:pPr>
        <w:ind w:left="851"/>
        <w:rPr>
          <w:sz w:val="24"/>
          <w:szCs w:val="24"/>
          <w:lang w:val="nl-NL"/>
        </w:rPr>
      </w:pPr>
    </w:p>
    <w:p w14:paraId="2256A923" w14:textId="77777777" w:rsidR="00D36062" w:rsidRPr="003F3CA1" w:rsidRDefault="00D36062" w:rsidP="002A3B3A">
      <w:pPr>
        <w:ind w:left="851"/>
        <w:rPr>
          <w:sz w:val="24"/>
          <w:szCs w:val="24"/>
          <w:lang w:val="nl-NL"/>
        </w:rPr>
      </w:pPr>
      <w:r w:rsidRPr="003F3CA1">
        <w:rPr>
          <w:sz w:val="24"/>
          <w:szCs w:val="24"/>
          <w:lang w:bidi="da-DK"/>
        </w:rPr>
        <w:t xml:space="preserve">Hyppig og gentagen brug af et </w:t>
      </w:r>
      <w:proofErr w:type="spellStart"/>
      <w:r w:rsidRPr="003F3CA1">
        <w:rPr>
          <w:sz w:val="24"/>
          <w:szCs w:val="24"/>
          <w:lang w:bidi="da-DK"/>
        </w:rPr>
        <w:t>antimykotikum</w:t>
      </w:r>
      <w:proofErr w:type="spellEnd"/>
      <w:r w:rsidRPr="003F3CA1">
        <w:rPr>
          <w:sz w:val="24"/>
          <w:szCs w:val="24"/>
          <w:lang w:bidi="da-DK"/>
        </w:rPr>
        <w:t xml:space="preserve"> kan resultere i induktion af resistens over for </w:t>
      </w:r>
      <w:proofErr w:type="spellStart"/>
      <w:r w:rsidRPr="003F3CA1">
        <w:rPr>
          <w:sz w:val="24"/>
          <w:szCs w:val="24"/>
          <w:lang w:bidi="da-DK"/>
        </w:rPr>
        <w:t>antimykotika</w:t>
      </w:r>
      <w:proofErr w:type="spellEnd"/>
      <w:r w:rsidRPr="003F3CA1">
        <w:rPr>
          <w:sz w:val="24"/>
          <w:szCs w:val="24"/>
          <w:lang w:bidi="da-DK"/>
        </w:rPr>
        <w:t xml:space="preserve"> af samme klasse.</w:t>
      </w:r>
    </w:p>
    <w:p w14:paraId="0C0208A6" w14:textId="77777777" w:rsidR="005B0036" w:rsidRPr="003F3CA1" w:rsidRDefault="005B0036" w:rsidP="005B0036">
      <w:pPr>
        <w:pStyle w:val="Sidehoved"/>
        <w:tabs>
          <w:tab w:val="clear" w:pos="4819"/>
          <w:tab w:val="left" w:pos="8222"/>
        </w:tabs>
        <w:ind w:left="851"/>
        <w:rPr>
          <w:szCs w:val="24"/>
        </w:rPr>
      </w:pPr>
    </w:p>
    <w:p w14:paraId="45127483" w14:textId="77777777" w:rsidR="005B0036" w:rsidRPr="003F3CA1" w:rsidRDefault="005B0036" w:rsidP="005B0036">
      <w:pPr>
        <w:tabs>
          <w:tab w:val="left" w:pos="851"/>
          <w:tab w:val="left" w:pos="8222"/>
        </w:tabs>
        <w:rPr>
          <w:b/>
          <w:sz w:val="24"/>
          <w:szCs w:val="24"/>
        </w:rPr>
      </w:pPr>
      <w:r w:rsidRPr="003F3CA1">
        <w:rPr>
          <w:b/>
          <w:sz w:val="24"/>
          <w:szCs w:val="24"/>
        </w:rPr>
        <w:t>4.5</w:t>
      </w:r>
      <w:r w:rsidRPr="003F3CA1">
        <w:rPr>
          <w:b/>
          <w:sz w:val="24"/>
          <w:szCs w:val="24"/>
        </w:rPr>
        <w:tab/>
        <w:t>Særlige forsigtighedsregler vedrørende brugen</w:t>
      </w:r>
    </w:p>
    <w:p w14:paraId="700CA5DF" w14:textId="77777777" w:rsidR="005B0036" w:rsidRPr="003F3CA1" w:rsidRDefault="005B0036" w:rsidP="005B0036">
      <w:pPr>
        <w:tabs>
          <w:tab w:val="left" w:pos="851"/>
          <w:tab w:val="left" w:pos="8222"/>
        </w:tabs>
        <w:ind w:left="851"/>
        <w:rPr>
          <w:sz w:val="24"/>
          <w:szCs w:val="24"/>
        </w:rPr>
      </w:pPr>
    </w:p>
    <w:p w14:paraId="30444583" w14:textId="77777777" w:rsidR="005B0036" w:rsidRPr="003F3CA1" w:rsidRDefault="005B0036" w:rsidP="005B0036">
      <w:pPr>
        <w:tabs>
          <w:tab w:val="left" w:pos="851"/>
          <w:tab w:val="left" w:pos="8222"/>
        </w:tabs>
        <w:ind w:left="851"/>
        <w:rPr>
          <w:b/>
          <w:sz w:val="24"/>
          <w:szCs w:val="24"/>
        </w:rPr>
      </w:pPr>
      <w:r w:rsidRPr="003F3CA1">
        <w:rPr>
          <w:b/>
          <w:sz w:val="24"/>
          <w:szCs w:val="24"/>
        </w:rPr>
        <w:t>Særlige forsigtighedsregler for dyret</w:t>
      </w:r>
    </w:p>
    <w:p w14:paraId="071E9285" w14:textId="77777777" w:rsidR="00D36062" w:rsidRPr="003F3CA1" w:rsidRDefault="00D36062" w:rsidP="002A3B3A">
      <w:pPr>
        <w:ind w:left="851"/>
        <w:rPr>
          <w:sz w:val="24"/>
          <w:szCs w:val="24"/>
        </w:rPr>
      </w:pPr>
      <w:r w:rsidRPr="003F3CA1">
        <w:rPr>
          <w:sz w:val="24"/>
          <w:szCs w:val="24"/>
          <w:lang w:bidi="da-DK"/>
        </w:rPr>
        <w:t xml:space="preserve">Katte, der lider af </w:t>
      </w:r>
      <w:proofErr w:type="spellStart"/>
      <w:r w:rsidRPr="003F3CA1">
        <w:rPr>
          <w:sz w:val="24"/>
          <w:szCs w:val="24"/>
          <w:lang w:bidi="da-DK"/>
        </w:rPr>
        <w:t>dermatofytose</w:t>
      </w:r>
      <w:proofErr w:type="spellEnd"/>
      <w:r w:rsidRPr="003F3CA1">
        <w:rPr>
          <w:sz w:val="24"/>
          <w:szCs w:val="24"/>
          <w:lang w:bidi="da-DK"/>
        </w:rPr>
        <w:t xml:space="preserve"> og er i dårlig almentilstand og/eller lider af yderligere sygdomme eller nedsat immunrespons, bør overvåges nøje under behandlingen. På grund af deres tilstand kan denne kategori af dyr være mere følsomme over for udviklingen af bivirkninger. Hvis der er tale om alvorlige bivirkninger bør behandlingen afbrydes, og </w:t>
      </w:r>
      <w:r w:rsidRPr="003F3CA1">
        <w:rPr>
          <w:sz w:val="24"/>
          <w:szCs w:val="24"/>
          <w:lang w:bidi="da-DK"/>
        </w:rPr>
        <w:lastRenderedPageBreak/>
        <w:t>støttende behandling (væskebehandling) bør påbegyndes om nødvendigt. Hvis der udvikles kliniske symptomer, der tyder på leverdysfunktion, skal behandlingen seponeres øjeblikkeligt. Det er meget vigtigt at monitorere leverenzymer hos dyr, der viser tegn på nedsat af leverfunktion.</w:t>
      </w:r>
    </w:p>
    <w:p w14:paraId="3AE7B9BB" w14:textId="77777777" w:rsidR="00D36062" w:rsidRPr="003F3CA1" w:rsidRDefault="00D36062" w:rsidP="002A3B3A">
      <w:pPr>
        <w:ind w:left="851"/>
        <w:rPr>
          <w:sz w:val="24"/>
          <w:szCs w:val="24"/>
        </w:rPr>
      </w:pPr>
    </w:p>
    <w:p w14:paraId="66CD045C" w14:textId="77777777" w:rsidR="00D36062" w:rsidRPr="003F3CA1" w:rsidRDefault="00D36062" w:rsidP="002A3B3A">
      <w:pPr>
        <w:ind w:left="851"/>
        <w:rPr>
          <w:sz w:val="24"/>
          <w:szCs w:val="24"/>
        </w:rPr>
      </w:pPr>
      <w:r w:rsidRPr="003F3CA1">
        <w:rPr>
          <w:sz w:val="24"/>
          <w:szCs w:val="24"/>
          <w:lang w:bidi="da-DK"/>
        </w:rPr>
        <w:t xml:space="preserve">Hos mennesker har </w:t>
      </w:r>
      <w:proofErr w:type="spellStart"/>
      <w:r w:rsidRPr="003F3CA1">
        <w:rPr>
          <w:sz w:val="24"/>
          <w:szCs w:val="24"/>
          <w:lang w:bidi="da-DK"/>
        </w:rPr>
        <w:t>itraconazol</w:t>
      </w:r>
      <w:proofErr w:type="spellEnd"/>
      <w:r w:rsidRPr="003F3CA1">
        <w:rPr>
          <w:sz w:val="24"/>
          <w:szCs w:val="24"/>
          <w:lang w:bidi="da-DK"/>
        </w:rPr>
        <w:t xml:space="preserve"> vist sig at være forbundet med hjertesvigt på grund af en negativ inotrop effekt. Katte, der lider af hjertesygdomme, bør overvåges omhyggeligt, og behandlingen bør seponeres, hvis de kliniske symptomer forværres.</w:t>
      </w:r>
    </w:p>
    <w:p w14:paraId="0E473A31" w14:textId="77777777" w:rsidR="005B0036" w:rsidRPr="003F3CA1" w:rsidRDefault="005B0036" w:rsidP="005B0036">
      <w:pPr>
        <w:tabs>
          <w:tab w:val="left" w:pos="851"/>
          <w:tab w:val="left" w:pos="8222"/>
        </w:tabs>
        <w:ind w:left="851"/>
        <w:rPr>
          <w:sz w:val="24"/>
          <w:szCs w:val="24"/>
        </w:rPr>
      </w:pPr>
    </w:p>
    <w:p w14:paraId="5D90133C" w14:textId="77777777" w:rsidR="005B0036" w:rsidRPr="003F3CA1" w:rsidRDefault="005B0036" w:rsidP="005B0036">
      <w:pPr>
        <w:tabs>
          <w:tab w:val="left" w:pos="851"/>
          <w:tab w:val="left" w:pos="8222"/>
        </w:tabs>
        <w:ind w:left="851"/>
        <w:rPr>
          <w:b/>
          <w:sz w:val="24"/>
          <w:szCs w:val="24"/>
        </w:rPr>
      </w:pPr>
      <w:r w:rsidRPr="003F3CA1">
        <w:rPr>
          <w:b/>
          <w:sz w:val="24"/>
          <w:szCs w:val="24"/>
        </w:rPr>
        <w:t>Særlige forsigtighedsregler for personer, der administrerer lægemidlet</w:t>
      </w:r>
    </w:p>
    <w:p w14:paraId="3F13D028" w14:textId="77777777" w:rsidR="00D36062" w:rsidRPr="003F3CA1" w:rsidRDefault="00D36062" w:rsidP="002A3B3A">
      <w:pPr>
        <w:ind w:left="851"/>
        <w:rPr>
          <w:sz w:val="24"/>
          <w:szCs w:val="24"/>
          <w:lang w:val="de-DE"/>
        </w:rPr>
      </w:pPr>
      <w:r w:rsidRPr="003F3CA1">
        <w:rPr>
          <w:i/>
          <w:sz w:val="24"/>
          <w:szCs w:val="24"/>
          <w:lang w:bidi="da-DK"/>
        </w:rPr>
        <w:t xml:space="preserve">M. </w:t>
      </w:r>
      <w:proofErr w:type="spellStart"/>
      <w:r w:rsidRPr="003F3CA1">
        <w:rPr>
          <w:i/>
          <w:sz w:val="24"/>
          <w:szCs w:val="24"/>
          <w:lang w:bidi="da-DK"/>
        </w:rPr>
        <w:t>canis</w:t>
      </w:r>
      <w:proofErr w:type="spellEnd"/>
      <w:r w:rsidRPr="003F3CA1">
        <w:rPr>
          <w:i/>
          <w:sz w:val="24"/>
          <w:szCs w:val="24"/>
          <w:lang w:bidi="da-DK"/>
        </w:rPr>
        <w:t xml:space="preserve"> </w:t>
      </w:r>
      <w:proofErr w:type="spellStart"/>
      <w:r w:rsidRPr="003F3CA1">
        <w:rPr>
          <w:i/>
          <w:sz w:val="24"/>
          <w:szCs w:val="24"/>
          <w:lang w:bidi="da-DK"/>
        </w:rPr>
        <w:t>dermatophytosis</w:t>
      </w:r>
      <w:proofErr w:type="spellEnd"/>
      <w:r w:rsidRPr="003F3CA1">
        <w:rPr>
          <w:i/>
          <w:sz w:val="24"/>
          <w:szCs w:val="24"/>
          <w:lang w:bidi="da-DK"/>
        </w:rPr>
        <w:t xml:space="preserve"> </w:t>
      </w:r>
      <w:r w:rsidRPr="003F3CA1">
        <w:rPr>
          <w:iCs/>
          <w:sz w:val="24"/>
          <w:szCs w:val="24"/>
          <w:lang w:bidi="da-DK"/>
        </w:rPr>
        <w:t>er en</w:t>
      </w:r>
      <w:r w:rsidRPr="003F3CA1">
        <w:rPr>
          <w:i/>
          <w:sz w:val="24"/>
          <w:szCs w:val="24"/>
          <w:lang w:bidi="da-DK"/>
        </w:rPr>
        <w:t xml:space="preserve"> </w:t>
      </w:r>
      <w:proofErr w:type="spellStart"/>
      <w:r w:rsidRPr="003F3CA1">
        <w:rPr>
          <w:iCs/>
          <w:sz w:val="24"/>
          <w:szCs w:val="24"/>
          <w:lang w:bidi="da-DK"/>
        </w:rPr>
        <w:t>zoonotisk</w:t>
      </w:r>
      <w:proofErr w:type="spellEnd"/>
      <w:r w:rsidRPr="003F3CA1">
        <w:rPr>
          <w:iCs/>
          <w:sz w:val="24"/>
          <w:szCs w:val="24"/>
          <w:lang w:bidi="da-DK"/>
        </w:rPr>
        <w:t xml:space="preserve"> sygdom.</w:t>
      </w:r>
      <w:r w:rsidRPr="003F3CA1">
        <w:rPr>
          <w:sz w:val="24"/>
          <w:szCs w:val="24"/>
          <w:lang w:bidi="da-DK"/>
        </w:rPr>
        <w:t xml:space="preserve"> Derfor er det vigtigt at bruge latexhandsker, ved klipning af inficerede katte og når dyret er under behandling eller når der renses sprøjter. Hvis der opstår en formodet læsion på et menneske, skal en læge kontaktes.</w:t>
      </w:r>
    </w:p>
    <w:p w14:paraId="762571BC" w14:textId="77777777" w:rsidR="00D36062" w:rsidRPr="003F3CA1" w:rsidRDefault="00D36062" w:rsidP="002A3B3A">
      <w:pPr>
        <w:ind w:left="851"/>
        <w:rPr>
          <w:rFonts w:eastAsia="Segoe UI"/>
          <w:sz w:val="24"/>
          <w:szCs w:val="24"/>
          <w:lang w:val="de-DE"/>
        </w:rPr>
      </w:pPr>
    </w:p>
    <w:p w14:paraId="15892605" w14:textId="77777777" w:rsidR="00D36062" w:rsidRPr="003F3CA1" w:rsidRDefault="00D36062" w:rsidP="002A3B3A">
      <w:pPr>
        <w:ind w:left="851"/>
        <w:rPr>
          <w:sz w:val="24"/>
          <w:szCs w:val="24"/>
          <w:lang w:bidi="da-DK"/>
        </w:rPr>
      </w:pPr>
      <w:r w:rsidRPr="003F3CA1">
        <w:rPr>
          <w:sz w:val="24"/>
          <w:szCs w:val="24"/>
          <w:lang w:bidi="da-DK"/>
        </w:rPr>
        <w:t xml:space="preserve">Dette produkt kan forårsage hud- og/eller øjenirritation. Undgå kontakt med hud og øjne. Vask hænder og udsat hud efter brug. I tilfælde af utilsigtet kontakt med øjnene skal der straks skylles grundigt med vand. Hvis der er </w:t>
      </w:r>
      <w:r w:rsidRPr="003F3CA1">
        <w:rPr>
          <w:spacing w:val="-6"/>
          <w:sz w:val="24"/>
          <w:szCs w:val="24"/>
          <w:lang w:bidi="da-DK"/>
        </w:rPr>
        <w:t xml:space="preserve">vedvarende </w:t>
      </w:r>
      <w:r w:rsidRPr="003F3CA1">
        <w:rPr>
          <w:sz w:val="24"/>
          <w:szCs w:val="24"/>
          <w:lang w:bidi="da-DK"/>
        </w:rPr>
        <w:t xml:space="preserve">smerte eller irritation, søg lægehjælp og vis </w:t>
      </w:r>
      <w:r w:rsidRPr="003F3CA1">
        <w:rPr>
          <w:sz w:val="24"/>
          <w:szCs w:val="24"/>
        </w:rPr>
        <w:t>indlægssedlen eller æsken til lægen.</w:t>
      </w:r>
    </w:p>
    <w:p w14:paraId="498456DF" w14:textId="77777777" w:rsidR="00D36062" w:rsidRPr="003F3CA1" w:rsidRDefault="00D36062" w:rsidP="002A3B3A">
      <w:pPr>
        <w:ind w:left="851"/>
        <w:rPr>
          <w:spacing w:val="-6"/>
          <w:sz w:val="24"/>
          <w:szCs w:val="24"/>
        </w:rPr>
      </w:pPr>
    </w:p>
    <w:p w14:paraId="750586AB" w14:textId="77777777" w:rsidR="00D36062" w:rsidRPr="003F3CA1" w:rsidRDefault="00D36062" w:rsidP="002A3B3A">
      <w:pPr>
        <w:ind w:left="851"/>
        <w:rPr>
          <w:sz w:val="24"/>
          <w:szCs w:val="24"/>
          <w:lang w:bidi="da-DK"/>
        </w:rPr>
      </w:pPr>
      <w:r w:rsidRPr="003F3CA1">
        <w:rPr>
          <w:sz w:val="24"/>
          <w:szCs w:val="24"/>
          <w:lang w:bidi="da-DK"/>
        </w:rPr>
        <w:t xml:space="preserve">Dette produkt kan være skadeligt for børn ved utilsigtet indtagelse. Efterlad ikke fyldte sprøjter uden opsyn. I tilfælde af indtagelse ved hændeligt uheld, skal munden straks skylles med vand. Dette produkt kan forårsage overfølsomhedsreaktioner. Personer med kendt overfølsomhed (allergi) over for </w:t>
      </w:r>
      <w:proofErr w:type="spellStart"/>
      <w:r w:rsidRPr="003F3CA1">
        <w:rPr>
          <w:sz w:val="24"/>
          <w:szCs w:val="24"/>
          <w:lang w:bidi="da-DK"/>
        </w:rPr>
        <w:t>itraconazol</w:t>
      </w:r>
      <w:proofErr w:type="spellEnd"/>
      <w:r w:rsidRPr="003F3CA1">
        <w:rPr>
          <w:sz w:val="24"/>
          <w:szCs w:val="24"/>
          <w:lang w:bidi="da-DK"/>
        </w:rPr>
        <w:t xml:space="preserve"> eller propylenglycol bør undgå kontakt med veterinærlægemidlet. Vask hænder efter brug.</w:t>
      </w:r>
    </w:p>
    <w:p w14:paraId="33B68746" w14:textId="77777777" w:rsidR="005B0036" w:rsidRPr="003F3CA1" w:rsidRDefault="005B0036" w:rsidP="005B0036">
      <w:pPr>
        <w:tabs>
          <w:tab w:val="left" w:pos="851"/>
          <w:tab w:val="left" w:pos="8222"/>
        </w:tabs>
        <w:ind w:left="851"/>
        <w:rPr>
          <w:sz w:val="24"/>
          <w:szCs w:val="24"/>
        </w:rPr>
      </w:pPr>
    </w:p>
    <w:p w14:paraId="7C704AE3" w14:textId="77777777" w:rsidR="005B0036" w:rsidRPr="003F3CA1" w:rsidRDefault="005B0036" w:rsidP="005B0036">
      <w:pPr>
        <w:tabs>
          <w:tab w:val="left" w:pos="851"/>
          <w:tab w:val="left" w:pos="8222"/>
        </w:tabs>
        <w:ind w:left="851"/>
        <w:rPr>
          <w:b/>
          <w:sz w:val="24"/>
          <w:szCs w:val="24"/>
        </w:rPr>
      </w:pPr>
      <w:r w:rsidRPr="003F3CA1">
        <w:rPr>
          <w:b/>
          <w:sz w:val="24"/>
          <w:szCs w:val="24"/>
        </w:rPr>
        <w:t>Andre forsigtighedsregler</w:t>
      </w:r>
    </w:p>
    <w:p w14:paraId="7AF5EB16" w14:textId="2370548A" w:rsidR="005B0036" w:rsidRPr="003F3CA1" w:rsidRDefault="00D36062" w:rsidP="005B0036">
      <w:pPr>
        <w:tabs>
          <w:tab w:val="left" w:pos="851"/>
          <w:tab w:val="left" w:pos="8222"/>
        </w:tabs>
        <w:ind w:left="851"/>
        <w:rPr>
          <w:sz w:val="24"/>
          <w:szCs w:val="24"/>
        </w:rPr>
      </w:pPr>
      <w:r w:rsidRPr="003F3CA1">
        <w:rPr>
          <w:sz w:val="24"/>
          <w:szCs w:val="24"/>
        </w:rPr>
        <w:t>-</w:t>
      </w:r>
    </w:p>
    <w:p w14:paraId="47489850" w14:textId="77777777" w:rsidR="005B0036" w:rsidRPr="003F3CA1" w:rsidRDefault="005B0036" w:rsidP="005B0036">
      <w:pPr>
        <w:tabs>
          <w:tab w:val="left" w:pos="851"/>
          <w:tab w:val="left" w:pos="8222"/>
        </w:tabs>
        <w:ind w:left="851"/>
        <w:rPr>
          <w:sz w:val="24"/>
          <w:szCs w:val="24"/>
        </w:rPr>
      </w:pPr>
    </w:p>
    <w:p w14:paraId="47080F80" w14:textId="77777777" w:rsidR="005B0036" w:rsidRPr="003F3CA1" w:rsidRDefault="005B0036" w:rsidP="005B0036">
      <w:pPr>
        <w:tabs>
          <w:tab w:val="left" w:pos="851"/>
          <w:tab w:val="left" w:pos="8222"/>
        </w:tabs>
        <w:rPr>
          <w:b/>
          <w:sz w:val="24"/>
          <w:szCs w:val="24"/>
        </w:rPr>
      </w:pPr>
      <w:r w:rsidRPr="003F3CA1">
        <w:rPr>
          <w:b/>
          <w:sz w:val="24"/>
          <w:szCs w:val="24"/>
        </w:rPr>
        <w:t>4.6</w:t>
      </w:r>
      <w:r w:rsidRPr="003F3CA1">
        <w:rPr>
          <w:b/>
          <w:sz w:val="24"/>
          <w:szCs w:val="24"/>
        </w:rPr>
        <w:tab/>
        <w:t>Bivirkninger</w:t>
      </w:r>
    </w:p>
    <w:p w14:paraId="47881CE4" w14:textId="77777777" w:rsidR="00D36062" w:rsidRPr="003F3CA1" w:rsidRDefault="00D36062" w:rsidP="002A3B3A">
      <w:pPr>
        <w:ind w:left="851"/>
        <w:rPr>
          <w:sz w:val="24"/>
          <w:szCs w:val="24"/>
        </w:rPr>
      </w:pPr>
      <w:bookmarkStart w:id="2" w:name="_Hlk66891708"/>
      <w:r w:rsidRPr="003F3CA1">
        <w:rPr>
          <w:sz w:val="24"/>
          <w:szCs w:val="24"/>
          <w:lang w:bidi="da-DK"/>
        </w:rPr>
        <w:t xml:space="preserve">Bivirkninger, som muligvis kan relateres til behandling med produktet, er set i kliniske forsøg. Almindelige bivirkninger er opkastning, diarré, anoreksi, </w:t>
      </w:r>
      <w:proofErr w:type="spellStart"/>
      <w:r w:rsidRPr="003F3CA1">
        <w:rPr>
          <w:sz w:val="24"/>
          <w:szCs w:val="24"/>
          <w:lang w:bidi="da-DK"/>
        </w:rPr>
        <w:t>savlen</w:t>
      </w:r>
      <w:proofErr w:type="spellEnd"/>
      <w:r w:rsidRPr="003F3CA1">
        <w:rPr>
          <w:sz w:val="24"/>
          <w:szCs w:val="24"/>
          <w:lang w:bidi="da-DK"/>
        </w:rPr>
        <w:t xml:space="preserve">, depression og apati. Disse bivirkninger er normalt milde og kortvarige. I meget sjældne tilfælde kan der være en forbigående stigning i leverenzymer. I meget sjældne tilfælde er dette forbundet med </w:t>
      </w:r>
      <w:proofErr w:type="spellStart"/>
      <w:r w:rsidRPr="003F3CA1">
        <w:rPr>
          <w:sz w:val="24"/>
          <w:szCs w:val="24"/>
          <w:lang w:bidi="da-DK"/>
        </w:rPr>
        <w:t>ikterus</w:t>
      </w:r>
      <w:proofErr w:type="spellEnd"/>
      <w:r w:rsidRPr="003F3CA1">
        <w:rPr>
          <w:sz w:val="24"/>
          <w:szCs w:val="24"/>
          <w:lang w:bidi="da-DK"/>
        </w:rPr>
        <w:t>. Hvis der udvikles kliniske tegn, der tyder på leverdysfunktion, skal behandlingen seponeres øjeblikkeligt.</w:t>
      </w:r>
    </w:p>
    <w:bookmarkEnd w:id="2"/>
    <w:p w14:paraId="4BC9231B" w14:textId="77777777" w:rsidR="00D36062" w:rsidRPr="003F3CA1" w:rsidRDefault="00D36062" w:rsidP="002A3B3A">
      <w:pPr>
        <w:ind w:left="851"/>
        <w:rPr>
          <w:sz w:val="24"/>
          <w:szCs w:val="24"/>
        </w:rPr>
      </w:pPr>
    </w:p>
    <w:p w14:paraId="7E549933" w14:textId="77777777" w:rsidR="00D36062" w:rsidRPr="003F3CA1" w:rsidRDefault="00D36062" w:rsidP="002A3B3A">
      <w:pPr>
        <w:ind w:left="851"/>
        <w:rPr>
          <w:sz w:val="24"/>
          <w:szCs w:val="24"/>
          <w:lang w:val="nl-NL"/>
        </w:rPr>
      </w:pPr>
      <w:r w:rsidRPr="003F3CA1">
        <w:rPr>
          <w:sz w:val="24"/>
          <w:szCs w:val="24"/>
          <w:lang w:bidi="da-DK"/>
        </w:rPr>
        <w:t>Hyppigheden af bivirkninger er defineret som:</w:t>
      </w:r>
    </w:p>
    <w:p w14:paraId="0E8623EE" w14:textId="479F6170" w:rsidR="00D36062" w:rsidRPr="003F3CA1" w:rsidRDefault="00D36062" w:rsidP="002A3B3A">
      <w:pPr>
        <w:pStyle w:val="Listeafsnit"/>
        <w:numPr>
          <w:ilvl w:val="0"/>
          <w:numId w:val="6"/>
        </w:numPr>
        <w:ind w:left="1276" w:hanging="425"/>
        <w:rPr>
          <w:sz w:val="24"/>
          <w:szCs w:val="24"/>
          <w:lang w:bidi="da-DK"/>
        </w:rPr>
      </w:pPr>
      <w:r w:rsidRPr="003F3CA1">
        <w:rPr>
          <w:sz w:val="24"/>
          <w:szCs w:val="24"/>
          <w:lang w:bidi="da-DK"/>
        </w:rPr>
        <w:t>Meget almindelig (flere end 1 ud af 10 behandlede dyr, der viser bivirkninger i løbet af en behandling)</w:t>
      </w:r>
    </w:p>
    <w:p w14:paraId="4B1D123D" w14:textId="1FBDE018" w:rsidR="00D36062" w:rsidRPr="003F3CA1" w:rsidRDefault="00D36062" w:rsidP="002A3B3A">
      <w:pPr>
        <w:pStyle w:val="Listeafsnit"/>
        <w:numPr>
          <w:ilvl w:val="0"/>
          <w:numId w:val="6"/>
        </w:numPr>
        <w:ind w:left="1276" w:hanging="425"/>
        <w:rPr>
          <w:sz w:val="24"/>
          <w:szCs w:val="24"/>
          <w:lang w:bidi="da-DK"/>
        </w:rPr>
      </w:pPr>
      <w:r w:rsidRPr="003F3CA1">
        <w:rPr>
          <w:sz w:val="24"/>
          <w:szCs w:val="24"/>
          <w:lang w:bidi="da-DK"/>
        </w:rPr>
        <w:t>Almindelige (flere end 1, men færre end 10 dyr af 100 behandlede dyr)</w:t>
      </w:r>
    </w:p>
    <w:p w14:paraId="35519184" w14:textId="6945FF73" w:rsidR="00D36062" w:rsidRPr="003F3CA1" w:rsidRDefault="00D36062" w:rsidP="002A3B3A">
      <w:pPr>
        <w:pStyle w:val="Listeafsnit"/>
        <w:numPr>
          <w:ilvl w:val="0"/>
          <w:numId w:val="6"/>
        </w:numPr>
        <w:ind w:left="1276" w:hanging="425"/>
        <w:rPr>
          <w:sz w:val="24"/>
          <w:szCs w:val="24"/>
          <w:lang w:bidi="da-DK"/>
        </w:rPr>
      </w:pPr>
      <w:r w:rsidRPr="003F3CA1">
        <w:rPr>
          <w:sz w:val="24"/>
          <w:szCs w:val="24"/>
          <w:lang w:bidi="da-DK"/>
        </w:rPr>
        <w:t>Ikke almindelige (flere end 1, men færre end 10 dyr af 1.000 behandlede dyr)</w:t>
      </w:r>
    </w:p>
    <w:p w14:paraId="15484940" w14:textId="3B0589E2" w:rsidR="00D36062" w:rsidRPr="003F3CA1" w:rsidRDefault="00D36062" w:rsidP="002A3B3A">
      <w:pPr>
        <w:pStyle w:val="Listeafsnit"/>
        <w:numPr>
          <w:ilvl w:val="0"/>
          <w:numId w:val="6"/>
        </w:numPr>
        <w:ind w:left="1276" w:hanging="425"/>
        <w:rPr>
          <w:sz w:val="24"/>
          <w:szCs w:val="24"/>
          <w:lang w:bidi="da-DK"/>
        </w:rPr>
      </w:pPr>
      <w:r w:rsidRPr="003F3CA1">
        <w:rPr>
          <w:sz w:val="24"/>
          <w:szCs w:val="24"/>
          <w:lang w:bidi="da-DK"/>
        </w:rPr>
        <w:t>Sjældne (flere end 1, men færre end 10 dyr ud af 10.000 behandlede dyr)</w:t>
      </w:r>
    </w:p>
    <w:p w14:paraId="112EDCFE" w14:textId="19EADA08" w:rsidR="00D36062" w:rsidRPr="003F3CA1" w:rsidRDefault="00D36062" w:rsidP="002A3B3A">
      <w:pPr>
        <w:pStyle w:val="Listeafsnit"/>
        <w:numPr>
          <w:ilvl w:val="0"/>
          <w:numId w:val="6"/>
        </w:numPr>
        <w:ind w:left="1276" w:hanging="425"/>
        <w:rPr>
          <w:sz w:val="24"/>
          <w:szCs w:val="24"/>
          <w:lang w:bidi="da-DK"/>
        </w:rPr>
      </w:pPr>
      <w:r w:rsidRPr="003F3CA1">
        <w:rPr>
          <w:sz w:val="24"/>
          <w:szCs w:val="24"/>
          <w:lang w:bidi="da-DK"/>
        </w:rPr>
        <w:t>Meget sjælden (færre end 1 dyr ud af 10.000 behandlede dyr, herunder isolerede rapporter)</w:t>
      </w:r>
    </w:p>
    <w:p w14:paraId="21B51A5F" w14:textId="77777777" w:rsidR="005B0036" w:rsidRPr="003F3CA1" w:rsidRDefault="005B0036" w:rsidP="005B0036">
      <w:pPr>
        <w:tabs>
          <w:tab w:val="left" w:pos="851"/>
          <w:tab w:val="left" w:pos="8222"/>
        </w:tabs>
        <w:ind w:left="851"/>
        <w:rPr>
          <w:sz w:val="24"/>
          <w:szCs w:val="24"/>
        </w:rPr>
      </w:pPr>
    </w:p>
    <w:p w14:paraId="3BC17FBC" w14:textId="77777777" w:rsidR="005B0036" w:rsidRPr="003F3CA1" w:rsidRDefault="005B0036" w:rsidP="005B0036">
      <w:pPr>
        <w:tabs>
          <w:tab w:val="left" w:pos="851"/>
          <w:tab w:val="left" w:pos="8222"/>
        </w:tabs>
        <w:rPr>
          <w:b/>
          <w:sz w:val="24"/>
          <w:szCs w:val="24"/>
        </w:rPr>
      </w:pPr>
      <w:r w:rsidRPr="003F3CA1">
        <w:rPr>
          <w:b/>
          <w:sz w:val="24"/>
          <w:szCs w:val="24"/>
        </w:rPr>
        <w:t>4.7</w:t>
      </w:r>
      <w:r w:rsidRPr="003F3CA1">
        <w:rPr>
          <w:b/>
          <w:sz w:val="24"/>
          <w:szCs w:val="24"/>
        </w:rPr>
        <w:tab/>
        <w:t>Drægtighed, diegivning eller æglægning</w:t>
      </w:r>
    </w:p>
    <w:p w14:paraId="3EF49637" w14:textId="77777777" w:rsidR="00D36062" w:rsidRPr="003F3CA1" w:rsidRDefault="00D36062" w:rsidP="002A3B3A">
      <w:pPr>
        <w:ind w:left="851"/>
        <w:rPr>
          <w:spacing w:val="-8"/>
          <w:sz w:val="24"/>
          <w:szCs w:val="24"/>
        </w:rPr>
      </w:pPr>
      <w:r w:rsidRPr="003F3CA1">
        <w:rPr>
          <w:sz w:val="24"/>
          <w:szCs w:val="24"/>
          <w:lang w:bidi="da-DK"/>
        </w:rPr>
        <w:t>Må ikke anvendes til drægtige og diegivende hunkatte.</w:t>
      </w:r>
    </w:p>
    <w:p w14:paraId="48338064" w14:textId="77777777" w:rsidR="00D36062" w:rsidRPr="003F3CA1" w:rsidRDefault="00D36062" w:rsidP="002A3B3A">
      <w:pPr>
        <w:ind w:left="851"/>
        <w:rPr>
          <w:sz w:val="24"/>
          <w:szCs w:val="24"/>
        </w:rPr>
      </w:pPr>
      <w:r w:rsidRPr="003F3CA1">
        <w:rPr>
          <w:sz w:val="24"/>
          <w:szCs w:val="24"/>
          <w:lang w:bidi="da-DK"/>
        </w:rPr>
        <w:t xml:space="preserve">Misdannelser og </w:t>
      </w:r>
      <w:proofErr w:type="spellStart"/>
      <w:r w:rsidRPr="003F3CA1">
        <w:rPr>
          <w:sz w:val="24"/>
          <w:szCs w:val="24"/>
          <w:lang w:bidi="da-DK"/>
        </w:rPr>
        <w:t>føtale</w:t>
      </w:r>
      <w:proofErr w:type="spellEnd"/>
      <w:r w:rsidRPr="003F3CA1">
        <w:rPr>
          <w:sz w:val="24"/>
          <w:szCs w:val="24"/>
          <w:lang w:bidi="da-DK"/>
        </w:rPr>
        <w:t xml:space="preserve"> resorptioner blev observeret i overdoseringsstudier hos laboratoriedyr. Laboratorieundersøgelser med rotter har vist tegn på dosisrelaterede </w:t>
      </w:r>
      <w:proofErr w:type="spellStart"/>
      <w:r w:rsidRPr="003F3CA1">
        <w:rPr>
          <w:sz w:val="24"/>
          <w:szCs w:val="24"/>
          <w:lang w:bidi="da-DK"/>
        </w:rPr>
        <w:lastRenderedPageBreak/>
        <w:t>teratogene</w:t>
      </w:r>
      <w:proofErr w:type="spellEnd"/>
      <w:r w:rsidRPr="003F3CA1">
        <w:rPr>
          <w:sz w:val="24"/>
          <w:szCs w:val="24"/>
          <w:lang w:bidi="da-DK"/>
        </w:rPr>
        <w:t xml:space="preserve">, </w:t>
      </w:r>
      <w:proofErr w:type="spellStart"/>
      <w:r w:rsidRPr="003F3CA1">
        <w:rPr>
          <w:sz w:val="24"/>
          <w:szCs w:val="24"/>
          <w:lang w:bidi="da-DK"/>
        </w:rPr>
        <w:t>føtotoksiske</w:t>
      </w:r>
      <w:proofErr w:type="spellEnd"/>
      <w:r w:rsidRPr="003F3CA1">
        <w:rPr>
          <w:sz w:val="24"/>
          <w:szCs w:val="24"/>
          <w:lang w:bidi="da-DK"/>
        </w:rPr>
        <w:t xml:space="preserve"> og </w:t>
      </w:r>
      <w:proofErr w:type="spellStart"/>
      <w:r w:rsidRPr="003F3CA1">
        <w:rPr>
          <w:sz w:val="24"/>
          <w:szCs w:val="24"/>
          <w:lang w:bidi="da-DK"/>
        </w:rPr>
        <w:t>maternotoksiske</w:t>
      </w:r>
      <w:proofErr w:type="spellEnd"/>
      <w:r w:rsidRPr="003F3CA1">
        <w:rPr>
          <w:sz w:val="24"/>
          <w:szCs w:val="24"/>
          <w:lang w:bidi="da-DK"/>
        </w:rPr>
        <w:t xml:space="preserve"> effekter ved høje doser (40 og 160 mg/kg legemsvægt/dag i 10 dage under deres drægtighedsperiode).</w:t>
      </w:r>
    </w:p>
    <w:p w14:paraId="15F77C1D" w14:textId="77777777" w:rsidR="005B0036" w:rsidRPr="003F3CA1" w:rsidRDefault="005B0036" w:rsidP="005B0036">
      <w:pPr>
        <w:tabs>
          <w:tab w:val="left" w:pos="851"/>
          <w:tab w:val="left" w:pos="8222"/>
        </w:tabs>
        <w:ind w:left="851"/>
        <w:rPr>
          <w:sz w:val="24"/>
          <w:szCs w:val="24"/>
        </w:rPr>
      </w:pPr>
    </w:p>
    <w:p w14:paraId="52612E0A" w14:textId="77777777" w:rsidR="005B0036" w:rsidRPr="003F3CA1" w:rsidRDefault="005B0036" w:rsidP="005B0036">
      <w:pPr>
        <w:tabs>
          <w:tab w:val="left" w:pos="851"/>
          <w:tab w:val="left" w:pos="8222"/>
        </w:tabs>
        <w:rPr>
          <w:b/>
          <w:sz w:val="24"/>
          <w:szCs w:val="24"/>
        </w:rPr>
      </w:pPr>
      <w:r w:rsidRPr="003F3CA1">
        <w:rPr>
          <w:b/>
          <w:sz w:val="24"/>
          <w:szCs w:val="24"/>
        </w:rPr>
        <w:t>4.8</w:t>
      </w:r>
      <w:r w:rsidRPr="003F3CA1">
        <w:rPr>
          <w:b/>
          <w:sz w:val="24"/>
          <w:szCs w:val="24"/>
        </w:rPr>
        <w:tab/>
        <w:t>Interaktion med andre lægemidler og andre former for interaktion</w:t>
      </w:r>
    </w:p>
    <w:p w14:paraId="750B8AF0" w14:textId="77777777" w:rsidR="00D36062" w:rsidRPr="003F3CA1" w:rsidRDefault="00D36062" w:rsidP="002A3B3A">
      <w:pPr>
        <w:ind w:left="851"/>
        <w:rPr>
          <w:sz w:val="24"/>
          <w:szCs w:val="24"/>
        </w:rPr>
      </w:pPr>
      <w:r w:rsidRPr="003F3CA1">
        <w:rPr>
          <w:sz w:val="24"/>
          <w:szCs w:val="24"/>
          <w:lang w:bidi="da-DK"/>
        </w:rPr>
        <w:t xml:space="preserve">Opkastning, lever- og nyrelidelser blev registreret efter samtidig behandling med </w:t>
      </w:r>
      <w:proofErr w:type="spellStart"/>
      <w:r w:rsidRPr="003F3CA1">
        <w:rPr>
          <w:sz w:val="24"/>
          <w:szCs w:val="24"/>
          <w:lang w:bidi="da-DK"/>
        </w:rPr>
        <w:t>itraconazol</w:t>
      </w:r>
      <w:proofErr w:type="spellEnd"/>
      <w:r w:rsidRPr="003F3CA1">
        <w:rPr>
          <w:sz w:val="24"/>
          <w:szCs w:val="24"/>
          <w:lang w:bidi="da-DK"/>
        </w:rPr>
        <w:t xml:space="preserve"> og </w:t>
      </w:r>
      <w:proofErr w:type="spellStart"/>
      <w:r w:rsidRPr="003F3CA1">
        <w:rPr>
          <w:sz w:val="24"/>
          <w:szCs w:val="24"/>
          <w:lang w:bidi="da-DK"/>
        </w:rPr>
        <w:t>cefovecin</w:t>
      </w:r>
      <w:proofErr w:type="spellEnd"/>
      <w:r w:rsidRPr="003F3CA1">
        <w:rPr>
          <w:sz w:val="24"/>
          <w:szCs w:val="24"/>
          <w:lang w:bidi="da-DK"/>
        </w:rPr>
        <w:t xml:space="preserve">. Symptomer som motorisk </w:t>
      </w:r>
      <w:proofErr w:type="spellStart"/>
      <w:r w:rsidRPr="003F3CA1">
        <w:rPr>
          <w:sz w:val="24"/>
          <w:szCs w:val="24"/>
          <w:lang w:bidi="da-DK"/>
        </w:rPr>
        <w:t>inkoordination</w:t>
      </w:r>
      <w:proofErr w:type="spellEnd"/>
      <w:r w:rsidRPr="003F3CA1">
        <w:rPr>
          <w:sz w:val="24"/>
          <w:szCs w:val="24"/>
          <w:lang w:bidi="da-DK"/>
        </w:rPr>
        <w:t xml:space="preserve">, fækal retention og dehydrering opleves, når </w:t>
      </w:r>
      <w:proofErr w:type="spellStart"/>
      <w:r w:rsidRPr="003F3CA1">
        <w:rPr>
          <w:sz w:val="24"/>
          <w:szCs w:val="24"/>
          <w:lang w:bidi="da-DK"/>
        </w:rPr>
        <w:t>tolfenaminsyre</w:t>
      </w:r>
      <w:proofErr w:type="spellEnd"/>
      <w:r w:rsidRPr="003F3CA1">
        <w:rPr>
          <w:sz w:val="24"/>
          <w:szCs w:val="24"/>
          <w:lang w:bidi="da-DK"/>
        </w:rPr>
        <w:t xml:space="preserve"> og </w:t>
      </w:r>
      <w:proofErr w:type="spellStart"/>
      <w:r w:rsidRPr="003F3CA1">
        <w:rPr>
          <w:sz w:val="24"/>
          <w:szCs w:val="24"/>
          <w:lang w:bidi="da-DK"/>
        </w:rPr>
        <w:t>itraconazol</w:t>
      </w:r>
      <w:proofErr w:type="spellEnd"/>
      <w:r w:rsidRPr="003F3CA1">
        <w:rPr>
          <w:sz w:val="24"/>
          <w:szCs w:val="24"/>
          <w:lang w:bidi="da-DK"/>
        </w:rPr>
        <w:t xml:space="preserve"> gives samtidigt.</w:t>
      </w:r>
      <w:r w:rsidRPr="003F3CA1">
        <w:rPr>
          <w:sz w:val="24"/>
          <w:szCs w:val="24"/>
        </w:rPr>
        <w:t xml:space="preserve"> Samtidig indgift af produktet og disse lægemidler bør undgås, da der ikke foreligger data for katte.</w:t>
      </w:r>
    </w:p>
    <w:p w14:paraId="56DE09A7" w14:textId="77777777" w:rsidR="00D36062" w:rsidRPr="003F3CA1" w:rsidRDefault="00D36062" w:rsidP="002A3B3A">
      <w:pPr>
        <w:ind w:left="851"/>
        <w:rPr>
          <w:sz w:val="24"/>
          <w:szCs w:val="24"/>
        </w:rPr>
      </w:pPr>
    </w:p>
    <w:p w14:paraId="1F253E3C" w14:textId="77777777" w:rsidR="00D36062" w:rsidRPr="003F3CA1" w:rsidRDefault="00D36062" w:rsidP="002A3B3A">
      <w:pPr>
        <w:ind w:left="851"/>
        <w:rPr>
          <w:sz w:val="24"/>
          <w:szCs w:val="24"/>
        </w:rPr>
      </w:pPr>
      <w:r w:rsidRPr="003F3CA1">
        <w:rPr>
          <w:sz w:val="24"/>
          <w:szCs w:val="24"/>
          <w:lang w:bidi="da-DK"/>
        </w:rPr>
        <w:t xml:space="preserve">I humanmedicin er interaktioner mellem </w:t>
      </w:r>
      <w:proofErr w:type="spellStart"/>
      <w:r w:rsidRPr="003F3CA1">
        <w:rPr>
          <w:sz w:val="24"/>
          <w:szCs w:val="24"/>
          <w:lang w:bidi="da-DK"/>
        </w:rPr>
        <w:t>itraconazol</w:t>
      </w:r>
      <w:proofErr w:type="spellEnd"/>
      <w:r w:rsidRPr="003F3CA1">
        <w:rPr>
          <w:sz w:val="24"/>
          <w:szCs w:val="24"/>
          <w:lang w:bidi="da-DK"/>
        </w:rPr>
        <w:t xml:space="preserve"> og visse andre lægemidler blevet beskrevet, som følge af interaktioner med </w:t>
      </w:r>
      <w:proofErr w:type="spellStart"/>
      <w:r w:rsidRPr="003F3CA1">
        <w:rPr>
          <w:sz w:val="24"/>
          <w:szCs w:val="24"/>
          <w:lang w:bidi="da-DK"/>
        </w:rPr>
        <w:t>cytochrom</w:t>
      </w:r>
      <w:proofErr w:type="spellEnd"/>
      <w:r w:rsidRPr="003F3CA1">
        <w:rPr>
          <w:sz w:val="24"/>
          <w:szCs w:val="24"/>
          <w:lang w:bidi="da-DK"/>
        </w:rPr>
        <w:t xml:space="preserve"> P450 3A4 (CYP3A4) og P-</w:t>
      </w:r>
      <w:proofErr w:type="spellStart"/>
      <w:r w:rsidRPr="003F3CA1">
        <w:rPr>
          <w:sz w:val="24"/>
          <w:szCs w:val="24"/>
          <w:lang w:bidi="da-DK"/>
        </w:rPr>
        <w:t>glycoproteiner</w:t>
      </w:r>
      <w:proofErr w:type="spellEnd"/>
      <w:r w:rsidRPr="003F3CA1">
        <w:rPr>
          <w:sz w:val="24"/>
          <w:szCs w:val="24"/>
          <w:lang w:bidi="da-DK"/>
        </w:rPr>
        <w:t xml:space="preserve"> (</w:t>
      </w:r>
      <w:proofErr w:type="spellStart"/>
      <w:r w:rsidRPr="003F3CA1">
        <w:rPr>
          <w:sz w:val="24"/>
          <w:szCs w:val="24"/>
          <w:lang w:bidi="da-DK"/>
        </w:rPr>
        <w:t>PgP</w:t>
      </w:r>
      <w:proofErr w:type="spellEnd"/>
      <w:r w:rsidRPr="003F3CA1">
        <w:rPr>
          <w:sz w:val="24"/>
          <w:szCs w:val="24"/>
          <w:lang w:bidi="da-DK"/>
        </w:rPr>
        <w:t xml:space="preserve">). Resultatet af dette kan være øgede plasmakoncentrationer af f.eks. oral </w:t>
      </w:r>
      <w:proofErr w:type="spellStart"/>
      <w:r w:rsidRPr="003F3CA1">
        <w:rPr>
          <w:sz w:val="24"/>
          <w:szCs w:val="24"/>
          <w:lang w:bidi="da-DK"/>
        </w:rPr>
        <w:t>midazolam</w:t>
      </w:r>
      <w:proofErr w:type="spellEnd"/>
      <w:r w:rsidRPr="003F3CA1">
        <w:rPr>
          <w:sz w:val="24"/>
          <w:szCs w:val="24"/>
          <w:lang w:bidi="da-DK"/>
        </w:rPr>
        <w:t xml:space="preserve">, </w:t>
      </w:r>
      <w:proofErr w:type="spellStart"/>
      <w:r w:rsidRPr="003F3CA1">
        <w:rPr>
          <w:sz w:val="24"/>
          <w:szCs w:val="24"/>
          <w:lang w:bidi="da-DK"/>
        </w:rPr>
        <w:t>cyclosporin</w:t>
      </w:r>
      <w:proofErr w:type="spellEnd"/>
      <w:r w:rsidRPr="003F3CA1">
        <w:rPr>
          <w:sz w:val="24"/>
          <w:szCs w:val="24"/>
          <w:lang w:bidi="da-DK"/>
        </w:rPr>
        <w:t xml:space="preserve">, </w:t>
      </w:r>
      <w:proofErr w:type="spellStart"/>
      <w:r w:rsidRPr="003F3CA1">
        <w:rPr>
          <w:sz w:val="24"/>
          <w:szCs w:val="24"/>
          <w:lang w:bidi="da-DK"/>
        </w:rPr>
        <w:t>digoxin</w:t>
      </w:r>
      <w:proofErr w:type="spellEnd"/>
      <w:r w:rsidRPr="003F3CA1">
        <w:rPr>
          <w:sz w:val="24"/>
          <w:szCs w:val="24"/>
          <w:lang w:bidi="da-DK"/>
        </w:rPr>
        <w:t xml:space="preserve">, </w:t>
      </w:r>
      <w:proofErr w:type="spellStart"/>
      <w:r w:rsidRPr="003F3CA1">
        <w:rPr>
          <w:sz w:val="24"/>
          <w:szCs w:val="24"/>
          <w:lang w:bidi="da-DK"/>
        </w:rPr>
        <w:t>chloramphenicol</w:t>
      </w:r>
      <w:proofErr w:type="spellEnd"/>
      <w:r w:rsidRPr="003F3CA1">
        <w:rPr>
          <w:sz w:val="24"/>
          <w:szCs w:val="24"/>
          <w:lang w:bidi="da-DK"/>
        </w:rPr>
        <w:t xml:space="preserve">, </w:t>
      </w:r>
      <w:proofErr w:type="spellStart"/>
      <w:r w:rsidRPr="003F3CA1">
        <w:rPr>
          <w:sz w:val="24"/>
          <w:szCs w:val="24"/>
          <w:lang w:bidi="da-DK"/>
        </w:rPr>
        <w:t>ivermectin</w:t>
      </w:r>
      <w:proofErr w:type="spellEnd"/>
      <w:r w:rsidRPr="003F3CA1">
        <w:rPr>
          <w:sz w:val="24"/>
          <w:szCs w:val="24"/>
          <w:lang w:bidi="da-DK"/>
        </w:rPr>
        <w:t xml:space="preserve"> eller </w:t>
      </w:r>
      <w:proofErr w:type="spellStart"/>
      <w:r w:rsidRPr="003F3CA1">
        <w:rPr>
          <w:sz w:val="24"/>
          <w:szCs w:val="24"/>
          <w:lang w:bidi="da-DK"/>
        </w:rPr>
        <w:t>methylprednisolon</w:t>
      </w:r>
      <w:proofErr w:type="spellEnd"/>
      <w:r w:rsidRPr="003F3CA1">
        <w:rPr>
          <w:sz w:val="24"/>
          <w:szCs w:val="24"/>
          <w:lang w:bidi="da-DK"/>
        </w:rPr>
        <w:t xml:space="preserve">. De øgede plasmaniveauer kan forlænge varigheden af virkninger og bivirkninger. </w:t>
      </w:r>
      <w:proofErr w:type="spellStart"/>
      <w:r w:rsidRPr="003F3CA1">
        <w:rPr>
          <w:sz w:val="24"/>
          <w:szCs w:val="24"/>
          <w:lang w:bidi="da-DK"/>
        </w:rPr>
        <w:t>Itraconazol</w:t>
      </w:r>
      <w:proofErr w:type="spellEnd"/>
      <w:r w:rsidRPr="003F3CA1">
        <w:rPr>
          <w:sz w:val="24"/>
          <w:szCs w:val="24"/>
          <w:lang w:bidi="da-DK"/>
        </w:rPr>
        <w:t xml:space="preserve"> kan også øge serumniveauet af perorale </w:t>
      </w:r>
      <w:proofErr w:type="spellStart"/>
      <w:r w:rsidRPr="003F3CA1">
        <w:rPr>
          <w:sz w:val="24"/>
          <w:szCs w:val="24"/>
          <w:lang w:bidi="da-DK"/>
        </w:rPr>
        <w:t>antidiabetika</w:t>
      </w:r>
      <w:proofErr w:type="spellEnd"/>
      <w:r w:rsidRPr="003F3CA1">
        <w:rPr>
          <w:sz w:val="24"/>
          <w:szCs w:val="24"/>
          <w:lang w:bidi="da-DK"/>
        </w:rPr>
        <w:t>, hvilket kan resultere i hypoglykæmi.</w:t>
      </w:r>
    </w:p>
    <w:p w14:paraId="72D15338" w14:textId="77777777" w:rsidR="00D36062" w:rsidRPr="003F3CA1" w:rsidRDefault="00D36062" w:rsidP="002A3B3A">
      <w:pPr>
        <w:ind w:left="851"/>
        <w:rPr>
          <w:sz w:val="24"/>
          <w:szCs w:val="24"/>
        </w:rPr>
      </w:pPr>
      <w:r w:rsidRPr="003F3CA1">
        <w:rPr>
          <w:sz w:val="24"/>
          <w:szCs w:val="24"/>
          <w:lang w:bidi="da-DK"/>
        </w:rPr>
        <w:t xml:space="preserve">Derimod kan nogle stoffer, f.eks. barbiturater eller </w:t>
      </w:r>
      <w:proofErr w:type="spellStart"/>
      <w:r w:rsidRPr="003F3CA1">
        <w:rPr>
          <w:sz w:val="24"/>
          <w:szCs w:val="24"/>
          <w:lang w:bidi="da-DK"/>
        </w:rPr>
        <w:t>phenytoin</w:t>
      </w:r>
      <w:proofErr w:type="spellEnd"/>
      <w:r w:rsidRPr="003F3CA1">
        <w:rPr>
          <w:sz w:val="24"/>
          <w:szCs w:val="24"/>
          <w:lang w:bidi="da-DK"/>
        </w:rPr>
        <w:t xml:space="preserve"> øge </w:t>
      </w:r>
      <w:proofErr w:type="spellStart"/>
      <w:r w:rsidRPr="003F3CA1">
        <w:rPr>
          <w:sz w:val="24"/>
          <w:szCs w:val="24"/>
          <w:lang w:bidi="da-DK"/>
        </w:rPr>
        <w:t>itraconazols</w:t>
      </w:r>
      <w:proofErr w:type="spellEnd"/>
      <w:r w:rsidRPr="003F3CA1">
        <w:rPr>
          <w:sz w:val="24"/>
          <w:szCs w:val="24"/>
          <w:lang w:bidi="da-DK"/>
        </w:rPr>
        <w:t xml:space="preserve"> </w:t>
      </w:r>
      <w:proofErr w:type="spellStart"/>
      <w:r w:rsidRPr="003F3CA1">
        <w:rPr>
          <w:sz w:val="24"/>
          <w:szCs w:val="24"/>
          <w:lang w:bidi="da-DK"/>
        </w:rPr>
        <w:t>metaboliseringshastighed</w:t>
      </w:r>
      <w:proofErr w:type="spellEnd"/>
      <w:r w:rsidRPr="003F3CA1">
        <w:rPr>
          <w:sz w:val="24"/>
          <w:szCs w:val="24"/>
          <w:lang w:bidi="da-DK"/>
        </w:rPr>
        <w:t xml:space="preserve">, hvilket vil resultere i en nedsat biotilgængelighed og dermed en nedsat effekt. Da </w:t>
      </w:r>
      <w:proofErr w:type="spellStart"/>
      <w:r w:rsidRPr="003F3CA1">
        <w:rPr>
          <w:sz w:val="24"/>
          <w:szCs w:val="24"/>
          <w:lang w:bidi="da-DK"/>
        </w:rPr>
        <w:t>itraconazol</w:t>
      </w:r>
      <w:proofErr w:type="spellEnd"/>
      <w:r w:rsidRPr="003F3CA1">
        <w:rPr>
          <w:sz w:val="24"/>
          <w:szCs w:val="24"/>
          <w:lang w:bidi="da-DK"/>
        </w:rPr>
        <w:t xml:space="preserve"> kræver et surt miljø for maksimal absorption, vil </w:t>
      </w:r>
      <w:proofErr w:type="spellStart"/>
      <w:r w:rsidRPr="003F3CA1">
        <w:rPr>
          <w:sz w:val="24"/>
          <w:szCs w:val="24"/>
          <w:lang w:bidi="da-DK"/>
        </w:rPr>
        <w:t>antacida</w:t>
      </w:r>
      <w:proofErr w:type="spellEnd"/>
      <w:r w:rsidRPr="003F3CA1">
        <w:rPr>
          <w:sz w:val="24"/>
          <w:szCs w:val="24"/>
          <w:lang w:bidi="da-DK"/>
        </w:rPr>
        <w:t xml:space="preserve"> give en markant reduktion i absorptionen. Samtidig brug af </w:t>
      </w:r>
      <w:proofErr w:type="spellStart"/>
      <w:r w:rsidRPr="003F3CA1">
        <w:rPr>
          <w:sz w:val="24"/>
          <w:szCs w:val="24"/>
          <w:lang w:bidi="da-DK"/>
        </w:rPr>
        <w:t>erythromycin</w:t>
      </w:r>
      <w:proofErr w:type="spellEnd"/>
      <w:r w:rsidRPr="003F3CA1">
        <w:rPr>
          <w:sz w:val="24"/>
          <w:szCs w:val="24"/>
          <w:lang w:bidi="da-DK"/>
        </w:rPr>
        <w:t xml:space="preserve"> kan øge plasmakoncentrationen af </w:t>
      </w:r>
      <w:proofErr w:type="spellStart"/>
      <w:r w:rsidRPr="003F3CA1">
        <w:rPr>
          <w:sz w:val="24"/>
          <w:szCs w:val="24"/>
          <w:lang w:bidi="da-DK"/>
        </w:rPr>
        <w:t>itraconazol</w:t>
      </w:r>
      <w:proofErr w:type="spellEnd"/>
      <w:r w:rsidRPr="003F3CA1">
        <w:rPr>
          <w:sz w:val="24"/>
          <w:szCs w:val="24"/>
          <w:lang w:bidi="da-DK"/>
        </w:rPr>
        <w:t>.</w:t>
      </w:r>
    </w:p>
    <w:p w14:paraId="637279DC" w14:textId="77777777" w:rsidR="00D36062" w:rsidRPr="003F3CA1" w:rsidRDefault="00D36062" w:rsidP="002A3B3A">
      <w:pPr>
        <w:ind w:left="851"/>
        <w:rPr>
          <w:sz w:val="24"/>
          <w:szCs w:val="24"/>
        </w:rPr>
      </w:pPr>
      <w:r w:rsidRPr="003F3CA1">
        <w:rPr>
          <w:sz w:val="24"/>
          <w:szCs w:val="24"/>
          <w:lang w:bidi="da-DK"/>
        </w:rPr>
        <w:t xml:space="preserve">Interaktion hos mennesker mellem </w:t>
      </w:r>
      <w:proofErr w:type="spellStart"/>
      <w:r w:rsidRPr="003F3CA1">
        <w:rPr>
          <w:sz w:val="24"/>
          <w:szCs w:val="24"/>
          <w:lang w:bidi="da-DK"/>
        </w:rPr>
        <w:t>itraconazol</w:t>
      </w:r>
      <w:proofErr w:type="spellEnd"/>
      <w:r w:rsidRPr="003F3CA1">
        <w:rPr>
          <w:sz w:val="24"/>
          <w:szCs w:val="24"/>
          <w:lang w:bidi="da-DK"/>
        </w:rPr>
        <w:t xml:space="preserve"> og calciumantagonister er også blevet rapporteret. Disse lægemidler kan muligvis have </w:t>
      </w:r>
      <w:proofErr w:type="spellStart"/>
      <w:r w:rsidRPr="003F3CA1">
        <w:rPr>
          <w:sz w:val="24"/>
          <w:szCs w:val="24"/>
          <w:lang w:bidi="da-DK"/>
        </w:rPr>
        <w:t>additive</w:t>
      </w:r>
      <w:proofErr w:type="spellEnd"/>
      <w:r w:rsidRPr="003F3CA1">
        <w:rPr>
          <w:sz w:val="24"/>
          <w:szCs w:val="24"/>
          <w:lang w:bidi="da-DK"/>
        </w:rPr>
        <w:t xml:space="preserve"> negative </w:t>
      </w:r>
      <w:proofErr w:type="spellStart"/>
      <w:r w:rsidRPr="003F3CA1">
        <w:rPr>
          <w:sz w:val="24"/>
          <w:szCs w:val="24"/>
          <w:lang w:bidi="da-DK"/>
        </w:rPr>
        <w:t>inotropiske</w:t>
      </w:r>
      <w:proofErr w:type="spellEnd"/>
      <w:r w:rsidRPr="003F3CA1">
        <w:rPr>
          <w:sz w:val="24"/>
          <w:szCs w:val="24"/>
          <w:lang w:bidi="da-DK"/>
        </w:rPr>
        <w:t xml:space="preserve"> virkninger på hjertet.</w:t>
      </w:r>
    </w:p>
    <w:p w14:paraId="39B9EA21" w14:textId="77777777" w:rsidR="00D36062" w:rsidRPr="003F3CA1" w:rsidRDefault="00D36062" w:rsidP="002A3B3A">
      <w:pPr>
        <w:ind w:left="851"/>
        <w:rPr>
          <w:sz w:val="24"/>
          <w:szCs w:val="24"/>
        </w:rPr>
      </w:pPr>
      <w:r w:rsidRPr="003F3CA1">
        <w:rPr>
          <w:sz w:val="24"/>
          <w:szCs w:val="24"/>
          <w:lang w:bidi="da-DK"/>
        </w:rPr>
        <w:t xml:space="preserve">Det vides ikke, i hvilket omfang disse interaktioner er relevante for katte, </w:t>
      </w:r>
      <w:r w:rsidRPr="003F3CA1">
        <w:rPr>
          <w:sz w:val="24"/>
          <w:szCs w:val="24"/>
        </w:rPr>
        <w:t>men samtidig indgift af</w:t>
      </w:r>
      <w:r w:rsidRPr="003F3CA1">
        <w:rPr>
          <w:b/>
          <w:bCs/>
          <w:sz w:val="24"/>
          <w:szCs w:val="24"/>
        </w:rPr>
        <w:t xml:space="preserve"> </w:t>
      </w:r>
      <w:r w:rsidRPr="003F3CA1">
        <w:rPr>
          <w:sz w:val="24"/>
          <w:szCs w:val="24"/>
        </w:rPr>
        <w:t>produktet og disse lægemidler bør undgås,</w:t>
      </w:r>
      <w:r w:rsidRPr="003F3CA1">
        <w:rPr>
          <w:b/>
          <w:bCs/>
          <w:sz w:val="24"/>
          <w:szCs w:val="24"/>
        </w:rPr>
        <w:t xml:space="preserve"> </w:t>
      </w:r>
      <w:r w:rsidRPr="003F3CA1">
        <w:rPr>
          <w:sz w:val="24"/>
          <w:szCs w:val="24"/>
        </w:rPr>
        <w:t>da der ikke foreligger data.</w:t>
      </w:r>
    </w:p>
    <w:p w14:paraId="50E53A15" w14:textId="77777777" w:rsidR="005B0036" w:rsidRPr="003F3CA1" w:rsidRDefault="005B0036" w:rsidP="005B0036">
      <w:pPr>
        <w:tabs>
          <w:tab w:val="left" w:pos="851"/>
          <w:tab w:val="left" w:pos="8222"/>
        </w:tabs>
        <w:ind w:left="851"/>
        <w:rPr>
          <w:sz w:val="24"/>
          <w:szCs w:val="24"/>
        </w:rPr>
      </w:pPr>
    </w:p>
    <w:p w14:paraId="04F2275A" w14:textId="77777777" w:rsidR="005B0036" w:rsidRPr="003F3CA1" w:rsidRDefault="005B0036" w:rsidP="005B0036">
      <w:pPr>
        <w:tabs>
          <w:tab w:val="left" w:pos="851"/>
          <w:tab w:val="left" w:pos="8222"/>
        </w:tabs>
        <w:rPr>
          <w:b/>
          <w:sz w:val="24"/>
          <w:szCs w:val="24"/>
        </w:rPr>
      </w:pPr>
      <w:r w:rsidRPr="003F3CA1">
        <w:rPr>
          <w:b/>
          <w:sz w:val="24"/>
          <w:szCs w:val="24"/>
        </w:rPr>
        <w:t>4.9</w:t>
      </w:r>
      <w:r w:rsidRPr="003F3CA1">
        <w:rPr>
          <w:b/>
          <w:sz w:val="24"/>
          <w:szCs w:val="24"/>
        </w:rPr>
        <w:tab/>
        <w:t>Dosering og indgivelsesmåde</w:t>
      </w:r>
    </w:p>
    <w:p w14:paraId="2793640E" w14:textId="77777777" w:rsidR="00D36062" w:rsidRPr="003F3CA1" w:rsidRDefault="00D36062" w:rsidP="002A3B3A">
      <w:pPr>
        <w:ind w:left="851"/>
        <w:rPr>
          <w:sz w:val="24"/>
          <w:szCs w:val="24"/>
        </w:rPr>
      </w:pPr>
      <w:r w:rsidRPr="003F3CA1">
        <w:rPr>
          <w:sz w:val="24"/>
          <w:szCs w:val="24"/>
          <w:lang w:bidi="da-DK"/>
        </w:rPr>
        <w:t>Til oral brug.</w:t>
      </w:r>
    </w:p>
    <w:p w14:paraId="5C7233BE" w14:textId="77777777" w:rsidR="00D36062" w:rsidRPr="003F3CA1" w:rsidRDefault="00D36062" w:rsidP="002A3B3A">
      <w:pPr>
        <w:ind w:left="851"/>
        <w:rPr>
          <w:sz w:val="24"/>
          <w:szCs w:val="24"/>
        </w:rPr>
      </w:pPr>
    </w:p>
    <w:p w14:paraId="2437E4E1" w14:textId="77777777" w:rsidR="00D36062" w:rsidRPr="003F3CA1" w:rsidRDefault="00D36062" w:rsidP="002A3B3A">
      <w:pPr>
        <w:ind w:left="851"/>
        <w:rPr>
          <w:sz w:val="24"/>
          <w:szCs w:val="24"/>
        </w:rPr>
      </w:pPr>
      <w:r w:rsidRPr="003F3CA1">
        <w:rPr>
          <w:sz w:val="24"/>
          <w:szCs w:val="24"/>
          <w:lang w:bidi="da-DK"/>
        </w:rPr>
        <w:t xml:space="preserve">Administrer 5 mg </w:t>
      </w:r>
      <w:proofErr w:type="spellStart"/>
      <w:r w:rsidRPr="003F3CA1">
        <w:rPr>
          <w:sz w:val="24"/>
          <w:szCs w:val="24"/>
          <w:lang w:bidi="da-DK"/>
        </w:rPr>
        <w:t>itraconazol</w:t>
      </w:r>
      <w:proofErr w:type="spellEnd"/>
      <w:r w:rsidRPr="003F3CA1">
        <w:rPr>
          <w:sz w:val="24"/>
          <w:szCs w:val="24"/>
          <w:lang w:bidi="da-DK"/>
        </w:rPr>
        <w:t xml:space="preserve"> pr. kg legemsvægt én gang dagligt, dette svarer til 0,5 ml af produktet pr. kg legemsvægt én gang dagligt. Opløsningen skal gives direkte i munden ved brug af en doseringssprøjte.</w:t>
      </w:r>
    </w:p>
    <w:p w14:paraId="0F5451F3" w14:textId="77777777" w:rsidR="00D36062" w:rsidRPr="003F3CA1" w:rsidRDefault="00D36062" w:rsidP="002A3B3A">
      <w:pPr>
        <w:ind w:left="851"/>
        <w:rPr>
          <w:sz w:val="24"/>
          <w:szCs w:val="24"/>
        </w:rPr>
      </w:pPr>
    </w:p>
    <w:p w14:paraId="30D89252" w14:textId="77777777" w:rsidR="00D36062" w:rsidRPr="003F3CA1" w:rsidRDefault="00D36062" w:rsidP="002A3B3A">
      <w:pPr>
        <w:ind w:left="851"/>
        <w:rPr>
          <w:sz w:val="24"/>
          <w:szCs w:val="24"/>
        </w:rPr>
      </w:pPr>
      <w:r w:rsidRPr="003F3CA1">
        <w:rPr>
          <w:sz w:val="24"/>
          <w:szCs w:val="24"/>
          <w:lang w:bidi="da-DK"/>
        </w:rPr>
        <w:t>Dosisregimet er 0,5 ml/kg/dag over 3 behandlingsperioder á 7 på hinanden følgende dage. Første og anden behandlingsperiode efterfølges af en periode på 7 dage uden behandling.</w:t>
      </w:r>
    </w:p>
    <w:p w14:paraId="7F7232B8" w14:textId="77777777" w:rsidR="00D36062" w:rsidRPr="003F3CA1" w:rsidRDefault="00D36062" w:rsidP="00D36062">
      <w:pPr>
        <w:spacing w:before="6"/>
        <w:rPr>
          <w:rFonts w:eastAsia="Segoe UI"/>
          <w:sz w:val="24"/>
          <w:szCs w:val="24"/>
        </w:rPr>
      </w:pPr>
    </w:p>
    <w:tbl>
      <w:tblPr>
        <w:tblW w:w="0" w:type="auto"/>
        <w:tblInd w:w="843" w:type="dxa"/>
        <w:tblLayout w:type="fixed"/>
        <w:tblCellMar>
          <w:left w:w="0" w:type="dxa"/>
          <w:right w:w="0" w:type="dxa"/>
        </w:tblCellMar>
        <w:tblLook w:val="01E0" w:firstRow="1" w:lastRow="1" w:firstColumn="1" w:lastColumn="1" w:noHBand="0" w:noVBand="0"/>
      </w:tblPr>
      <w:tblGrid>
        <w:gridCol w:w="1222"/>
        <w:gridCol w:w="1788"/>
        <w:gridCol w:w="1222"/>
        <w:gridCol w:w="1788"/>
        <w:gridCol w:w="1222"/>
      </w:tblGrid>
      <w:tr w:rsidR="00D36062" w:rsidRPr="003F3CA1" w14:paraId="22760636" w14:textId="77777777" w:rsidTr="002A3B3A">
        <w:trPr>
          <w:trHeight w:hRule="exact" w:val="334"/>
        </w:trPr>
        <w:tc>
          <w:tcPr>
            <w:tcW w:w="1222" w:type="dxa"/>
            <w:tcBorders>
              <w:top w:val="single" w:sz="6" w:space="0" w:color="BFBFBF"/>
              <w:left w:val="single" w:sz="6" w:space="0" w:color="BFBFBF"/>
              <w:bottom w:val="single" w:sz="6" w:space="0" w:color="BFBFBF"/>
              <w:right w:val="single" w:sz="6" w:space="0" w:color="BFBFBF"/>
            </w:tcBorders>
            <w:hideMark/>
          </w:tcPr>
          <w:p w14:paraId="5B10C25D"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7 dage</w:t>
            </w:r>
          </w:p>
        </w:tc>
        <w:tc>
          <w:tcPr>
            <w:tcW w:w="1788" w:type="dxa"/>
            <w:tcBorders>
              <w:top w:val="single" w:sz="6" w:space="0" w:color="BFBFBF"/>
              <w:left w:val="single" w:sz="6" w:space="0" w:color="BFBFBF"/>
              <w:bottom w:val="single" w:sz="6" w:space="0" w:color="BFBFBF"/>
              <w:right w:val="single" w:sz="6" w:space="0" w:color="BFBFBF"/>
            </w:tcBorders>
            <w:hideMark/>
          </w:tcPr>
          <w:p w14:paraId="2CFD5E00"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7 dage</w:t>
            </w:r>
          </w:p>
        </w:tc>
        <w:tc>
          <w:tcPr>
            <w:tcW w:w="1222" w:type="dxa"/>
            <w:tcBorders>
              <w:top w:val="single" w:sz="6" w:space="0" w:color="BFBFBF"/>
              <w:left w:val="single" w:sz="6" w:space="0" w:color="BFBFBF"/>
              <w:bottom w:val="single" w:sz="6" w:space="0" w:color="BFBFBF"/>
              <w:right w:val="single" w:sz="6" w:space="0" w:color="BFBFBF"/>
            </w:tcBorders>
            <w:hideMark/>
          </w:tcPr>
          <w:p w14:paraId="0F0BF547"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7 dage</w:t>
            </w:r>
          </w:p>
        </w:tc>
        <w:tc>
          <w:tcPr>
            <w:tcW w:w="1788" w:type="dxa"/>
            <w:tcBorders>
              <w:top w:val="single" w:sz="6" w:space="0" w:color="BFBFBF"/>
              <w:left w:val="single" w:sz="6" w:space="0" w:color="BFBFBF"/>
              <w:bottom w:val="single" w:sz="6" w:space="0" w:color="BFBFBF"/>
              <w:right w:val="single" w:sz="6" w:space="0" w:color="BFBFBF"/>
            </w:tcBorders>
            <w:hideMark/>
          </w:tcPr>
          <w:p w14:paraId="58CD5F03"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7 dage</w:t>
            </w:r>
          </w:p>
        </w:tc>
        <w:tc>
          <w:tcPr>
            <w:tcW w:w="1222" w:type="dxa"/>
            <w:tcBorders>
              <w:top w:val="single" w:sz="6" w:space="0" w:color="BFBFBF"/>
              <w:left w:val="single" w:sz="6" w:space="0" w:color="BFBFBF"/>
              <w:bottom w:val="single" w:sz="6" w:space="0" w:color="BFBFBF"/>
              <w:right w:val="single" w:sz="6" w:space="0" w:color="BFBFBF"/>
            </w:tcBorders>
            <w:hideMark/>
          </w:tcPr>
          <w:p w14:paraId="59C2D519"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7 dage</w:t>
            </w:r>
          </w:p>
        </w:tc>
      </w:tr>
      <w:tr w:rsidR="00D36062" w:rsidRPr="003F3CA1" w14:paraId="254F49A0" w14:textId="77777777" w:rsidTr="002A3B3A">
        <w:trPr>
          <w:trHeight w:hRule="exact" w:val="334"/>
        </w:trPr>
        <w:tc>
          <w:tcPr>
            <w:tcW w:w="1222" w:type="dxa"/>
            <w:tcBorders>
              <w:top w:val="single" w:sz="6" w:space="0" w:color="BFBFBF"/>
              <w:left w:val="single" w:sz="6" w:space="0" w:color="BFBFBF"/>
              <w:bottom w:val="single" w:sz="6" w:space="0" w:color="BFBFBF"/>
              <w:right w:val="single" w:sz="6" w:space="0" w:color="BFBFBF"/>
            </w:tcBorders>
            <w:hideMark/>
          </w:tcPr>
          <w:p w14:paraId="24D90F33"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Behandling</w:t>
            </w:r>
          </w:p>
        </w:tc>
        <w:tc>
          <w:tcPr>
            <w:tcW w:w="1788" w:type="dxa"/>
            <w:tcBorders>
              <w:top w:val="single" w:sz="6" w:space="0" w:color="BFBFBF"/>
              <w:left w:val="single" w:sz="6" w:space="0" w:color="BFBFBF"/>
              <w:bottom w:val="single" w:sz="6" w:space="0" w:color="BFBFBF"/>
              <w:right w:val="single" w:sz="6" w:space="0" w:color="BFBFBF"/>
            </w:tcBorders>
            <w:hideMark/>
          </w:tcPr>
          <w:p w14:paraId="3628D93E"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Ingen behandling</w:t>
            </w:r>
          </w:p>
        </w:tc>
        <w:tc>
          <w:tcPr>
            <w:tcW w:w="1222" w:type="dxa"/>
            <w:tcBorders>
              <w:top w:val="single" w:sz="6" w:space="0" w:color="BFBFBF"/>
              <w:left w:val="single" w:sz="6" w:space="0" w:color="BFBFBF"/>
              <w:bottom w:val="single" w:sz="6" w:space="0" w:color="BFBFBF"/>
              <w:right w:val="single" w:sz="6" w:space="0" w:color="BFBFBF"/>
            </w:tcBorders>
            <w:hideMark/>
          </w:tcPr>
          <w:p w14:paraId="5822DE76"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Behandling</w:t>
            </w:r>
          </w:p>
        </w:tc>
        <w:tc>
          <w:tcPr>
            <w:tcW w:w="1788" w:type="dxa"/>
            <w:tcBorders>
              <w:top w:val="single" w:sz="6" w:space="0" w:color="BFBFBF"/>
              <w:left w:val="single" w:sz="6" w:space="0" w:color="BFBFBF"/>
              <w:bottom w:val="single" w:sz="6" w:space="0" w:color="BFBFBF"/>
              <w:right w:val="single" w:sz="6" w:space="0" w:color="BFBFBF"/>
            </w:tcBorders>
            <w:hideMark/>
          </w:tcPr>
          <w:p w14:paraId="4CBD44E2"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Ingen behandling</w:t>
            </w:r>
          </w:p>
        </w:tc>
        <w:tc>
          <w:tcPr>
            <w:tcW w:w="1222" w:type="dxa"/>
            <w:tcBorders>
              <w:top w:val="single" w:sz="6" w:space="0" w:color="BFBFBF"/>
              <w:left w:val="single" w:sz="6" w:space="0" w:color="BFBFBF"/>
              <w:bottom w:val="single" w:sz="6" w:space="0" w:color="BFBFBF"/>
              <w:right w:val="single" w:sz="6" w:space="0" w:color="BFBFBF"/>
            </w:tcBorders>
            <w:hideMark/>
          </w:tcPr>
          <w:p w14:paraId="14088126" w14:textId="77777777" w:rsidR="00D36062" w:rsidRPr="003F3CA1" w:rsidRDefault="00D36062">
            <w:pPr>
              <w:pStyle w:val="TableParagraph"/>
              <w:spacing w:before="3" w:line="315" w:lineRule="exact"/>
              <w:ind w:left="100"/>
              <w:rPr>
                <w:rFonts w:ascii="Times New Roman" w:eastAsia="Segoe UI" w:hAnsi="Times New Roman"/>
                <w:sz w:val="24"/>
                <w:szCs w:val="24"/>
              </w:rPr>
            </w:pPr>
            <w:r w:rsidRPr="003F3CA1">
              <w:rPr>
                <w:rFonts w:ascii="Times New Roman" w:eastAsia="Times New Roman" w:hAnsi="Times New Roman"/>
                <w:sz w:val="24"/>
                <w:szCs w:val="24"/>
                <w:lang w:val="da-DK" w:bidi="da-DK"/>
              </w:rPr>
              <w:t>Behandling</w:t>
            </w:r>
          </w:p>
        </w:tc>
      </w:tr>
    </w:tbl>
    <w:p w14:paraId="6DC84927" w14:textId="77777777" w:rsidR="00D36062" w:rsidRPr="003F3CA1" w:rsidRDefault="00D36062" w:rsidP="00D36062">
      <w:pPr>
        <w:pStyle w:val="Brdtekst"/>
        <w:spacing w:before="35"/>
        <w:ind w:right="211"/>
        <w:jc w:val="left"/>
        <w:rPr>
          <w:sz w:val="24"/>
          <w:szCs w:val="24"/>
        </w:rPr>
      </w:pPr>
    </w:p>
    <w:p w14:paraId="37AB48B1" w14:textId="092B4545" w:rsidR="00D36062" w:rsidRPr="003F3CA1" w:rsidRDefault="00D36062" w:rsidP="002A3B3A">
      <w:pPr>
        <w:ind w:left="851"/>
        <w:rPr>
          <w:sz w:val="24"/>
          <w:szCs w:val="24"/>
        </w:rPr>
      </w:pPr>
      <w:r w:rsidRPr="003F3CA1">
        <w:rPr>
          <w:sz w:val="24"/>
          <w:szCs w:val="24"/>
          <w:lang w:bidi="da-DK"/>
        </w:rPr>
        <w:t>Doseringssprøjten viser inddelinger pr. 100 gram legemsvægt. Fyld sprøjten ved at trække i stemplet, indtil den når den inddeling, der svarer til kattens korrekte</w:t>
      </w:r>
      <w:r w:rsidR="00E76492" w:rsidRPr="003F3CA1">
        <w:rPr>
          <w:sz w:val="24"/>
          <w:szCs w:val="24"/>
          <w:lang w:bidi="da-DK"/>
        </w:rPr>
        <w:t xml:space="preserve"> </w:t>
      </w:r>
      <w:r w:rsidRPr="003F3CA1">
        <w:rPr>
          <w:sz w:val="24"/>
          <w:szCs w:val="24"/>
          <w:lang w:bidi="da-DK"/>
        </w:rPr>
        <w:t>legemsvægt.</w:t>
      </w:r>
    </w:p>
    <w:p w14:paraId="41107AF4" w14:textId="77777777" w:rsidR="00D36062" w:rsidRPr="003F3CA1" w:rsidRDefault="00D36062" w:rsidP="002A3B3A">
      <w:pPr>
        <w:ind w:left="851"/>
        <w:rPr>
          <w:sz w:val="24"/>
          <w:szCs w:val="24"/>
        </w:rPr>
      </w:pPr>
    </w:p>
    <w:p w14:paraId="44B8B45F" w14:textId="742C0862" w:rsidR="001B2CC8" w:rsidRPr="001B2CC8" w:rsidRDefault="001B2CC8" w:rsidP="001B2CC8">
      <w:pPr>
        <w:ind w:left="851"/>
        <w:rPr>
          <w:sz w:val="24"/>
          <w:szCs w:val="24"/>
        </w:rPr>
      </w:pPr>
      <w:bookmarkStart w:id="3" w:name="_Hlk126570621"/>
      <w:r w:rsidRPr="001B2CC8">
        <w:rPr>
          <w:sz w:val="24"/>
          <w:szCs w:val="24"/>
          <w:lang w:bidi="da-DK"/>
        </w:rPr>
        <w:t>Når produktet gives til killinger,</w:t>
      </w:r>
      <w:r>
        <w:rPr>
          <w:sz w:val="24"/>
          <w:szCs w:val="24"/>
          <w:lang w:bidi="da-DK"/>
        </w:rPr>
        <w:t xml:space="preserve"> </w:t>
      </w:r>
      <w:r w:rsidRPr="001B2CC8">
        <w:rPr>
          <w:sz w:val="24"/>
          <w:szCs w:val="24"/>
        </w:rPr>
        <w:t>skal der udvises forsigtighed, da der ikke må gives mere end den anbefalede dosis/vægt</w:t>
      </w:r>
      <w:r w:rsidRPr="001B2CC8">
        <w:rPr>
          <w:sz w:val="24"/>
          <w:szCs w:val="24"/>
          <w:lang w:bidi="da-DK"/>
        </w:rPr>
        <w:t>. Til killinger, med en vægt på mindre end 0,5 kg skal der anvendes en 1 ml sprøjte, som tillader korrekt dosering.</w:t>
      </w:r>
    </w:p>
    <w:bookmarkEnd w:id="3"/>
    <w:p w14:paraId="16C53863" w14:textId="77777777" w:rsidR="00D36062" w:rsidRPr="001B2CC8" w:rsidRDefault="00D36062" w:rsidP="001B2CC8">
      <w:pPr>
        <w:ind w:left="851"/>
        <w:rPr>
          <w:rFonts w:eastAsia="Segoe UI"/>
          <w:sz w:val="24"/>
          <w:szCs w:val="24"/>
        </w:rPr>
      </w:pPr>
    </w:p>
    <w:p w14:paraId="2710E09E" w14:textId="77777777" w:rsidR="00D36062" w:rsidRPr="003F3CA1" w:rsidRDefault="00D36062" w:rsidP="002A3B3A">
      <w:pPr>
        <w:ind w:left="851"/>
        <w:rPr>
          <w:sz w:val="24"/>
          <w:szCs w:val="24"/>
        </w:rPr>
      </w:pPr>
      <w:r w:rsidRPr="003F3CA1">
        <w:rPr>
          <w:sz w:val="24"/>
          <w:szCs w:val="24"/>
          <w:lang w:bidi="da-DK"/>
        </w:rPr>
        <w:t>Sprøjt væsken forsigtigt og langsomt ind i munden på katten, så den kan sluge produktet.</w:t>
      </w:r>
    </w:p>
    <w:p w14:paraId="4D85DF25" w14:textId="77777777" w:rsidR="00D36062" w:rsidRPr="003F3CA1" w:rsidRDefault="00D36062" w:rsidP="002A3B3A">
      <w:pPr>
        <w:ind w:left="851"/>
        <w:rPr>
          <w:rFonts w:eastAsia="Segoe UI"/>
          <w:sz w:val="24"/>
          <w:szCs w:val="24"/>
        </w:rPr>
      </w:pPr>
    </w:p>
    <w:p w14:paraId="23CE6ECD" w14:textId="77777777" w:rsidR="00D36062" w:rsidRPr="003F3CA1" w:rsidRDefault="00D36062" w:rsidP="002A3B3A">
      <w:pPr>
        <w:ind w:left="851"/>
        <w:rPr>
          <w:sz w:val="24"/>
          <w:szCs w:val="24"/>
        </w:rPr>
      </w:pPr>
      <w:r w:rsidRPr="003F3CA1">
        <w:rPr>
          <w:sz w:val="24"/>
          <w:szCs w:val="24"/>
          <w:lang w:bidi="da-DK"/>
        </w:rPr>
        <w:lastRenderedPageBreak/>
        <w:t>Efter dosering skal sprøjten tages af flasken, vaskes og tørres, og låget skal skrues fast på igen.</w:t>
      </w:r>
    </w:p>
    <w:p w14:paraId="417D7894" w14:textId="77777777" w:rsidR="00D36062" w:rsidRPr="003F3CA1" w:rsidRDefault="00D36062" w:rsidP="002A3B3A">
      <w:pPr>
        <w:ind w:left="851"/>
        <w:rPr>
          <w:rFonts w:eastAsia="Segoe UI"/>
          <w:sz w:val="24"/>
          <w:szCs w:val="24"/>
        </w:rPr>
      </w:pPr>
    </w:p>
    <w:p w14:paraId="058791E6" w14:textId="77777777" w:rsidR="00D36062" w:rsidRPr="003F3CA1" w:rsidRDefault="00D36062" w:rsidP="002A3B3A">
      <w:pPr>
        <w:ind w:left="851"/>
        <w:rPr>
          <w:sz w:val="24"/>
          <w:szCs w:val="24"/>
        </w:rPr>
      </w:pPr>
      <w:r w:rsidRPr="003F3CA1">
        <w:rPr>
          <w:sz w:val="24"/>
          <w:szCs w:val="24"/>
          <w:lang w:bidi="da-DK"/>
        </w:rPr>
        <w:t xml:space="preserve">Data fra mennesker viser, at samtidig fødeindtagelse kan nedsætte absorptionen af </w:t>
      </w:r>
      <w:proofErr w:type="spellStart"/>
      <w:r w:rsidRPr="003F3CA1">
        <w:rPr>
          <w:sz w:val="24"/>
          <w:szCs w:val="24"/>
          <w:lang w:bidi="da-DK"/>
        </w:rPr>
        <w:t>itraconazol</w:t>
      </w:r>
      <w:proofErr w:type="spellEnd"/>
      <w:r w:rsidRPr="003F3CA1">
        <w:rPr>
          <w:sz w:val="24"/>
          <w:szCs w:val="24"/>
          <w:lang w:bidi="da-DK"/>
        </w:rPr>
        <w:t>. Det anbefales derfor at behandle mellem måltiderne.</w:t>
      </w:r>
    </w:p>
    <w:p w14:paraId="3CF4C6A6" w14:textId="77777777" w:rsidR="00D36062" w:rsidRPr="003F3CA1" w:rsidRDefault="00D36062" w:rsidP="002A3B3A">
      <w:pPr>
        <w:ind w:left="851"/>
        <w:rPr>
          <w:rFonts w:eastAsia="Segoe UI"/>
          <w:sz w:val="24"/>
          <w:szCs w:val="24"/>
        </w:rPr>
      </w:pPr>
    </w:p>
    <w:p w14:paraId="15759A96" w14:textId="77777777" w:rsidR="00D36062" w:rsidRPr="003F3CA1" w:rsidRDefault="00D36062" w:rsidP="002A3B3A">
      <w:pPr>
        <w:ind w:left="851"/>
        <w:rPr>
          <w:sz w:val="24"/>
          <w:szCs w:val="24"/>
        </w:rPr>
      </w:pPr>
      <w:r w:rsidRPr="003F3CA1">
        <w:rPr>
          <w:sz w:val="24"/>
          <w:szCs w:val="24"/>
        </w:rPr>
        <w:t>I nogle tilfælde kan der forekomme et forlænget interval mellem klinisk og mykologisk helbredelse. I tilfælde hvor en dyrkning er positiv 4 uger efter endt behandlingen, bør behandlingen gentages én gang efter samme doseringsregime. Endvidere bør behandlingen gentages hos katte med påvirket immunsystem og den tilgrundliggende sygdom bør udredes.</w:t>
      </w:r>
    </w:p>
    <w:p w14:paraId="17A2A42B" w14:textId="77777777" w:rsidR="005B0036" w:rsidRPr="003F3CA1" w:rsidRDefault="005B0036" w:rsidP="005B0036">
      <w:pPr>
        <w:tabs>
          <w:tab w:val="left" w:pos="851"/>
          <w:tab w:val="left" w:pos="8222"/>
        </w:tabs>
        <w:ind w:left="851"/>
        <w:rPr>
          <w:sz w:val="24"/>
          <w:szCs w:val="24"/>
        </w:rPr>
      </w:pPr>
    </w:p>
    <w:p w14:paraId="5580CE27" w14:textId="77777777" w:rsidR="005B0036" w:rsidRPr="003F3CA1" w:rsidRDefault="005B0036" w:rsidP="005B0036">
      <w:pPr>
        <w:tabs>
          <w:tab w:val="left" w:pos="851"/>
          <w:tab w:val="left" w:pos="8222"/>
        </w:tabs>
        <w:rPr>
          <w:b/>
          <w:sz w:val="24"/>
          <w:szCs w:val="24"/>
        </w:rPr>
      </w:pPr>
      <w:r w:rsidRPr="003F3CA1">
        <w:rPr>
          <w:b/>
          <w:sz w:val="24"/>
          <w:szCs w:val="24"/>
        </w:rPr>
        <w:t>4.10</w:t>
      </w:r>
      <w:r w:rsidRPr="003F3CA1">
        <w:rPr>
          <w:b/>
          <w:sz w:val="24"/>
          <w:szCs w:val="24"/>
        </w:rPr>
        <w:tab/>
        <w:t>Overdosering</w:t>
      </w:r>
    </w:p>
    <w:p w14:paraId="6A2A72E6" w14:textId="77777777" w:rsidR="00D36062" w:rsidRPr="003F3CA1" w:rsidRDefault="00D36062" w:rsidP="00E76492">
      <w:pPr>
        <w:ind w:left="851"/>
        <w:rPr>
          <w:sz w:val="24"/>
          <w:szCs w:val="24"/>
          <w:lang w:bidi="da-DK"/>
        </w:rPr>
      </w:pPr>
      <w:r w:rsidRPr="003F3CA1">
        <w:rPr>
          <w:sz w:val="24"/>
          <w:szCs w:val="24"/>
          <w:lang w:bidi="da-DK"/>
        </w:rPr>
        <w:t xml:space="preserve">Efter </w:t>
      </w:r>
      <w:r w:rsidRPr="003F3CA1">
        <w:rPr>
          <w:sz w:val="24"/>
          <w:szCs w:val="24"/>
        </w:rPr>
        <w:t xml:space="preserve">en femdobbelt </w:t>
      </w:r>
      <w:r w:rsidRPr="003F3CA1">
        <w:rPr>
          <w:sz w:val="24"/>
          <w:szCs w:val="24"/>
          <w:lang w:bidi="da-DK"/>
        </w:rPr>
        <w:t xml:space="preserve">overdosis af </w:t>
      </w:r>
      <w:proofErr w:type="spellStart"/>
      <w:r w:rsidRPr="003F3CA1">
        <w:rPr>
          <w:sz w:val="24"/>
          <w:szCs w:val="24"/>
          <w:lang w:bidi="da-DK"/>
        </w:rPr>
        <w:t>itraconazol</w:t>
      </w:r>
      <w:proofErr w:type="spellEnd"/>
      <w:r w:rsidRPr="003F3CA1">
        <w:rPr>
          <w:sz w:val="24"/>
          <w:szCs w:val="24"/>
          <w:lang w:bidi="da-DK"/>
        </w:rPr>
        <w:t xml:space="preserve"> indgivet i 6 på hinanden følgende uger, var reversible kliniske bivirkninger: ru pels, nedsat fødeindtagelse og vægttab. En </w:t>
      </w:r>
      <w:r w:rsidRPr="003F3CA1">
        <w:rPr>
          <w:sz w:val="24"/>
          <w:szCs w:val="24"/>
        </w:rPr>
        <w:t xml:space="preserve">tredobbelt </w:t>
      </w:r>
      <w:r w:rsidRPr="003F3CA1">
        <w:rPr>
          <w:sz w:val="24"/>
          <w:szCs w:val="24"/>
          <w:lang w:bidi="da-DK"/>
        </w:rPr>
        <w:t xml:space="preserve">overdosis i 6 på hinanden følgende uger resulterede ikke i kliniske bivirkninger. Både efter tre- og femdobbelt overdosering i 6 uger, ses reversible ændringer i blodparametrene, som tyder på at leverfunktionen er påvirket (øget ALAT, ALP, bilirubin og ASAT). Ved </w:t>
      </w:r>
      <w:r w:rsidRPr="003F3CA1">
        <w:rPr>
          <w:sz w:val="24"/>
          <w:szCs w:val="24"/>
        </w:rPr>
        <w:t xml:space="preserve">femdobbelt </w:t>
      </w:r>
      <w:r w:rsidRPr="003F3CA1">
        <w:rPr>
          <w:sz w:val="24"/>
          <w:szCs w:val="24"/>
          <w:lang w:bidi="da-DK"/>
        </w:rPr>
        <w:t xml:space="preserve">overdosering blev der observeret en let stigning i segmenterede </w:t>
      </w:r>
      <w:proofErr w:type="spellStart"/>
      <w:r w:rsidRPr="003F3CA1">
        <w:rPr>
          <w:sz w:val="24"/>
          <w:szCs w:val="24"/>
          <w:lang w:bidi="da-DK"/>
        </w:rPr>
        <w:t>neutrofiler</w:t>
      </w:r>
      <w:proofErr w:type="spellEnd"/>
      <w:r w:rsidRPr="003F3CA1">
        <w:rPr>
          <w:sz w:val="24"/>
          <w:szCs w:val="24"/>
          <w:lang w:bidi="da-DK"/>
        </w:rPr>
        <w:t xml:space="preserve"> og et mindre fald i lymfocytter.</w:t>
      </w:r>
    </w:p>
    <w:p w14:paraId="7986D145" w14:textId="77777777" w:rsidR="00D36062" w:rsidRPr="003F3CA1" w:rsidRDefault="00D36062" w:rsidP="00E76492">
      <w:pPr>
        <w:ind w:left="851"/>
        <w:rPr>
          <w:rFonts w:eastAsia="Segoe UI"/>
          <w:sz w:val="24"/>
          <w:szCs w:val="24"/>
        </w:rPr>
      </w:pPr>
    </w:p>
    <w:p w14:paraId="44173D9A" w14:textId="77777777" w:rsidR="00D36062" w:rsidRPr="003F3CA1" w:rsidRDefault="00D36062" w:rsidP="00E76492">
      <w:pPr>
        <w:ind w:left="851"/>
        <w:rPr>
          <w:sz w:val="24"/>
          <w:szCs w:val="24"/>
        </w:rPr>
      </w:pPr>
      <w:r w:rsidRPr="003F3CA1">
        <w:rPr>
          <w:sz w:val="24"/>
          <w:szCs w:val="24"/>
          <w:lang w:bidi="da-DK"/>
        </w:rPr>
        <w:t>Der er ikke lavet undersøgelser vedrørende overdosering hos killinger.</w:t>
      </w:r>
    </w:p>
    <w:p w14:paraId="227E91C8" w14:textId="77777777" w:rsidR="005B0036" w:rsidRPr="003F3CA1" w:rsidRDefault="005B0036" w:rsidP="005B0036">
      <w:pPr>
        <w:tabs>
          <w:tab w:val="left" w:pos="851"/>
          <w:tab w:val="left" w:pos="8222"/>
        </w:tabs>
        <w:ind w:left="851"/>
        <w:rPr>
          <w:sz w:val="24"/>
          <w:szCs w:val="24"/>
        </w:rPr>
      </w:pPr>
    </w:p>
    <w:p w14:paraId="6CAB6A10" w14:textId="77777777" w:rsidR="005B0036" w:rsidRPr="003F3CA1" w:rsidRDefault="005B0036" w:rsidP="005B0036">
      <w:pPr>
        <w:tabs>
          <w:tab w:val="left" w:pos="851"/>
          <w:tab w:val="left" w:pos="8222"/>
        </w:tabs>
        <w:rPr>
          <w:b/>
          <w:sz w:val="24"/>
          <w:szCs w:val="24"/>
        </w:rPr>
      </w:pPr>
      <w:r w:rsidRPr="003F3CA1">
        <w:rPr>
          <w:b/>
          <w:sz w:val="24"/>
          <w:szCs w:val="24"/>
        </w:rPr>
        <w:t>4.11</w:t>
      </w:r>
      <w:r w:rsidRPr="003F3CA1">
        <w:rPr>
          <w:b/>
          <w:sz w:val="24"/>
          <w:szCs w:val="24"/>
        </w:rPr>
        <w:tab/>
        <w:t>Tilbageholdelsestid</w:t>
      </w:r>
    </w:p>
    <w:p w14:paraId="2E6CC46C" w14:textId="77777777" w:rsidR="00D36062" w:rsidRPr="003F3CA1" w:rsidRDefault="00D36062" w:rsidP="00E76492">
      <w:pPr>
        <w:ind w:left="851"/>
        <w:rPr>
          <w:sz w:val="24"/>
          <w:szCs w:val="24"/>
        </w:rPr>
      </w:pPr>
      <w:r w:rsidRPr="003F3CA1">
        <w:rPr>
          <w:sz w:val="24"/>
          <w:szCs w:val="24"/>
          <w:lang w:bidi="da-DK"/>
        </w:rPr>
        <w:t>Ikke relevant.</w:t>
      </w:r>
    </w:p>
    <w:p w14:paraId="2DB31DDC" w14:textId="77777777" w:rsidR="005B0036" w:rsidRPr="003F3CA1" w:rsidRDefault="005B0036" w:rsidP="005B0036">
      <w:pPr>
        <w:pStyle w:val="Sidehoved"/>
        <w:tabs>
          <w:tab w:val="clear" w:pos="4819"/>
          <w:tab w:val="left" w:pos="8222"/>
        </w:tabs>
        <w:ind w:left="851"/>
        <w:rPr>
          <w:szCs w:val="24"/>
        </w:rPr>
      </w:pPr>
    </w:p>
    <w:p w14:paraId="4B8D5717" w14:textId="77777777" w:rsidR="005B0036" w:rsidRPr="003F3CA1" w:rsidRDefault="005B0036" w:rsidP="005B0036">
      <w:pPr>
        <w:tabs>
          <w:tab w:val="left" w:pos="851"/>
          <w:tab w:val="left" w:pos="8222"/>
        </w:tabs>
        <w:ind w:left="851"/>
        <w:rPr>
          <w:sz w:val="24"/>
          <w:szCs w:val="24"/>
        </w:rPr>
      </w:pPr>
    </w:p>
    <w:p w14:paraId="0852E2DA" w14:textId="2E0B4D48" w:rsidR="005B0036" w:rsidRPr="003F3CA1" w:rsidRDefault="005B0036" w:rsidP="005B0036">
      <w:pPr>
        <w:tabs>
          <w:tab w:val="left" w:pos="8222"/>
        </w:tabs>
        <w:ind w:left="851" w:hanging="851"/>
        <w:rPr>
          <w:b/>
          <w:sz w:val="24"/>
          <w:szCs w:val="24"/>
        </w:rPr>
      </w:pPr>
      <w:r w:rsidRPr="003F3CA1">
        <w:rPr>
          <w:b/>
          <w:sz w:val="24"/>
          <w:szCs w:val="24"/>
        </w:rPr>
        <w:t>5.</w:t>
      </w:r>
      <w:r w:rsidRPr="003F3CA1">
        <w:rPr>
          <w:b/>
          <w:sz w:val="24"/>
          <w:szCs w:val="24"/>
        </w:rPr>
        <w:tab/>
        <w:t>FARMAKOLOGISKE EGENSKABER</w:t>
      </w:r>
    </w:p>
    <w:p w14:paraId="6ED58256" w14:textId="77777777" w:rsidR="005B0036" w:rsidRPr="003F3CA1" w:rsidRDefault="005B0036" w:rsidP="005B0036">
      <w:pPr>
        <w:tabs>
          <w:tab w:val="left" w:pos="8222"/>
        </w:tabs>
        <w:ind w:left="851"/>
        <w:rPr>
          <w:sz w:val="24"/>
          <w:szCs w:val="24"/>
        </w:rPr>
      </w:pPr>
    </w:p>
    <w:p w14:paraId="7EA07DE0" w14:textId="77777777" w:rsidR="003F3CA1" w:rsidRDefault="00D36062" w:rsidP="00E76492">
      <w:pPr>
        <w:ind w:left="851"/>
        <w:rPr>
          <w:sz w:val="24"/>
          <w:szCs w:val="24"/>
          <w:lang w:bidi="da-DK"/>
        </w:rPr>
      </w:pPr>
      <w:proofErr w:type="spellStart"/>
      <w:r w:rsidRPr="003F3CA1">
        <w:rPr>
          <w:b/>
          <w:sz w:val="24"/>
          <w:szCs w:val="24"/>
          <w:lang w:bidi="da-DK"/>
        </w:rPr>
        <w:t>Farmakoterapeutisk</w:t>
      </w:r>
      <w:proofErr w:type="spellEnd"/>
      <w:r w:rsidRPr="003F3CA1">
        <w:rPr>
          <w:b/>
          <w:sz w:val="24"/>
          <w:szCs w:val="24"/>
          <w:lang w:bidi="da-DK"/>
        </w:rPr>
        <w:t xml:space="preserve"> gruppe: </w:t>
      </w:r>
      <w:proofErr w:type="spellStart"/>
      <w:r w:rsidRPr="003F3CA1">
        <w:rPr>
          <w:sz w:val="24"/>
          <w:szCs w:val="24"/>
          <w:lang w:bidi="da-DK"/>
        </w:rPr>
        <w:t>Antimykotika</w:t>
      </w:r>
      <w:proofErr w:type="spellEnd"/>
      <w:r w:rsidRPr="003F3CA1">
        <w:rPr>
          <w:sz w:val="24"/>
          <w:szCs w:val="24"/>
          <w:lang w:bidi="da-DK"/>
        </w:rPr>
        <w:t xml:space="preserve"> til systemisk brug, </w:t>
      </w:r>
      <w:proofErr w:type="spellStart"/>
      <w:r w:rsidRPr="003F3CA1">
        <w:rPr>
          <w:sz w:val="24"/>
          <w:szCs w:val="24"/>
          <w:lang w:bidi="da-DK"/>
        </w:rPr>
        <w:t>triazolderivater</w:t>
      </w:r>
      <w:proofErr w:type="spellEnd"/>
      <w:r w:rsidRPr="003F3CA1">
        <w:rPr>
          <w:sz w:val="24"/>
          <w:szCs w:val="24"/>
          <w:lang w:bidi="da-DK"/>
        </w:rPr>
        <w:t>.</w:t>
      </w:r>
    </w:p>
    <w:p w14:paraId="7773BC4A" w14:textId="0EA57FB0" w:rsidR="00D36062" w:rsidRPr="003F3CA1" w:rsidRDefault="00D36062" w:rsidP="00E76492">
      <w:pPr>
        <w:ind w:left="851"/>
        <w:rPr>
          <w:sz w:val="24"/>
          <w:szCs w:val="24"/>
        </w:rPr>
      </w:pPr>
      <w:proofErr w:type="spellStart"/>
      <w:r w:rsidRPr="003F3CA1">
        <w:rPr>
          <w:bCs/>
          <w:sz w:val="24"/>
          <w:szCs w:val="24"/>
          <w:lang w:bidi="da-DK"/>
        </w:rPr>
        <w:t>ATCvet</w:t>
      </w:r>
      <w:proofErr w:type="spellEnd"/>
      <w:r w:rsidRPr="003F3CA1">
        <w:rPr>
          <w:bCs/>
          <w:sz w:val="24"/>
          <w:szCs w:val="24"/>
          <w:lang w:bidi="da-DK"/>
        </w:rPr>
        <w:t xml:space="preserve"> </w:t>
      </w:r>
      <w:r w:rsidR="003F3CA1">
        <w:rPr>
          <w:bCs/>
          <w:sz w:val="24"/>
          <w:szCs w:val="24"/>
          <w:lang w:bidi="da-DK"/>
        </w:rPr>
        <w:t>k</w:t>
      </w:r>
      <w:r w:rsidRPr="003F3CA1">
        <w:rPr>
          <w:bCs/>
          <w:sz w:val="24"/>
          <w:szCs w:val="24"/>
          <w:lang w:bidi="da-DK"/>
        </w:rPr>
        <w:t>ode:</w:t>
      </w:r>
      <w:r w:rsidRPr="003F3CA1">
        <w:rPr>
          <w:b/>
          <w:sz w:val="24"/>
          <w:szCs w:val="24"/>
          <w:lang w:bidi="da-DK"/>
        </w:rPr>
        <w:t xml:space="preserve"> </w:t>
      </w:r>
      <w:r w:rsidRPr="003F3CA1">
        <w:rPr>
          <w:sz w:val="24"/>
          <w:szCs w:val="24"/>
          <w:lang w:bidi="da-DK"/>
        </w:rPr>
        <w:t>QJ02AC02</w:t>
      </w:r>
    </w:p>
    <w:p w14:paraId="6B56A3E4" w14:textId="77777777" w:rsidR="005B0036" w:rsidRPr="003F3CA1" w:rsidRDefault="005B0036" w:rsidP="005B0036">
      <w:pPr>
        <w:tabs>
          <w:tab w:val="left" w:pos="8222"/>
        </w:tabs>
        <w:ind w:left="851"/>
        <w:rPr>
          <w:sz w:val="24"/>
          <w:szCs w:val="24"/>
        </w:rPr>
      </w:pPr>
    </w:p>
    <w:p w14:paraId="75DA40FC" w14:textId="02A09A4D" w:rsidR="005B0036" w:rsidRPr="003F3CA1" w:rsidRDefault="005B0036" w:rsidP="005B0036">
      <w:pPr>
        <w:tabs>
          <w:tab w:val="left" w:pos="851"/>
          <w:tab w:val="left" w:pos="8222"/>
        </w:tabs>
        <w:rPr>
          <w:b/>
          <w:sz w:val="24"/>
          <w:szCs w:val="24"/>
        </w:rPr>
      </w:pPr>
      <w:r w:rsidRPr="003F3CA1">
        <w:rPr>
          <w:b/>
          <w:sz w:val="24"/>
          <w:szCs w:val="24"/>
        </w:rPr>
        <w:t>5.1</w:t>
      </w:r>
      <w:r w:rsidRPr="003F3CA1">
        <w:rPr>
          <w:b/>
          <w:sz w:val="24"/>
          <w:szCs w:val="24"/>
        </w:rPr>
        <w:tab/>
      </w:r>
      <w:proofErr w:type="spellStart"/>
      <w:r w:rsidRPr="003F3CA1">
        <w:rPr>
          <w:b/>
          <w:sz w:val="24"/>
          <w:szCs w:val="24"/>
        </w:rPr>
        <w:t>Farmakodynamiske</w:t>
      </w:r>
      <w:proofErr w:type="spellEnd"/>
      <w:r w:rsidRPr="003F3CA1">
        <w:rPr>
          <w:b/>
          <w:sz w:val="24"/>
          <w:szCs w:val="24"/>
        </w:rPr>
        <w:t xml:space="preserve"> egenskaber</w:t>
      </w:r>
    </w:p>
    <w:p w14:paraId="10065CC4" w14:textId="77777777" w:rsidR="00D36062" w:rsidRPr="003F3CA1" w:rsidRDefault="00D36062" w:rsidP="00E76492">
      <w:pPr>
        <w:ind w:left="851"/>
        <w:rPr>
          <w:sz w:val="24"/>
          <w:szCs w:val="24"/>
        </w:rPr>
      </w:pPr>
      <w:r w:rsidRPr="003F3CA1">
        <w:rPr>
          <w:sz w:val="24"/>
          <w:szCs w:val="24"/>
          <w:lang w:bidi="da-DK"/>
        </w:rPr>
        <w:t xml:space="preserve">Veterinærlægemidlet indeholder </w:t>
      </w:r>
      <w:proofErr w:type="spellStart"/>
      <w:r w:rsidRPr="003F3CA1">
        <w:rPr>
          <w:sz w:val="24"/>
          <w:szCs w:val="24"/>
          <w:lang w:bidi="da-DK"/>
        </w:rPr>
        <w:t>itraconazol</w:t>
      </w:r>
      <w:proofErr w:type="spellEnd"/>
      <w:r w:rsidRPr="003F3CA1">
        <w:rPr>
          <w:sz w:val="24"/>
          <w:szCs w:val="24"/>
          <w:lang w:bidi="da-DK"/>
        </w:rPr>
        <w:t xml:space="preserve">, et syntetisk bredspektret </w:t>
      </w:r>
      <w:proofErr w:type="spellStart"/>
      <w:r w:rsidRPr="003F3CA1">
        <w:rPr>
          <w:sz w:val="24"/>
          <w:szCs w:val="24"/>
          <w:lang w:bidi="da-DK"/>
        </w:rPr>
        <w:t>triazol-antimykotikum</w:t>
      </w:r>
      <w:proofErr w:type="spellEnd"/>
      <w:r w:rsidRPr="003F3CA1">
        <w:rPr>
          <w:sz w:val="24"/>
          <w:szCs w:val="24"/>
          <w:lang w:bidi="da-DK"/>
        </w:rPr>
        <w:t xml:space="preserve"> med høj aktivitet mod </w:t>
      </w:r>
      <w:proofErr w:type="spellStart"/>
      <w:r w:rsidRPr="003F3CA1">
        <w:rPr>
          <w:sz w:val="24"/>
          <w:szCs w:val="24"/>
          <w:lang w:bidi="da-DK"/>
        </w:rPr>
        <w:t>dermatofyten</w:t>
      </w:r>
      <w:proofErr w:type="spellEnd"/>
      <w:r w:rsidRPr="003F3CA1">
        <w:rPr>
          <w:sz w:val="24"/>
          <w:szCs w:val="24"/>
          <w:lang w:bidi="da-DK"/>
        </w:rPr>
        <w:t xml:space="preserve"> </w:t>
      </w:r>
      <w:proofErr w:type="spellStart"/>
      <w:r w:rsidRPr="003F3CA1">
        <w:rPr>
          <w:i/>
          <w:iCs/>
          <w:sz w:val="24"/>
          <w:szCs w:val="24"/>
          <w:lang w:bidi="da-DK"/>
        </w:rPr>
        <w:t>Microsporum</w:t>
      </w:r>
      <w:proofErr w:type="spellEnd"/>
      <w:r w:rsidRPr="003F3CA1">
        <w:rPr>
          <w:i/>
          <w:iCs/>
          <w:sz w:val="24"/>
          <w:szCs w:val="24"/>
          <w:lang w:bidi="da-DK"/>
        </w:rPr>
        <w:t xml:space="preserve"> </w:t>
      </w:r>
      <w:proofErr w:type="spellStart"/>
      <w:r w:rsidRPr="003F3CA1">
        <w:rPr>
          <w:i/>
          <w:iCs/>
          <w:sz w:val="24"/>
          <w:szCs w:val="24"/>
          <w:lang w:bidi="da-DK"/>
        </w:rPr>
        <w:t>canis</w:t>
      </w:r>
      <w:proofErr w:type="spellEnd"/>
      <w:r w:rsidRPr="003F3CA1">
        <w:rPr>
          <w:sz w:val="24"/>
          <w:szCs w:val="24"/>
          <w:lang w:bidi="da-DK"/>
        </w:rPr>
        <w:t>.</w:t>
      </w:r>
    </w:p>
    <w:p w14:paraId="5F2186C5" w14:textId="77777777" w:rsidR="00D36062" w:rsidRPr="003F3CA1" w:rsidRDefault="00D36062" w:rsidP="00E76492">
      <w:pPr>
        <w:ind w:left="851"/>
        <w:rPr>
          <w:sz w:val="24"/>
          <w:szCs w:val="24"/>
        </w:rPr>
      </w:pPr>
      <w:r w:rsidRPr="003F3CA1">
        <w:rPr>
          <w:sz w:val="24"/>
          <w:szCs w:val="24"/>
          <w:lang w:bidi="da-DK"/>
        </w:rPr>
        <w:t xml:space="preserve">Virkningsmåden af </w:t>
      </w:r>
      <w:proofErr w:type="spellStart"/>
      <w:r w:rsidRPr="003F3CA1">
        <w:rPr>
          <w:sz w:val="24"/>
          <w:szCs w:val="24"/>
          <w:lang w:bidi="da-DK"/>
        </w:rPr>
        <w:t>itraconazol</w:t>
      </w:r>
      <w:proofErr w:type="spellEnd"/>
      <w:r w:rsidRPr="003F3CA1">
        <w:rPr>
          <w:sz w:val="24"/>
          <w:szCs w:val="24"/>
          <w:lang w:bidi="da-DK"/>
        </w:rPr>
        <w:t xml:space="preserve"> er baseret på dets meget selektive bindingsevne til svampe </w:t>
      </w:r>
      <w:proofErr w:type="spellStart"/>
      <w:r w:rsidRPr="003F3CA1">
        <w:rPr>
          <w:sz w:val="24"/>
          <w:szCs w:val="24"/>
          <w:lang w:bidi="da-DK"/>
        </w:rPr>
        <w:t>Cytochrom</w:t>
      </w:r>
      <w:proofErr w:type="spellEnd"/>
      <w:r w:rsidRPr="003F3CA1">
        <w:rPr>
          <w:sz w:val="24"/>
          <w:szCs w:val="24"/>
          <w:lang w:bidi="da-DK"/>
        </w:rPr>
        <w:t xml:space="preserve"> P-450 iso-enzymer. Dette hæmmer syntesen af </w:t>
      </w:r>
      <w:proofErr w:type="spellStart"/>
      <w:r w:rsidRPr="003F3CA1">
        <w:rPr>
          <w:sz w:val="24"/>
          <w:szCs w:val="24"/>
          <w:lang w:bidi="da-DK"/>
        </w:rPr>
        <w:t>ergosterol</w:t>
      </w:r>
      <w:proofErr w:type="spellEnd"/>
      <w:r w:rsidRPr="003F3CA1">
        <w:rPr>
          <w:sz w:val="24"/>
          <w:szCs w:val="24"/>
          <w:lang w:bidi="da-DK"/>
        </w:rPr>
        <w:t xml:space="preserve"> og påvirker membranbundet enzymfunktion og membranpermeabilitet. Denne effekt er irreversibel og forårsager en strukturel degeneration.</w:t>
      </w:r>
    </w:p>
    <w:p w14:paraId="6D5CC330" w14:textId="77777777" w:rsidR="005B0036" w:rsidRPr="003F3CA1" w:rsidRDefault="005B0036" w:rsidP="005B0036">
      <w:pPr>
        <w:tabs>
          <w:tab w:val="left" w:pos="851"/>
          <w:tab w:val="left" w:pos="8222"/>
        </w:tabs>
        <w:ind w:left="851"/>
        <w:rPr>
          <w:sz w:val="24"/>
          <w:szCs w:val="24"/>
        </w:rPr>
      </w:pPr>
    </w:p>
    <w:p w14:paraId="1AB8EFFE" w14:textId="77777777" w:rsidR="005B0036" w:rsidRPr="003F3CA1" w:rsidRDefault="005B0036" w:rsidP="005B0036">
      <w:pPr>
        <w:tabs>
          <w:tab w:val="left" w:pos="851"/>
          <w:tab w:val="left" w:pos="8222"/>
        </w:tabs>
        <w:rPr>
          <w:b/>
          <w:sz w:val="24"/>
          <w:szCs w:val="24"/>
        </w:rPr>
      </w:pPr>
      <w:r w:rsidRPr="003F3CA1">
        <w:rPr>
          <w:b/>
          <w:sz w:val="24"/>
          <w:szCs w:val="24"/>
        </w:rPr>
        <w:t>5.2</w:t>
      </w:r>
      <w:r w:rsidRPr="003F3CA1">
        <w:rPr>
          <w:b/>
          <w:sz w:val="24"/>
          <w:szCs w:val="24"/>
        </w:rPr>
        <w:tab/>
      </w:r>
      <w:proofErr w:type="spellStart"/>
      <w:r w:rsidRPr="003F3CA1">
        <w:rPr>
          <w:b/>
          <w:sz w:val="24"/>
          <w:szCs w:val="24"/>
        </w:rPr>
        <w:t>Farmakokinetiske</w:t>
      </w:r>
      <w:proofErr w:type="spellEnd"/>
      <w:r w:rsidRPr="003F3CA1">
        <w:rPr>
          <w:b/>
          <w:sz w:val="24"/>
          <w:szCs w:val="24"/>
        </w:rPr>
        <w:t xml:space="preserve"> egenskaber</w:t>
      </w:r>
    </w:p>
    <w:p w14:paraId="3607FDE1" w14:textId="77777777" w:rsidR="00D36062" w:rsidRPr="003F3CA1" w:rsidRDefault="00D36062" w:rsidP="00E76492">
      <w:pPr>
        <w:ind w:left="851"/>
        <w:rPr>
          <w:sz w:val="24"/>
          <w:szCs w:val="24"/>
        </w:rPr>
      </w:pPr>
      <w:r w:rsidRPr="003F3CA1">
        <w:rPr>
          <w:sz w:val="24"/>
          <w:szCs w:val="24"/>
          <w:lang w:bidi="da-DK"/>
        </w:rPr>
        <w:t xml:space="preserve">Forsøgsdyr absorberer hurtigt peroralt indgivet </w:t>
      </w:r>
      <w:proofErr w:type="spellStart"/>
      <w:r w:rsidRPr="003F3CA1">
        <w:rPr>
          <w:sz w:val="24"/>
          <w:szCs w:val="24"/>
          <w:lang w:bidi="da-DK"/>
        </w:rPr>
        <w:t>itraconazol</w:t>
      </w:r>
      <w:proofErr w:type="spellEnd"/>
      <w:r w:rsidRPr="003F3CA1">
        <w:rPr>
          <w:sz w:val="24"/>
          <w:szCs w:val="24"/>
          <w:lang w:bidi="da-DK"/>
        </w:rPr>
        <w:t xml:space="preserve">. Stoffet bindes i udstrakt grad til plasmaproteiner (&gt;99 %) og distribueres til vævet. Der dannes mere end 30 metabolitter, hvorfra </w:t>
      </w:r>
      <w:proofErr w:type="spellStart"/>
      <w:r w:rsidRPr="003F3CA1">
        <w:rPr>
          <w:sz w:val="24"/>
          <w:szCs w:val="24"/>
          <w:lang w:bidi="da-DK"/>
        </w:rPr>
        <w:t>hydroxy-itraconazol</w:t>
      </w:r>
      <w:proofErr w:type="spellEnd"/>
      <w:r w:rsidRPr="003F3CA1">
        <w:rPr>
          <w:sz w:val="24"/>
          <w:szCs w:val="24"/>
          <w:lang w:bidi="da-DK"/>
        </w:rPr>
        <w:t xml:space="preserve"> har samme </w:t>
      </w:r>
      <w:proofErr w:type="spellStart"/>
      <w:r w:rsidRPr="003F3CA1">
        <w:rPr>
          <w:sz w:val="24"/>
          <w:szCs w:val="24"/>
          <w:lang w:bidi="da-DK"/>
        </w:rPr>
        <w:t>antifungale</w:t>
      </w:r>
      <w:proofErr w:type="spellEnd"/>
      <w:r w:rsidRPr="003F3CA1">
        <w:rPr>
          <w:sz w:val="24"/>
          <w:szCs w:val="24"/>
          <w:lang w:bidi="da-DK"/>
        </w:rPr>
        <w:t xml:space="preserve"> effekt som moderstoffet. Udskillelsen sker hurtig og hovedsageligt via fæces.</w:t>
      </w:r>
    </w:p>
    <w:p w14:paraId="6BA37CE6" w14:textId="77777777" w:rsidR="00D36062" w:rsidRPr="003F3CA1" w:rsidRDefault="00D36062" w:rsidP="00E76492">
      <w:pPr>
        <w:ind w:left="851"/>
        <w:rPr>
          <w:rFonts w:eastAsia="Segoe UI"/>
          <w:sz w:val="24"/>
          <w:szCs w:val="24"/>
        </w:rPr>
      </w:pPr>
    </w:p>
    <w:p w14:paraId="79FB6D6D" w14:textId="77777777" w:rsidR="00D36062" w:rsidRPr="003F3CA1" w:rsidRDefault="00D36062" w:rsidP="00E76492">
      <w:pPr>
        <w:ind w:left="851"/>
        <w:rPr>
          <w:sz w:val="24"/>
          <w:szCs w:val="24"/>
        </w:rPr>
      </w:pPr>
      <w:r w:rsidRPr="003F3CA1">
        <w:rPr>
          <w:sz w:val="24"/>
          <w:szCs w:val="24"/>
          <w:lang w:bidi="da-DK"/>
        </w:rPr>
        <w:t>Hos katte medfører en enkelt peroral dosis på 5 mg/kg maksimale plasmakoncentrationer på gennemsnitligt 0,847 µg/ml 1.4 timer efter administration. The AUC</w:t>
      </w:r>
      <w:r w:rsidRPr="003F3CA1">
        <w:rPr>
          <w:sz w:val="24"/>
          <w:szCs w:val="24"/>
          <w:vertAlign w:val="subscript"/>
          <w:lang w:bidi="da-DK"/>
        </w:rPr>
        <w:t>0-24h</w:t>
      </w:r>
      <w:r w:rsidRPr="003F3CA1">
        <w:rPr>
          <w:sz w:val="24"/>
          <w:szCs w:val="24"/>
          <w:lang w:bidi="da-DK"/>
        </w:rPr>
        <w:t xml:space="preserve"> er 9.8 µ</w:t>
      </w:r>
      <w:proofErr w:type="spellStart"/>
      <w:r w:rsidRPr="003F3CA1">
        <w:rPr>
          <w:sz w:val="24"/>
          <w:szCs w:val="24"/>
          <w:lang w:bidi="da-DK"/>
        </w:rPr>
        <w:t>g.h</w:t>
      </w:r>
      <w:proofErr w:type="spellEnd"/>
      <w:r w:rsidRPr="003F3CA1">
        <w:rPr>
          <w:sz w:val="24"/>
          <w:szCs w:val="24"/>
          <w:lang w:bidi="da-DK"/>
        </w:rPr>
        <w:t>/ml. Halveringstiden i plasma er ca. 21 timer. Efter administration af 5 mg/kg/dagligt i en uge er den maksimale plasmakoncentration mere end fordoblet. AUC</w:t>
      </w:r>
      <w:r w:rsidRPr="003F3CA1">
        <w:rPr>
          <w:sz w:val="24"/>
          <w:szCs w:val="24"/>
          <w:vertAlign w:val="subscript"/>
          <w:lang w:bidi="da-DK"/>
        </w:rPr>
        <w:t>0-24h</w:t>
      </w:r>
      <w:r w:rsidRPr="003F3CA1">
        <w:rPr>
          <w:sz w:val="24"/>
          <w:szCs w:val="24"/>
          <w:lang w:bidi="da-DK"/>
        </w:rPr>
        <w:t xml:space="preserve"> er forøget 3 gange, og plasmahalveringstiden er også forøget 3 gange.</w:t>
      </w:r>
    </w:p>
    <w:p w14:paraId="3DA1E1C3" w14:textId="77777777" w:rsidR="00D36062" w:rsidRPr="003F3CA1" w:rsidRDefault="00D36062" w:rsidP="00E76492">
      <w:pPr>
        <w:ind w:left="851"/>
        <w:rPr>
          <w:rFonts w:eastAsia="Segoe UI"/>
          <w:sz w:val="24"/>
          <w:szCs w:val="24"/>
        </w:rPr>
      </w:pPr>
    </w:p>
    <w:p w14:paraId="065ED6BA" w14:textId="77777777" w:rsidR="00D36062" w:rsidRPr="003F3CA1" w:rsidRDefault="00D36062" w:rsidP="00E76492">
      <w:pPr>
        <w:ind w:left="851"/>
        <w:rPr>
          <w:sz w:val="24"/>
          <w:szCs w:val="24"/>
        </w:rPr>
      </w:pPr>
      <w:r w:rsidRPr="003F3CA1">
        <w:rPr>
          <w:sz w:val="24"/>
          <w:szCs w:val="24"/>
          <w:lang w:bidi="da-DK"/>
        </w:rPr>
        <w:t xml:space="preserve">Ved anvendelse af det terapeutiske behandlingsskema, er </w:t>
      </w:r>
      <w:proofErr w:type="spellStart"/>
      <w:r w:rsidRPr="003F3CA1">
        <w:rPr>
          <w:sz w:val="24"/>
          <w:szCs w:val="24"/>
          <w:lang w:bidi="da-DK"/>
        </w:rPr>
        <w:t>itraconazol</w:t>
      </w:r>
      <w:proofErr w:type="spellEnd"/>
      <w:r w:rsidRPr="003F3CA1">
        <w:rPr>
          <w:sz w:val="24"/>
          <w:szCs w:val="24"/>
          <w:lang w:bidi="da-DK"/>
        </w:rPr>
        <w:t xml:space="preserve"> næsten helt væk fra plasma efter hver udvaskningsperiode. I modsætning til, hvad der sker hos andre dyr, forbliver </w:t>
      </w:r>
      <w:proofErr w:type="spellStart"/>
      <w:r w:rsidRPr="003F3CA1">
        <w:rPr>
          <w:sz w:val="24"/>
          <w:szCs w:val="24"/>
          <w:lang w:bidi="da-DK"/>
        </w:rPr>
        <w:t>hydroxy-itraconazolkoncentrationen</w:t>
      </w:r>
      <w:proofErr w:type="spellEnd"/>
      <w:r w:rsidRPr="003F3CA1">
        <w:rPr>
          <w:sz w:val="24"/>
          <w:szCs w:val="24"/>
          <w:lang w:bidi="da-DK"/>
        </w:rPr>
        <w:t xml:space="preserve"> i plasma hos katte nær eller under kvantificeringsgrænsen efter en enkeldosis </w:t>
      </w:r>
      <w:proofErr w:type="spellStart"/>
      <w:r w:rsidRPr="003F3CA1">
        <w:rPr>
          <w:sz w:val="24"/>
          <w:szCs w:val="24"/>
          <w:lang w:bidi="da-DK"/>
        </w:rPr>
        <w:t>itraconazol</w:t>
      </w:r>
      <w:proofErr w:type="spellEnd"/>
      <w:r w:rsidRPr="003F3CA1">
        <w:rPr>
          <w:sz w:val="24"/>
          <w:szCs w:val="24"/>
          <w:lang w:bidi="da-DK"/>
        </w:rPr>
        <w:t xml:space="preserve"> på 5 mg/kg. Koncentrationen i kattes hår varierer. Under behandlingen indtræder der en stigning til en middelværdi på 3,0 </w:t>
      </w:r>
      <w:proofErr w:type="spellStart"/>
      <w:r w:rsidRPr="003F3CA1">
        <w:rPr>
          <w:sz w:val="24"/>
          <w:szCs w:val="24"/>
          <w:lang w:bidi="da-DK"/>
        </w:rPr>
        <w:t>μg</w:t>
      </w:r>
      <w:proofErr w:type="spellEnd"/>
      <w:r w:rsidRPr="003F3CA1">
        <w:rPr>
          <w:sz w:val="24"/>
          <w:szCs w:val="24"/>
          <w:lang w:bidi="da-DK"/>
        </w:rPr>
        <w:t>/g (5,2 </w:t>
      </w:r>
      <w:proofErr w:type="spellStart"/>
      <w:r w:rsidRPr="003F3CA1">
        <w:rPr>
          <w:sz w:val="24"/>
          <w:szCs w:val="24"/>
          <w:lang w:bidi="da-DK"/>
        </w:rPr>
        <w:t>μg</w:t>
      </w:r>
      <w:proofErr w:type="spellEnd"/>
      <w:r w:rsidRPr="003F3CA1">
        <w:rPr>
          <w:sz w:val="24"/>
          <w:szCs w:val="24"/>
          <w:lang w:bidi="da-DK"/>
        </w:rPr>
        <w:t>/g i gennemsnit) ved slutningen af den tredje doseringsuge. 14 dage efter behandlingens afslutning falder koncentrationen langsomt til 1,5 </w:t>
      </w:r>
      <w:proofErr w:type="spellStart"/>
      <w:r w:rsidRPr="003F3CA1">
        <w:rPr>
          <w:sz w:val="24"/>
          <w:szCs w:val="24"/>
          <w:lang w:bidi="da-DK"/>
        </w:rPr>
        <w:t>μg</w:t>
      </w:r>
      <w:proofErr w:type="spellEnd"/>
      <w:r w:rsidRPr="003F3CA1">
        <w:rPr>
          <w:sz w:val="24"/>
          <w:szCs w:val="24"/>
          <w:lang w:bidi="da-DK"/>
        </w:rPr>
        <w:t>/g (1,9 </w:t>
      </w:r>
      <w:proofErr w:type="spellStart"/>
      <w:r w:rsidRPr="003F3CA1">
        <w:rPr>
          <w:sz w:val="24"/>
          <w:szCs w:val="24"/>
          <w:lang w:bidi="da-DK"/>
        </w:rPr>
        <w:t>μg</w:t>
      </w:r>
      <w:proofErr w:type="spellEnd"/>
      <w:r w:rsidRPr="003F3CA1">
        <w:rPr>
          <w:sz w:val="24"/>
          <w:szCs w:val="24"/>
          <w:lang w:bidi="da-DK"/>
        </w:rPr>
        <w:t xml:space="preserve">/g i gennemsnit). </w:t>
      </w:r>
      <w:proofErr w:type="spellStart"/>
      <w:r w:rsidRPr="003F3CA1">
        <w:rPr>
          <w:sz w:val="24"/>
          <w:szCs w:val="24"/>
          <w:lang w:bidi="da-DK"/>
        </w:rPr>
        <w:t>Hydroxy-itraconazolkoncentration</w:t>
      </w:r>
      <w:proofErr w:type="spellEnd"/>
      <w:r w:rsidRPr="003F3CA1">
        <w:rPr>
          <w:sz w:val="24"/>
          <w:szCs w:val="24"/>
          <w:lang w:bidi="da-DK"/>
        </w:rPr>
        <w:t xml:space="preserve"> i hår er ubetydeligt.</w:t>
      </w:r>
    </w:p>
    <w:p w14:paraId="7F604BB9" w14:textId="77777777" w:rsidR="00D36062" w:rsidRPr="003F3CA1" w:rsidRDefault="00D36062" w:rsidP="00E76492">
      <w:pPr>
        <w:ind w:left="851"/>
        <w:rPr>
          <w:rFonts w:eastAsia="Segoe UI"/>
          <w:sz w:val="24"/>
          <w:szCs w:val="24"/>
        </w:rPr>
      </w:pPr>
    </w:p>
    <w:p w14:paraId="2C45F437" w14:textId="77777777" w:rsidR="00D36062" w:rsidRPr="003F3CA1" w:rsidRDefault="00D36062" w:rsidP="00E76492">
      <w:pPr>
        <w:ind w:left="851"/>
        <w:rPr>
          <w:sz w:val="24"/>
          <w:szCs w:val="24"/>
        </w:rPr>
      </w:pPr>
      <w:r w:rsidRPr="003F3CA1">
        <w:rPr>
          <w:sz w:val="24"/>
          <w:szCs w:val="24"/>
          <w:lang w:bidi="da-DK"/>
        </w:rPr>
        <w:t xml:space="preserve">Biotilgængeligheden af den orale opløsning af </w:t>
      </w:r>
      <w:proofErr w:type="spellStart"/>
      <w:r w:rsidRPr="003F3CA1">
        <w:rPr>
          <w:sz w:val="24"/>
          <w:szCs w:val="24"/>
          <w:lang w:bidi="da-DK"/>
        </w:rPr>
        <w:t>itraconazol</w:t>
      </w:r>
      <w:proofErr w:type="spellEnd"/>
      <w:r w:rsidRPr="003F3CA1">
        <w:rPr>
          <w:sz w:val="24"/>
          <w:szCs w:val="24"/>
          <w:lang w:bidi="da-DK"/>
        </w:rPr>
        <w:t xml:space="preserve"> hos mennesker er højere, når den er givet under fastende tilstand.</w:t>
      </w:r>
    </w:p>
    <w:p w14:paraId="5A61135A" w14:textId="77777777" w:rsidR="005B0036" w:rsidRPr="003F3CA1" w:rsidRDefault="005B0036" w:rsidP="005B0036">
      <w:pPr>
        <w:tabs>
          <w:tab w:val="left" w:pos="851"/>
          <w:tab w:val="left" w:pos="8222"/>
        </w:tabs>
        <w:ind w:left="851"/>
        <w:rPr>
          <w:sz w:val="24"/>
          <w:szCs w:val="24"/>
        </w:rPr>
      </w:pPr>
    </w:p>
    <w:p w14:paraId="593047E0" w14:textId="77777777" w:rsidR="005B0036" w:rsidRPr="003F3CA1" w:rsidRDefault="005B0036" w:rsidP="005B0036">
      <w:pPr>
        <w:tabs>
          <w:tab w:val="left" w:pos="851"/>
          <w:tab w:val="left" w:pos="8222"/>
        </w:tabs>
        <w:rPr>
          <w:b/>
          <w:sz w:val="24"/>
          <w:szCs w:val="24"/>
        </w:rPr>
      </w:pPr>
      <w:r w:rsidRPr="003F3CA1">
        <w:rPr>
          <w:b/>
          <w:sz w:val="24"/>
          <w:szCs w:val="24"/>
        </w:rPr>
        <w:t>5.3</w:t>
      </w:r>
      <w:r w:rsidRPr="003F3CA1">
        <w:rPr>
          <w:b/>
          <w:sz w:val="24"/>
          <w:szCs w:val="24"/>
        </w:rPr>
        <w:tab/>
        <w:t>Miljømæssige forhold</w:t>
      </w:r>
    </w:p>
    <w:p w14:paraId="2C423099" w14:textId="16238EF6" w:rsidR="005B0036" w:rsidRPr="003F3CA1" w:rsidRDefault="00D36062" w:rsidP="005B0036">
      <w:pPr>
        <w:tabs>
          <w:tab w:val="left" w:pos="851"/>
          <w:tab w:val="left" w:pos="8222"/>
        </w:tabs>
        <w:ind w:left="851"/>
        <w:rPr>
          <w:sz w:val="24"/>
          <w:szCs w:val="24"/>
        </w:rPr>
      </w:pPr>
      <w:r w:rsidRPr="003F3CA1">
        <w:rPr>
          <w:sz w:val="24"/>
          <w:szCs w:val="24"/>
        </w:rPr>
        <w:t>-</w:t>
      </w:r>
    </w:p>
    <w:p w14:paraId="024F175B" w14:textId="77777777" w:rsidR="005B0036" w:rsidRPr="003F3CA1" w:rsidRDefault="005B0036" w:rsidP="005B0036">
      <w:pPr>
        <w:tabs>
          <w:tab w:val="left" w:pos="8222"/>
        </w:tabs>
        <w:ind w:left="851"/>
        <w:rPr>
          <w:sz w:val="24"/>
          <w:szCs w:val="24"/>
        </w:rPr>
      </w:pPr>
    </w:p>
    <w:p w14:paraId="2F3FB342" w14:textId="77777777" w:rsidR="005B0036" w:rsidRPr="003F3CA1" w:rsidRDefault="005B0036" w:rsidP="005B0036">
      <w:pPr>
        <w:tabs>
          <w:tab w:val="left" w:pos="851"/>
          <w:tab w:val="left" w:pos="8222"/>
        </w:tabs>
        <w:ind w:left="851"/>
        <w:rPr>
          <w:sz w:val="24"/>
          <w:szCs w:val="24"/>
        </w:rPr>
      </w:pPr>
    </w:p>
    <w:p w14:paraId="39CCC378" w14:textId="77777777" w:rsidR="005B0036" w:rsidRPr="003F3CA1" w:rsidRDefault="005B0036" w:rsidP="005B0036">
      <w:pPr>
        <w:tabs>
          <w:tab w:val="left" w:pos="8222"/>
        </w:tabs>
        <w:ind w:left="851" w:hanging="851"/>
        <w:rPr>
          <w:b/>
          <w:sz w:val="24"/>
          <w:szCs w:val="24"/>
        </w:rPr>
      </w:pPr>
      <w:r w:rsidRPr="003F3CA1">
        <w:rPr>
          <w:b/>
          <w:sz w:val="24"/>
          <w:szCs w:val="24"/>
        </w:rPr>
        <w:t>6.</w:t>
      </w:r>
      <w:r w:rsidRPr="003F3CA1">
        <w:rPr>
          <w:b/>
          <w:sz w:val="24"/>
          <w:szCs w:val="24"/>
        </w:rPr>
        <w:tab/>
        <w:t>FARMACEUTISKE OPLYSNINGER</w:t>
      </w:r>
    </w:p>
    <w:p w14:paraId="7F73B0ED" w14:textId="77777777" w:rsidR="005B0036" w:rsidRPr="003F3CA1" w:rsidRDefault="005B0036" w:rsidP="005B0036">
      <w:pPr>
        <w:tabs>
          <w:tab w:val="left" w:pos="851"/>
          <w:tab w:val="left" w:pos="8222"/>
        </w:tabs>
        <w:ind w:left="851"/>
        <w:rPr>
          <w:sz w:val="24"/>
          <w:szCs w:val="24"/>
        </w:rPr>
      </w:pPr>
    </w:p>
    <w:p w14:paraId="1457683D" w14:textId="77777777" w:rsidR="005B0036" w:rsidRPr="003F3CA1" w:rsidRDefault="005B0036" w:rsidP="005B0036">
      <w:pPr>
        <w:tabs>
          <w:tab w:val="left" w:pos="8222"/>
        </w:tabs>
        <w:ind w:left="851" w:hanging="851"/>
        <w:rPr>
          <w:b/>
          <w:sz w:val="24"/>
          <w:szCs w:val="24"/>
        </w:rPr>
      </w:pPr>
      <w:r w:rsidRPr="003F3CA1">
        <w:rPr>
          <w:b/>
          <w:sz w:val="24"/>
          <w:szCs w:val="24"/>
        </w:rPr>
        <w:t>6.1</w:t>
      </w:r>
      <w:r w:rsidRPr="003F3CA1">
        <w:rPr>
          <w:b/>
          <w:sz w:val="24"/>
          <w:szCs w:val="24"/>
        </w:rPr>
        <w:tab/>
        <w:t>Hjælpestoffer</w:t>
      </w:r>
    </w:p>
    <w:p w14:paraId="15A43C5F" w14:textId="77777777" w:rsidR="00D36062" w:rsidRPr="003F3CA1" w:rsidRDefault="00D36062" w:rsidP="00E76492">
      <w:pPr>
        <w:ind w:left="851"/>
        <w:rPr>
          <w:sz w:val="24"/>
          <w:szCs w:val="24"/>
        </w:rPr>
      </w:pPr>
      <w:r w:rsidRPr="003F3CA1">
        <w:rPr>
          <w:sz w:val="24"/>
          <w:szCs w:val="24"/>
          <w:lang w:bidi="da-DK"/>
        </w:rPr>
        <w:t>Propylenglycol (E1520)</w:t>
      </w:r>
    </w:p>
    <w:p w14:paraId="58ACBE02" w14:textId="77777777" w:rsidR="00D36062" w:rsidRPr="003F3CA1" w:rsidRDefault="00D36062" w:rsidP="00E76492">
      <w:pPr>
        <w:ind w:left="851"/>
        <w:rPr>
          <w:sz w:val="24"/>
          <w:szCs w:val="24"/>
          <w:lang w:bidi="da-DK"/>
        </w:rPr>
      </w:pPr>
      <w:r w:rsidRPr="003F3CA1">
        <w:rPr>
          <w:sz w:val="24"/>
          <w:szCs w:val="24"/>
          <w:lang w:bidi="da-DK"/>
        </w:rPr>
        <w:t>Sorbitol, flydende (ikke</w:t>
      </w:r>
      <w:r w:rsidRPr="003F3CA1">
        <w:rPr>
          <w:sz w:val="24"/>
          <w:szCs w:val="24"/>
          <w:lang w:bidi="da-DK"/>
        </w:rPr>
        <w:noBreakHyphen/>
        <w:t>krystalliserende)</w:t>
      </w:r>
    </w:p>
    <w:p w14:paraId="76024716" w14:textId="77777777" w:rsidR="00D36062" w:rsidRPr="003F3CA1" w:rsidRDefault="00D36062" w:rsidP="00E76492">
      <w:pPr>
        <w:ind w:left="851"/>
        <w:rPr>
          <w:w w:val="99"/>
          <w:sz w:val="24"/>
          <w:szCs w:val="24"/>
        </w:rPr>
      </w:pPr>
      <w:proofErr w:type="spellStart"/>
      <w:r w:rsidRPr="003F3CA1">
        <w:rPr>
          <w:sz w:val="24"/>
          <w:szCs w:val="24"/>
          <w:lang w:bidi="da-DK"/>
        </w:rPr>
        <w:t>Hydroxypropylbetadex</w:t>
      </w:r>
      <w:proofErr w:type="spellEnd"/>
    </w:p>
    <w:p w14:paraId="506E1A91" w14:textId="77777777" w:rsidR="00D36062" w:rsidRPr="003F3CA1" w:rsidRDefault="00D36062" w:rsidP="00E76492">
      <w:pPr>
        <w:ind w:left="851"/>
        <w:rPr>
          <w:sz w:val="24"/>
          <w:szCs w:val="24"/>
        </w:rPr>
      </w:pPr>
      <w:r w:rsidRPr="003F3CA1">
        <w:rPr>
          <w:sz w:val="24"/>
          <w:szCs w:val="24"/>
          <w:lang w:bidi="da-DK"/>
        </w:rPr>
        <w:t>Saltsyre, koncentreret (til pH-justering)</w:t>
      </w:r>
    </w:p>
    <w:p w14:paraId="2AFE0505" w14:textId="77777777" w:rsidR="00D36062" w:rsidRPr="003F3CA1" w:rsidRDefault="00D36062" w:rsidP="00E76492">
      <w:pPr>
        <w:ind w:left="851"/>
        <w:rPr>
          <w:w w:val="99"/>
          <w:sz w:val="24"/>
          <w:szCs w:val="24"/>
        </w:rPr>
      </w:pPr>
      <w:r w:rsidRPr="003F3CA1">
        <w:rPr>
          <w:sz w:val="24"/>
          <w:szCs w:val="24"/>
          <w:lang w:bidi="da-DK"/>
        </w:rPr>
        <w:t>Natriumhydroxid (til pH-justering)</w:t>
      </w:r>
    </w:p>
    <w:p w14:paraId="6E134A36" w14:textId="77777777" w:rsidR="00D36062" w:rsidRPr="003F3CA1" w:rsidRDefault="00D36062" w:rsidP="00E76492">
      <w:pPr>
        <w:ind w:left="851"/>
        <w:rPr>
          <w:w w:val="99"/>
          <w:sz w:val="24"/>
          <w:szCs w:val="24"/>
        </w:rPr>
      </w:pPr>
      <w:proofErr w:type="spellStart"/>
      <w:r w:rsidRPr="003F3CA1">
        <w:rPr>
          <w:sz w:val="24"/>
          <w:szCs w:val="24"/>
          <w:lang w:bidi="da-DK"/>
        </w:rPr>
        <w:t>Saccharin</w:t>
      </w:r>
      <w:proofErr w:type="spellEnd"/>
      <w:r w:rsidRPr="003F3CA1">
        <w:rPr>
          <w:sz w:val="24"/>
          <w:szCs w:val="24"/>
          <w:lang w:bidi="da-DK"/>
        </w:rPr>
        <w:t xml:space="preserve"> </w:t>
      </w:r>
      <w:r w:rsidRPr="003F3CA1">
        <w:rPr>
          <w:w w:val="99"/>
          <w:sz w:val="24"/>
          <w:szCs w:val="24"/>
          <w:lang w:bidi="da-DK"/>
        </w:rPr>
        <w:t>natrium</w:t>
      </w:r>
    </w:p>
    <w:p w14:paraId="7512D8B3" w14:textId="77777777" w:rsidR="00D36062" w:rsidRPr="003F3CA1" w:rsidRDefault="00D36062" w:rsidP="00E76492">
      <w:pPr>
        <w:ind w:left="851"/>
        <w:rPr>
          <w:sz w:val="24"/>
          <w:szCs w:val="24"/>
        </w:rPr>
      </w:pPr>
      <w:r w:rsidRPr="003F3CA1">
        <w:rPr>
          <w:sz w:val="24"/>
          <w:szCs w:val="24"/>
          <w:lang w:bidi="da-DK"/>
        </w:rPr>
        <w:t>Karamel (smag)</w:t>
      </w:r>
    </w:p>
    <w:p w14:paraId="6F103832" w14:textId="77777777" w:rsidR="00D36062" w:rsidRPr="003F3CA1" w:rsidRDefault="00D36062" w:rsidP="00E76492">
      <w:pPr>
        <w:ind w:left="851"/>
        <w:rPr>
          <w:sz w:val="24"/>
          <w:szCs w:val="24"/>
        </w:rPr>
      </w:pPr>
      <w:r w:rsidRPr="003F3CA1">
        <w:rPr>
          <w:sz w:val="24"/>
          <w:szCs w:val="24"/>
          <w:lang w:bidi="da-DK"/>
        </w:rPr>
        <w:t>Anis (smag)</w:t>
      </w:r>
    </w:p>
    <w:p w14:paraId="5C48C907" w14:textId="77777777" w:rsidR="00D36062" w:rsidRPr="003F3CA1" w:rsidRDefault="00D36062" w:rsidP="00E76492">
      <w:pPr>
        <w:ind w:left="851"/>
        <w:rPr>
          <w:sz w:val="24"/>
          <w:szCs w:val="24"/>
        </w:rPr>
      </w:pPr>
      <w:r w:rsidRPr="003F3CA1">
        <w:rPr>
          <w:sz w:val="24"/>
          <w:szCs w:val="24"/>
          <w:lang w:bidi="da-DK"/>
        </w:rPr>
        <w:t>Vand, renset</w:t>
      </w:r>
    </w:p>
    <w:p w14:paraId="4B8BDDAD" w14:textId="77777777" w:rsidR="005B0036" w:rsidRPr="003F3CA1" w:rsidRDefault="005B0036" w:rsidP="005B0036">
      <w:pPr>
        <w:tabs>
          <w:tab w:val="left" w:pos="851"/>
          <w:tab w:val="left" w:pos="8222"/>
        </w:tabs>
        <w:ind w:left="851"/>
        <w:rPr>
          <w:sz w:val="24"/>
          <w:szCs w:val="24"/>
        </w:rPr>
      </w:pPr>
    </w:p>
    <w:p w14:paraId="4FC40C64" w14:textId="77777777" w:rsidR="005B0036" w:rsidRPr="003F3CA1" w:rsidRDefault="005B0036" w:rsidP="005B0036">
      <w:pPr>
        <w:tabs>
          <w:tab w:val="left" w:pos="8222"/>
        </w:tabs>
        <w:ind w:left="851" w:hanging="851"/>
        <w:rPr>
          <w:b/>
          <w:sz w:val="24"/>
          <w:szCs w:val="24"/>
        </w:rPr>
      </w:pPr>
      <w:r w:rsidRPr="003F3CA1">
        <w:rPr>
          <w:b/>
          <w:sz w:val="24"/>
          <w:szCs w:val="24"/>
        </w:rPr>
        <w:t>6.2</w:t>
      </w:r>
      <w:r w:rsidRPr="003F3CA1">
        <w:rPr>
          <w:b/>
          <w:sz w:val="24"/>
          <w:szCs w:val="24"/>
        </w:rPr>
        <w:tab/>
        <w:t>Uforligeligheder</w:t>
      </w:r>
    </w:p>
    <w:p w14:paraId="6D4228D4" w14:textId="77777777" w:rsidR="00D36062" w:rsidRPr="003F3CA1" w:rsidRDefault="00D36062" w:rsidP="00E76492">
      <w:pPr>
        <w:ind w:left="851"/>
        <w:rPr>
          <w:kern w:val="14"/>
          <w:sz w:val="24"/>
          <w:szCs w:val="24"/>
          <w:lang w:bidi="da-DK"/>
        </w:rPr>
      </w:pPr>
      <w:r w:rsidRPr="003F3CA1">
        <w:rPr>
          <w:kern w:val="14"/>
          <w:sz w:val="24"/>
          <w:szCs w:val="24"/>
          <w:lang w:bidi="da-DK"/>
        </w:rPr>
        <w:t>Da der ikke foreligger undersøgelser vedrørende eventuelle uforligeligheder, bør dette lægemiddel ikke blandes med andre lægemidler.</w:t>
      </w:r>
    </w:p>
    <w:p w14:paraId="668F9ADF" w14:textId="77777777" w:rsidR="005B0036" w:rsidRPr="003F3CA1" w:rsidRDefault="005B0036" w:rsidP="005B0036">
      <w:pPr>
        <w:tabs>
          <w:tab w:val="left" w:pos="851"/>
          <w:tab w:val="left" w:pos="8222"/>
        </w:tabs>
        <w:ind w:left="851"/>
        <w:rPr>
          <w:sz w:val="24"/>
          <w:szCs w:val="24"/>
        </w:rPr>
      </w:pPr>
    </w:p>
    <w:p w14:paraId="2E35411E" w14:textId="77777777" w:rsidR="005B0036" w:rsidRPr="003F3CA1" w:rsidRDefault="005B0036" w:rsidP="005B0036">
      <w:pPr>
        <w:tabs>
          <w:tab w:val="left" w:pos="8222"/>
        </w:tabs>
        <w:ind w:left="851" w:hanging="851"/>
        <w:rPr>
          <w:b/>
          <w:sz w:val="24"/>
          <w:szCs w:val="24"/>
        </w:rPr>
      </w:pPr>
      <w:r w:rsidRPr="003F3CA1">
        <w:rPr>
          <w:b/>
          <w:sz w:val="24"/>
          <w:szCs w:val="24"/>
        </w:rPr>
        <w:t>6.3</w:t>
      </w:r>
      <w:r w:rsidRPr="003F3CA1">
        <w:rPr>
          <w:b/>
          <w:sz w:val="24"/>
          <w:szCs w:val="24"/>
        </w:rPr>
        <w:tab/>
        <w:t>Opbevaringstid</w:t>
      </w:r>
    </w:p>
    <w:p w14:paraId="0C9448B0" w14:textId="77777777" w:rsidR="00D36062" w:rsidRPr="003F3CA1" w:rsidRDefault="00D36062" w:rsidP="00E76492">
      <w:pPr>
        <w:ind w:left="851"/>
        <w:rPr>
          <w:sz w:val="24"/>
          <w:szCs w:val="24"/>
          <w:lang w:val="nl-NL"/>
        </w:rPr>
      </w:pPr>
      <w:bookmarkStart w:id="4" w:name="_Hlk113553189"/>
      <w:r w:rsidRPr="003F3CA1">
        <w:rPr>
          <w:sz w:val="24"/>
          <w:szCs w:val="24"/>
          <w:lang w:bidi="da-DK"/>
        </w:rPr>
        <w:t>Opbevaringstid for veterinærlægemidlet i salgspakning: 30 måneder.</w:t>
      </w:r>
    </w:p>
    <w:p w14:paraId="2FB54827" w14:textId="77777777" w:rsidR="00D36062" w:rsidRPr="003F3CA1" w:rsidRDefault="00D36062" w:rsidP="00E76492">
      <w:pPr>
        <w:ind w:left="851"/>
        <w:rPr>
          <w:sz w:val="24"/>
          <w:szCs w:val="24"/>
          <w:lang w:val="nl-NL"/>
        </w:rPr>
      </w:pPr>
      <w:r w:rsidRPr="003F3CA1">
        <w:rPr>
          <w:sz w:val="24"/>
          <w:szCs w:val="24"/>
          <w:lang w:bidi="da-DK"/>
        </w:rPr>
        <w:t>Opbevaringstid efter første åbning af den indre emballage: 90 dage</w:t>
      </w:r>
      <w:bookmarkEnd w:id="4"/>
    </w:p>
    <w:p w14:paraId="19703B10" w14:textId="77777777" w:rsidR="005B0036" w:rsidRPr="003F3CA1" w:rsidRDefault="005B0036" w:rsidP="005B0036">
      <w:pPr>
        <w:tabs>
          <w:tab w:val="left" w:pos="851"/>
          <w:tab w:val="left" w:pos="8222"/>
        </w:tabs>
        <w:ind w:left="851"/>
        <w:rPr>
          <w:sz w:val="24"/>
          <w:szCs w:val="24"/>
        </w:rPr>
      </w:pPr>
    </w:p>
    <w:p w14:paraId="019689A4" w14:textId="77777777" w:rsidR="005B0036" w:rsidRPr="003F3CA1" w:rsidRDefault="005B0036" w:rsidP="005B0036">
      <w:pPr>
        <w:tabs>
          <w:tab w:val="left" w:pos="8222"/>
        </w:tabs>
        <w:ind w:left="851" w:hanging="851"/>
        <w:rPr>
          <w:b/>
          <w:sz w:val="24"/>
          <w:szCs w:val="24"/>
        </w:rPr>
      </w:pPr>
      <w:r w:rsidRPr="003F3CA1">
        <w:rPr>
          <w:b/>
          <w:sz w:val="24"/>
          <w:szCs w:val="24"/>
        </w:rPr>
        <w:t>6.4</w:t>
      </w:r>
      <w:r w:rsidRPr="003F3CA1">
        <w:rPr>
          <w:b/>
          <w:sz w:val="24"/>
          <w:szCs w:val="24"/>
        </w:rPr>
        <w:tab/>
        <w:t>Særlige opbevaringsforhold</w:t>
      </w:r>
    </w:p>
    <w:p w14:paraId="26D5E1DE" w14:textId="77777777" w:rsidR="00D36062" w:rsidRPr="003F3CA1" w:rsidRDefault="00D36062" w:rsidP="00E76492">
      <w:pPr>
        <w:ind w:left="851"/>
        <w:rPr>
          <w:sz w:val="24"/>
          <w:szCs w:val="24"/>
          <w:lang w:bidi="da-DK"/>
        </w:rPr>
      </w:pPr>
      <w:r w:rsidRPr="003F3CA1">
        <w:rPr>
          <w:sz w:val="24"/>
          <w:szCs w:val="24"/>
          <w:lang w:bidi="da-DK"/>
        </w:rPr>
        <w:t>Dette veterinærlægemiddel kræver ingen særlige forholdsregler vedrørende opbevaringen.</w:t>
      </w:r>
    </w:p>
    <w:p w14:paraId="19CDA303" w14:textId="77777777" w:rsidR="005B0036" w:rsidRPr="003F3CA1" w:rsidRDefault="005B0036" w:rsidP="005B0036">
      <w:pPr>
        <w:tabs>
          <w:tab w:val="left" w:pos="851"/>
          <w:tab w:val="left" w:pos="8222"/>
        </w:tabs>
        <w:ind w:left="851"/>
        <w:rPr>
          <w:sz w:val="24"/>
          <w:szCs w:val="24"/>
        </w:rPr>
      </w:pPr>
    </w:p>
    <w:p w14:paraId="00F36433" w14:textId="77777777" w:rsidR="005B0036" w:rsidRPr="003F3CA1" w:rsidRDefault="005B0036" w:rsidP="005B0036">
      <w:pPr>
        <w:tabs>
          <w:tab w:val="left" w:pos="8222"/>
        </w:tabs>
        <w:ind w:left="851" w:hanging="851"/>
        <w:rPr>
          <w:b/>
          <w:sz w:val="24"/>
          <w:szCs w:val="24"/>
        </w:rPr>
      </w:pPr>
      <w:r w:rsidRPr="003F3CA1">
        <w:rPr>
          <w:b/>
          <w:sz w:val="24"/>
          <w:szCs w:val="24"/>
        </w:rPr>
        <w:t>6.5</w:t>
      </w:r>
      <w:r w:rsidRPr="003F3CA1">
        <w:rPr>
          <w:b/>
          <w:sz w:val="24"/>
          <w:szCs w:val="24"/>
        </w:rPr>
        <w:tab/>
        <w:t>Emballage</w:t>
      </w:r>
    </w:p>
    <w:p w14:paraId="5D00BE41" w14:textId="77777777" w:rsidR="00D36062" w:rsidRPr="003F3CA1" w:rsidRDefault="00D36062" w:rsidP="00E76492">
      <w:pPr>
        <w:ind w:left="851"/>
        <w:rPr>
          <w:bCs/>
          <w:snapToGrid w:val="0"/>
          <w:sz w:val="24"/>
          <w:szCs w:val="24"/>
        </w:rPr>
      </w:pPr>
      <w:r w:rsidRPr="003F3CA1">
        <w:rPr>
          <w:snapToGrid w:val="0"/>
          <w:sz w:val="24"/>
          <w:szCs w:val="24"/>
          <w:lang w:bidi="da-DK"/>
        </w:rPr>
        <w:t xml:space="preserve">Ravfarvet glasflaske eller hvid højdensitet </w:t>
      </w:r>
      <w:proofErr w:type="spellStart"/>
      <w:r w:rsidRPr="003F3CA1">
        <w:rPr>
          <w:snapToGrid w:val="0"/>
          <w:sz w:val="24"/>
          <w:szCs w:val="24"/>
          <w:lang w:bidi="da-DK"/>
        </w:rPr>
        <w:t>polyethylen</w:t>
      </w:r>
      <w:proofErr w:type="spellEnd"/>
      <w:r w:rsidRPr="003F3CA1">
        <w:rPr>
          <w:snapToGrid w:val="0"/>
          <w:sz w:val="24"/>
          <w:szCs w:val="24"/>
          <w:lang w:bidi="da-DK"/>
        </w:rPr>
        <w:t xml:space="preserve"> (HDPE) flaske med børnesikret polypropylen skruelåg. </w:t>
      </w:r>
      <w:r w:rsidRPr="003F3CA1">
        <w:rPr>
          <w:sz w:val="24"/>
          <w:szCs w:val="24"/>
          <w:lang w:bidi="da-DK"/>
        </w:rPr>
        <w:t xml:space="preserve">Hver flaske indeholder: </w:t>
      </w:r>
      <w:r w:rsidRPr="003F3CA1">
        <w:rPr>
          <w:snapToGrid w:val="0"/>
          <w:sz w:val="24"/>
          <w:szCs w:val="24"/>
          <w:lang w:bidi="da-DK"/>
        </w:rPr>
        <w:t>25 ml, 50 ml eller 100 ml.</w:t>
      </w:r>
    </w:p>
    <w:p w14:paraId="008FACE4" w14:textId="77777777" w:rsidR="00D36062" w:rsidRPr="003F3CA1" w:rsidRDefault="00D36062" w:rsidP="00E76492">
      <w:pPr>
        <w:ind w:left="851"/>
        <w:rPr>
          <w:bCs/>
          <w:snapToGrid w:val="0"/>
          <w:sz w:val="24"/>
          <w:szCs w:val="24"/>
        </w:rPr>
      </w:pPr>
      <w:r w:rsidRPr="003F3CA1">
        <w:rPr>
          <w:color w:val="000000"/>
          <w:sz w:val="24"/>
          <w:szCs w:val="24"/>
          <w:lang w:bidi="da-DK"/>
        </w:rPr>
        <w:t xml:space="preserve">Doseringssprøjte: Sprøjte (3 ml) med lavdensitets </w:t>
      </w:r>
      <w:proofErr w:type="spellStart"/>
      <w:r w:rsidRPr="003F3CA1">
        <w:rPr>
          <w:color w:val="000000"/>
          <w:sz w:val="24"/>
          <w:szCs w:val="24"/>
          <w:lang w:bidi="da-DK"/>
        </w:rPr>
        <w:t>polyethylen</w:t>
      </w:r>
      <w:proofErr w:type="spellEnd"/>
      <w:r w:rsidRPr="003F3CA1">
        <w:rPr>
          <w:color w:val="000000"/>
          <w:sz w:val="24"/>
          <w:szCs w:val="24"/>
          <w:lang w:bidi="da-DK"/>
        </w:rPr>
        <w:t xml:space="preserve"> (LDPE) cylinder og polystyren (PS) stempel.</w:t>
      </w:r>
    </w:p>
    <w:p w14:paraId="22E8622C" w14:textId="77777777" w:rsidR="00D36062" w:rsidRPr="003F3CA1" w:rsidRDefault="00D36062" w:rsidP="00E76492">
      <w:pPr>
        <w:ind w:left="851"/>
        <w:rPr>
          <w:sz w:val="24"/>
          <w:szCs w:val="24"/>
        </w:rPr>
      </w:pPr>
    </w:p>
    <w:p w14:paraId="480B066E" w14:textId="77777777" w:rsidR="00D36062" w:rsidRPr="003F3CA1" w:rsidRDefault="00D36062" w:rsidP="00E76492">
      <w:pPr>
        <w:ind w:left="851"/>
        <w:rPr>
          <w:color w:val="000000"/>
          <w:sz w:val="24"/>
          <w:szCs w:val="24"/>
          <w:lang w:val="nl-NL" w:eastAsia="nl-NL"/>
        </w:rPr>
      </w:pPr>
      <w:r w:rsidRPr="003F3CA1">
        <w:rPr>
          <w:color w:val="000000"/>
          <w:sz w:val="24"/>
          <w:szCs w:val="24"/>
          <w:lang w:bidi="da-DK"/>
        </w:rPr>
        <w:t>Pakningstørrelser:</w:t>
      </w:r>
    </w:p>
    <w:p w14:paraId="6A028423" w14:textId="77777777" w:rsidR="00D36062" w:rsidRPr="003F3CA1" w:rsidRDefault="00D36062" w:rsidP="00E76492">
      <w:pPr>
        <w:ind w:left="851"/>
        <w:rPr>
          <w:sz w:val="24"/>
          <w:szCs w:val="24"/>
          <w:lang w:val="nl-NL"/>
        </w:rPr>
      </w:pPr>
      <w:r w:rsidRPr="003F3CA1">
        <w:rPr>
          <w:color w:val="000000"/>
          <w:sz w:val="24"/>
          <w:szCs w:val="24"/>
          <w:lang w:bidi="da-DK"/>
        </w:rPr>
        <w:t>Karton med 1 flaske på 25 ml, 50 ml eller 100 ml og en oral 3 ml doseringssprøjte.</w:t>
      </w:r>
    </w:p>
    <w:p w14:paraId="7D941086" w14:textId="77777777" w:rsidR="00D36062" w:rsidRPr="003F3CA1" w:rsidRDefault="00D36062" w:rsidP="00E76492">
      <w:pPr>
        <w:ind w:left="851"/>
        <w:rPr>
          <w:sz w:val="24"/>
          <w:szCs w:val="24"/>
          <w:lang w:bidi="da-DK"/>
        </w:rPr>
      </w:pPr>
      <w:r w:rsidRPr="003F3CA1">
        <w:rPr>
          <w:sz w:val="24"/>
          <w:szCs w:val="24"/>
          <w:lang w:bidi="da-DK"/>
        </w:rPr>
        <w:t>Ikke alle pakningsstørrelser er nødvendigvis markedsført.</w:t>
      </w:r>
    </w:p>
    <w:p w14:paraId="0483AC0D" w14:textId="77777777" w:rsidR="005B0036" w:rsidRPr="003F3CA1" w:rsidRDefault="005B0036" w:rsidP="005B0036">
      <w:pPr>
        <w:tabs>
          <w:tab w:val="left" w:pos="851"/>
          <w:tab w:val="left" w:pos="8222"/>
        </w:tabs>
        <w:ind w:left="851"/>
        <w:rPr>
          <w:sz w:val="24"/>
          <w:szCs w:val="24"/>
        </w:rPr>
      </w:pPr>
    </w:p>
    <w:p w14:paraId="4A6C1CE1" w14:textId="77777777" w:rsidR="005B0036" w:rsidRPr="003F3CA1" w:rsidRDefault="005B0036" w:rsidP="005B0036">
      <w:pPr>
        <w:tabs>
          <w:tab w:val="left" w:pos="851"/>
          <w:tab w:val="left" w:pos="8222"/>
        </w:tabs>
        <w:ind w:left="851" w:hanging="851"/>
        <w:rPr>
          <w:b/>
          <w:sz w:val="24"/>
          <w:szCs w:val="24"/>
        </w:rPr>
      </w:pPr>
      <w:r w:rsidRPr="003F3CA1">
        <w:rPr>
          <w:b/>
          <w:sz w:val="24"/>
          <w:szCs w:val="24"/>
        </w:rPr>
        <w:lastRenderedPageBreak/>
        <w:t>6.6</w:t>
      </w:r>
      <w:r w:rsidRPr="003F3CA1">
        <w:rPr>
          <w:b/>
          <w:sz w:val="24"/>
          <w:szCs w:val="24"/>
        </w:rPr>
        <w:tab/>
        <w:t>Særlige forholdsregler ved bortskaffelse af rester af lægemidlet eller affald</w:t>
      </w:r>
    </w:p>
    <w:p w14:paraId="686FAD09" w14:textId="77777777" w:rsidR="00D36062" w:rsidRPr="003F3CA1" w:rsidRDefault="00D36062" w:rsidP="00E76492">
      <w:pPr>
        <w:ind w:left="851"/>
        <w:rPr>
          <w:sz w:val="24"/>
          <w:szCs w:val="24"/>
          <w:lang w:bidi="da-DK"/>
        </w:rPr>
      </w:pPr>
      <w:r w:rsidRPr="003F3CA1">
        <w:rPr>
          <w:sz w:val="24"/>
          <w:szCs w:val="24"/>
          <w:lang w:bidi="da-DK"/>
        </w:rPr>
        <w:t>Ikke anvendte veterinærlægemidler, samt affald heraf bør destrueres i henhold til lokale retningslinjer.</w:t>
      </w:r>
    </w:p>
    <w:p w14:paraId="0780AFAF" w14:textId="77777777" w:rsidR="005B0036" w:rsidRPr="003F3CA1" w:rsidRDefault="005B0036" w:rsidP="005B0036">
      <w:pPr>
        <w:tabs>
          <w:tab w:val="left" w:pos="851"/>
          <w:tab w:val="left" w:pos="8222"/>
        </w:tabs>
        <w:ind w:left="851"/>
        <w:rPr>
          <w:sz w:val="24"/>
          <w:szCs w:val="24"/>
        </w:rPr>
      </w:pPr>
    </w:p>
    <w:p w14:paraId="6EE08033" w14:textId="77777777" w:rsidR="005B0036" w:rsidRPr="003F3CA1" w:rsidRDefault="005B0036" w:rsidP="005B0036">
      <w:pPr>
        <w:tabs>
          <w:tab w:val="left" w:pos="851"/>
          <w:tab w:val="left" w:pos="8222"/>
        </w:tabs>
        <w:ind w:left="851" w:hanging="851"/>
        <w:rPr>
          <w:b/>
          <w:sz w:val="24"/>
          <w:szCs w:val="24"/>
        </w:rPr>
      </w:pPr>
      <w:r w:rsidRPr="003F3CA1">
        <w:rPr>
          <w:b/>
          <w:sz w:val="24"/>
          <w:szCs w:val="24"/>
        </w:rPr>
        <w:t>7.</w:t>
      </w:r>
      <w:r w:rsidRPr="003F3CA1">
        <w:rPr>
          <w:b/>
          <w:sz w:val="24"/>
          <w:szCs w:val="24"/>
        </w:rPr>
        <w:tab/>
        <w:t>INDEHAVER AF MARKEDSFØRINGSTILLADELSEN</w:t>
      </w:r>
    </w:p>
    <w:p w14:paraId="5127C418" w14:textId="77777777" w:rsidR="00D36062" w:rsidRPr="003F3CA1" w:rsidRDefault="00D36062" w:rsidP="00E76492">
      <w:pPr>
        <w:ind w:left="851"/>
        <w:rPr>
          <w:color w:val="000000"/>
          <w:sz w:val="24"/>
          <w:szCs w:val="24"/>
          <w:lang w:val="de-DE" w:eastAsia="nl-NL"/>
        </w:rPr>
      </w:pPr>
      <w:r w:rsidRPr="003F3CA1">
        <w:rPr>
          <w:color w:val="000000"/>
          <w:sz w:val="24"/>
          <w:szCs w:val="24"/>
          <w:lang w:bidi="da-DK"/>
        </w:rPr>
        <w:t xml:space="preserve">CP-Pharma </w:t>
      </w:r>
      <w:proofErr w:type="spellStart"/>
      <w:r w:rsidRPr="003F3CA1">
        <w:rPr>
          <w:color w:val="000000"/>
          <w:sz w:val="24"/>
          <w:szCs w:val="24"/>
          <w:lang w:bidi="da-DK"/>
        </w:rPr>
        <w:t>Handelsgesellschaft</w:t>
      </w:r>
      <w:proofErr w:type="spellEnd"/>
      <w:r w:rsidRPr="003F3CA1">
        <w:rPr>
          <w:color w:val="000000"/>
          <w:sz w:val="24"/>
          <w:szCs w:val="24"/>
          <w:lang w:bidi="da-DK"/>
        </w:rPr>
        <w:t xml:space="preserve"> </w:t>
      </w:r>
      <w:proofErr w:type="spellStart"/>
      <w:r w:rsidRPr="003F3CA1">
        <w:rPr>
          <w:color w:val="000000"/>
          <w:sz w:val="24"/>
          <w:szCs w:val="24"/>
          <w:lang w:bidi="da-DK"/>
        </w:rPr>
        <w:t>mbH</w:t>
      </w:r>
      <w:proofErr w:type="spellEnd"/>
    </w:p>
    <w:p w14:paraId="7D9AA7AE" w14:textId="77777777" w:rsidR="00D36062" w:rsidRPr="003F3CA1" w:rsidRDefault="00D36062" w:rsidP="00E76492">
      <w:pPr>
        <w:ind w:left="851"/>
        <w:rPr>
          <w:color w:val="000000"/>
          <w:sz w:val="24"/>
          <w:szCs w:val="24"/>
          <w:lang w:val="en-US" w:eastAsia="nl-NL"/>
        </w:rPr>
      </w:pPr>
      <w:proofErr w:type="spellStart"/>
      <w:r w:rsidRPr="003F3CA1">
        <w:rPr>
          <w:color w:val="000000"/>
          <w:sz w:val="24"/>
          <w:szCs w:val="24"/>
          <w:lang w:val="en-US" w:bidi="da-DK"/>
        </w:rPr>
        <w:t>Ostlandring</w:t>
      </w:r>
      <w:proofErr w:type="spellEnd"/>
      <w:r w:rsidRPr="003F3CA1">
        <w:rPr>
          <w:color w:val="000000"/>
          <w:sz w:val="24"/>
          <w:szCs w:val="24"/>
          <w:lang w:val="en-US" w:bidi="da-DK"/>
        </w:rPr>
        <w:t xml:space="preserve"> 13 </w:t>
      </w:r>
    </w:p>
    <w:p w14:paraId="311FC2AF" w14:textId="77777777" w:rsidR="00D36062" w:rsidRPr="003F3CA1" w:rsidRDefault="00D36062" w:rsidP="00E76492">
      <w:pPr>
        <w:ind w:left="851"/>
        <w:rPr>
          <w:color w:val="000000"/>
          <w:sz w:val="24"/>
          <w:szCs w:val="24"/>
          <w:lang w:val="en-US" w:eastAsia="nl-NL"/>
        </w:rPr>
      </w:pPr>
      <w:r w:rsidRPr="003F3CA1">
        <w:rPr>
          <w:color w:val="000000"/>
          <w:sz w:val="24"/>
          <w:szCs w:val="24"/>
          <w:lang w:val="en-US" w:bidi="da-DK"/>
        </w:rPr>
        <w:t xml:space="preserve">31303 </w:t>
      </w:r>
      <w:proofErr w:type="spellStart"/>
      <w:r w:rsidRPr="003F3CA1">
        <w:rPr>
          <w:color w:val="000000"/>
          <w:sz w:val="24"/>
          <w:szCs w:val="24"/>
          <w:lang w:val="en-US" w:bidi="da-DK"/>
        </w:rPr>
        <w:t>Burgdorf</w:t>
      </w:r>
      <w:proofErr w:type="spellEnd"/>
    </w:p>
    <w:p w14:paraId="2A7C92CF" w14:textId="77777777" w:rsidR="00D36062" w:rsidRPr="003F3CA1" w:rsidRDefault="00D36062" w:rsidP="00E76492">
      <w:pPr>
        <w:ind w:left="851"/>
        <w:rPr>
          <w:color w:val="000000"/>
          <w:sz w:val="24"/>
          <w:szCs w:val="24"/>
          <w:lang w:val="en-US" w:eastAsia="nl-NL"/>
        </w:rPr>
      </w:pPr>
      <w:proofErr w:type="spellStart"/>
      <w:r w:rsidRPr="003F3CA1">
        <w:rPr>
          <w:color w:val="000000"/>
          <w:sz w:val="24"/>
          <w:szCs w:val="24"/>
          <w:lang w:val="en-US" w:bidi="da-DK"/>
        </w:rPr>
        <w:t>Tyskland</w:t>
      </w:r>
      <w:proofErr w:type="spellEnd"/>
    </w:p>
    <w:p w14:paraId="0818E3DF" w14:textId="77777777" w:rsidR="00D36062" w:rsidRPr="003F3CA1" w:rsidRDefault="00D36062" w:rsidP="00E76492">
      <w:pPr>
        <w:tabs>
          <w:tab w:val="left" w:pos="1304"/>
        </w:tabs>
        <w:ind w:left="851"/>
        <w:rPr>
          <w:sz w:val="24"/>
          <w:szCs w:val="24"/>
          <w:lang w:val="en-US"/>
        </w:rPr>
      </w:pPr>
    </w:p>
    <w:p w14:paraId="3DEA9F3B" w14:textId="77777777" w:rsidR="00D36062" w:rsidRPr="003F3CA1" w:rsidRDefault="00D36062" w:rsidP="00E76492">
      <w:pPr>
        <w:tabs>
          <w:tab w:val="left" w:pos="1304"/>
        </w:tabs>
        <w:ind w:left="851"/>
        <w:rPr>
          <w:b/>
          <w:bCs/>
          <w:sz w:val="24"/>
          <w:szCs w:val="24"/>
          <w:lang w:val="en-US"/>
        </w:rPr>
      </w:pPr>
      <w:proofErr w:type="spellStart"/>
      <w:r w:rsidRPr="003F3CA1">
        <w:rPr>
          <w:b/>
          <w:bCs/>
          <w:sz w:val="24"/>
          <w:szCs w:val="24"/>
          <w:lang w:val="en-US"/>
        </w:rPr>
        <w:t>Repræsentant</w:t>
      </w:r>
      <w:proofErr w:type="spellEnd"/>
    </w:p>
    <w:p w14:paraId="6CEB5D44" w14:textId="77777777" w:rsidR="00D36062" w:rsidRPr="003F3CA1" w:rsidRDefault="00D36062" w:rsidP="00E76492">
      <w:pPr>
        <w:tabs>
          <w:tab w:val="left" w:pos="1304"/>
        </w:tabs>
        <w:ind w:left="851"/>
        <w:rPr>
          <w:sz w:val="24"/>
          <w:szCs w:val="24"/>
          <w:lang w:val="en-US"/>
        </w:rPr>
      </w:pPr>
      <w:proofErr w:type="spellStart"/>
      <w:r w:rsidRPr="003F3CA1">
        <w:rPr>
          <w:sz w:val="24"/>
          <w:szCs w:val="24"/>
          <w:lang w:val="en-US"/>
        </w:rPr>
        <w:t>ScanVet</w:t>
      </w:r>
      <w:proofErr w:type="spellEnd"/>
      <w:r w:rsidRPr="003F3CA1">
        <w:rPr>
          <w:sz w:val="24"/>
          <w:szCs w:val="24"/>
          <w:lang w:val="en-US"/>
        </w:rPr>
        <w:t xml:space="preserve"> Animal Health A/S</w:t>
      </w:r>
    </w:p>
    <w:p w14:paraId="1C65FACF" w14:textId="77777777" w:rsidR="00D36062" w:rsidRPr="003F3CA1" w:rsidRDefault="00D36062" w:rsidP="00E76492">
      <w:pPr>
        <w:tabs>
          <w:tab w:val="left" w:pos="1304"/>
        </w:tabs>
        <w:ind w:left="851"/>
        <w:rPr>
          <w:sz w:val="24"/>
          <w:szCs w:val="24"/>
        </w:rPr>
      </w:pPr>
      <w:r w:rsidRPr="003F3CA1">
        <w:rPr>
          <w:sz w:val="24"/>
          <w:szCs w:val="24"/>
        </w:rPr>
        <w:t>Kongevejen 66</w:t>
      </w:r>
    </w:p>
    <w:p w14:paraId="0F53897B" w14:textId="77777777" w:rsidR="00D36062" w:rsidRPr="003F3CA1" w:rsidRDefault="00D36062" w:rsidP="00E76492">
      <w:pPr>
        <w:tabs>
          <w:tab w:val="left" w:pos="1304"/>
        </w:tabs>
        <w:ind w:left="851"/>
        <w:rPr>
          <w:sz w:val="24"/>
          <w:szCs w:val="24"/>
        </w:rPr>
      </w:pPr>
      <w:r w:rsidRPr="003F3CA1">
        <w:rPr>
          <w:sz w:val="24"/>
          <w:szCs w:val="24"/>
        </w:rPr>
        <w:t>3480 Fredensborg</w:t>
      </w:r>
    </w:p>
    <w:p w14:paraId="49E283DD" w14:textId="77777777" w:rsidR="005B0036" w:rsidRPr="003F3CA1" w:rsidRDefault="005B0036" w:rsidP="005B0036">
      <w:pPr>
        <w:tabs>
          <w:tab w:val="left" w:pos="851"/>
          <w:tab w:val="left" w:pos="8222"/>
        </w:tabs>
        <w:ind w:left="851"/>
        <w:rPr>
          <w:sz w:val="24"/>
          <w:szCs w:val="24"/>
        </w:rPr>
      </w:pPr>
    </w:p>
    <w:p w14:paraId="11E98443" w14:textId="77777777" w:rsidR="005B0036" w:rsidRPr="003F3CA1" w:rsidRDefault="005B0036" w:rsidP="005B0036">
      <w:pPr>
        <w:tabs>
          <w:tab w:val="left" w:pos="8222"/>
        </w:tabs>
        <w:ind w:left="851" w:hanging="851"/>
        <w:rPr>
          <w:b/>
          <w:sz w:val="24"/>
          <w:szCs w:val="24"/>
        </w:rPr>
      </w:pPr>
      <w:r w:rsidRPr="003F3CA1">
        <w:rPr>
          <w:b/>
          <w:sz w:val="24"/>
          <w:szCs w:val="24"/>
        </w:rPr>
        <w:t>8.</w:t>
      </w:r>
      <w:r w:rsidRPr="003F3CA1">
        <w:rPr>
          <w:b/>
          <w:sz w:val="24"/>
          <w:szCs w:val="24"/>
        </w:rPr>
        <w:tab/>
        <w:t>MARKEDSFØRINGSTILLADELSESNUMMER (NUMRE)</w:t>
      </w:r>
    </w:p>
    <w:p w14:paraId="4683C30D" w14:textId="3E1B21D4" w:rsidR="005B0036" w:rsidRPr="003F3CA1" w:rsidRDefault="00D36062" w:rsidP="005B0036">
      <w:pPr>
        <w:tabs>
          <w:tab w:val="left" w:pos="851"/>
          <w:tab w:val="left" w:pos="8222"/>
        </w:tabs>
        <w:ind w:left="851"/>
        <w:rPr>
          <w:sz w:val="24"/>
          <w:szCs w:val="24"/>
        </w:rPr>
      </w:pPr>
      <w:r w:rsidRPr="003F3CA1">
        <w:rPr>
          <w:sz w:val="24"/>
          <w:szCs w:val="24"/>
        </w:rPr>
        <w:t>67030</w:t>
      </w:r>
    </w:p>
    <w:p w14:paraId="47DE92DA" w14:textId="77777777" w:rsidR="005B0036" w:rsidRPr="003F3CA1" w:rsidRDefault="005B0036" w:rsidP="005B0036">
      <w:pPr>
        <w:tabs>
          <w:tab w:val="left" w:pos="851"/>
          <w:tab w:val="left" w:pos="8222"/>
        </w:tabs>
        <w:ind w:left="851"/>
        <w:rPr>
          <w:sz w:val="24"/>
          <w:szCs w:val="24"/>
        </w:rPr>
      </w:pPr>
    </w:p>
    <w:p w14:paraId="40B499D3" w14:textId="77777777" w:rsidR="005B0036" w:rsidRPr="003F3CA1" w:rsidRDefault="005B0036" w:rsidP="005B0036">
      <w:pPr>
        <w:tabs>
          <w:tab w:val="left" w:pos="851"/>
          <w:tab w:val="left" w:pos="8222"/>
        </w:tabs>
        <w:rPr>
          <w:b/>
          <w:sz w:val="24"/>
          <w:szCs w:val="24"/>
        </w:rPr>
      </w:pPr>
      <w:r w:rsidRPr="003F3CA1">
        <w:rPr>
          <w:b/>
          <w:sz w:val="24"/>
          <w:szCs w:val="24"/>
        </w:rPr>
        <w:t>9.</w:t>
      </w:r>
      <w:r w:rsidRPr="003F3CA1">
        <w:rPr>
          <w:b/>
          <w:sz w:val="24"/>
          <w:szCs w:val="24"/>
        </w:rPr>
        <w:tab/>
        <w:t>DATO FOR FØRSTE MARKEDSFØRINGSTILLADELSE</w:t>
      </w:r>
    </w:p>
    <w:p w14:paraId="6B7E0B51" w14:textId="7D2542C0" w:rsidR="005B0036" w:rsidRPr="003F3CA1" w:rsidRDefault="000E1700" w:rsidP="005B0036">
      <w:pPr>
        <w:tabs>
          <w:tab w:val="left" w:pos="851"/>
          <w:tab w:val="left" w:pos="8222"/>
        </w:tabs>
        <w:ind w:left="851"/>
        <w:rPr>
          <w:sz w:val="24"/>
          <w:szCs w:val="24"/>
        </w:rPr>
      </w:pPr>
      <w:r>
        <w:rPr>
          <w:sz w:val="24"/>
          <w:szCs w:val="24"/>
        </w:rPr>
        <w:t>9. februar 2023</w:t>
      </w:r>
    </w:p>
    <w:p w14:paraId="5D851032" w14:textId="77777777" w:rsidR="005B0036" w:rsidRPr="003F3CA1" w:rsidRDefault="005B0036" w:rsidP="005B0036">
      <w:pPr>
        <w:tabs>
          <w:tab w:val="left" w:pos="851"/>
          <w:tab w:val="left" w:pos="8222"/>
        </w:tabs>
        <w:ind w:left="851"/>
        <w:rPr>
          <w:sz w:val="24"/>
          <w:szCs w:val="24"/>
        </w:rPr>
      </w:pPr>
    </w:p>
    <w:p w14:paraId="54CB2C0C" w14:textId="77777777" w:rsidR="005B0036" w:rsidRPr="003F3CA1" w:rsidRDefault="005B0036" w:rsidP="005B0036">
      <w:pPr>
        <w:tabs>
          <w:tab w:val="left" w:pos="851"/>
          <w:tab w:val="left" w:pos="8222"/>
        </w:tabs>
        <w:ind w:left="851" w:hanging="851"/>
        <w:rPr>
          <w:b/>
          <w:sz w:val="24"/>
          <w:szCs w:val="24"/>
        </w:rPr>
      </w:pPr>
      <w:r w:rsidRPr="003F3CA1">
        <w:rPr>
          <w:b/>
          <w:sz w:val="24"/>
          <w:szCs w:val="24"/>
        </w:rPr>
        <w:t>10.</w:t>
      </w:r>
      <w:r w:rsidRPr="003F3CA1">
        <w:rPr>
          <w:b/>
          <w:sz w:val="24"/>
          <w:szCs w:val="24"/>
        </w:rPr>
        <w:tab/>
        <w:t>DATO FOR ÆNDRING AF TEKSTEN</w:t>
      </w:r>
    </w:p>
    <w:p w14:paraId="1165B90E" w14:textId="10A92DEC" w:rsidR="005B0036" w:rsidRPr="003F3CA1" w:rsidRDefault="00D36062" w:rsidP="005B0036">
      <w:pPr>
        <w:tabs>
          <w:tab w:val="left" w:pos="851"/>
          <w:tab w:val="left" w:pos="8222"/>
        </w:tabs>
        <w:ind w:left="851"/>
        <w:rPr>
          <w:sz w:val="24"/>
          <w:szCs w:val="24"/>
        </w:rPr>
      </w:pPr>
      <w:r w:rsidRPr="003F3CA1">
        <w:rPr>
          <w:sz w:val="24"/>
          <w:szCs w:val="24"/>
        </w:rPr>
        <w:t>-</w:t>
      </w:r>
    </w:p>
    <w:p w14:paraId="067908C2" w14:textId="77777777" w:rsidR="005B0036" w:rsidRPr="003F3CA1" w:rsidRDefault="005B0036" w:rsidP="005B0036">
      <w:pPr>
        <w:tabs>
          <w:tab w:val="left" w:pos="851"/>
          <w:tab w:val="left" w:pos="8222"/>
        </w:tabs>
        <w:ind w:left="851"/>
        <w:rPr>
          <w:sz w:val="24"/>
          <w:szCs w:val="24"/>
        </w:rPr>
      </w:pPr>
    </w:p>
    <w:p w14:paraId="6C51B691" w14:textId="77777777" w:rsidR="005B0036" w:rsidRPr="003F3CA1" w:rsidRDefault="005B0036" w:rsidP="005B0036">
      <w:pPr>
        <w:tabs>
          <w:tab w:val="left" w:pos="851"/>
          <w:tab w:val="left" w:pos="8222"/>
        </w:tabs>
        <w:rPr>
          <w:b/>
          <w:sz w:val="24"/>
          <w:szCs w:val="24"/>
        </w:rPr>
      </w:pPr>
      <w:r w:rsidRPr="003F3CA1">
        <w:rPr>
          <w:b/>
          <w:sz w:val="24"/>
          <w:szCs w:val="24"/>
        </w:rPr>
        <w:t>11.</w:t>
      </w:r>
      <w:r w:rsidRPr="003F3CA1">
        <w:rPr>
          <w:b/>
          <w:sz w:val="24"/>
          <w:szCs w:val="24"/>
        </w:rPr>
        <w:tab/>
        <w:t>UDLEVERINGSBESTEMMELSE</w:t>
      </w:r>
    </w:p>
    <w:p w14:paraId="4610D6F4" w14:textId="192EC4C1" w:rsidR="0003527F" w:rsidRPr="003F3CA1" w:rsidRDefault="002A3B3A" w:rsidP="003F3CA1">
      <w:pPr>
        <w:pStyle w:val="Sidehoved"/>
        <w:tabs>
          <w:tab w:val="clear" w:pos="4819"/>
          <w:tab w:val="left" w:pos="851"/>
          <w:tab w:val="left" w:pos="8222"/>
        </w:tabs>
        <w:ind w:left="851"/>
        <w:rPr>
          <w:szCs w:val="24"/>
        </w:rPr>
      </w:pPr>
      <w:r w:rsidRPr="003F3CA1">
        <w:rPr>
          <w:szCs w:val="24"/>
        </w:rPr>
        <w:t>B</w:t>
      </w:r>
    </w:p>
    <w:sectPr w:rsidR="0003527F" w:rsidRPr="003F3CA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20DA2" w14:textId="77777777" w:rsidR="00AD4BA7" w:rsidRDefault="00AD4BA7">
      <w:r>
        <w:separator/>
      </w:r>
    </w:p>
  </w:endnote>
  <w:endnote w:type="continuationSeparator" w:id="0">
    <w:p w14:paraId="3A6B6B1B" w14:textId="77777777" w:rsidR="00AD4BA7" w:rsidRDefault="00AD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94D2" w14:textId="77777777" w:rsidR="004A62CC" w:rsidRDefault="004A62CC">
    <w:pPr>
      <w:pStyle w:val="Sidefod"/>
      <w:pBdr>
        <w:bottom w:val="single" w:sz="6" w:space="1" w:color="auto"/>
      </w:pBdr>
      <w:tabs>
        <w:tab w:val="clear" w:pos="4819"/>
        <w:tab w:val="left" w:pos="8647"/>
      </w:tabs>
      <w:rPr>
        <w:i/>
        <w:snapToGrid w:val="0"/>
        <w:sz w:val="18"/>
      </w:rPr>
    </w:pPr>
  </w:p>
  <w:p w14:paraId="0AF8F64A" w14:textId="77777777" w:rsidR="004A62CC" w:rsidRDefault="004A62CC">
    <w:pPr>
      <w:pStyle w:val="Sidefod"/>
      <w:tabs>
        <w:tab w:val="clear" w:pos="4819"/>
        <w:tab w:val="left" w:pos="8647"/>
      </w:tabs>
      <w:rPr>
        <w:i/>
        <w:snapToGrid w:val="0"/>
        <w:sz w:val="18"/>
      </w:rPr>
    </w:pPr>
  </w:p>
  <w:p w14:paraId="0C0D18A1" w14:textId="15610B9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A1903">
      <w:rPr>
        <w:i/>
        <w:noProof/>
        <w:snapToGrid w:val="0"/>
        <w:sz w:val="18"/>
      </w:rPr>
      <w:t>Fugasol Vet., oral opløsning 10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7A44" w14:textId="77777777" w:rsidR="004A62CC" w:rsidRDefault="004A62CC">
    <w:pPr>
      <w:pStyle w:val="Sidefod"/>
      <w:pBdr>
        <w:bottom w:val="single" w:sz="6" w:space="1" w:color="auto"/>
      </w:pBdr>
      <w:tabs>
        <w:tab w:val="clear" w:pos="4819"/>
        <w:tab w:val="left" w:pos="8647"/>
      </w:tabs>
      <w:rPr>
        <w:i/>
        <w:snapToGrid w:val="0"/>
        <w:sz w:val="18"/>
      </w:rPr>
    </w:pPr>
  </w:p>
  <w:p w14:paraId="041C4997" w14:textId="77777777" w:rsidR="004A62CC" w:rsidRDefault="004A62CC">
    <w:pPr>
      <w:pStyle w:val="Sidefod"/>
      <w:tabs>
        <w:tab w:val="clear" w:pos="4819"/>
        <w:tab w:val="left" w:pos="8647"/>
      </w:tabs>
      <w:rPr>
        <w:i/>
        <w:snapToGrid w:val="0"/>
        <w:sz w:val="18"/>
      </w:rPr>
    </w:pPr>
  </w:p>
  <w:p w14:paraId="4C3FD2E3" w14:textId="6A72895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A1903">
      <w:rPr>
        <w:i/>
        <w:noProof/>
        <w:snapToGrid w:val="0"/>
        <w:sz w:val="18"/>
      </w:rPr>
      <w:t>Fugasol Vet., oral opløsning 10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FDB23" w14:textId="77777777" w:rsidR="00AD4BA7" w:rsidRDefault="00AD4BA7">
      <w:r>
        <w:separator/>
      </w:r>
    </w:p>
  </w:footnote>
  <w:footnote w:type="continuationSeparator" w:id="0">
    <w:p w14:paraId="450399AB" w14:textId="77777777" w:rsidR="00AD4BA7" w:rsidRDefault="00AD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C4C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4C1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B0DB8"/>
    <w:multiLevelType w:val="hybridMultilevel"/>
    <w:tmpl w:val="20C8E4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6921A2"/>
    <w:multiLevelType w:val="hybridMultilevel"/>
    <w:tmpl w:val="B770F47A"/>
    <w:lvl w:ilvl="0" w:tplc="C1B23BA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437452A"/>
    <w:multiLevelType w:val="hybridMultilevel"/>
    <w:tmpl w:val="42C02EB2"/>
    <w:lvl w:ilvl="0" w:tplc="C1B23BA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7"/>
    <w:rsid w:val="0003527F"/>
    <w:rsid w:val="00065C7D"/>
    <w:rsid w:val="000C6CD4"/>
    <w:rsid w:val="000E1700"/>
    <w:rsid w:val="001577E4"/>
    <w:rsid w:val="001858CA"/>
    <w:rsid w:val="001B2CC8"/>
    <w:rsid w:val="001C4AEF"/>
    <w:rsid w:val="001D3CC5"/>
    <w:rsid w:val="002A3B3A"/>
    <w:rsid w:val="00322BDE"/>
    <w:rsid w:val="00350AEE"/>
    <w:rsid w:val="00361157"/>
    <w:rsid w:val="003F3CA1"/>
    <w:rsid w:val="00406EE7"/>
    <w:rsid w:val="00407013"/>
    <w:rsid w:val="004A62CC"/>
    <w:rsid w:val="00515158"/>
    <w:rsid w:val="00565A74"/>
    <w:rsid w:val="005A1903"/>
    <w:rsid w:val="005B0036"/>
    <w:rsid w:val="005F5831"/>
    <w:rsid w:val="00662012"/>
    <w:rsid w:val="00666B01"/>
    <w:rsid w:val="006B1539"/>
    <w:rsid w:val="006F5621"/>
    <w:rsid w:val="00796BE9"/>
    <w:rsid w:val="007E2A00"/>
    <w:rsid w:val="008010F2"/>
    <w:rsid w:val="008303D2"/>
    <w:rsid w:val="00905619"/>
    <w:rsid w:val="009202AE"/>
    <w:rsid w:val="009D66C6"/>
    <w:rsid w:val="00A13E87"/>
    <w:rsid w:val="00A96525"/>
    <w:rsid w:val="00AD4BA7"/>
    <w:rsid w:val="00AE29E5"/>
    <w:rsid w:val="00AE5757"/>
    <w:rsid w:val="00B25EB8"/>
    <w:rsid w:val="00BC634B"/>
    <w:rsid w:val="00BF2AE0"/>
    <w:rsid w:val="00C479BF"/>
    <w:rsid w:val="00D36062"/>
    <w:rsid w:val="00DD6D71"/>
    <w:rsid w:val="00DF32BE"/>
    <w:rsid w:val="00E14F0A"/>
    <w:rsid w:val="00E76492"/>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D965C"/>
  <w15:chartTrackingRefBased/>
  <w15:docId w15:val="{4539409F-FC12-4FE0-8D7A-A1920A5B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qFormat/>
    <w:rsid w:val="00FA66E4"/>
  </w:style>
  <w:style w:type="character" w:customStyle="1" w:styleId="SidehovedTegn">
    <w:name w:val="Sidehoved Tegn"/>
    <w:link w:val="Sidehoved"/>
    <w:rsid w:val="00FA66E4"/>
    <w:rPr>
      <w:sz w:val="24"/>
    </w:rPr>
  </w:style>
  <w:style w:type="paragraph" w:customStyle="1" w:styleId="TableParagraph">
    <w:name w:val="Table Paragraph"/>
    <w:basedOn w:val="Normal"/>
    <w:uiPriority w:val="1"/>
    <w:qFormat/>
    <w:rsid w:val="00D36062"/>
    <w:pPr>
      <w:widowControl w:val="0"/>
    </w:pPr>
    <w:rPr>
      <w:rFonts w:ascii="Calibri" w:eastAsia="Calibri" w:hAnsi="Calibri"/>
      <w:sz w:val="22"/>
      <w:szCs w:val="22"/>
      <w:lang w:val="en-US"/>
    </w:rPr>
  </w:style>
  <w:style w:type="paragraph" w:styleId="Brdtekst">
    <w:name w:val="Body Text"/>
    <w:basedOn w:val="Normal"/>
    <w:link w:val="BrdtekstTegn"/>
    <w:semiHidden/>
    <w:unhideWhenUsed/>
    <w:rsid w:val="00D36062"/>
    <w:pPr>
      <w:jc w:val="both"/>
    </w:pPr>
    <w:rPr>
      <w:sz w:val="22"/>
      <w:lang w:val="en-GB"/>
    </w:rPr>
  </w:style>
  <w:style w:type="character" w:customStyle="1" w:styleId="BrdtekstTegn">
    <w:name w:val="Brødtekst Tegn"/>
    <w:basedOn w:val="Standardskrifttypeiafsnit"/>
    <w:link w:val="Brdtekst"/>
    <w:semiHidden/>
    <w:rsid w:val="00D36062"/>
    <w:rPr>
      <w:sz w:val="22"/>
      <w:lang w:val="en-GB" w:eastAsia="en-US"/>
    </w:rPr>
  </w:style>
  <w:style w:type="paragraph" w:styleId="Listeafsnit">
    <w:name w:val="List Paragraph"/>
    <w:basedOn w:val="Normal"/>
    <w:uiPriority w:val="34"/>
    <w:qFormat/>
    <w:rsid w:val="002A3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3690054">
      <w:bodyDiv w:val="1"/>
      <w:marLeft w:val="0"/>
      <w:marRight w:val="0"/>
      <w:marTop w:val="0"/>
      <w:marBottom w:val="0"/>
      <w:divBdr>
        <w:top w:val="none" w:sz="0" w:space="0" w:color="auto"/>
        <w:left w:val="none" w:sz="0" w:space="0" w:color="auto"/>
        <w:bottom w:val="none" w:sz="0" w:space="0" w:color="auto"/>
        <w:right w:val="none" w:sz="0" w:space="0" w:color="auto"/>
      </w:divBdr>
      <w:divsChild>
        <w:div w:id="634874294">
          <w:marLeft w:val="0"/>
          <w:marRight w:val="0"/>
          <w:marTop w:val="0"/>
          <w:marBottom w:val="0"/>
          <w:divBdr>
            <w:top w:val="none" w:sz="0" w:space="0" w:color="auto"/>
            <w:left w:val="none" w:sz="0" w:space="0" w:color="auto"/>
            <w:bottom w:val="none" w:sz="0" w:space="0" w:color="auto"/>
            <w:right w:val="none" w:sz="0" w:space="0" w:color="auto"/>
          </w:divBdr>
          <w:divsChild>
            <w:div w:id="35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078">
      <w:bodyDiv w:val="1"/>
      <w:marLeft w:val="0"/>
      <w:marRight w:val="0"/>
      <w:marTop w:val="0"/>
      <w:marBottom w:val="0"/>
      <w:divBdr>
        <w:top w:val="none" w:sz="0" w:space="0" w:color="auto"/>
        <w:left w:val="none" w:sz="0" w:space="0" w:color="auto"/>
        <w:bottom w:val="none" w:sz="0" w:space="0" w:color="auto"/>
        <w:right w:val="none" w:sz="0" w:space="0" w:color="auto"/>
      </w:divBdr>
    </w:div>
    <w:div w:id="266039192">
      <w:bodyDiv w:val="1"/>
      <w:marLeft w:val="0"/>
      <w:marRight w:val="0"/>
      <w:marTop w:val="0"/>
      <w:marBottom w:val="0"/>
      <w:divBdr>
        <w:top w:val="none" w:sz="0" w:space="0" w:color="auto"/>
        <w:left w:val="none" w:sz="0" w:space="0" w:color="auto"/>
        <w:bottom w:val="none" w:sz="0" w:space="0" w:color="auto"/>
        <w:right w:val="none" w:sz="0" w:space="0" w:color="auto"/>
      </w:divBdr>
    </w:div>
    <w:div w:id="354237460">
      <w:bodyDiv w:val="1"/>
      <w:marLeft w:val="0"/>
      <w:marRight w:val="0"/>
      <w:marTop w:val="0"/>
      <w:marBottom w:val="0"/>
      <w:divBdr>
        <w:top w:val="none" w:sz="0" w:space="0" w:color="auto"/>
        <w:left w:val="none" w:sz="0" w:space="0" w:color="auto"/>
        <w:bottom w:val="none" w:sz="0" w:space="0" w:color="auto"/>
        <w:right w:val="none" w:sz="0" w:space="0" w:color="auto"/>
      </w:divBdr>
    </w:div>
    <w:div w:id="429198623">
      <w:bodyDiv w:val="1"/>
      <w:marLeft w:val="0"/>
      <w:marRight w:val="0"/>
      <w:marTop w:val="0"/>
      <w:marBottom w:val="0"/>
      <w:divBdr>
        <w:top w:val="none" w:sz="0" w:space="0" w:color="auto"/>
        <w:left w:val="none" w:sz="0" w:space="0" w:color="auto"/>
        <w:bottom w:val="none" w:sz="0" w:space="0" w:color="auto"/>
        <w:right w:val="none" w:sz="0" w:space="0" w:color="auto"/>
      </w:divBdr>
    </w:div>
    <w:div w:id="571895292">
      <w:bodyDiv w:val="1"/>
      <w:marLeft w:val="0"/>
      <w:marRight w:val="0"/>
      <w:marTop w:val="0"/>
      <w:marBottom w:val="0"/>
      <w:divBdr>
        <w:top w:val="none" w:sz="0" w:space="0" w:color="auto"/>
        <w:left w:val="none" w:sz="0" w:space="0" w:color="auto"/>
        <w:bottom w:val="none" w:sz="0" w:space="0" w:color="auto"/>
        <w:right w:val="none" w:sz="0" w:space="0" w:color="auto"/>
      </w:divBdr>
    </w:div>
    <w:div w:id="679238121">
      <w:bodyDiv w:val="1"/>
      <w:marLeft w:val="0"/>
      <w:marRight w:val="0"/>
      <w:marTop w:val="0"/>
      <w:marBottom w:val="0"/>
      <w:divBdr>
        <w:top w:val="none" w:sz="0" w:space="0" w:color="auto"/>
        <w:left w:val="none" w:sz="0" w:space="0" w:color="auto"/>
        <w:bottom w:val="none" w:sz="0" w:space="0" w:color="auto"/>
        <w:right w:val="none" w:sz="0" w:space="0" w:color="auto"/>
      </w:divBdr>
    </w:div>
    <w:div w:id="764571552">
      <w:bodyDiv w:val="1"/>
      <w:marLeft w:val="0"/>
      <w:marRight w:val="0"/>
      <w:marTop w:val="0"/>
      <w:marBottom w:val="0"/>
      <w:divBdr>
        <w:top w:val="none" w:sz="0" w:space="0" w:color="auto"/>
        <w:left w:val="none" w:sz="0" w:space="0" w:color="auto"/>
        <w:bottom w:val="none" w:sz="0" w:space="0" w:color="auto"/>
        <w:right w:val="none" w:sz="0" w:space="0" w:color="auto"/>
      </w:divBdr>
    </w:div>
    <w:div w:id="988948682">
      <w:bodyDiv w:val="1"/>
      <w:marLeft w:val="0"/>
      <w:marRight w:val="0"/>
      <w:marTop w:val="0"/>
      <w:marBottom w:val="0"/>
      <w:divBdr>
        <w:top w:val="none" w:sz="0" w:space="0" w:color="auto"/>
        <w:left w:val="none" w:sz="0" w:space="0" w:color="auto"/>
        <w:bottom w:val="none" w:sz="0" w:space="0" w:color="auto"/>
        <w:right w:val="none" w:sz="0" w:space="0" w:color="auto"/>
      </w:divBdr>
    </w:div>
    <w:div w:id="1016692145">
      <w:bodyDiv w:val="1"/>
      <w:marLeft w:val="0"/>
      <w:marRight w:val="0"/>
      <w:marTop w:val="0"/>
      <w:marBottom w:val="0"/>
      <w:divBdr>
        <w:top w:val="none" w:sz="0" w:space="0" w:color="auto"/>
        <w:left w:val="none" w:sz="0" w:space="0" w:color="auto"/>
        <w:bottom w:val="none" w:sz="0" w:space="0" w:color="auto"/>
        <w:right w:val="none" w:sz="0" w:space="0" w:color="auto"/>
      </w:divBdr>
    </w:div>
    <w:div w:id="1061833191">
      <w:bodyDiv w:val="1"/>
      <w:marLeft w:val="0"/>
      <w:marRight w:val="0"/>
      <w:marTop w:val="0"/>
      <w:marBottom w:val="0"/>
      <w:divBdr>
        <w:top w:val="none" w:sz="0" w:space="0" w:color="auto"/>
        <w:left w:val="none" w:sz="0" w:space="0" w:color="auto"/>
        <w:bottom w:val="none" w:sz="0" w:space="0" w:color="auto"/>
        <w:right w:val="none" w:sz="0" w:space="0" w:color="auto"/>
      </w:divBdr>
    </w:div>
    <w:div w:id="1097334996">
      <w:bodyDiv w:val="1"/>
      <w:marLeft w:val="0"/>
      <w:marRight w:val="0"/>
      <w:marTop w:val="0"/>
      <w:marBottom w:val="0"/>
      <w:divBdr>
        <w:top w:val="none" w:sz="0" w:space="0" w:color="auto"/>
        <w:left w:val="none" w:sz="0" w:space="0" w:color="auto"/>
        <w:bottom w:val="none" w:sz="0" w:space="0" w:color="auto"/>
        <w:right w:val="none" w:sz="0" w:space="0" w:color="auto"/>
      </w:divBdr>
    </w:div>
    <w:div w:id="1132987961">
      <w:bodyDiv w:val="1"/>
      <w:marLeft w:val="0"/>
      <w:marRight w:val="0"/>
      <w:marTop w:val="0"/>
      <w:marBottom w:val="0"/>
      <w:divBdr>
        <w:top w:val="none" w:sz="0" w:space="0" w:color="auto"/>
        <w:left w:val="none" w:sz="0" w:space="0" w:color="auto"/>
        <w:bottom w:val="none" w:sz="0" w:space="0" w:color="auto"/>
        <w:right w:val="none" w:sz="0" w:space="0" w:color="auto"/>
      </w:divBdr>
    </w:div>
    <w:div w:id="1170372673">
      <w:bodyDiv w:val="1"/>
      <w:marLeft w:val="0"/>
      <w:marRight w:val="0"/>
      <w:marTop w:val="0"/>
      <w:marBottom w:val="0"/>
      <w:divBdr>
        <w:top w:val="none" w:sz="0" w:space="0" w:color="auto"/>
        <w:left w:val="none" w:sz="0" w:space="0" w:color="auto"/>
        <w:bottom w:val="none" w:sz="0" w:space="0" w:color="auto"/>
        <w:right w:val="none" w:sz="0" w:space="0" w:color="auto"/>
      </w:divBdr>
    </w:div>
    <w:div w:id="1415861767">
      <w:bodyDiv w:val="1"/>
      <w:marLeft w:val="0"/>
      <w:marRight w:val="0"/>
      <w:marTop w:val="0"/>
      <w:marBottom w:val="0"/>
      <w:divBdr>
        <w:top w:val="none" w:sz="0" w:space="0" w:color="auto"/>
        <w:left w:val="none" w:sz="0" w:space="0" w:color="auto"/>
        <w:bottom w:val="none" w:sz="0" w:space="0" w:color="auto"/>
        <w:right w:val="none" w:sz="0" w:space="0" w:color="auto"/>
      </w:divBdr>
    </w:div>
    <w:div w:id="1452482399">
      <w:bodyDiv w:val="1"/>
      <w:marLeft w:val="0"/>
      <w:marRight w:val="0"/>
      <w:marTop w:val="0"/>
      <w:marBottom w:val="0"/>
      <w:divBdr>
        <w:top w:val="none" w:sz="0" w:space="0" w:color="auto"/>
        <w:left w:val="none" w:sz="0" w:space="0" w:color="auto"/>
        <w:bottom w:val="none" w:sz="0" w:space="0" w:color="auto"/>
        <w:right w:val="none" w:sz="0" w:space="0" w:color="auto"/>
      </w:divBdr>
    </w:div>
    <w:div w:id="1505432141">
      <w:bodyDiv w:val="1"/>
      <w:marLeft w:val="0"/>
      <w:marRight w:val="0"/>
      <w:marTop w:val="0"/>
      <w:marBottom w:val="0"/>
      <w:divBdr>
        <w:top w:val="none" w:sz="0" w:space="0" w:color="auto"/>
        <w:left w:val="none" w:sz="0" w:space="0" w:color="auto"/>
        <w:bottom w:val="none" w:sz="0" w:space="0" w:color="auto"/>
        <w:right w:val="none" w:sz="0" w:space="0" w:color="auto"/>
      </w:divBdr>
    </w:div>
    <w:div w:id="1534075037">
      <w:bodyDiv w:val="1"/>
      <w:marLeft w:val="0"/>
      <w:marRight w:val="0"/>
      <w:marTop w:val="0"/>
      <w:marBottom w:val="0"/>
      <w:divBdr>
        <w:top w:val="none" w:sz="0" w:space="0" w:color="auto"/>
        <w:left w:val="none" w:sz="0" w:space="0" w:color="auto"/>
        <w:bottom w:val="none" w:sz="0" w:space="0" w:color="auto"/>
        <w:right w:val="none" w:sz="0" w:space="0" w:color="auto"/>
      </w:divBdr>
    </w:div>
    <w:div w:id="1555694932">
      <w:bodyDiv w:val="1"/>
      <w:marLeft w:val="0"/>
      <w:marRight w:val="0"/>
      <w:marTop w:val="0"/>
      <w:marBottom w:val="0"/>
      <w:divBdr>
        <w:top w:val="none" w:sz="0" w:space="0" w:color="auto"/>
        <w:left w:val="none" w:sz="0" w:space="0" w:color="auto"/>
        <w:bottom w:val="none" w:sz="0" w:space="0" w:color="auto"/>
        <w:right w:val="none" w:sz="0" w:space="0" w:color="auto"/>
      </w:divBdr>
    </w:div>
    <w:div w:id="1575314189">
      <w:bodyDiv w:val="1"/>
      <w:marLeft w:val="0"/>
      <w:marRight w:val="0"/>
      <w:marTop w:val="0"/>
      <w:marBottom w:val="0"/>
      <w:divBdr>
        <w:top w:val="none" w:sz="0" w:space="0" w:color="auto"/>
        <w:left w:val="none" w:sz="0" w:space="0" w:color="auto"/>
        <w:bottom w:val="none" w:sz="0" w:space="0" w:color="auto"/>
        <w:right w:val="none" w:sz="0" w:space="0" w:color="auto"/>
      </w:divBdr>
    </w:div>
    <w:div w:id="1632202562">
      <w:bodyDiv w:val="1"/>
      <w:marLeft w:val="0"/>
      <w:marRight w:val="0"/>
      <w:marTop w:val="0"/>
      <w:marBottom w:val="0"/>
      <w:divBdr>
        <w:top w:val="none" w:sz="0" w:space="0" w:color="auto"/>
        <w:left w:val="none" w:sz="0" w:space="0" w:color="auto"/>
        <w:bottom w:val="none" w:sz="0" w:space="0" w:color="auto"/>
        <w:right w:val="none" w:sz="0" w:space="0" w:color="auto"/>
      </w:divBdr>
    </w:div>
    <w:div w:id="1739281919">
      <w:bodyDiv w:val="1"/>
      <w:marLeft w:val="0"/>
      <w:marRight w:val="0"/>
      <w:marTop w:val="0"/>
      <w:marBottom w:val="0"/>
      <w:divBdr>
        <w:top w:val="none" w:sz="0" w:space="0" w:color="auto"/>
        <w:left w:val="none" w:sz="0" w:space="0" w:color="auto"/>
        <w:bottom w:val="none" w:sz="0" w:space="0" w:color="auto"/>
        <w:right w:val="none" w:sz="0" w:space="0" w:color="auto"/>
      </w:divBdr>
    </w:div>
    <w:div w:id="1771048078">
      <w:bodyDiv w:val="1"/>
      <w:marLeft w:val="0"/>
      <w:marRight w:val="0"/>
      <w:marTop w:val="0"/>
      <w:marBottom w:val="0"/>
      <w:divBdr>
        <w:top w:val="none" w:sz="0" w:space="0" w:color="auto"/>
        <w:left w:val="none" w:sz="0" w:space="0" w:color="auto"/>
        <w:bottom w:val="none" w:sz="0" w:space="0" w:color="auto"/>
        <w:right w:val="none" w:sz="0" w:space="0" w:color="auto"/>
      </w:divBdr>
      <w:divsChild>
        <w:div w:id="1008483942">
          <w:marLeft w:val="0"/>
          <w:marRight w:val="0"/>
          <w:marTop w:val="0"/>
          <w:marBottom w:val="0"/>
          <w:divBdr>
            <w:top w:val="none" w:sz="0" w:space="0" w:color="auto"/>
            <w:left w:val="none" w:sz="0" w:space="0" w:color="auto"/>
            <w:bottom w:val="none" w:sz="0" w:space="0" w:color="auto"/>
            <w:right w:val="none" w:sz="0" w:space="0" w:color="auto"/>
          </w:divBdr>
          <w:divsChild>
            <w:div w:id="2907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(GL-QRDv8.2).dotx</Template>
  <TotalTime>39</TotalTime>
  <Pages>7</Pages>
  <Words>2064</Words>
  <Characters>12836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2021112862, MT</dc:description>
  <cp:lastModifiedBy>Gitte Jørgensen</cp:lastModifiedBy>
  <cp:revision>13</cp:revision>
  <dcterms:created xsi:type="dcterms:W3CDTF">2023-02-09T07:30:00Z</dcterms:created>
  <dcterms:modified xsi:type="dcterms:W3CDTF">2023-02-09T10:18:00Z</dcterms:modified>
</cp:coreProperties>
</file>