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FD951" w14:textId="49860058" w:rsidR="005B0036" w:rsidRPr="00236893" w:rsidRDefault="005B0036" w:rsidP="005B0036">
      <w:pPr>
        <w:rPr>
          <w:sz w:val="24"/>
          <w:szCs w:val="24"/>
        </w:rPr>
      </w:pPr>
      <w:bookmarkStart w:id="0" w:name="_GoBack"/>
      <w:bookmarkEnd w:id="0"/>
      <w:r w:rsidRPr="00236893">
        <w:rPr>
          <w:noProof/>
          <w:sz w:val="24"/>
          <w:szCs w:val="24"/>
          <w:lang w:eastAsia="da-DK"/>
        </w:rPr>
        <w:drawing>
          <wp:inline distT="0" distB="0" distL="0" distR="0" wp14:anchorId="2A9F6333" wp14:editId="3FAD694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34B9309" w14:textId="77777777" w:rsidR="00C479BF" w:rsidRPr="00236893" w:rsidRDefault="00C479BF" w:rsidP="005B0036">
      <w:pPr>
        <w:rPr>
          <w:sz w:val="24"/>
          <w:szCs w:val="24"/>
        </w:rPr>
      </w:pPr>
    </w:p>
    <w:p w14:paraId="05545F98" w14:textId="7216F23F" w:rsidR="005B0036" w:rsidRPr="00236893" w:rsidRDefault="005B0036" w:rsidP="005B0036">
      <w:pPr>
        <w:tabs>
          <w:tab w:val="right" w:pos="9356"/>
        </w:tabs>
        <w:rPr>
          <w:b/>
          <w:sz w:val="24"/>
          <w:szCs w:val="24"/>
        </w:rPr>
      </w:pPr>
      <w:r w:rsidRPr="00236893">
        <w:rPr>
          <w:b/>
          <w:sz w:val="24"/>
          <w:szCs w:val="24"/>
        </w:rPr>
        <w:tab/>
      </w:r>
      <w:r w:rsidR="00855EBE">
        <w:rPr>
          <w:b/>
          <w:sz w:val="24"/>
          <w:szCs w:val="24"/>
        </w:rPr>
        <w:t>22</w:t>
      </w:r>
      <w:r w:rsidR="00FC28BC">
        <w:rPr>
          <w:b/>
          <w:sz w:val="24"/>
          <w:szCs w:val="24"/>
        </w:rPr>
        <w:t xml:space="preserve">. </w:t>
      </w:r>
      <w:r w:rsidR="00855EBE">
        <w:rPr>
          <w:b/>
          <w:sz w:val="24"/>
          <w:szCs w:val="24"/>
        </w:rPr>
        <w:t>marts</w:t>
      </w:r>
      <w:r w:rsidR="00FC28BC">
        <w:rPr>
          <w:b/>
          <w:sz w:val="24"/>
          <w:szCs w:val="24"/>
        </w:rPr>
        <w:t xml:space="preserve"> 202</w:t>
      </w:r>
      <w:r w:rsidR="00855EBE">
        <w:rPr>
          <w:b/>
          <w:sz w:val="24"/>
          <w:szCs w:val="24"/>
        </w:rPr>
        <w:t>3</w:t>
      </w:r>
    </w:p>
    <w:p w14:paraId="10E3FADA" w14:textId="68F42B83" w:rsidR="005B0036" w:rsidRPr="00236893" w:rsidRDefault="005B0036" w:rsidP="005B0036">
      <w:pPr>
        <w:rPr>
          <w:sz w:val="24"/>
          <w:szCs w:val="24"/>
        </w:rPr>
      </w:pPr>
    </w:p>
    <w:p w14:paraId="151B433F" w14:textId="56DB5047" w:rsidR="005B0036" w:rsidRDefault="005B0036" w:rsidP="005B0036">
      <w:pPr>
        <w:rPr>
          <w:sz w:val="24"/>
          <w:szCs w:val="24"/>
        </w:rPr>
      </w:pPr>
    </w:p>
    <w:p w14:paraId="41906003" w14:textId="77777777" w:rsidR="00A65A2C" w:rsidRPr="00236893" w:rsidRDefault="00A65A2C" w:rsidP="005B0036">
      <w:pPr>
        <w:rPr>
          <w:sz w:val="24"/>
          <w:szCs w:val="24"/>
        </w:rPr>
      </w:pPr>
    </w:p>
    <w:p w14:paraId="1ACC846C" w14:textId="77777777" w:rsidR="005B0036" w:rsidRPr="00236893" w:rsidRDefault="005B0036" w:rsidP="005B0036">
      <w:pPr>
        <w:tabs>
          <w:tab w:val="left" w:pos="8222"/>
        </w:tabs>
        <w:jc w:val="center"/>
        <w:rPr>
          <w:b/>
          <w:sz w:val="24"/>
          <w:szCs w:val="24"/>
        </w:rPr>
      </w:pPr>
      <w:r w:rsidRPr="00236893">
        <w:rPr>
          <w:b/>
          <w:sz w:val="24"/>
          <w:szCs w:val="24"/>
        </w:rPr>
        <w:t>PRODUKTRESUMÉ</w:t>
      </w:r>
    </w:p>
    <w:p w14:paraId="3300E1CD" w14:textId="77777777" w:rsidR="005B0036" w:rsidRPr="00236893" w:rsidRDefault="005B0036" w:rsidP="005B0036">
      <w:pPr>
        <w:tabs>
          <w:tab w:val="left" w:pos="8222"/>
        </w:tabs>
        <w:jc w:val="center"/>
        <w:rPr>
          <w:b/>
          <w:sz w:val="24"/>
          <w:szCs w:val="24"/>
        </w:rPr>
      </w:pPr>
    </w:p>
    <w:p w14:paraId="43E342A6" w14:textId="77777777" w:rsidR="005B0036" w:rsidRPr="00236893" w:rsidRDefault="005B0036" w:rsidP="005B0036">
      <w:pPr>
        <w:tabs>
          <w:tab w:val="left" w:pos="8222"/>
        </w:tabs>
        <w:jc w:val="center"/>
        <w:rPr>
          <w:b/>
          <w:sz w:val="24"/>
          <w:szCs w:val="24"/>
        </w:rPr>
      </w:pPr>
      <w:r w:rsidRPr="00236893">
        <w:rPr>
          <w:b/>
          <w:sz w:val="24"/>
          <w:szCs w:val="24"/>
        </w:rPr>
        <w:t>for</w:t>
      </w:r>
    </w:p>
    <w:p w14:paraId="0080B798" w14:textId="77777777" w:rsidR="005B0036" w:rsidRPr="00236893" w:rsidRDefault="005B0036" w:rsidP="005B0036">
      <w:pPr>
        <w:tabs>
          <w:tab w:val="left" w:pos="8222"/>
        </w:tabs>
        <w:jc w:val="center"/>
        <w:rPr>
          <w:b/>
          <w:sz w:val="24"/>
          <w:szCs w:val="24"/>
        </w:rPr>
      </w:pPr>
    </w:p>
    <w:p w14:paraId="650FFB2A" w14:textId="341174C7" w:rsidR="005B0036" w:rsidRPr="00236893" w:rsidRDefault="00FF3847" w:rsidP="005B0036">
      <w:pPr>
        <w:tabs>
          <w:tab w:val="left" w:pos="8222"/>
        </w:tabs>
        <w:jc w:val="center"/>
        <w:rPr>
          <w:b/>
          <w:sz w:val="24"/>
          <w:szCs w:val="24"/>
        </w:rPr>
      </w:pPr>
      <w:proofErr w:type="spellStart"/>
      <w:r>
        <w:rPr>
          <w:b/>
          <w:sz w:val="24"/>
          <w:szCs w:val="24"/>
        </w:rPr>
        <w:t>Gabbrovet</w:t>
      </w:r>
      <w:proofErr w:type="spellEnd"/>
      <w:r>
        <w:rPr>
          <w:b/>
          <w:sz w:val="24"/>
          <w:szCs w:val="24"/>
        </w:rPr>
        <w:t xml:space="preserve"> </w:t>
      </w:r>
      <w:proofErr w:type="spellStart"/>
      <w:r>
        <w:rPr>
          <w:b/>
          <w:sz w:val="24"/>
          <w:szCs w:val="24"/>
        </w:rPr>
        <w:t>Multi</w:t>
      </w:r>
      <w:proofErr w:type="spellEnd"/>
      <w:r w:rsidR="002E2471" w:rsidRPr="00236893">
        <w:rPr>
          <w:b/>
          <w:sz w:val="24"/>
          <w:szCs w:val="24"/>
        </w:rPr>
        <w:t>, opløsning til anvendelse i drikkevand/mælk</w:t>
      </w:r>
    </w:p>
    <w:p w14:paraId="02330BD2" w14:textId="77777777" w:rsidR="00A65A2C" w:rsidRPr="00A65A2C" w:rsidRDefault="00A65A2C" w:rsidP="00D74392">
      <w:pPr>
        <w:ind w:left="851" w:hanging="851"/>
        <w:rPr>
          <w:sz w:val="24"/>
          <w:szCs w:val="24"/>
        </w:rPr>
      </w:pPr>
    </w:p>
    <w:p w14:paraId="27238EDF" w14:textId="77777777" w:rsidR="00A65A2C" w:rsidRPr="00A65A2C" w:rsidRDefault="00A65A2C" w:rsidP="00D74392">
      <w:pPr>
        <w:ind w:left="851" w:hanging="851"/>
        <w:rPr>
          <w:sz w:val="24"/>
          <w:szCs w:val="24"/>
        </w:rPr>
      </w:pPr>
    </w:p>
    <w:p w14:paraId="55848479" w14:textId="7B592D16" w:rsidR="00D74392" w:rsidRPr="00236893" w:rsidRDefault="00D74392" w:rsidP="00D74392">
      <w:pPr>
        <w:ind w:left="851" w:hanging="851"/>
        <w:rPr>
          <w:b/>
          <w:sz w:val="24"/>
          <w:szCs w:val="24"/>
        </w:rPr>
      </w:pPr>
      <w:r w:rsidRPr="00236893">
        <w:rPr>
          <w:b/>
          <w:sz w:val="24"/>
          <w:szCs w:val="24"/>
        </w:rPr>
        <w:t>0.</w:t>
      </w:r>
      <w:r w:rsidRPr="00236893">
        <w:rPr>
          <w:b/>
          <w:sz w:val="24"/>
          <w:szCs w:val="24"/>
        </w:rPr>
        <w:tab/>
        <w:t>D.SP.NR.</w:t>
      </w:r>
    </w:p>
    <w:p w14:paraId="174D366F" w14:textId="77777777" w:rsidR="00D74392" w:rsidRPr="00236893" w:rsidRDefault="00D74392" w:rsidP="00D74392">
      <w:pPr>
        <w:tabs>
          <w:tab w:val="left" w:pos="8222"/>
        </w:tabs>
        <w:ind w:left="851"/>
        <w:rPr>
          <w:sz w:val="24"/>
          <w:szCs w:val="24"/>
        </w:rPr>
      </w:pPr>
      <w:r w:rsidRPr="00236893">
        <w:rPr>
          <w:sz w:val="24"/>
          <w:szCs w:val="24"/>
        </w:rPr>
        <w:t>32553</w:t>
      </w:r>
    </w:p>
    <w:p w14:paraId="0705A193" w14:textId="77777777" w:rsidR="00D74392" w:rsidRPr="00236893" w:rsidRDefault="00D74392" w:rsidP="00D74392">
      <w:pPr>
        <w:ind w:left="851"/>
        <w:rPr>
          <w:sz w:val="24"/>
          <w:szCs w:val="24"/>
        </w:rPr>
      </w:pPr>
    </w:p>
    <w:p w14:paraId="7E14461C" w14:textId="77777777" w:rsidR="00D74392" w:rsidRPr="00236893" w:rsidRDefault="00D74392" w:rsidP="00D74392">
      <w:pPr>
        <w:ind w:left="851" w:hanging="851"/>
        <w:rPr>
          <w:b/>
          <w:sz w:val="24"/>
          <w:szCs w:val="24"/>
        </w:rPr>
      </w:pPr>
      <w:r w:rsidRPr="00236893">
        <w:rPr>
          <w:b/>
          <w:sz w:val="24"/>
          <w:szCs w:val="24"/>
        </w:rPr>
        <w:t>1.</w:t>
      </w:r>
      <w:r w:rsidRPr="00236893">
        <w:rPr>
          <w:b/>
          <w:sz w:val="24"/>
          <w:szCs w:val="24"/>
        </w:rPr>
        <w:tab/>
        <w:t>VETERINÆRLÆGEMIDLETS NAVN</w:t>
      </w:r>
    </w:p>
    <w:p w14:paraId="6AD2ABD6" w14:textId="1E86C4A1" w:rsidR="00D74392" w:rsidRPr="00236893" w:rsidRDefault="00FF3847" w:rsidP="00D74392">
      <w:pPr>
        <w:ind w:left="851"/>
        <w:rPr>
          <w:sz w:val="24"/>
          <w:szCs w:val="24"/>
        </w:rPr>
      </w:pPr>
      <w:proofErr w:type="spellStart"/>
      <w:r>
        <w:rPr>
          <w:sz w:val="24"/>
          <w:szCs w:val="24"/>
          <w:shd w:val="clear" w:color="auto" w:fill="FFFFFF"/>
        </w:rPr>
        <w:t>Gabbrovet</w:t>
      </w:r>
      <w:proofErr w:type="spellEnd"/>
      <w:r>
        <w:rPr>
          <w:sz w:val="24"/>
          <w:szCs w:val="24"/>
          <w:shd w:val="clear" w:color="auto" w:fill="FFFFFF"/>
        </w:rPr>
        <w:t xml:space="preserve"> </w:t>
      </w:r>
      <w:proofErr w:type="spellStart"/>
      <w:r>
        <w:rPr>
          <w:sz w:val="24"/>
          <w:szCs w:val="24"/>
          <w:shd w:val="clear" w:color="auto" w:fill="FFFFFF"/>
        </w:rPr>
        <w:t>Multi</w:t>
      </w:r>
      <w:proofErr w:type="spellEnd"/>
    </w:p>
    <w:p w14:paraId="2F1720C3" w14:textId="77777777" w:rsidR="00D74392" w:rsidRPr="00236893" w:rsidRDefault="00D74392" w:rsidP="00D74392">
      <w:pPr>
        <w:ind w:left="851"/>
        <w:rPr>
          <w:sz w:val="24"/>
          <w:szCs w:val="24"/>
        </w:rPr>
      </w:pPr>
    </w:p>
    <w:p w14:paraId="2550A199" w14:textId="31428DCA" w:rsidR="00D74392" w:rsidRPr="00236893" w:rsidRDefault="00D74392" w:rsidP="00D74392">
      <w:pPr>
        <w:ind w:left="851"/>
        <w:rPr>
          <w:sz w:val="24"/>
          <w:szCs w:val="24"/>
        </w:rPr>
      </w:pPr>
      <w:r w:rsidRPr="00236893">
        <w:rPr>
          <w:sz w:val="24"/>
          <w:szCs w:val="24"/>
        </w:rPr>
        <w:t xml:space="preserve">Lægemiddelform: </w:t>
      </w:r>
      <w:r w:rsidR="00597DFF">
        <w:rPr>
          <w:sz w:val="24"/>
          <w:szCs w:val="24"/>
        </w:rPr>
        <w:t>O</w:t>
      </w:r>
      <w:r w:rsidR="006E3424" w:rsidRPr="00236893">
        <w:rPr>
          <w:sz w:val="24"/>
          <w:szCs w:val="24"/>
        </w:rPr>
        <w:t>pløsning til brug i drikkevand/mælk</w:t>
      </w:r>
    </w:p>
    <w:p w14:paraId="21542C5F" w14:textId="14E19759" w:rsidR="00D74392" w:rsidRPr="00236893" w:rsidRDefault="00D74392" w:rsidP="00D74392">
      <w:pPr>
        <w:ind w:left="851"/>
        <w:rPr>
          <w:sz w:val="24"/>
          <w:szCs w:val="24"/>
        </w:rPr>
      </w:pPr>
      <w:r w:rsidRPr="00236893">
        <w:rPr>
          <w:sz w:val="24"/>
          <w:szCs w:val="24"/>
        </w:rPr>
        <w:t xml:space="preserve">Styrke(r): </w:t>
      </w:r>
      <w:r w:rsidR="006E3424" w:rsidRPr="00236893">
        <w:rPr>
          <w:sz w:val="24"/>
          <w:szCs w:val="24"/>
        </w:rPr>
        <w:t>140 mg/ml</w:t>
      </w:r>
    </w:p>
    <w:p w14:paraId="3536FE6C" w14:textId="77777777" w:rsidR="00D74392" w:rsidRPr="00236893" w:rsidRDefault="00D74392" w:rsidP="00D74392">
      <w:pPr>
        <w:ind w:left="851"/>
        <w:rPr>
          <w:sz w:val="24"/>
          <w:szCs w:val="24"/>
        </w:rPr>
      </w:pPr>
    </w:p>
    <w:p w14:paraId="19CB3AC5" w14:textId="77777777" w:rsidR="00D74392" w:rsidRPr="00236893" w:rsidRDefault="00D74392" w:rsidP="00D74392">
      <w:pPr>
        <w:ind w:left="851" w:hanging="851"/>
        <w:rPr>
          <w:b/>
          <w:sz w:val="24"/>
          <w:szCs w:val="24"/>
        </w:rPr>
      </w:pPr>
      <w:r w:rsidRPr="00236893">
        <w:rPr>
          <w:b/>
          <w:sz w:val="24"/>
          <w:szCs w:val="24"/>
        </w:rPr>
        <w:t>2.</w:t>
      </w:r>
      <w:r w:rsidRPr="00236893">
        <w:rPr>
          <w:b/>
          <w:sz w:val="24"/>
          <w:szCs w:val="24"/>
        </w:rPr>
        <w:tab/>
        <w:t>KVALITATIV OG KVANTITATIV SAMMENSÆTNING</w:t>
      </w:r>
    </w:p>
    <w:p w14:paraId="6B42B7A3" w14:textId="77777777" w:rsidR="006E3424" w:rsidRPr="00236893" w:rsidRDefault="006E3424" w:rsidP="00CE1470">
      <w:pPr>
        <w:widowControl w:val="0"/>
        <w:ind w:left="851"/>
        <w:rPr>
          <w:sz w:val="24"/>
          <w:szCs w:val="24"/>
        </w:rPr>
      </w:pPr>
      <w:r w:rsidRPr="00236893">
        <w:rPr>
          <w:sz w:val="24"/>
          <w:szCs w:val="24"/>
        </w:rPr>
        <w:t>En ml indeholder:</w:t>
      </w:r>
    </w:p>
    <w:p w14:paraId="798BC8B8" w14:textId="77777777" w:rsidR="006E3424" w:rsidRPr="00236893" w:rsidRDefault="006E3424" w:rsidP="00CE1470">
      <w:pPr>
        <w:widowControl w:val="0"/>
        <w:ind w:left="851"/>
        <w:rPr>
          <w:b/>
          <w:sz w:val="24"/>
          <w:szCs w:val="24"/>
        </w:rPr>
      </w:pPr>
    </w:p>
    <w:p w14:paraId="02A03940" w14:textId="77777777" w:rsidR="006E3424" w:rsidRPr="00236893" w:rsidRDefault="006E3424" w:rsidP="00CE1470">
      <w:pPr>
        <w:widowControl w:val="0"/>
        <w:ind w:left="851"/>
        <w:rPr>
          <w:sz w:val="24"/>
          <w:szCs w:val="24"/>
        </w:rPr>
      </w:pPr>
      <w:r w:rsidRPr="00236893">
        <w:rPr>
          <w:b/>
          <w:sz w:val="24"/>
          <w:szCs w:val="24"/>
        </w:rPr>
        <w:t>Aktivt stof:</w:t>
      </w:r>
    </w:p>
    <w:p w14:paraId="57C11035" w14:textId="77777777" w:rsidR="006E3424" w:rsidRPr="00236893" w:rsidRDefault="006E3424" w:rsidP="00CE1470">
      <w:pPr>
        <w:widowControl w:val="0"/>
        <w:tabs>
          <w:tab w:val="right" w:pos="5529"/>
        </w:tabs>
        <w:ind w:left="851"/>
        <w:rPr>
          <w:sz w:val="24"/>
          <w:szCs w:val="24"/>
        </w:rPr>
      </w:pPr>
      <w:proofErr w:type="spellStart"/>
      <w:r w:rsidRPr="00236893">
        <w:rPr>
          <w:sz w:val="24"/>
          <w:szCs w:val="24"/>
        </w:rPr>
        <w:t>Paromomycin</w:t>
      </w:r>
      <w:proofErr w:type="spellEnd"/>
      <w:r w:rsidRPr="00236893">
        <w:rPr>
          <w:sz w:val="24"/>
          <w:szCs w:val="24"/>
        </w:rPr>
        <w:t xml:space="preserve"> (som sulfat):</w:t>
      </w:r>
      <w:r w:rsidRPr="00236893">
        <w:rPr>
          <w:sz w:val="24"/>
          <w:szCs w:val="24"/>
        </w:rPr>
        <w:tab/>
        <w:t xml:space="preserve">140,0 mg </w:t>
      </w:r>
    </w:p>
    <w:p w14:paraId="2497B7CB" w14:textId="77777777" w:rsidR="006E3424" w:rsidRPr="00236893" w:rsidRDefault="006E3424" w:rsidP="00CE1470">
      <w:pPr>
        <w:widowControl w:val="0"/>
        <w:ind w:left="851"/>
        <w:rPr>
          <w:sz w:val="24"/>
          <w:szCs w:val="24"/>
        </w:rPr>
      </w:pPr>
      <w:r w:rsidRPr="00236893">
        <w:rPr>
          <w:sz w:val="24"/>
          <w:szCs w:val="24"/>
        </w:rPr>
        <w:t xml:space="preserve">(svarende til 140 000 IE </w:t>
      </w:r>
      <w:proofErr w:type="spellStart"/>
      <w:r w:rsidRPr="00236893">
        <w:rPr>
          <w:sz w:val="24"/>
          <w:szCs w:val="24"/>
        </w:rPr>
        <w:t>paromomycinaktivitet</w:t>
      </w:r>
      <w:proofErr w:type="spellEnd"/>
      <w:r w:rsidRPr="00236893">
        <w:rPr>
          <w:sz w:val="24"/>
          <w:szCs w:val="24"/>
        </w:rPr>
        <w:t>)</w:t>
      </w:r>
    </w:p>
    <w:p w14:paraId="6B72BEDC" w14:textId="77777777" w:rsidR="006E3424" w:rsidRPr="00236893" w:rsidRDefault="006E3424" w:rsidP="00CE1470">
      <w:pPr>
        <w:widowControl w:val="0"/>
        <w:ind w:left="851"/>
        <w:rPr>
          <w:sz w:val="24"/>
          <w:szCs w:val="24"/>
        </w:rPr>
      </w:pPr>
      <w:r w:rsidRPr="00236893">
        <w:rPr>
          <w:sz w:val="24"/>
          <w:szCs w:val="24"/>
        </w:rPr>
        <w:t xml:space="preserve">(svarende til ca. 200 mg </w:t>
      </w:r>
      <w:proofErr w:type="spellStart"/>
      <w:r w:rsidRPr="00236893">
        <w:rPr>
          <w:sz w:val="24"/>
          <w:szCs w:val="24"/>
        </w:rPr>
        <w:t>paromomycinsulfat</w:t>
      </w:r>
      <w:proofErr w:type="spellEnd"/>
      <w:r w:rsidRPr="00236893">
        <w:rPr>
          <w:sz w:val="24"/>
          <w:szCs w:val="24"/>
        </w:rPr>
        <w:t>)</w:t>
      </w:r>
    </w:p>
    <w:p w14:paraId="2C10EF24" w14:textId="77777777" w:rsidR="006E3424" w:rsidRPr="00236893" w:rsidRDefault="006E3424" w:rsidP="00CE1470">
      <w:pPr>
        <w:tabs>
          <w:tab w:val="left" w:pos="1304"/>
        </w:tabs>
        <w:ind w:left="851"/>
        <w:rPr>
          <w:sz w:val="24"/>
          <w:szCs w:val="24"/>
        </w:rPr>
      </w:pPr>
    </w:p>
    <w:p w14:paraId="20B2FD3D" w14:textId="77777777" w:rsidR="006E3424" w:rsidRPr="00236893" w:rsidRDefault="006E3424" w:rsidP="00CE1470">
      <w:pPr>
        <w:tabs>
          <w:tab w:val="left" w:pos="1304"/>
        </w:tabs>
        <w:ind w:left="851"/>
        <w:rPr>
          <w:sz w:val="24"/>
          <w:szCs w:val="24"/>
        </w:rPr>
      </w:pPr>
      <w:r w:rsidRPr="00236893">
        <w:rPr>
          <w:b/>
          <w:sz w:val="24"/>
          <w:szCs w:val="24"/>
        </w:rPr>
        <w:t>Hjælpestoffer:</w:t>
      </w:r>
    </w:p>
    <w:p w14:paraId="0DA9D9BE" w14:textId="77777777" w:rsidR="006E3424" w:rsidRPr="00236893" w:rsidRDefault="006E3424" w:rsidP="006E3424">
      <w:pPr>
        <w:tabs>
          <w:tab w:val="left" w:pos="1304"/>
        </w:tabs>
        <w:rPr>
          <w:sz w:val="24"/>
          <w:szCs w:val="24"/>
        </w:rPr>
      </w:pPr>
    </w:p>
    <w:tbl>
      <w:tblPr>
        <w:tblW w:w="851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260"/>
      </w:tblGrid>
      <w:tr w:rsidR="006E3424" w:rsidRPr="00236893" w14:paraId="74334AB5" w14:textId="77777777" w:rsidTr="00903CD6">
        <w:tc>
          <w:tcPr>
            <w:tcW w:w="4252" w:type="dxa"/>
            <w:tcBorders>
              <w:top w:val="single" w:sz="4" w:space="0" w:color="000000"/>
              <w:left w:val="single" w:sz="4" w:space="0" w:color="000000"/>
              <w:bottom w:val="single" w:sz="4" w:space="0" w:color="000000"/>
              <w:right w:val="single" w:sz="4" w:space="0" w:color="000000"/>
            </w:tcBorders>
            <w:vAlign w:val="center"/>
            <w:hideMark/>
          </w:tcPr>
          <w:p w14:paraId="4812F390" w14:textId="77777777" w:rsidR="006E3424" w:rsidRPr="00236893" w:rsidRDefault="006E3424">
            <w:pPr>
              <w:spacing w:before="60" w:after="60"/>
              <w:rPr>
                <w:iCs/>
                <w:sz w:val="24"/>
                <w:szCs w:val="24"/>
              </w:rPr>
            </w:pPr>
            <w:r w:rsidRPr="00236893">
              <w:rPr>
                <w:b/>
                <w:sz w:val="24"/>
                <w:szCs w:val="24"/>
              </w:rPr>
              <w:t>Kvalitativ sammensætning af hjælpestoffer og andre bestanddele</w:t>
            </w:r>
          </w:p>
        </w:tc>
        <w:tc>
          <w:tcPr>
            <w:tcW w:w="4260" w:type="dxa"/>
            <w:tcBorders>
              <w:top w:val="single" w:sz="4" w:space="0" w:color="000000"/>
              <w:left w:val="single" w:sz="4" w:space="0" w:color="000000"/>
              <w:bottom w:val="single" w:sz="4" w:space="0" w:color="000000"/>
              <w:right w:val="single" w:sz="4" w:space="0" w:color="000000"/>
            </w:tcBorders>
            <w:vAlign w:val="center"/>
            <w:hideMark/>
          </w:tcPr>
          <w:p w14:paraId="1A16B53B" w14:textId="77777777" w:rsidR="006E3424" w:rsidRPr="00236893" w:rsidRDefault="006E3424">
            <w:pPr>
              <w:spacing w:before="60" w:after="60"/>
              <w:rPr>
                <w:i/>
                <w:iCs/>
                <w:sz w:val="24"/>
                <w:szCs w:val="24"/>
              </w:rPr>
            </w:pPr>
            <w:r w:rsidRPr="00236893">
              <w:rPr>
                <w:b/>
                <w:sz w:val="24"/>
                <w:szCs w:val="24"/>
              </w:rPr>
              <w:t>Kvantitativ sammensætning</w:t>
            </w:r>
            <w:r w:rsidRPr="00236893">
              <w:rPr>
                <w:sz w:val="24"/>
                <w:szCs w:val="24"/>
              </w:rPr>
              <w:t xml:space="preserve"> </w:t>
            </w:r>
            <w:r w:rsidRPr="00236893">
              <w:rPr>
                <w:b/>
                <w:sz w:val="24"/>
                <w:szCs w:val="24"/>
              </w:rPr>
              <w:t>hvis oplysningen er vigtig for korrekt administration af veterinærlægemidlet</w:t>
            </w:r>
          </w:p>
        </w:tc>
      </w:tr>
      <w:tr w:rsidR="006E3424" w:rsidRPr="00236893" w14:paraId="76C77BB8" w14:textId="77777777" w:rsidTr="00903CD6">
        <w:tc>
          <w:tcPr>
            <w:tcW w:w="4252" w:type="dxa"/>
            <w:tcBorders>
              <w:top w:val="single" w:sz="4" w:space="0" w:color="000000"/>
              <w:left w:val="single" w:sz="4" w:space="0" w:color="000000"/>
              <w:bottom w:val="single" w:sz="4" w:space="0" w:color="000000"/>
              <w:right w:val="single" w:sz="4" w:space="0" w:color="000000"/>
            </w:tcBorders>
            <w:vAlign w:val="center"/>
            <w:hideMark/>
          </w:tcPr>
          <w:p w14:paraId="6EC5FD62" w14:textId="77777777" w:rsidR="006E3424" w:rsidRPr="00236893" w:rsidRDefault="006E3424">
            <w:pPr>
              <w:spacing w:before="60" w:after="60"/>
              <w:ind w:left="567" w:hanging="567"/>
              <w:rPr>
                <w:iCs/>
                <w:sz w:val="24"/>
                <w:szCs w:val="24"/>
              </w:rPr>
            </w:pPr>
            <w:proofErr w:type="spellStart"/>
            <w:r w:rsidRPr="00236893">
              <w:rPr>
                <w:sz w:val="24"/>
                <w:szCs w:val="24"/>
              </w:rPr>
              <w:t>Benzylalkohol</w:t>
            </w:r>
            <w:proofErr w:type="spellEnd"/>
            <w:r w:rsidRPr="00236893">
              <w:rPr>
                <w:sz w:val="24"/>
                <w:szCs w:val="24"/>
              </w:rPr>
              <w:t xml:space="preserve"> (E1519)</w:t>
            </w:r>
          </w:p>
        </w:tc>
        <w:tc>
          <w:tcPr>
            <w:tcW w:w="4260" w:type="dxa"/>
            <w:tcBorders>
              <w:top w:val="single" w:sz="4" w:space="0" w:color="000000"/>
              <w:left w:val="single" w:sz="4" w:space="0" w:color="000000"/>
              <w:bottom w:val="single" w:sz="4" w:space="0" w:color="000000"/>
              <w:right w:val="single" w:sz="4" w:space="0" w:color="000000"/>
            </w:tcBorders>
            <w:vAlign w:val="center"/>
            <w:hideMark/>
          </w:tcPr>
          <w:p w14:paraId="3C968DB7" w14:textId="77777777" w:rsidR="006E3424" w:rsidRPr="00236893" w:rsidRDefault="006E3424">
            <w:pPr>
              <w:spacing w:before="60" w:after="60"/>
              <w:rPr>
                <w:iCs/>
                <w:sz w:val="24"/>
                <w:szCs w:val="24"/>
              </w:rPr>
            </w:pPr>
            <w:r w:rsidRPr="00236893">
              <w:rPr>
                <w:sz w:val="24"/>
                <w:szCs w:val="24"/>
              </w:rPr>
              <w:t>7,5 mg</w:t>
            </w:r>
          </w:p>
        </w:tc>
      </w:tr>
      <w:tr w:rsidR="006E3424" w:rsidRPr="00236893" w14:paraId="2DD77E36" w14:textId="77777777" w:rsidTr="00903CD6">
        <w:tc>
          <w:tcPr>
            <w:tcW w:w="4252" w:type="dxa"/>
            <w:tcBorders>
              <w:top w:val="single" w:sz="4" w:space="0" w:color="000000"/>
              <w:left w:val="single" w:sz="4" w:space="0" w:color="000000"/>
              <w:bottom w:val="single" w:sz="4" w:space="0" w:color="000000"/>
              <w:right w:val="single" w:sz="4" w:space="0" w:color="000000"/>
            </w:tcBorders>
            <w:vAlign w:val="center"/>
            <w:hideMark/>
          </w:tcPr>
          <w:p w14:paraId="5DE244AB" w14:textId="77777777" w:rsidR="006E3424" w:rsidRPr="00236893" w:rsidRDefault="006E3424">
            <w:pPr>
              <w:widowControl w:val="0"/>
              <w:rPr>
                <w:iCs/>
                <w:sz w:val="24"/>
                <w:szCs w:val="24"/>
              </w:rPr>
            </w:pPr>
            <w:proofErr w:type="spellStart"/>
            <w:r w:rsidRPr="00236893">
              <w:rPr>
                <w:sz w:val="24"/>
                <w:szCs w:val="24"/>
              </w:rPr>
              <w:t>Natriummetabisulfit</w:t>
            </w:r>
            <w:proofErr w:type="spellEnd"/>
            <w:r w:rsidRPr="00236893">
              <w:rPr>
                <w:sz w:val="24"/>
                <w:szCs w:val="24"/>
              </w:rPr>
              <w:t xml:space="preserve"> (E223)</w:t>
            </w:r>
          </w:p>
        </w:tc>
        <w:tc>
          <w:tcPr>
            <w:tcW w:w="4260" w:type="dxa"/>
            <w:tcBorders>
              <w:top w:val="single" w:sz="4" w:space="0" w:color="000000"/>
              <w:left w:val="single" w:sz="4" w:space="0" w:color="000000"/>
              <w:bottom w:val="single" w:sz="4" w:space="0" w:color="000000"/>
              <w:right w:val="single" w:sz="4" w:space="0" w:color="000000"/>
            </w:tcBorders>
            <w:vAlign w:val="center"/>
            <w:hideMark/>
          </w:tcPr>
          <w:p w14:paraId="4C7133A7" w14:textId="77777777" w:rsidR="006E3424" w:rsidRPr="00236893" w:rsidRDefault="006E3424">
            <w:pPr>
              <w:widowControl w:val="0"/>
              <w:tabs>
                <w:tab w:val="left" w:pos="4111"/>
                <w:tab w:val="right" w:pos="5529"/>
              </w:tabs>
              <w:rPr>
                <w:iCs/>
                <w:sz w:val="24"/>
                <w:szCs w:val="24"/>
              </w:rPr>
            </w:pPr>
            <w:r w:rsidRPr="00236893">
              <w:rPr>
                <w:sz w:val="24"/>
                <w:szCs w:val="24"/>
              </w:rPr>
              <w:t>3,0 mg</w:t>
            </w:r>
          </w:p>
        </w:tc>
      </w:tr>
      <w:tr w:rsidR="006E3424" w:rsidRPr="00236893" w14:paraId="53B8BE94" w14:textId="77777777" w:rsidTr="00903CD6">
        <w:tc>
          <w:tcPr>
            <w:tcW w:w="4252" w:type="dxa"/>
            <w:tcBorders>
              <w:top w:val="single" w:sz="4" w:space="0" w:color="000000"/>
              <w:left w:val="single" w:sz="4" w:space="0" w:color="000000"/>
              <w:bottom w:val="single" w:sz="4" w:space="0" w:color="000000"/>
              <w:right w:val="single" w:sz="4" w:space="0" w:color="000000"/>
            </w:tcBorders>
            <w:vAlign w:val="center"/>
            <w:hideMark/>
          </w:tcPr>
          <w:p w14:paraId="3F11B0B7" w14:textId="77777777" w:rsidR="006E3424" w:rsidRPr="00236893" w:rsidRDefault="006E3424">
            <w:pPr>
              <w:widowControl w:val="0"/>
              <w:rPr>
                <w:iCs/>
                <w:sz w:val="24"/>
                <w:szCs w:val="24"/>
              </w:rPr>
            </w:pPr>
            <w:proofErr w:type="spellStart"/>
            <w:r w:rsidRPr="00236893">
              <w:rPr>
                <w:sz w:val="24"/>
                <w:szCs w:val="24"/>
              </w:rPr>
              <w:t>Dinatriumedetat</w:t>
            </w:r>
            <w:proofErr w:type="spellEnd"/>
          </w:p>
        </w:tc>
        <w:tc>
          <w:tcPr>
            <w:tcW w:w="4260" w:type="dxa"/>
            <w:tcBorders>
              <w:top w:val="single" w:sz="4" w:space="0" w:color="000000"/>
              <w:left w:val="single" w:sz="4" w:space="0" w:color="000000"/>
              <w:bottom w:val="single" w:sz="4" w:space="0" w:color="000000"/>
              <w:right w:val="single" w:sz="4" w:space="0" w:color="000000"/>
            </w:tcBorders>
            <w:vAlign w:val="center"/>
            <w:hideMark/>
          </w:tcPr>
          <w:p w14:paraId="24B520D1" w14:textId="77777777" w:rsidR="006E3424" w:rsidRPr="00236893" w:rsidRDefault="006E3424">
            <w:pPr>
              <w:spacing w:before="60" w:after="60"/>
              <w:rPr>
                <w:iCs/>
                <w:sz w:val="24"/>
                <w:szCs w:val="24"/>
              </w:rPr>
            </w:pPr>
            <w:r w:rsidRPr="00236893">
              <w:rPr>
                <w:sz w:val="24"/>
                <w:szCs w:val="24"/>
              </w:rPr>
              <w:t>Ikke relevant</w:t>
            </w:r>
          </w:p>
        </w:tc>
      </w:tr>
      <w:tr w:rsidR="006E3424" w:rsidRPr="00236893" w14:paraId="360F32D1" w14:textId="77777777" w:rsidTr="00903CD6">
        <w:tc>
          <w:tcPr>
            <w:tcW w:w="4252" w:type="dxa"/>
            <w:tcBorders>
              <w:top w:val="single" w:sz="4" w:space="0" w:color="000000"/>
              <w:left w:val="single" w:sz="4" w:space="0" w:color="000000"/>
              <w:bottom w:val="single" w:sz="4" w:space="0" w:color="000000"/>
              <w:right w:val="single" w:sz="4" w:space="0" w:color="000000"/>
            </w:tcBorders>
            <w:vAlign w:val="center"/>
            <w:hideMark/>
          </w:tcPr>
          <w:p w14:paraId="717406A2" w14:textId="77777777" w:rsidR="006E3424" w:rsidRPr="00236893" w:rsidRDefault="006E3424">
            <w:pPr>
              <w:widowControl w:val="0"/>
              <w:rPr>
                <w:b/>
                <w:bCs/>
                <w:iCs/>
                <w:sz w:val="24"/>
                <w:szCs w:val="24"/>
              </w:rPr>
            </w:pPr>
            <w:r w:rsidRPr="00236893">
              <w:rPr>
                <w:sz w:val="24"/>
                <w:szCs w:val="24"/>
              </w:rPr>
              <w:t>Renset vand</w:t>
            </w:r>
          </w:p>
        </w:tc>
        <w:tc>
          <w:tcPr>
            <w:tcW w:w="4260" w:type="dxa"/>
            <w:tcBorders>
              <w:top w:val="single" w:sz="4" w:space="0" w:color="000000"/>
              <w:left w:val="single" w:sz="4" w:space="0" w:color="000000"/>
              <w:bottom w:val="single" w:sz="4" w:space="0" w:color="000000"/>
              <w:right w:val="single" w:sz="4" w:space="0" w:color="000000"/>
            </w:tcBorders>
            <w:vAlign w:val="center"/>
            <w:hideMark/>
          </w:tcPr>
          <w:p w14:paraId="0B2F7103" w14:textId="77777777" w:rsidR="006E3424" w:rsidRPr="00236893" w:rsidRDefault="006E3424">
            <w:pPr>
              <w:spacing w:before="60" w:after="60"/>
              <w:rPr>
                <w:iCs/>
                <w:sz w:val="24"/>
                <w:szCs w:val="24"/>
              </w:rPr>
            </w:pPr>
            <w:r w:rsidRPr="00236893">
              <w:rPr>
                <w:sz w:val="24"/>
                <w:szCs w:val="24"/>
              </w:rPr>
              <w:t>Ikke relevant</w:t>
            </w:r>
          </w:p>
        </w:tc>
      </w:tr>
    </w:tbl>
    <w:p w14:paraId="001D54A5" w14:textId="77777777" w:rsidR="006E3424" w:rsidRPr="00236893" w:rsidRDefault="006E3424" w:rsidP="006E3424">
      <w:pPr>
        <w:tabs>
          <w:tab w:val="left" w:pos="1304"/>
        </w:tabs>
        <w:rPr>
          <w:sz w:val="24"/>
          <w:szCs w:val="24"/>
        </w:rPr>
      </w:pPr>
    </w:p>
    <w:p w14:paraId="0044F3D2" w14:textId="77777777" w:rsidR="006E3424" w:rsidRPr="00236893" w:rsidRDefault="006E3424" w:rsidP="00903CD6">
      <w:pPr>
        <w:widowControl w:val="0"/>
        <w:ind w:left="851"/>
        <w:rPr>
          <w:sz w:val="24"/>
          <w:szCs w:val="24"/>
        </w:rPr>
      </w:pPr>
      <w:r w:rsidRPr="00236893">
        <w:rPr>
          <w:sz w:val="24"/>
          <w:szCs w:val="24"/>
        </w:rPr>
        <w:t>Efter fortynding i vand, klar farveløs eller lysegul opløsning.</w:t>
      </w:r>
    </w:p>
    <w:p w14:paraId="704A6367" w14:textId="77777777" w:rsidR="006E3424" w:rsidRPr="00236893" w:rsidRDefault="006E3424" w:rsidP="00903CD6">
      <w:pPr>
        <w:tabs>
          <w:tab w:val="left" w:pos="1304"/>
        </w:tabs>
        <w:ind w:left="851"/>
        <w:rPr>
          <w:sz w:val="24"/>
          <w:szCs w:val="24"/>
        </w:rPr>
      </w:pPr>
      <w:r w:rsidRPr="00236893">
        <w:rPr>
          <w:sz w:val="24"/>
          <w:szCs w:val="24"/>
        </w:rPr>
        <w:t>Efter fortynding i mælk, hvid til lysegul væske.</w:t>
      </w:r>
    </w:p>
    <w:p w14:paraId="3FCCB806" w14:textId="5AC02596" w:rsidR="00D74392" w:rsidRDefault="00D74392" w:rsidP="00D74392">
      <w:pPr>
        <w:ind w:left="851"/>
        <w:rPr>
          <w:sz w:val="24"/>
          <w:szCs w:val="24"/>
        </w:rPr>
      </w:pPr>
    </w:p>
    <w:p w14:paraId="186EC4CF" w14:textId="6C810074" w:rsidR="00A65A2C" w:rsidRDefault="00A65A2C">
      <w:pPr>
        <w:rPr>
          <w:sz w:val="24"/>
          <w:szCs w:val="24"/>
        </w:rPr>
      </w:pPr>
      <w:r>
        <w:rPr>
          <w:sz w:val="24"/>
          <w:szCs w:val="24"/>
        </w:rPr>
        <w:br w:type="page"/>
      </w:r>
    </w:p>
    <w:p w14:paraId="2BFB5861" w14:textId="77777777" w:rsidR="00A65A2C" w:rsidRPr="00236893" w:rsidRDefault="00A65A2C" w:rsidP="00D74392">
      <w:pPr>
        <w:ind w:left="851"/>
        <w:rPr>
          <w:sz w:val="24"/>
          <w:szCs w:val="24"/>
        </w:rPr>
      </w:pPr>
    </w:p>
    <w:p w14:paraId="2BBC8537" w14:textId="77777777" w:rsidR="00D74392" w:rsidRPr="00236893" w:rsidRDefault="00D74392" w:rsidP="00D74392">
      <w:pPr>
        <w:ind w:left="851" w:hanging="851"/>
        <w:rPr>
          <w:b/>
          <w:sz w:val="24"/>
          <w:szCs w:val="24"/>
        </w:rPr>
      </w:pPr>
      <w:r w:rsidRPr="00236893">
        <w:rPr>
          <w:b/>
          <w:sz w:val="24"/>
          <w:szCs w:val="24"/>
        </w:rPr>
        <w:t>3.</w:t>
      </w:r>
      <w:r w:rsidRPr="00236893">
        <w:rPr>
          <w:b/>
          <w:sz w:val="24"/>
          <w:szCs w:val="24"/>
        </w:rPr>
        <w:tab/>
        <w:t>KLINISKE OPLYSNINGER</w:t>
      </w:r>
    </w:p>
    <w:p w14:paraId="7A4F49F2" w14:textId="77777777" w:rsidR="00D74392" w:rsidRPr="00236893" w:rsidRDefault="00D74392" w:rsidP="00D74392">
      <w:pPr>
        <w:tabs>
          <w:tab w:val="left" w:pos="851"/>
        </w:tabs>
        <w:ind w:left="851"/>
        <w:rPr>
          <w:sz w:val="24"/>
          <w:szCs w:val="24"/>
        </w:rPr>
      </w:pPr>
    </w:p>
    <w:p w14:paraId="4ED4C73E" w14:textId="77777777" w:rsidR="00D74392" w:rsidRPr="00236893" w:rsidRDefault="00D74392" w:rsidP="00D74392">
      <w:pPr>
        <w:ind w:left="851" w:hanging="851"/>
        <w:rPr>
          <w:b/>
          <w:sz w:val="24"/>
          <w:szCs w:val="24"/>
          <w:u w:val="single"/>
        </w:rPr>
      </w:pPr>
      <w:r w:rsidRPr="00236893">
        <w:rPr>
          <w:b/>
          <w:sz w:val="24"/>
          <w:szCs w:val="24"/>
        </w:rPr>
        <w:t>3.1</w:t>
      </w:r>
      <w:r w:rsidRPr="00236893">
        <w:rPr>
          <w:b/>
          <w:sz w:val="24"/>
          <w:szCs w:val="24"/>
        </w:rPr>
        <w:tab/>
        <w:t>Dyrearter, som lægemidlet er beregnet til</w:t>
      </w:r>
    </w:p>
    <w:p w14:paraId="6E928525" w14:textId="77777777" w:rsidR="006E3424" w:rsidRPr="00236893" w:rsidRDefault="006E3424" w:rsidP="00903CD6">
      <w:pPr>
        <w:ind w:left="851"/>
        <w:rPr>
          <w:sz w:val="24"/>
          <w:szCs w:val="24"/>
        </w:rPr>
      </w:pPr>
      <w:r w:rsidRPr="00236893">
        <w:rPr>
          <w:sz w:val="24"/>
          <w:szCs w:val="24"/>
        </w:rPr>
        <w:t>Kvæg (præ-drøvtyggende kvæg og nyfødte kalve) og svin</w:t>
      </w:r>
    </w:p>
    <w:p w14:paraId="31E903E8" w14:textId="77777777" w:rsidR="00D74392" w:rsidRPr="00236893" w:rsidRDefault="00D74392" w:rsidP="00D74392">
      <w:pPr>
        <w:ind w:left="851"/>
        <w:rPr>
          <w:sz w:val="24"/>
          <w:szCs w:val="24"/>
        </w:rPr>
      </w:pPr>
    </w:p>
    <w:p w14:paraId="534797E6" w14:textId="77777777" w:rsidR="00D74392" w:rsidRPr="00236893" w:rsidRDefault="00D74392" w:rsidP="00D74392">
      <w:pPr>
        <w:pStyle w:val="Sidehoved"/>
        <w:tabs>
          <w:tab w:val="clear" w:pos="4819"/>
        </w:tabs>
        <w:ind w:left="851" w:hanging="851"/>
        <w:rPr>
          <w:b/>
          <w:szCs w:val="24"/>
        </w:rPr>
      </w:pPr>
      <w:r w:rsidRPr="00236893">
        <w:rPr>
          <w:b/>
          <w:szCs w:val="24"/>
        </w:rPr>
        <w:t>3.2</w:t>
      </w:r>
      <w:r w:rsidRPr="00236893">
        <w:rPr>
          <w:b/>
          <w:szCs w:val="24"/>
        </w:rPr>
        <w:tab/>
        <w:t>Terapeutiske indikationer for hver dyreart, som lægemidlet er beregnet til</w:t>
      </w:r>
    </w:p>
    <w:p w14:paraId="42E87840" w14:textId="77777777" w:rsidR="00A65A2C" w:rsidRDefault="00A65A2C" w:rsidP="00903CD6">
      <w:pPr>
        <w:widowControl w:val="0"/>
        <w:ind w:left="851"/>
        <w:rPr>
          <w:b/>
          <w:sz w:val="24"/>
          <w:szCs w:val="24"/>
        </w:rPr>
      </w:pPr>
      <w:bookmarkStart w:id="1" w:name="_Hlk94086214"/>
    </w:p>
    <w:p w14:paraId="372DB491" w14:textId="647A4CFD" w:rsidR="006E3424" w:rsidRPr="00236893" w:rsidRDefault="006E3424" w:rsidP="00903CD6">
      <w:pPr>
        <w:widowControl w:val="0"/>
        <w:ind w:left="851"/>
        <w:rPr>
          <w:i/>
          <w:sz w:val="24"/>
          <w:szCs w:val="24"/>
          <w:u w:val="single"/>
        </w:rPr>
      </w:pPr>
      <w:r w:rsidRPr="00236893">
        <w:rPr>
          <w:b/>
          <w:sz w:val="24"/>
          <w:szCs w:val="24"/>
        </w:rPr>
        <w:t>Kvæg (præ-drøvtyggende kvæg):</w:t>
      </w:r>
    </w:p>
    <w:p w14:paraId="6F74DFF0" w14:textId="77777777" w:rsidR="006E3424" w:rsidRPr="00236893" w:rsidRDefault="006E3424" w:rsidP="00903CD6">
      <w:pPr>
        <w:widowControl w:val="0"/>
        <w:ind w:left="851"/>
        <w:rPr>
          <w:i/>
          <w:sz w:val="24"/>
          <w:szCs w:val="24"/>
          <w:u w:val="single"/>
        </w:rPr>
      </w:pPr>
      <w:proofErr w:type="spellStart"/>
      <w:r w:rsidRPr="00236893">
        <w:rPr>
          <w:i/>
          <w:sz w:val="24"/>
          <w:szCs w:val="24"/>
          <w:u w:val="single"/>
        </w:rPr>
        <w:t>Colibacillose</w:t>
      </w:r>
      <w:proofErr w:type="spellEnd"/>
    </w:p>
    <w:p w14:paraId="71BFDC0B" w14:textId="77777777" w:rsidR="006E3424" w:rsidRPr="00236893" w:rsidRDefault="006E3424" w:rsidP="00903CD6">
      <w:pPr>
        <w:widowControl w:val="0"/>
        <w:ind w:left="851"/>
        <w:rPr>
          <w:sz w:val="24"/>
          <w:szCs w:val="24"/>
        </w:rPr>
      </w:pPr>
      <w:r w:rsidRPr="00236893">
        <w:rPr>
          <w:sz w:val="24"/>
          <w:szCs w:val="24"/>
        </w:rPr>
        <w:t xml:space="preserve">Behandling af </w:t>
      </w:r>
      <w:proofErr w:type="spellStart"/>
      <w:r w:rsidRPr="00236893">
        <w:rPr>
          <w:sz w:val="24"/>
          <w:szCs w:val="24"/>
        </w:rPr>
        <w:t>gastrointestinale</w:t>
      </w:r>
      <w:proofErr w:type="spellEnd"/>
      <w:r w:rsidRPr="00236893">
        <w:rPr>
          <w:sz w:val="24"/>
          <w:szCs w:val="24"/>
        </w:rPr>
        <w:t xml:space="preserve"> infektioner forårsaget af </w:t>
      </w:r>
      <w:r w:rsidRPr="00236893">
        <w:rPr>
          <w:i/>
          <w:sz w:val="24"/>
          <w:szCs w:val="24"/>
        </w:rPr>
        <w:t>Escherichia coli</w:t>
      </w:r>
      <w:r w:rsidRPr="00236893">
        <w:rPr>
          <w:sz w:val="24"/>
          <w:szCs w:val="24"/>
        </w:rPr>
        <w:t xml:space="preserve">, der er følsom over for </w:t>
      </w:r>
      <w:proofErr w:type="spellStart"/>
      <w:r w:rsidRPr="00236893">
        <w:rPr>
          <w:sz w:val="24"/>
          <w:szCs w:val="24"/>
        </w:rPr>
        <w:t>paromomycin</w:t>
      </w:r>
      <w:proofErr w:type="spellEnd"/>
      <w:r w:rsidRPr="00236893">
        <w:rPr>
          <w:sz w:val="24"/>
          <w:szCs w:val="24"/>
        </w:rPr>
        <w:t>.</w:t>
      </w:r>
    </w:p>
    <w:p w14:paraId="68697486" w14:textId="77777777" w:rsidR="006E3424" w:rsidRPr="00236893" w:rsidRDefault="006E3424" w:rsidP="00903CD6">
      <w:pPr>
        <w:widowControl w:val="0"/>
        <w:ind w:left="851"/>
        <w:rPr>
          <w:sz w:val="24"/>
          <w:szCs w:val="24"/>
        </w:rPr>
      </w:pPr>
    </w:p>
    <w:p w14:paraId="30A8337D" w14:textId="77777777" w:rsidR="006E3424" w:rsidRPr="00236893" w:rsidRDefault="006E3424" w:rsidP="00903CD6">
      <w:pPr>
        <w:widowControl w:val="0"/>
        <w:ind w:left="851"/>
        <w:rPr>
          <w:b/>
          <w:bCs/>
          <w:sz w:val="24"/>
          <w:szCs w:val="24"/>
        </w:rPr>
      </w:pPr>
      <w:r w:rsidRPr="00236893">
        <w:rPr>
          <w:b/>
          <w:sz w:val="24"/>
          <w:szCs w:val="24"/>
        </w:rPr>
        <w:t>Kvæg (nyfødte kalve):</w:t>
      </w:r>
    </w:p>
    <w:p w14:paraId="3FCC1116" w14:textId="77777777" w:rsidR="006E3424" w:rsidRPr="00236893" w:rsidRDefault="006E3424" w:rsidP="00903CD6">
      <w:pPr>
        <w:widowControl w:val="0"/>
        <w:ind w:left="851"/>
        <w:rPr>
          <w:i/>
          <w:sz w:val="24"/>
          <w:szCs w:val="24"/>
          <w:u w:val="single"/>
        </w:rPr>
      </w:pPr>
      <w:proofErr w:type="spellStart"/>
      <w:r w:rsidRPr="00236893">
        <w:rPr>
          <w:i/>
          <w:sz w:val="24"/>
          <w:szCs w:val="24"/>
          <w:u w:val="single"/>
        </w:rPr>
        <w:t>Cryptosporidiose</w:t>
      </w:r>
      <w:proofErr w:type="spellEnd"/>
    </w:p>
    <w:p w14:paraId="12B84832" w14:textId="77777777" w:rsidR="006E3424" w:rsidRPr="00236893" w:rsidRDefault="006E3424" w:rsidP="00903CD6">
      <w:pPr>
        <w:widowControl w:val="0"/>
        <w:ind w:left="851"/>
        <w:rPr>
          <w:rFonts w:eastAsia="Arial"/>
          <w:sz w:val="24"/>
          <w:szCs w:val="24"/>
        </w:rPr>
      </w:pPr>
      <w:r w:rsidRPr="00236893">
        <w:rPr>
          <w:sz w:val="24"/>
          <w:szCs w:val="24"/>
          <w:bdr w:val="none" w:sz="0" w:space="0" w:color="auto" w:frame="1"/>
          <w:shd w:val="clear" w:color="auto" w:fill="FFFFFF"/>
        </w:rPr>
        <w:t xml:space="preserve">Behandling af infektioner forårsaget af diagnosticeret </w:t>
      </w:r>
      <w:proofErr w:type="spellStart"/>
      <w:r w:rsidRPr="00236893">
        <w:rPr>
          <w:i/>
          <w:sz w:val="24"/>
          <w:szCs w:val="24"/>
          <w:bdr w:val="none" w:sz="0" w:space="0" w:color="auto" w:frame="1"/>
          <w:shd w:val="clear" w:color="auto" w:fill="FFFFFF"/>
        </w:rPr>
        <w:t>Cryptosporidium</w:t>
      </w:r>
      <w:proofErr w:type="spellEnd"/>
      <w:r w:rsidRPr="00236893">
        <w:rPr>
          <w:i/>
          <w:sz w:val="24"/>
          <w:szCs w:val="24"/>
          <w:bdr w:val="none" w:sz="0" w:space="0" w:color="auto" w:frame="1"/>
          <w:shd w:val="clear" w:color="auto" w:fill="FFFFFF"/>
        </w:rPr>
        <w:t> </w:t>
      </w:r>
      <w:proofErr w:type="spellStart"/>
      <w:r w:rsidRPr="00236893">
        <w:rPr>
          <w:i/>
          <w:sz w:val="24"/>
          <w:szCs w:val="24"/>
          <w:bdr w:val="none" w:sz="0" w:space="0" w:color="auto" w:frame="1"/>
          <w:shd w:val="clear" w:color="auto" w:fill="FFFFFF"/>
        </w:rPr>
        <w:t>parvum</w:t>
      </w:r>
      <w:proofErr w:type="spellEnd"/>
      <w:r w:rsidRPr="00236893">
        <w:rPr>
          <w:sz w:val="24"/>
          <w:szCs w:val="24"/>
          <w:bdr w:val="none" w:sz="0" w:space="0" w:color="auto" w:frame="1"/>
          <w:shd w:val="clear" w:color="auto" w:fill="FFFFFF"/>
        </w:rPr>
        <w:t xml:space="preserve">, ved reduktion af diarré og reduktion af fækal </w:t>
      </w:r>
      <w:proofErr w:type="spellStart"/>
      <w:r w:rsidRPr="00236893">
        <w:rPr>
          <w:sz w:val="24"/>
          <w:szCs w:val="24"/>
          <w:bdr w:val="none" w:sz="0" w:space="0" w:color="auto" w:frame="1"/>
          <w:shd w:val="clear" w:color="auto" w:fill="FFFFFF"/>
        </w:rPr>
        <w:t>oocysteudskillelse</w:t>
      </w:r>
      <w:proofErr w:type="spellEnd"/>
      <w:r w:rsidRPr="00236893">
        <w:rPr>
          <w:sz w:val="24"/>
          <w:szCs w:val="24"/>
          <w:bdr w:val="none" w:sz="0" w:space="0" w:color="auto" w:frame="1"/>
          <w:shd w:val="clear" w:color="auto" w:fill="FFFFFF"/>
        </w:rPr>
        <w:t>.</w:t>
      </w:r>
      <w:r w:rsidRPr="00236893">
        <w:rPr>
          <w:sz w:val="24"/>
          <w:szCs w:val="24"/>
        </w:rPr>
        <w:t xml:space="preserve"> Administrationen skal starte inden for 24 timer efter opståen af diarré.</w:t>
      </w:r>
    </w:p>
    <w:p w14:paraId="42B6596A" w14:textId="77777777" w:rsidR="006E3424" w:rsidRPr="00236893" w:rsidRDefault="006E3424" w:rsidP="00903CD6">
      <w:pPr>
        <w:tabs>
          <w:tab w:val="left" w:pos="1304"/>
        </w:tabs>
        <w:ind w:left="851"/>
        <w:rPr>
          <w:sz w:val="24"/>
          <w:szCs w:val="24"/>
        </w:rPr>
      </w:pPr>
    </w:p>
    <w:p w14:paraId="68911AA3" w14:textId="77777777" w:rsidR="006E3424" w:rsidRPr="00236893" w:rsidRDefault="006E3424" w:rsidP="00903CD6">
      <w:pPr>
        <w:widowControl w:val="0"/>
        <w:ind w:left="851"/>
        <w:rPr>
          <w:b/>
          <w:sz w:val="24"/>
          <w:szCs w:val="24"/>
        </w:rPr>
      </w:pPr>
      <w:r w:rsidRPr="00236893">
        <w:rPr>
          <w:b/>
          <w:sz w:val="24"/>
          <w:szCs w:val="24"/>
        </w:rPr>
        <w:t>Svin:</w:t>
      </w:r>
    </w:p>
    <w:p w14:paraId="21B7C4F8" w14:textId="77777777" w:rsidR="006E3424" w:rsidRPr="00236893" w:rsidRDefault="006E3424" w:rsidP="00903CD6">
      <w:pPr>
        <w:widowControl w:val="0"/>
        <w:ind w:left="851"/>
        <w:rPr>
          <w:i/>
          <w:sz w:val="24"/>
          <w:szCs w:val="24"/>
          <w:u w:val="single"/>
        </w:rPr>
      </w:pPr>
      <w:proofErr w:type="spellStart"/>
      <w:r w:rsidRPr="00236893">
        <w:rPr>
          <w:i/>
          <w:sz w:val="24"/>
          <w:szCs w:val="24"/>
          <w:u w:val="single"/>
        </w:rPr>
        <w:t>Colibacillose</w:t>
      </w:r>
      <w:proofErr w:type="spellEnd"/>
    </w:p>
    <w:p w14:paraId="220C2B32" w14:textId="77777777" w:rsidR="006E3424" w:rsidRPr="00236893" w:rsidRDefault="006E3424" w:rsidP="00903CD6">
      <w:pPr>
        <w:widowControl w:val="0"/>
        <w:ind w:left="851"/>
        <w:rPr>
          <w:sz w:val="24"/>
          <w:szCs w:val="24"/>
        </w:rPr>
      </w:pPr>
      <w:r w:rsidRPr="00236893">
        <w:rPr>
          <w:sz w:val="24"/>
          <w:szCs w:val="24"/>
        </w:rPr>
        <w:t xml:space="preserve">Behandling af </w:t>
      </w:r>
      <w:proofErr w:type="spellStart"/>
      <w:r w:rsidRPr="00236893">
        <w:rPr>
          <w:sz w:val="24"/>
          <w:szCs w:val="24"/>
        </w:rPr>
        <w:t>gastrointestinale</w:t>
      </w:r>
      <w:proofErr w:type="spellEnd"/>
      <w:r w:rsidRPr="00236893">
        <w:rPr>
          <w:sz w:val="24"/>
          <w:szCs w:val="24"/>
        </w:rPr>
        <w:t xml:space="preserve"> infektioner forårsaget af </w:t>
      </w:r>
      <w:r w:rsidRPr="00236893">
        <w:rPr>
          <w:i/>
          <w:sz w:val="24"/>
          <w:szCs w:val="24"/>
        </w:rPr>
        <w:t>Escherichia coli</w:t>
      </w:r>
      <w:r w:rsidRPr="00236893">
        <w:rPr>
          <w:sz w:val="24"/>
          <w:szCs w:val="24"/>
        </w:rPr>
        <w:t xml:space="preserve">, der er følsom over for </w:t>
      </w:r>
      <w:proofErr w:type="spellStart"/>
      <w:r w:rsidRPr="00236893">
        <w:rPr>
          <w:sz w:val="24"/>
          <w:szCs w:val="24"/>
        </w:rPr>
        <w:t>paromomycin</w:t>
      </w:r>
      <w:proofErr w:type="spellEnd"/>
      <w:r w:rsidRPr="00236893">
        <w:rPr>
          <w:sz w:val="24"/>
          <w:szCs w:val="24"/>
        </w:rPr>
        <w:t>.</w:t>
      </w:r>
    </w:p>
    <w:bookmarkEnd w:id="1"/>
    <w:p w14:paraId="67B553DA" w14:textId="77777777" w:rsidR="00D74392" w:rsidRPr="00236893" w:rsidRDefault="00D74392" w:rsidP="00D74392">
      <w:pPr>
        <w:pStyle w:val="Sidehoved"/>
        <w:ind w:left="851"/>
        <w:rPr>
          <w:szCs w:val="24"/>
        </w:rPr>
      </w:pPr>
    </w:p>
    <w:p w14:paraId="325ECE34" w14:textId="77777777" w:rsidR="00D74392" w:rsidRPr="00236893" w:rsidRDefault="00D74392" w:rsidP="00D74392">
      <w:pPr>
        <w:pStyle w:val="Sidehoved"/>
        <w:tabs>
          <w:tab w:val="clear" w:pos="4819"/>
          <w:tab w:val="left" w:pos="851"/>
        </w:tabs>
        <w:ind w:left="851" w:hanging="851"/>
        <w:rPr>
          <w:b/>
          <w:szCs w:val="24"/>
        </w:rPr>
      </w:pPr>
      <w:r w:rsidRPr="00236893">
        <w:rPr>
          <w:b/>
          <w:szCs w:val="24"/>
        </w:rPr>
        <w:t>3.3</w:t>
      </w:r>
      <w:r w:rsidRPr="00236893">
        <w:rPr>
          <w:b/>
          <w:szCs w:val="24"/>
        </w:rPr>
        <w:tab/>
        <w:t>Kontraindikationer</w:t>
      </w:r>
    </w:p>
    <w:p w14:paraId="09930D55" w14:textId="77777777" w:rsidR="006E3424" w:rsidRPr="00236893" w:rsidRDefault="006E3424" w:rsidP="00903CD6">
      <w:pPr>
        <w:widowControl w:val="0"/>
        <w:ind w:left="851"/>
        <w:rPr>
          <w:sz w:val="24"/>
          <w:szCs w:val="24"/>
        </w:rPr>
      </w:pPr>
      <w:bookmarkStart w:id="2" w:name="_Hlk94086239"/>
      <w:r w:rsidRPr="00236893">
        <w:rPr>
          <w:sz w:val="24"/>
          <w:szCs w:val="24"/>
        </w:rPr>
        <w:t xml:space="preserve">Må ikke anvendes i tilfælde af overfølsomhed over for </w:t>
      </w:r>
      <w:proofErr w:type="spellStart"/>
      <w:r w:rsidRPr="00236893">
        <w:rPr>
          <w:sz w:val="24"/>
          <w:szCs w:val="24"/>
        </w:rPr>
        <w:t>paromomycin</w:t>
      </w:r>
      <w:proofErr w:type="spellEnd"/>
      <w:r w:rsidRPr="00236893">
        <w:rPr>
          <w:sz w:val="24"/>
          <w:szCs w:val="24"/>
        </w:rPr>
        <w:t>, over for andre aminoglykosider eller over for et eller flere af hjælpestofferne.</w:t>
      </w:r>
    </w:p>
    <w:p w14:paraId="69731E90" w14:textId="77777777" w:rsidR="006E3424" w:rsidRPr="00236893" w:rsidRDefault="006E3424" w:rsidP="00903CD6">
      <w:pPr>
        <w:widowControl w:val="0"/>
        <w:ind w:left="851"/>
        <w:rPr>
          <w:sz w:val="24"/>
          <w:szCs w:val="24"/>
        </w:rPr>
      </w:pPr>
      <w:r w:rsidRPr="00236893">
        <w:rPr>
          <w:sz w:val="24"/>
          <w:szCs w:val="24"/>
        </w:rPr>
        <w:t xml:space="preserve">Må ikke anvendes i tilfælde af nedsat nyre- eller leverfunktion. </w:t>
      </w:r>
    </w:p>
    <w:p w14:paraId="00686C5C" w14:textId="77777777" w:rsidR="006E3424" w:rsidRPr="00236893" w:rsidRDefault="006E3424" w:rsidP="00903CD6">
      <w:pPr>
        <w:widowControl w:val="0"/>
        <w:ind w:left="851"/>
        <w:rPr>
          <w:sz w:val="24"/>
          <w:szCs w:val="24"/>
        </w:rPr>
      </w:pPr>
      <w:r w:rsidRPr="00236893">
        <w:rPr>
          <w:sz w:val="24"/>
          <w:szCs w:val="24"/>
        </w:rPr>
        <w:t xml:space="preserve">Må ikke anvendes til drøvtyggende dyr. </w:t>
      </w:r>
    </w:p>
    <w:p w14:paraId="4111A411" w14:textId="77777777" w:rsidR="006E3424" w:rsidRPr="00236893" w:rsidRDefault="006E3424" w:rsidP="00903CD6">
      <w:pPr>
        <w:widowControl w:val="0"/>
        <w:ind w:left="851"/>
        <w:rPr>
          <w:sz w:val="24"/>
          <w:szCs w:val="24"/>
        </w:rPr>
      </w:pPr>
      <w:r w:rsidRPr="00236893">
        <w:rPr>
          <w:sz w:val="24"/>
          <w:szCs w:val="24"/>
        </w:rPr>
        <w:t>Må ikke anvendes til kalkuner på grund af risikoen for selektion af antibiotikaresistens i tarmbakterier.</w:t>
      </w:r>
      <w:bookmarkEnd w:id="2"/>
    </w:p>
    <w:p w14:paraId="3C4FE315" w14:textId="77777777" w:rsidR="00D74392" w:rsidRPr="00236893" w:rsidRDefault="00D74392" w:rsidP="00D74392">
      <w:pPr>
        <w:pStyle w:val="Sidehoved"/>
        <w:tabs>
          <w:tab w:val="clear" w:pos="4819"/>
        </w:tabs>
        <w:ind w:left="851"/>
        <w:rPr>
          <w:szCs w:val="24"/>
        </w:rPr>
      </w:pPr>
    </w:p>
    <w:p w14:paraId="5FC77C50" w14:textId="77777777" w:rsidR="00D74392" w:rsidRPr="00236893" w:rsidRDefault="00D74392" w:rsidP="00D74392">
      <w:pPr>
        <w:tabs>
          <w:tab w:val="left" w:pos="851"/>
        </w:tabs>
        <w:ind w:left="851" w:hanging="851"/>
        <w:rPr>
          <w:b/>
          <w:sz w:val="24"/>
          <w:szCs w:val="24"/>
        </w:rPr>
      </w:pPr>
      <w:r w:rsidRPr="00236893">
        <w:rPr>
          <w:b/>
          <w:sz w:val="24"/>
          <w:szCs w:val="24"/>
        </w:rPr>
        <w:t>3.4</w:t>
      </w:r>
      <w:r w:rsidRPr="00236893">
        <w:rPr>
          <w:b/>
          <w:sz w:val="24"/>
          <w:szCs w:val="24"/>
        </w:rPr>
        <w:tab/>
        <w:t>Særlige advarsler</w:t>
      </w:r>
    </w:p>
    <w:p w14:paraId="3B1FCEAE" w14:textId="77777777" w:rsidR="006E3424" w:rsidRPr="00236893" w:rsidRDefault="006E3424" w:rsidP="003B5E29">
      <w:pPr>
        <w:widowControl w:val="0"/>
        <w:ind w:left="851"/>
        <w:rPr>
          <w:rFonts w:eastAsia="Arial"/>
          <w:sz w:val="24"/>
          <w:szCs w:val="24"/>
        </w:rPr>
      </w:pPr>
      <w:r w:rsidRPr="00236893">
        <w:rPr>
          <w:sz w:val="24"/>
          <w:szCs w:val="24"/>
        </w:rPr>
        <w:t xml:space="preserve">Krydsresistens har været påvist mellem </w:t>
      </w:r>
      <w:proofErr w:type="spellStart"/>
      <w:r w:rsidRPr="00236893">
        <w:rPr>
          <w:sz w:val="24"/>
          <w:szCs w:val="24"/>
        </w:rPr>
        <w:t>paromomycin</w:t>
      </w:r>
      <w:proofErr w:type="spellEnd"/>
      <w:r w:rsidRPr="00236893">
        <w:rPr>
          <w:sz w:val="24"/>
          <w:szCs w:val="24"/>
        </w:rPr>
        <w:t xml:space="preserve"> og </w:t>
      </w:r>
      <w:proofErr w:type="spellStart"/>
      <w:r w:rsidRPr="00236893">
        <w:rPr>
          <w:sz w:val="24"/>
          <w:szCs w:val="24"/>
        </w:rPr>
        <w:t>neomycin</w:t>
      </w:r>
      <w:proofErr w:type="spellEnd"/>
      <w:r w:rsidRPr="00236893">
        <w:rPr>
          <w:sz w:val="24"/>
          <w:szCs w:val="24"/>
        </w:rPr>
        <w:t xml:space="preserve"> hos </w:t>
      </w:r>
      <w:proofErr w:type="spellStart"/>
      <w:r w:rsidRPr="00236893">
        <w:rPr>
          <w:sz w:val="24"/>
          <w:szCs w:val="24"/>
        </w:rPr>
        <w:t>enterobakterier</w:t>
      </w:r>
      <w:proofErr w:type="spellEnd"/>
      <w:r w:rsidRPr="00236893">
        <w:rPr>
          <w:sz w:val="24"/>
          <w:szCs w:val="24"/>
        </w:rPr>
        <w:t>. Brug af produktet skal nøje overvejes, hvis følsomhedstest har påvist resistens over for aminoglykosider, da dets effektivitet kan være nedsat.</w:t>
      </w:r>
    </w:p>
    <w:p w14:paraId="20E36C91" w14:textId="77777777" w:rsidR="00D74392" w:rsidRPr="00236893" w:rsidRDefault="00D74392" w:rsidP="00D74392">
      <w:pPr>
        <w:pStyle w:val="Sidehoved"/>
        <w:tabs>
          <w:tab w:val="clear" w:pos="4819"/>
        </w:tabs>
        <w:ind w:left="851"/>
        <w:rPr>
          <w:szCs w:val="24"/>
        </w:rPr>
      </w:pPr>
    </w:p>
    <w:p w14:paraId="4FC8BBC3" w14:textId="77777777" w:rsidR="00D74392" w:rsidRPr="00236893" w:rsidRDefault="00D74392" w:rsidP="00D74392">
      <w:pPr>
        <w:tabs>
          <w:tab w:val="left" w:pos="851"/>
        </w:tabs>
        <w:ind w:left="851" w:hanging="851"/>
        <w:rPr>
          <w:b/>
          <w:sz w:val="24"/>
          <w:szCs w:val="24"/>
        </w:rPr>
      </w:pPr>
      <w:r w:rsidRPr="00236893">
        <w:rPr>
          <w:b/>
          <w:sz w:val="24"/>
          <w:szCs w:val="24"/>
        </w:rPr>
        <w:t>3.5</w:t>
      </w:r>
      <w:r w:rsidRPr="00236893">
        <w:rPr>
          <w:b/>
          <w:sz w:val="24"/>
          <w:szCs w:val="24"/>
        </w:rPr>
        <w:tab/>
        <w:t>Særlige forholdsregler vedrørende brugen</w:t>
      </w:r>
    </w:p>
    <w:p w14:paraId="62D80473" w14:textId="77777777" w:rsidR="00D74392" w:rsidRPr="00236893" w:rsidRDefault="00D74392" w:rsidP="00D74392">
      <w:pPr>
        <w:tabs>
          <w:tab w:val="left" w:pos="851"/>
        </w:tabs>
        <w:ind w:left="851"/>
        <w:rPr>
          <w:sz w:val="24"/>
          <w:szCs w:val="24"/>
        </w:rPr>
      </w:pPr>
    </w:p>
    <w:p w14:paraId="142F9D1A" w14:textId="77777777" w:rsidR="00D74392" w:rsidRPr="00236893" w:rsidRDefault="00D74392" w:rsidP="00D74392">
      <w:pPr>
        <w:tabs>
          <w:tab w:val="left" w:pos="851"/>
        </w:tabs>
        <w:ind w:left="851"/>
        <w:rPr>
          <w:sz w:val="24"/>
          <w:szCs w:val="24"/>
          <w:u w:val="single"/>
        </w:rPr>
      </w:pPr>
      <w:r w:rsidRPr="00236893">
        <w:rPr>
          <w:sz w:val="24"/>
          <w:szCs w:val="24"/>
          <w:u w:val="single"/>
        </w:rPr>
        <w:t>Særlige forholdsregler vedrørende sikker brug hos de dyrearter, som lægemidlet er beregnet til</w:t>
      </w:r>
    </w:p>
    <w:p w14:paraId="70A51910" w14:textId="77777777" w:rsidR="006E3424" w:rsidRPr="00236893" w:rsidRDefault="006E3424" w:rsidP="003B5E29">
      <w:pPr>
        <w:widowControl w:val="0"/>
        <w:ind w:left="851"/>
        <w:rPr>
          <w:sz w:val="24"/>
          <w:szCs w:val="24"/>
        </w:rPr>
      </w:pPr>
      <w:r w:rsidRPr="00236893">
        <w:rPr>
          <w:sz w:val="24"/>
          <w:szCs w:val="24"/>
        </w:rPr>
        <w:t>Brug af veterinærlægemidlet bør baseres på god håndteringspraksis f.eks. god hygiejne, korrekt ventilation og undgå at have for stort lager.</w:t>
      </w:r>
    </w:p>
    <w:p w14:paraId="08BF7001" w14:textId="77777777" w:rsidR="006E3424" w:rsidRPr="00236893" w:rsidRDefault="006E3424" w:rsidP="003B5E29">
      <w:pPr>
        <w:widowControl w:val="0"/>
        <w:ind w:left="851"/>
        <w:rPr>
          <w:sz w:val="24"/>
          <w:szCs w:val="24"/>
          <w:u w:val="single"/>
        </w:rPr>
      </w:pPr>
      <w:r w:rsidRPr="00236893">
        <w:rPr>
          <w:sz w:val="24"/>
          <w:szCs w:val="24"/>
        </w:rPr>
        <w:t xml:space="preserve">Det anbefales af vurdere nyrefunktionen, da produktet er potentielt </w:t>
      </w:r>
      <w:proofErr w:type="spellStart"/>
      <w:r w:rsidRPr="00236893">
        <w:rPr>
          <w:sz w:val="24"/>
          <w:szCs w:val="24"/>
        </w:rPr>
        <w:t>ototoksisk</w:t>
      </w:r>
      <w:proofErr w:type="spellEnd"/>
      <w:r w:rsidRPr="00236893">
        <w:rPr>
          <w:sz w:val="24"/>
          <w:szCs w:val="24"/>
        </w:rPr>
        <w:t xml:space="preserve"> og </w:t>
      </w:r>
      <w:proofErr w:type="spellStart"/>
      <w:r w:rsidRPr="00236893">
        <w:rPr>
          <w:sz w:val="24"/>
          <w:szCs w:val="24"/>
        </w:rPr>
        <w:t>nefrotoksisk</w:t>
      </w:r>
      <w:proofErr w:type="spellEnd"/>
      <w:r w:rsidRPr="00236893">
        <w:rPr>
          <w:sz w:val="24"/>
          <w:szCs w:val="24"/>
        </w:rPr>
        <w:t xml:space="preserve">. Der skal udvises særlig forsigtighed, hvis det overvejes af administrere veterinærlægemidlet til nyfødte dyr på grund af den kendte højere </w:t>
      </w:r>
      <w:proofErr w:type="spellStart"/>
      <w:r w:rsidRPr="00236893">
        <w:rPr>
          <w:sz w:val="24"/>
          <w:szCs w:val="24"/>
        </w:rPr>
        <w:t>gastrointestinale</w:t>
      </w:r>
      <w:proofErr w:type="spellEnd"/>
      <w:r w:rsidRPr="00236893">
        <w:rPr>
          <w:sz w:val="24"/>
          <w:szCs w:val="24"/>
        </w:rPr>
        <w:t xml:space="preserve"> absorption af </w:t>
      </w:r>
      <w:proofErr w:type="spellStart"/>
      <w:r w:rsidRPr="00236893">
        <w:rPr>
          <w:sz w:val="24"/>
          <w:szCs w:val="24"/>
        </w:rPr>
        <w:t>paromomycin</w:t>
      </w:r>
      <w:proofErr w:type="spellEnd"/>
      <w:r w:rsidRPr="00236893">
        <w:rPr>
          <w:sz w:val="24"/>
          <w:szCs w:val="24"/>
        </w:rPr>
        <w:t xml:space="preserve"> hos neonatale. Denne højere absorption kan medføre en øget risiko for </w:t>
      </w:r>
      <w:proofErr w:type="spellStart"/>
      <w:r w:rsidRPr="00236893">
        <w:rPr>
          <w:sz w:val="24"/>
          <w:szCs w:val="24"/>
        </w:rPr>
        <w:t>oto</w:t>
      </w:r>
      <w:proofErr w:type="spellEnd"/>
      <w:r w:rsidRPr="00236893">
        <w:rPr>
          <w:sz w:val="24"/>
          <w:szCs w:val="24"/>
        </w:rPr>
        <w:t xml:space="preserve">- og </w:t>
      </w:r>
      <w:proofErr w:type="spellStart"/>
      <w:r w:rsidRPr="00236893">
        <w:rPr>
          <w:sz w:val="24"/>
          <w:szCs w:val="24"/>
        </w:rPr>
        <w:t>nefrotoksicitet</w:t>
      </w:r>
      <w:proofErr w:type="spellEnd"/>
      <w:r w:rsidRPr="00236893">
        <w:rPr>
          <w:sz w:val="24"/>
          <w:szCs w:val="24"/>
        </w:rPr>
        <w:t>. Brugen af veterinærlægemidlet hos kalve på 5 dage eller yngre bør baseres på en benefit-</w:t>
      </w:r>
      <w:proofErr w:type="spellStart"/>
      <w:r w:rsidRPr="00236893">
        <w:rPr>
          <w:sz w:val="24"/>
          <w:szCs w:val="24"/>
        </w:rPr>
        <w:t>risk</w:t>
      </w:r>
      <w:proofErr w:type="spellEnd"/>
      <w:r w:rsidRPr="00236893">
        <w:rPr>
          <w:sz w:val="24"/>
          <w:szCs w:val="24"/>
        </w:rPr>
        <w:t>-vurdering udført af den ansvarlige dyrlæge.</w:t>
      </w:r>
    </w:p>
    <w:p w14:paraId="333898AD" w14:textId="77777777" w:rsidR="006E3424" w:rsidRPr="00236893" w:rsidRDefault="006E3424" w:rsidP="003B5E29">
      <w:pPr>
        <w:tabs>
          <w:tab w:val="left" w:pos="1304"/>
        </w:tabs>
        <w:ind w:left="851"/>
        <w:rPr>
          <w:sz w:val="24"/>
          <w:szCs w:val="24"/>
        </w:rPr>
      </w:pPr>
      <w:r w:rsidRPr="00236893">
        <w:rPr>
          <w:sz w:val="24"/>
          <w:szCs w:val="24"/>
        </w:rPr>
        <w:t xml:space="preserve">Som med alle </w:t>
      </w:r>
      <w:proofErr w:type="spellStart"/>
      <w:r w:rsidRPr="00236893">
        <w:rPr>
          <w:sz w:val="24"/>
          <w:szCs w:val="24"/>
        </w:rPr>
        <w:t>antiparasiticider</w:t>
      </w:r>
      <w:proofErr w:type="spellEnd"/>
      <w:r w:rsidRPr="00236893">
        <w:rPr>
          <w:sz w:val="24"/>
          <w:szCs w:val="24"/>
        </w:rPr>
        <w:t xml:space="preserve"> kan hyppig og gentagen brug af </w:t>
      </w:r>
      <w:proofErr w:type="spellStart"/>
      <w:r w:rsidRPr="00236893">
        <w:rPr>
          <w:sz w:val="24"/>
          <w:szCs w:val="24"/>
        </w:rPr>
        <w:t>antiprotozomidler</w:t>
      </w:r>
      <w:proofErr w:type="spellEnd"/>
      <w:r w:rsidRPr="00236893">
        <w:rPr>
          <w:sz w:val="24"/>
          <w:szCs w:val="24"/>
        </w:rPr>
        <w:t xml:space="preserve"> fra den samme klasse føre til udvikling af resistens.</w:t>
      </w:r>
    </w:p>
    <w:p w14:paraId="1D45F52C" w14:textId="77777777" w:rsidR="006E3424" w:rsidRPr="00236893" w:rsidRDefault="006E3424" w:rsidP="003B5E29">
      <w:pPr>
        <w:widowControl w:val="0"/>
        <w:ind w:left="851"/>
        <w:rPr>
          <w:rFonts w:eastAsia="Arial"/>
          <w:sz w:val="24"/>
          <w:szCs w:val="24"/>
        </w:rPr>
      </w:pPr>
      <w:r w:rsidRPr="00236893">
        <w:rPr>
          <w:sz w:val="24"/>
          <w:szCs w:val="24"/>
        </w:rPr>
        <w:lastRenderedPageBreak/>
        <w:t>Brug af produktet skal være i overensstemmelse med officielle, nationale og regionale antimikrobielle retningslinjer.</w:t>
      </w:r>
    </w:p>
    <w:p w14:paraId="1FDB6809" w14:textId="77777777" w:rsidR="006E3424" w:rsidRPr="00236893" w:rsidRDefault="006E3424" w:rsidP="003B5E29">
      <w:pPr>
        <w:tabs>
          <w:tab w:val="left" w:pos="1304"/>
        </w:tabs>
        <w:ind w:left="851"/>
        <w:rPr>
          <w:sz w:val="24"/>
          <w:szCs w:val="24"/>
        </w:rPr>
      </w:pPr>
    </w:p>
    <w:p w14:paraId="3F32ECF3" w14:textId="77777777" w:rsidR="006E3424" w:rsidRPr="00236893" w:rsidRDefault="006E3424" w:rsidP="003B5E29">
      <w:pPr>
        <w:widowControl w:val="0"/>
        <w:ind w:left="851"/>
        <w:rPr>
          <w:i/>
          <w:sz w:val="24"/>
          <w:szCs w:val="24"/>
          <w:u w:val="single"/>
        </w:rPr>
      </w:pPr>
      <w:proofErr w:type="spellStart"/>
      <w:r w:rsidRPr="00236893">
        <w:rPr>
          <w:i/>
          <w:sz w:val="24"/>
          <w:szCs w:val="24"/>
          <w:u w:val="single"/>
        </w:rPr>
        <w:t>Colibacillose</w:t>
      </w:r>
      <w:proofErr w:type="spellEnd"/>
    </w:p>
    <w:p w14:paraId="1FB8EB4A" w14:textId="77777777" w:rsidR="006E3424" w:rsidRPr="00236893" w:rsidRDefault="006E3424" w:rsidP="003B5E29">
      <w:pPr>
        <w:widowControl w:val="0"/>
        <w:ind w:left="851"/>
        <w:rPr>
          <w:sz w:val="24"/>
          <w:szCs w:val="24"/>
        </w:rPr>
      </w:pPr>
      <w:r w:rsidRPr="00236893">
        <w:rPr>
          <w:sz w:val="24"/>
          <w:szCs w:val="24"/>
        </w:rPr>
        <w:t xml:space="preserve">Indtagelse af medicin hos dyr kan ændre sig som følge af sygdom. I tilfælde af </w:t>
      </w:r>
      <w:proofErr w:type="gramStart"/>
      <w:r w:rsidRPr="00236893">
        <w:rPr>
          <w:sz w:val="24"/>
          <w:szCs w:val="24"/>
        </w:rPr>
        <w:t>utilstrækkelig indtag</w:t>
      </w:r>
      <w:proofErr w:type="gramEnd"/>
      <w:r w:rsidRPr="00236893">
        <w:rPr>
          <w:sz w:val="24"/>
          <w:szCs w:val="24"/>
        </w:rPr>
        <w:t xml:space="preserve"> af vand/mælk skal dyr behandles parenteralt ved hjælp af et velegnet </w:t>
      </w:r>
      <w:proofErr w:type="spellStart"/>
      <w:r w:rsidRPr="00236893">
        <w:rPr>
          <w:sz w:val="24"/>
          <w:szCs w:val="24"/>
        </w:rPr>
        <w:t>injicerbart</w:t>
      </w:r>
      <w:proofErr w:type="spellEnd"/>
      <w:r w:rsidRPr="00236893">
        <w:rPr>
          <w:sz w:val="24"/>
          <w:szCs w:val="24"/>
        </w:rPr>
        <w:t xml:space="preserve"> veterinærlægemiddel i henhold til dyrlægens rådgivning.</w:t>
      </w:r>
    </w:p>
    <w:p w14:paraId="14273487" w14:textId="77777777" w:rsidR="006E3424" w:rsidRPr="00236893" w:rsidRDefault="006E3424" w:rsidP="003B5E29">
      <w:pPr>
        <w:widowControl w:val="0"/>
        <w:ind w:left="851"/>
        <w:rPr>
          <w:sz w:val="24"/>
          <w:szCs w:val="24"/>
        </w:rPr>
      </w:pPr>
      <w:r w:rsidRPr="00236893">
        <w:rPr>
          <w:sz w:val="24"/>
          <w:szCs w:val="24"/>
        </w:rPr>
        <w:t>Længere eller gentagen brug af veterinærlægemidlet skal undgås ved at forbedre administrationspraksis og ved hjælp af rengøring og desinficering.</w:t>
      </w:r>
    </w:p>
    <w:p w14:paraId="3F16CCD3" w14:textId="77777777" w:rsidR="006E3424" w:rsidRPr="00236893" w:rsidRDefault="006E3424" w:rsidP="003B5E29">
      <w:pPr>
        <w:widowControl w:val="0"/>
        <w:ind w:left="851"/>
        <w:rPr>
          <w:rFonts w:eastAsia="Arial"/>
          <w:sz w:val="24"/>
          <w:szCs w:val="24"/>
        </w:rPr>
      </w:pPr>
      <w:r w:rsidRPr="00236893">
        <w:rPr>
          <w:sz w:val="24"/>
          <w:szCs w:val="24"/>
        </w:rPr>
        <w:t xml:space="preserve">Brug af produktet bør baseres på identifikation og følsomhedstest af </w:t>
      </w:r>
      <w:proofErr w:type="spellStart"/>
      <w:r w:rsidRPr="00236893">
        <w:rPr>
          <w:sz w:val="24"/>
          <w:szCs w:val="24"/>
        </w:rPr>
        <w:t>målpatogenet</w:t>
      </w:r>
      <w:proofErr w:type="spellEnd"/>
      <w:r w:rsidRPr="00236893">
        <w:rPr>
          <w:sz w:val="24"/>
          <w:szCs w:val="24"/>
        </w:rPr>
        <w:t>(-</w:t>
      </w:r>
      <w:proofErr w:type="spellStart"/>
      <w:r w:rsidRPr="00236893">
        <w:rPr>
          <w:sz w:val="24"/>
          <w:szCs w:val="24"/>
        </w:rPr>
        <w:t>erne</w:t>
      </w:r>
      <w:proofErr w:type="spellEnd"/>
      <w:r w:rsidRPr="00236893">
        <w:rPr>
          <w:sz w:val="24"/>
          <w:szCs w:val="24"/>
        </w:rPr>
        <w:t xml:space="preserve">). Hvis dette ikke er muligt, bør behandling baseres på epidemiologisk information og viden om modtagelighed af </w:t>
      </w:r>
      <w:proofErr w:type="spellStart"/>
      <w:r w:rsidRPr="00236893">
        <w:rPr>
          <w:sz w:val="24"/>
          <w:szCs w:val="24"/>
        </w:rPr>
        <w:t>målpatogenerne</w:t>
      </w:r>
      <w:proofErr w:type="spellEnd"/>
      <w:r w:rsidRPr="00236893">
        <w:rPr>
          <w:sz w:val="24"/>
          <w:szCs w:val="24"/>
        </w:rPr>
        <w:t xml:space="preserve"> på gårdniveau, eller på lokalt/regionalt niveau.</w:t>
      </w:r>
    </w:p>
    <w:p w14:paraId="68BC93D1" w14:textId="77777777" w:rsidR="006E3424" w:rsidRPr="00236893" w:rsidRDefault="006E3424" w:rsidP="003B5E29">
      <w:pPr>
        <w:widowControl w:val="0"/>
        <w:ind w:left="851"/>
        <w:rPr>
          <w:sz w:val="24"/>
          <w:szCs w:val="24"/>
        </w:rPr>
      </w:pPr>
      <w:r w:rsidRPr="00236893">
        <w:rPr>
          <w:sz w:val="24"/>
          <w:szCs w:val="24"/>
        </w:rPr>
        <w:t xml:space="preserve">Brug af veterinærlægemidlet, der afviger fra de givne anvisninger, kan øge forekomsten af bakterier, der er resistente over for </w:t>
      </w:r>
      <w:proofErr w:type="spellStart"/>
      <w:r w:rsidRPr="00236893">
        <w:rPr>
          <w:sz w:val="24"/>
          <w:szCs w:val="24"/>
        </w:rPr>
        <w:t>paromomycin</w:t>
      </w:r>
      <w:proofErr w:type="spellEnd"/>
      <w:r w:rsidRPr="00236893">
        <w:rPr>
          <w:sz w:val="24"/>
          <w:szCs w:val="24"/>
        </w:rPr>
        <w:t>, og kan reducere effektiviteten af behandlingen med aminoglykosider på grund af risikoen for krydsresistens.</w:t>
      </w:r>
    </w:p>
    <w:p w14:paraId="257F989C" w14:textId="77777777" w:rsidR="006E3424" w:rsidRPr="00236893" w:rsidRDefault="006E3424" w:rsidP="003B5E29">
      <w:pPr>
        <w:widowControl w:val="0"/>
        <w:ind w:left="851"/>
        <w:rPr>
          <w:sz w:val="24"/>
          <w:szCs w:val="24"/>
        </w:rPr>
      </w:pPr>
      <w:r w:rsidRPr="00236893">
        <w:rPr>
          <w:sz w:val="24"/>
          <w:szCs w:val="24"/>
        </w:rPr>
        <w:t>Aminoglykosider anses for at være kritiske inden for humanmedicin. De bør derfor ikke bruges som førstevalg til antimikrobiel behandling i veterinærmedicin.</w:t>
      </w:r>
    </w:p>
    <w:p w14:paraId="2B0E70CA" w14:textId="77777777" w:rsidR="006E3424" w:rsidRPr="00236893" w:rsidRDefault="006E3424" w:rsidP="003B5E29">
      <w:pPr>
        <w:widowControl w:val="0"/>
        <w:ind w:left="851"/>
        <w:rPr>
          <w:sz w:val="24"/>
          <w:szCs w:val="24"/>
        </w:rPr>
      </w:pPr>
    </w:p>
    <w:p w14:paraId="6409C03C" w14:textId="77777777" w:rsidR="006E3424" w:rsidRPr="00236893" w:rsidRDefault="006E3424" w:rsidP="003B5E29">
      <w:pPr>
        <w:widowControl w:val="0"/>
        <w:ind w:left="851"/>
        <w:rPr>
          <w:sz w:val="24"/>
          <w:szCs w:val="24"/>
        </w:rPr>
      </w:pPr>
      <w:proofErr w:type="spellStart"/>
      <w:r w:rsidRPr="00236893">
        <w:rPr>
          <w:i/>
          <w:sz w:val="24"/>
          <w:szCs w:val="24"/>
          <w:u w:val="single"/>
        </w:rPr>
        <w:t>Cryptosporidiose</w:t>
      </w:r>
      <w:proofErr w:type="spellEnd"/>
    </w:p>
    <w:p w14:paraId="6520A93E" w14:textId="77777777" w:rsidR="006E3424" w:rsidRPr="00236893" w:rsidRDefault="006E3424" w:rsidP="003B5E29">
      <w:pPr>
        <w:widowControl w:val="0"/>
        <w:ind w:left="851"/>
        <w:rPr>
          <w:sz w:val="24"/>
          <w:szCs w:val="24"/>
        </w:rPr>
      </w:pPr>
      <w:r w:rsidRPr="00236893">
        <w:rPr>
          <w:sz w:val="24"/>
          <w:szCs w:val="24"/>
        </w:rPr>
        <w:t xml:space="preserve">Kalve bør kun få behandling, hvis det bekræftes, at der er </w:t>
      </w:r>
      <w:proofErr w:type="spellStart"/>
      <w:r w:rsidRPr="00236893">
        <w:rPr>
          <w:sz w:val="24"/>
          <w:szCs w:val="24"/>
        </w:rPr>
        <w:t>cryptosporidium-oocyster</w:t>
      </w:r>
      <w:proofErr w:type="spellEnd"/>
      <w:r w:rsidRPr="00236893">
        <w:rPr>
          <w:sz w:val="24"/>
          <w:szCs w:val="24"/>
        </w:rPr>
        <w:t xml:space="preserve"> i deres fæces. </w:t>
      </w:r>
    </w:p>
    <w:p w14:paraId="31099B7F" w14:textId="77777777" w:rsidR="006E3424" w:rsidRPr="00236893" w:rsidRDefault="006E3424" w:rsidP="003B5E29">
      <w:pPr>
        <w:tabs>
          <w:tab w:val="left" w:pos="1304"/>
        </w:tabs>
        <w:ind w:left="851"/>
        <w:rPr>
          <w:rFonts w:eastAsia="Arial"/>
          <w:sz w:val="24"/>
          <w:szCs w:val="24"/>
        </w:rPr>
      </w:pPr>
      <w:r w:rsidRPr="00236893">
        <w:rPr>
          <w:sz w:val="24"/>
          <w:szCs w:val="24"/>
        </w:rPr>
        <w:t>Produktet må kun bruges til individuelle dyr.</w:t>
      </w:r>
    </w:p>
    <w:p w14:paraId="589F2729" w14:textId="77777777" w:rsidR="006E3424" w:rsidRPr="00236893" w:rsidRDefault="006E3424" w:rsidP="003B5E29">
      <w:pPr>
        <w:widowControl w:val="0"/>
        <w:ind w:left="851"/>
        <w:rPr>
          <w:rFonts w:eastAsia="Arial"/>
          <w:sz w:val="24"/>
          <w:szCs w:val="24"/>
        </w:rPr>
      </w:pPr>
      <w:r w:rsidRPr="00236893">
        <w:rPr>
          <w:sz w:val="24"/>
          <w:szCs w:val="24"/>
        </w:rPr>
        <w:t xml:space="preserve">Må ikke bruges til profylakse eller </w:t>
      </w:r>
      <w:proofErr w:type="spellStart"/>
      <w:r w:rsidRPr="00236893">
        <w:rPr>
          <w:sz w:val="24"/>
          <w:szCs w:val="24"/>
        </w:rPr>
        <w:t>metafylakse</w:t>
      </w:r>
      <w:proofErr w:type="spellEnd"/>
      <w:r w:rsidRPr="00236893">
        <w:rPr>
          <w:sz w:val="24"/>
          <w:szCs w:val="24"/>
        </w:rPr>
        <w:t>.</w:t>
      </w:r>
    </w:p>
    <w:p w14:paraId="6CAE296E" w14:textId="77777777" w:rsidR="006E3424" w:rsidRPr="00236893" w:rsidRDefault="006E3424" w:rsidP="003B5E29">
      <w:pPr>
        <w:widowControl w:val="0"/>
        <w:ind w:left="851"/>
        <w:rPr>
          <w:sz w:val="24"/>
          <w:szCs w:val="24"/>
        </w:rPr>
      </w:pPr>
      <w:r w:rsidRPr="00236893">
        <w:rPr>
          <w:sz w:val="24"/>
          <w:szCs w:val="24"/>
        </w:rPr>
        <w:t>Afhængigt af den specifikke situation skal antibiotika-fri muligheder foretrækkes, i overensstemmelse med ansvarlig brug af antibiotika.</w:t>
      </w:r>
    </w:p>
    <w:p w14:paraId="7078637C" w14:textId="77777777" w:rsidR="006E3424" w:rsidRPr="00236893" w:rsidRDefault="006E3424" w:rsidP="003B5E29">
      <w:pPr>
        <w:widowControl w:val="0"/>
        <w:ind w:left="851"/>
        <w:rPr>
          <w:rFonts w:eastAsia="Arial"/>
          <w:sz w:val="24"/>
          <w:szCs w:val="24"/>
        </w:rPr>
      </w:pPr>
      <w:r w:rsidRPr="00236893">
        <w:rPr>
          <w:sz w:val="24"/>
          <w:szCs w:val="24"/>
        </w:rPr>
        <w:t xml:space="preserve">Må ikke bruges på tom mave. Ved behandling af anorektiske kalve bør produktet administreres i en halv liter elektrolytopløsning. Dyrene bør gives tilstrækkeligt </w:t>
      </w:r>
      <w:proofErr w:type="spellStart"/>
      <w:r w:rsidRPr="00236893">
        <w:rPr>
          <w:sz w:val="24"/>
          <w:szCs w:val="24"/>
        </w:rPr>
        <w:t>colostrum</w:t>
      </w:r>
      <w:proofErr w:type="spellEnd"/>
      <w:r w:rsidRPr="00236893">
        <w:rPr>
          <w:sz w:val="24"/>
          <w:szCs w:val="24"/>
        </w:rPr>
        <w:t xml:space="preserve"> i henhold til god avlspraksis.</w:t>
      </w:r>
    </w:p>
    <w:p w14:paraId="0A26CB81" w14:textId="77777777" w:rsidR="00D74392" w:rsidRPr="00236893" w:rsidRDefault="00D74392" w:rsidP="00D74392">
      <w:pPr>
        <w:tabs>
          <w:tab w:val="left" w:pos="851"/>
        </w:tabs>
        <w:ind w:left="851"/>
        <w:rPr>
          <w:sz w:val="24"/>
          <w:szCs w:val="24"/>
        </w:rPr>
      </w:pPr>
    </w:p>
    <w:p w14:paraId="0D59D069" w14:textId="77777777" w:rsidR="00D74392" w:rsidRPr="00236893" w:rsidRDefault="00D74392" w:rsidP="00D74392">
      <w:pPr>
        <w:tabs>
          <w:tab w:val="left" w:pos="851"/>
        </w:tabs>
        <w:ind w:left="851"/>
        <w:rPr>
          <w:sz w:val="24"/>
          <w:szCs w:val="24"/>
          <w:u w:val="single"/>
        </w:rPr>
      </w:pPr>
      <w:r w:rsidRPr="00236893">
        <w:rPr>
          <w:sz w:val="24"/>
          <w:szCs w:val="24"/>
          <w:u w:val="single"/>
        </w:rPr>
        <w:t>Særlige forholdsregler for personer, der administrerer veterinærlægemidlet til dyr</w:t>
      </w:r>
    </w:p>
    <w:p w14:paraId="00D38853" w14:textId="77777777" w:rsidR="00EC4B25" w:rsidRPr="00236893" w:rsidRDefault="00EC4B25" w:rsidP="003B5E29">
      <w:pPr>
        <w:widowControl w:val="0"/>
        <w:ind w:left="851"/>
        <w:rPr>
          <w:sz w:val="24"/>
          <w:szCs w:val="24"/>
        </w:rPr>
      </w:pPr>
      <w:r w:rsidRPr="00236893">
        <w:rPr>
          <w:sz w:val="24"/>
          <w:szCs w:val="24"/>
        </w:rPr>
        <w:t xml:space="preserve">Dette veterinærlægemiddel indeholder </w:t>
      </w:r>
      <w:proofErr w:type="spellStart"/>
      <w:r w:rsidRPr="00236893">
        <w:rPr>
          <w:sz w:val="24"/>
          <w:szCs w:val="24"/>
        </w:rPr>
        <w:t>paromomycin</w:t>
      </w:r>
      <w:proofErr w:type="spellEnd"/>
      <w:r w:rsidRPr="00236893">
        <w:rPr>
          <w:sz w:val="24"/>
          <w:szCs w:val="24"/>
        </w:rPr>
        <w:t xml:space="preserve"> og </w:t>
      </w:r>
      <w:proofErr w:type="spellStart"/>
      <w:r w:rsidRPr="00236893">
        <w:rPr>
          <w:sz w:val="24"/>
          <w:szCs w:val="24"/>
        </w:rPr>
        <w:t>benzylalkohol</w:t>
      </w:r>
      <w:proofErr w:type="spellEnd"/>
      <w:r w:rsidRPr="00236893">
        <w:rPr>
          <w:sz w:val="24"/>
          <w:szCs w:val="24"/>
        </w:rPr>
        <w:t>, som kan fremkalde allergiske reaktioner hos visse mennesker.</w:t>
      </w:r>
    </w:p>
    <w:p w14:paraId="4E219020" w14:textId="77777777" w:rsidR="00EC4B25" w:rsidRPr="00236893" w:rsidRDefault="00EC4B25" w:rsidP="003B5E29">
      <w:pPr>
        <w:widowControl w:val="0"/>
        <w:ind w:left="851"/>
        <w:rPr>
          <w:sz w:val="24"/>
          <w:szCs w:val="24"/>
        </w:rPr>
      </w:pPr>
      <w:r w:rsidRPr="00236893">
        <w:rPr>
          <w:sz w:val="24"/>
          <w:szCs w:val="24"/>
        </w:rPr>
        <w:t xml:space="preserve">Personer med kendt overfølsomhed (allergi) over for </w:t>
      </w:r>
      <w:proofErr w:type="spellStart"/>
      <w:r w:rsidRPr="00236893">
        <w:rPr>
          <w:sz w:val="24"/>
          <w:szCs w:val="24"/>
        </w:rPr>
        <w:t>paromomycin</w:t>
      </w:r>
      <w:proofErr w:type="spellEnd"/>
      <w:r w:rsidRPr="00236893">
        <w:rPr>
          <w:sz w:val="24"/>
          <w:szCs w:val="24"/>
        </w:rPr>
        <w:t xml:space="preserve"> og andre aminoglykosider og/eller </w:t>
      </w:r>
      <w:proofErr w:type="spellStart"/>
      <w:r w:rsidRPr="00236893">
        <w:rPr>
          <w:sz w:val="24"/>
          <w:szCs w:val="24"/>
        </w:rPr>
        <w:t>benzylalkohol</w:t>
      </w:r>
      <w:proofErr w:type="spellEnd"/>
      <w:r w:rsidRPr="00236893">
        <w:rPr>
          <w:sz w:val="24"/>
          <w:szCs w:val="24"/>
        </w:rPr>
        <w:t xml:space="preserve"> bør undgå kontakt med veterinærlægemidlet.</w:t>
      </w:r>
    </w:p>
    <w:p w14:paraId="78A2E966" w14:textId="77777777" w:rsidR="00EC4B25" w:rsidRPr="00236893" w:rsidRDefault="00EC4B25" w:rsidP="003B5E29">
      <w:pPr>
        <w:widowControl w:val="0"/>
        <w:ind w:left="851"/>
        <w:rPr>
          <w:sz w:val="24"/>
          <w:szCs w:val="24"/>
        </w:rPr>
      </w:pPr>
      <w:r w:rsidRPr="00236893">
        <w:rPr>
          <w:sz w:val="24"/>
          <w:szCs w:val="24"/>
        </w:rPr>
        <w:t>Dette produkt kan forårsage let irritation af øjet. Undgå kontakt med hud og øjne.</w:t>
      </w:r>
    </w:p>
    <w:p w14:paraId="1CE0E831" w14:textId="77777777" w:rsidR="00EC4B25" w:rsidRPr="00236893" w:rsidRDefault="00EC4B25" w:rsidP="003B5E29">
      <w:pPr>
        <w:widowControl w:val="0"/>
        <w:ind w:left="851"/>
        <w:rPr>
          <w:sz w:val="24"/>
          <w:szCs w:val="24"/>
        </w:rPr>
      </w:pPr>
      <w:r w:rsidRPr="00236893">
        <w:rPr>
          <w:sz w:val="24"/>
          <w:szCs w:val="24"/>
        </w:rPr>
        <w:t>Personligt beskyttelsesudstyr bestående af beskyttelsesdragt og uigennemtrængelige handsker bør anvendes ved håndtering af veterinærlægemidlet.</w:t>
      </w:r>
    </w:p>
    <w:p w14:paraId="7B385645" w14:textId="77777777" w:rsidR="00EC4B25" w:rsidRPr="00236893" w:rsidRDefault="00EC4B25" w:rsidP="003B5E29">
      <w:pPr>
        <w:widowControl w:val="0"/>
        <w:ind w:left="851"/>
        <w:rPr>
          <w:sz w:val="24"/>
          <w:szCs w:val="24"/>
        </w:rPr>
      </w:pPr>
      <w:r w:rsidRPr="00236893">
        <w:rPr>
          <w:sz w:val="24"/>
          <w:szCs w:val="24"/>
        </w:rPr>
        <w:t>I tilfælde af utilsigtet hud- eller øjenkontakt skal der skylles med rigelige mængder vand.</w:t>
      </w:r>
    </w:p>
    <w:p w14:paraId="3B52974B" w14:textId="77777777" w:rsidR="00EC4B25" w:rsidRPr="00236893" w:rsidRDefault="00EC4B25" w:rsidP="003B5E29">
      <w:pPr>
        <w:widowControl w:val="0"/>
        <w:ind w:left="851"/>
        <w:rPr>
          <w:sz w:val="24"/>
          <w:szCs w:val="24"/>
        </w:rPr>
      </w:pPr>
      <w:r w:rsidRPr="00236893">
        <w:rPr>
          <w:sz w:val="24"/>
          <w:szCs w:val="24"/>
        </w:rPr>
        <w:t>Hvis der opstår symptomer efter eksponering, f.eks. hududslæt, skal der søges læge Vis lægen denne advarsel. Hævelse af ansigt, læber og øjne eller vejrtrækningsbesvær er mere alvorlige symptomer og kræver akut lægehjælp.</w:t>
      </w:r>
    </w:p>
    <w:p w14:paraId="6A82E665" w14:textId="77777777" w:rsidR="00EC4B25" w:rsidRPr="00236893" w:rsidRDefault="00EC4B25" w:rsidP="003B5E29">
      <w:pPr>
        <w:widowControl w:val="0"/>
        <w:ind w:left="851"/>
        <w:rPr>
          <w:sz w:val="24"/>
          <w:szCs w:val="24"/>
        </w:rPr>
      </w:pPr>
      <w:r w:rsidRPr="00236893">
        <w:rPr>
          <w:sz w:val="24"/>
          <w:szCs w:val="24"/>
        </w:rPr>
        <w:t>Må ikke indtages. I tilfælde af utilsigtet indtagelse ved hændeligt uheld skal der straks søges lægehjælp, og etiketten bør vises til lægen.</w:t>
      </w:r>
    </w:p>
    <w:p w14:paraId="3ACD9BD7" w14:textId="77777777" w:rsidR="00EC4B25" w:rsidRPr="00236893" w:rsidRDefault="00EC4B25" w:rsidP="003B5E29">
      <w:pPr>
        <w:widowControl w:val="0"/>
        <w:ind w:left="851"/>
        <w:rPr>
          <w:sz w:val="24"/>
          <w:szCs w:val="24"/>
        </w:rPr>
      </w:pPr>
      <w:r w:rsidRPr="00236893">
        <w:rPr>
          <w:sz w:val="24"/>
          <w:szCs w:val="24"/>
        </w:rPr>
        <w:t>Vask hænder efter brug.</w:t>
      </w:r>
    </w:p>
    <w:p w14:paraId="7CE05733" w14:textId="77777777" w:rsidR="00EC4B25" w:rsidRPr="00236893" w:rsidRDefault="00EC4B25" w:rsidP="003B5E29">
      <w:pPr>
        <w:widowControl w:val="0"/>
        <w:ind w:left="851"/>
        <w:rPr>
          <w:sz w:val="24"/>
          <w:szCs w:val="24"/>
        </w:rPr>
      </w:pPr>
      <w:r w:rsidRPr="00236893">
        <w:rPr>
          <w:sz w:val="24"/>
          <w:szCs w:val="24"/>
        </w:rPr>
        <w:t>Undgå at spise, drikke og ryge under håndtering af veterinærlægemidlet.</w:t>
      </w:r>
    </w:p>
    <w:p w14:paraId="29207447" w14:textId="77777777" w:rsidR="00D74392" w:rsidRPr="00236893" w:rsidRDefault="00D74392" w:rsidP="00D74392">
      <w:pPr>
        <w:tabs>
          <w:tab w:val="left" w:pos="851"/>
        </w:tabs>
        <w:ind w:left="851"/>
        <w:rPr>
          <w:sz w:val="24"/>
          <w:szCs w:val="24"/>
        </w:rPr>
      </w:pPr>
    </w:p>
    <w:p w14:paraId="5D198BFA" w14:textId="77777777" w:rsidR="00D74392" w:rsidRPr="00236893" w:rsidRDefault="00D74392" w:rsidP="00D74392">
      <w:pPr>
        <w:tabs>
          <w:tab w:val="left" w:pos="851"/>
        </w:tabs>
        <w:ind w:left="851"/>
        <w:rPr>
          <w:sz w:val="24"/>
          <w:szCs w:val="24"/>
          <w:u w:val="single"/>
        </w:rPr>
      </w:pPr>
      <w:r w:rsidRPr="00236893">
        <w:rPr>
          <w:sz w:val="24"/>
          <w:szCs w:val="24"/>
          <w:u w:val="single"/>
        </w:rPr>
        <w:t>Særlige forholdsregler vedrørende beskyttelse af miljøet</w:t>
      </w:r>
    </w:p>
    <w:p w14:paraId="734CFF40" w14:textId="77777777" w:rsidR="00EC4B25" w:rsidRPr="00236893" w:rsidRDefault="00EC4B25" w:rsidP="003B5E29">
      <w:pPr>
        <w:ind w:left="851"/>
        <w:rPr>
          <w:sz w:val="24"/>
          <w:szCs w:val="24"/>
        </w:rPr>
      </w:pPr>
      <w:r w:rsidRPr="00236893">
        <w:rPr>
          <w:sz w:val="24"/>
          <w:szCs w:val="24"/>
        </w:rPr>
        <w:t>Ikke relevant.</w:t>
      </w:r>
    </w:p>
    <w:p w14:paraId="23740806" w14:textId="3AC574A7" w:rsidR="005B7DD5" w:rsidRDefault="005B7DD5">
      <w:pPr>
        <w:rPr>
          <w:sz w:val="24"/>
          <w:szCs w:val="24"/>
        </w:rPr>
      </w:pPr>
      <w:r>
        <w:rPr>
          <w:sz w:val="24"/>
          <w:szCs w:val="24"/>
        </w:rPr>
        <w:br w:type="page"/>
      </w:r>
    </w:p>
    <w:p w14:paraId="4418EE07" w14:textId="77777777" w:rsidR="00D74392" w:rsidRPr="00236893" w:rsidRDefault="00D74392" w:rsidP="00D74392">
      <w:pPr>
        <w:tabs>
          <w:tab w:val="left" w:pos="851"/>
        </w:tabs>
        <w:ind w:left="851"/>
        <w:rPr>
          <w:sz w:val="24"/>
          <w:szCs w:val="24"/>
        </w:rPr>
      </w:pPr>
    </w:p>
    <w:p w14:paraId="3564846E" w14:textId="77777777" w:rsidR="00D74392" w:rsidRPr="00236893" w:rsidRDefault="00D74392" w:rsidP="00D74392">
      <w:pPr>
        <w:tabs>
          <w:tab w:val="left" w:pos="851"/>
        </w:tabs>
        <w:ind w:left="851" w:hanging="851"/>
        <w:rPr>
          <w:b/>
          <w:sz w:val="24"/>
          <w:szCs w:val="24"/>
        </w:rPr>
      </w:pPr>
      <w:r w:rsidRPr="00236893">
        <w:rPr>
          <w:b/>
          <w:sz w:val="24"/>
          <w:szCs w:val="24"/>
        </w:rPr>
        <w:t>3.6</w:t>
      </w:r>
      <w:r w:rsidRPr="00236893">
        <w:rPr>
          <w:b/>
          <w:sz w:val="24"/>
          <w:szCs w:val="24"/>
        </w:rPr>
        <w:tab/>
        <w:t>Bivirkninger</w:t>
      </w:r>
    </w:p>
    <w:p w14:paraId="46152270" w14:textId="77777777" w:rsidR="00EC4B25" w:rsidRPr="00236893" w:rsidRDefault="00EC4B25" w:rsidP="00365457">
      <w:pPr>
        <w:widowControl w:val="0"/>
        <w:ind w:left="851"/>
        <w:rPr>
          <w:sz w:val="24"/>
          <w:szCs w:val="24"/>
        </w:rPr>
      </w:pPr>
      <w:r w:rsidRPr="00236893">
        <w:rPr>
          <w:sz w:val="24"/>
          <w:szCs w:val="24"/>
        </w:rPr>
        <w:t>Kvæg (præ-drøvtyggende kvæg og nyfødte kalve) og svin:</w:t>
      </w:r>
    </w:p>
    <w:p w14:paraId="33D70A77" w14:textId="77777777" w:rsidR="00EC4B25" w:rsidRPr="00236893" w:rsidRDefault="00EC4B25" w:rsidP="00EC4B25">
      <w:pPr>
        <w:rPr>
          <w:sz w:val="24"/>
          <w:szCs w:val="24"/>
        </w:rPr>
      </w:pPr>
    </w:p>
    <w:tbl>
      <w:tblPr>
        <w:tblW w:w="44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4737"/>
      </w:tblGrid>
      <w:tr w:rsidR="00EC4B25" w:rsidRPr="00236893" w14:paraId="2B60E7F4" w14:textId="77777777" w:rsidTr="005B7DD5">
        <w:tc>
          <w:tcPr>
            <w:tcW w:w="2215" w:type="pct"/>
            <w:tcBorders>
              <w:top w:val="single" w:sz="4" w:space="0" w:color="auto"/>
              <w:left w:val="single" w:sz="4" w:space="0" w:color="auto"/>
              <w:bottom w:val="single" w:sz="4" w:space="0" w:color="auto"/>
              <w:right w:val="single" w:sz="4" w:space="0" w:color="auto"/>
            </w:tcBorders>
            <w:hideMark/>
          </w:tcPr>
          <w:p w14:paraId="5BB940A9" w14:textId="77777777" w:rsidR="00EC4B25" w:rsidRPr="00236893" w:rsidRDefault="00EC4B25">
            <w:pPr>
              <w:spacing w:before="60" w:after="60"/>
              <w:rPr>
                <w:sz w:val="24"/>
                <w:szCs w:val="24"/>
              </w:rPr>
            </w:pPr>
            <w:r w:rsidRPr="00236893">
              <w:rPr>
                <w:sz w:val="24"/>
                <w:szCs w:val="24"/>
              </w:rPr>
              <w:t>Sjælden</w:t>
            </w:r>
            <w:r w:rsidRPr="00236893">
              <w:rPr>
                <w:sz w:val="24"/>
                <w:szCs w:val="24"/>
              </w:rPr>
              <w:br/>
              <w:t>(1 til 10 dyr ud af 10 000 behandlede dyr):</w:t>
            </w:r>
          </w:p>
        </w:tc>
        <w:tc>
          <w:tcPr>
            <w:tcW w:w="2785" w:type="pct"/>
            <w:tcBorders>
              <w:top w:val="single" w:sz="4" w:space="0" w:color="auto"/>
              <w:left w:val="single" w:sz="4" w:space="0" w:color="auto"/>
              <w:bottom w:val="single" w:sz="4" w:space="0" w:color="auto"/>
              <w:right w:val="single" w:sz="4" w:space="0" w:color="auto"/>
            </w:tcBorders>
            <w:hideMark/>
          </w:tcPr>
          <w:p w14:paraId="6CF26D88" w14:textId="77777777" w:rsidR="00EC4B25" w:rsidRPr="00236893" w:rsidRDefault="00EC4B25">
            <w:pPr>
              <w:widowControl w:val="0"/>
              <w:rPr>
                <w:sz w:val="24"/>
                <w:szCs w:val="24"/>
              </w:rPr>
            </w:pPr>
            <w:r w:rsidRPr="00236893">
              <w:rPr>
                <w:sz w:val="24"/>
                <w:szCs w:val="24"/>
              </w:rPr>
              <w:t>Blød fæces</w:t>
            </w:r>
          </w:p>
        </w:tc>
      </w:tr>
      <w:tr w:rsidR="00EC4B25" w:rsidRPr="00236893" w14:paraId="64FCD195" w14:textId="77777777" w:rsidTr="005B7DD5">
        <w:tc>
          <w:tcPr>
            <w:tcW w:w="2215" w:type="pct"/>
            <w:tcBorders>
              <w:top w:val="single" w:sz="4" w:space="0" w:color="auto"/>
              <w:left w:val="single" w:sz="4" w:space="0" w:color="auto"/>
              <w:bottom w:val="single" w:sz="4" w:space="0" w:color="auto"/>
              <w:right w:val="single" w:sz="4" w:space="0" w:color="auto"/>
            </w:tcBorders>
            <w:hideMark/>
          </w:tcPr>
          <w:p w14:paraId="3FAF44B2" w14:textId="77777777" w:rsidR="00EC4B25" w:rsidRPr="00236893" w:rsidRDefault="00EC4B25">
            <w:pPr>
              <w:spacing w:before="60" w:after="60"/>
              <w:rPr>
                <w:sz w:val="24"/>
                <w:szCs w:val="24"/>
              </w:rPr>
            </w:pPr>
            <w:r w:rsidRPr="00236893">
              <w:rPr>
                <w:sz w:val="24"/>
                <w:szCs w:val="24"/>
              </w:rPr>
              <w:t>Ukendt hyppighed</w:t>
            </w:r>
          </w:p>
        </w:tc>
        <w:tc>
          <w:tcPr>
            <w:tcW w:w="2785" w:type="pct"/>
            <w:tcBorders>
              <w:top w:val="single" w:sz="4" w:space="0" w:color="auto"/>
              <w:left w:val="single" w:sz="4" w:space="0" w:color="auto"/>
              <w:bottom w:val="single" w:sz="4" w:space="0" w:color="auto"/>
              <w:right w:val="single" w:sz="4" w:space="0" w:color="auto"/>
            </w:tcBorders>
          </w:tcPr>
          <w:p w14:paraId="78C2D1F0" w14:textId="6B5A1021" w:rsidR="00EC4B25" w:rsidRPr="00236893" w:rsidRDefault="00EC4B25" w:rsidP="00A65A2C">
            <w:pPr>
              <w:rPr>
                <w:sz w:val="24"/>
                <w:szCs w:val="24"/>
              </w:rPr>
            </w:pPr>
            <w:proofErr w:type="spellStart"/>
            <w:r w:rsidRPr="00236893">
              <w:rPr>
                <w:sz w:val="24"/>
                <w:szCs w:val="24"/>
              </w:rPr>
              <w:t>Aminoglykosidantibiotika</w:t>
            </w:r>
            <w:proofErr w:type="spellEnd"/>
            <w:r w:rsidRPr="00236893">
              <w:rPr>
                <w:sz w:val="24"/>
                <w:szCs w:val="24"/>
              </w:rPr>
              <w:t xml:space="preserve"> som f.eks. </w:t>
            </w:r>
            <w:proofErr w:type="spellStart"/>
            <w:r w:rsidRPr="00236893">
              <w:rPr>
                <w:sz w:val="24"/>
                <w:szCs w:val="24"/>
              </w:rPr>
              <w:t>paromomycin</w:t>
            </w:r>
            <w:proofErr w:type="spellEnd"/>
            <w:r w:rsidRPr="00236893">
              <w:rPr>
                <w:sz w:val="24"/>
                <w:szCs w:val="24"/>
              </w:rPr>
              <w:t xml:space="preserve"> kan medføre </w:t>
            </w:r>
            <w:proofErr w:type="spellStart"/>
            <w:r w:rsidRPr="00236893">
              <w:rPr>
                <w:sz w:val="24"/>
                <w:szCs w:val="24"/>
              </w:rPr>
              <w:t>oto</w:t>
            </w:r>
            <w:proofErr w:type="spellEnd"/>
            <w:r w:rsidRPr="00236893">
              <w:rPr>
                <w:sz w:val="24"/>
                <w:szCs w:val="24"/>
              </w:rPr>
              <w:t xml:space="preserve">- og </w:t>
            </w:r>
            <w:proofErr w:type="spellStart"/>
            <w:r w:rsidRPr="00236893">
              <w:rPr>
                <w:sz w:val="24"/>
                <w:szCs w:val="24"/>
              </w:rPr>
              <w:t>nefrotoksicitet</w:t>
            </w:r>
            <w:proofErr w:type="spellEnd"/>
            <w:r w:rsidRPr="00236893">
              <w:rPr>
                <w:sz w:val="24"/>
                <w:szCs w:val="24"/>
              </w:rPr>
              <w:t>.</w:t>
            </w:r>
          </w:p>
        </w:tc>
      </w:tr>
    </w:tbl>
    <w:p w14:paraId="52012276" w14:textId="77777777" w:rsidR="00EC4B25" w:rsidRPr="00236893" w:rsidRDefault="00EC4B25" w:rsidP="00EC4B25">
      <w:pPr>
        <w:rPr>
          <w:sz w:val="24"/>
          <w:szCs w:val="24"/>
        </w:rPr>
      </w:pPr>
    </w:p>
    <w:p w14:paraId="1093E0D6" w14:textId="77777777" w:rsidR="00EC4B25" w:rsidRPr="00236893" w:rsidRDefault="00EC4B25" w:rsidP="00365457">
      <w:pPr>
        <w:ind w:left="851"/>
        <w:rPr>
          <w:sz w:val="24"/>
          <w:szCs w:val="24"/>
        </w:rPr>
      </w:pPr>
      <w:bookmarkStart w:id="3" w:name="_Hlk66891708"/>
      <w:r w:rsidRPr="0023689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bookmarkEnd w:id="3"/>
    </w:p>
    <w:p w14:paraId="69FCAFBB" w14:textId="77777777" w:rsidR="00D74392" w:rsidRPr="00236893" w:rsidRDefault="00D74392" w:rsidP="00D74392">
      <w:pPr>
        <w:tabs>
          <w:tab w:val="left" w:pos="851"/>
        </w:tabs>
        <w:ind w:left="851"/>
        <w:rPr>
          <w:sz w:val="24"/>
          <w:szCs w:val="24"/>
        </w:rPr>
      </w:pPr>
    </w:p>
    <w:p w14:paraId="1DEE9B89" w14:textId="77777777" w:rsidR="00D74392" w:rsidRPr="00236893" w:rsidRDefault="00D74392" w:rsidP="00D74392">
      <w:pPr>
        <w:tabs>
          <w:tab w:val="left" w:pos="851"/>
        </w:tabs>
        <w:ind w:left="851" w:hanging="851"/>
        <w:rPr>
          <w:b/>
          <w:sz w:val="24"/>
          <w:szCs w:val="24"/>
        </w:rPr>
      </w:pPr>
      <w:r w:rsidRPr="00236893">
        <w:rPr>
          <w:b/>
          <w:sz w:val="24"/>
          <w:szCs w:val="24"/>
        </w:rPr>
        <w:t>3.7</w:t>
      </w:r>
      <w:r w:rsidRPr="00236893">
        <w:rPr>
          <w:b/>
          <w:sz w:val="24"/>
          <w:szCs w:val="24"/>
        </w:rPr>
        <w:tab/>
        <w:t>Anvendelse under drægtighed, laktation eller æglægning</w:t>
      </w:r>
    </w:p>
    <w:p w14:paraId="513F8CA7" w14:textId="77777777" w:rsidR="00A65A2C" w:rsidRDefault="00A65A2C" w:rsidP="00365457">
      <w:pPr>
        <w:ind w:left="851"/>
        <w:rPr>
          <w:sz w:val="24"/>
          <w:szCs w:val="24"/>
          <w:u w:val="single"/>
        </w:rPr>
      </w:pPr>
      <w:bookmarkStart w:id="4" w:name="_Hlk94086676"/>
    </w:p>
    <w:p w14:paraId="03D076AF" w14:textId="7929BCDE" w:rsidR="00EC4B25" w:rsidRPr="00236893" w:rsidRDefault="00EC4B25" w:rsidP="00365457">
      <w:pPr>
        <w:ind w:left="851"/>
        <w:rPr>
          <w:sz w:val="24"/>
          <w:szCs w:val="24"/>
          <w:u w:val="single"/>
        </w:rPr>
      </w:pPr>
      <w:r w:rsidRPr="00236893">
        <w:rPr>
          <w:sz w:val="24"/>
          <w:szCs w:val="24"/>
          <w:u w:val="single"/>
        </w:rPr>
        <w:t>Drægtighed:</w:t>
      </w:r>
    </w:p>
    <w:p w14:paraId="6F65CA13" w14:textId="77777777" w:rsidR="00EC4B25" w:rsidRPr="00236893" w:rsidRDefault="00EC4B25" w:rsidP="00365457">
      <w:pPr>
        <w:widowControl w:val="0"/>
        <w:ind w:left="851"/>
        <w:rPr>
          <w:sz w:val="24"/>
          <w:szCs w:val="24"/>
        </w:rPr>
      </w:pPr>
      <w:r w:rsidRPr="00236893">
        <w:rPr>
          <w:sz w:val="24"/>
          <w:szCs w:val="24"/>
        </w:rPr>
        <w:t xml:space="preserve">Laboratorieundersøgelser af rotter og kaniner har ikke afsløret </w:t>
      </w:r>
      <w:proofErr w:type="spellStart"/>
      <w:r w:rsidRPr="00236893">
        <w:rPr>
          <w:sz w:val="24"/>
          <w:szCs w:val="24"/>
        </w:rPr>
        <w:t>teratogene</w:t>
      </w:r>
      <w:proofErr w:type="spellEnd"/>
      <w:r w:rsidRPr="00236893">
        <w:rPr>
          <w:sz w:val="24"/>
          <w:szCs w:val="24"/>
        </w:rPr>
        <w:t xml:space="preserve">, </w:t>
      </w:r>
      <w:proofErr w:type="spellStart"/>
      <w:r w:rsidRPr="00236893">
        <w:rPr>
          <w:sz w:val="24"/>
          <w:szCs w:val="24"/>
        </w:rPr>
        <w:t>føtotoksiske</w:t>
      </w:r>
      <w:proofErr w:type="spellEnd"/>
      <w:r w:rsidRPr="00236893">
        <w:rPr>
          <w:sz w:val="24"/>
          <w:szCs w:val="24"/>
        </w:rPr>
        <w:t xml:space="preserve"> eller </w:t>
      </w:r>
      <w:proofErr w:type="spellStart"/>
      <w:r w:rsidRPr="00236893">
        <w:rPr>
          <w:sz w:val="24"/>
          <w:szCs w:val="24"/>
        </w:rPr>
        <w:t>maternotoksiske</w:t>
      </w:r>
      <w:proofErr w:type="spellEnd"/>
      <w:r w:rsidRPr="00236893">
        <w:rPr>
          <w:sz w:val="24"/>
          <w:szCs w:val="24"/>
        </w:rPr>
        <w:t xml:space="preserve"> indvirkninger. Anvendelse frarådes under drægtighed.</w:t>
      </w:r>
      <w:bookmarkEnd w:id="4"/>
    </w:p>
    <w:p w14:paraId="3623DCDB" w14:textId="77777777" w:rsidR="00D74392" w:rsidRPr="00236893" w:rsidRDefault="00D74392" w:rsidP="00D74392">
      <w:pPr>
        <w:tabs>
          <w:tab w:val="left" w:pos="851"/>
        </w:tabs>
        <w:ind w:left="851"/>
        <w:rPr>
          <w:sz w:val="24"/>
          <w:szCs w:val="24"/>
        </w:rPr>
      </w:pPr>
    </w:p>
    <w:p w14:paraId="18DC97C6" w14:textId="77777777" w:rsidR="00D74392" w:rsidRPr="00236893" w:rsidRDefault="00D74392" w:rsidP="00D74392">
      <w:pPr>
        <w:tabs>
          <w:tab w:val="left" w:pos="851"/>
        </w:tabs>
        <w:ind w:left="851" w:hanging="851"/>
        <w:rPr>
          <w:b/>
          <w:sz w:val="24"/>
          <w:szCs w:val="24"/>
        </w:rPr>
      </w:pPr>
      <w:r w:rsidRPr="00236893">
        <w:rPr>
          <w:b/>
          <w:sz w:val="24"/>
          <w:szCs w:val="24"/>
        </w:rPr>
        <w:t>3.8</w:t>
      </w:r>
      <w:r w:rsidRPr="00236893">
        <w:rPr>
          <w:b/>
          <w:sz w:val="24"/>
          <w:szCs w:val="24"/>
        </w:rPr>
        <w:tab/>
        <w:t>Interaktion med andre lægemidler og andre former for interaktion</w:t>
      </w:r>
    </w:p>
    <w:p w14:paraId="49448462" w14:textId="77777777" w:rsidR="00EC4B25" w:rsidRPr="00236893" w:rsidRDefault="00EC4B25" w:rsidP="00365457">
      <w:pPr>
        <w:widowControl w:val="0"/>
        <w:ind w:left="851"/>
        <w:rPr>
          <w:sz w:val="24"/>
          <w:szCs w:val="24"/>
        </w:rPr>
      </w:pPr>
      <w:bookmarkStart w:id="5" w:name="_Hlk94086725"/>
      <w:r w:rsidRPr="00236893">
        <w:rPr>
          <w:sz w:val="24"/>
          <w:szCs w:val="24"/>
        </w:rPr>
        <w:t xml:space="preserve">Generelle </w:t>
      </w:r>
      <w:proofErr w:type="spellStart"/>
      <w:r w:rsidRPr="00236893">
        <w:rPr>
          <w:sz w:val="24"/>
          <w:szCs w:val="24"/>
        </w:rPr>
        <w:t>anæstetika</w:t>
      </w:r>
      <w:proofErr w:type="spellEnd"/>
      <w:r w:rsidRPr="00236893">
        <w:rPr>
          <w:sz w:val="24"/>
          <w:szCs w:val="24"/>
        </w:rPr>
        <w:t xml:space="preserve"> og muskelafslappende lægemidler øger den </w:t>
      </w:r>
      <w:proofErr w:type="spellStart"/>
      <w:r w:rsidRPr="00236893">
        <w:rPr>
          <w:sz w:val="24"/>
          <w:szCs w:val="24"/>
        </w:rPr>
        <w:t>neuro</w:t>
      </w:r>
      <w:proofErr w:type="spellEnd"/>
      <w:r w:rsidRPr="00236893">
        <w:rPr>
          <w:sz w:val="24"/>
          <w:szCs w:val="24"/>
        </w:rPr>
        <w:t xml:space="preserve">-blokerende effekt af aminoglykosider og kan forårsage paralyse og apnø. </w:t>
      </w:r>
    </w:p>
    <w:p w14:paraId="64977CD7" w14:textId="77777777" w:rsidR="00EC4B25" w:rsidRPr="00236893" w:rsidRDefault="00EC4B25" w:rsidP="00365457">
      <w:pPr>
        <w:widowControl w:val="0"/>
        <w:ind w:left="851"/>
        <w:rPr>
          <w:sz w:val="24"/>
          <w:szCs w:val="24"/>
        </w:rPr>
      </w:pPr>
      <w:r w:rsidRPr="00236893">
        <w:rPr>
          <w:sz w:val="24"/>
          <w:szCs w:val="24"/>
        </w:rPr>
        <w:t xml:space="preserve">Må ikke anvendes samtidig med stærke </w:t>
      </w:r>
      <w:proofErr w:type="spellStart"/>
      <w:r w:rsidRPr="00236893">
        <w:rPr>
          <w:sz w:val="24"/>
          <w:szCs w:val="24"/>
        </w:rPr>
        <w:t>diuretika</w:t>
      </w:r>
      <w:proofErr w:type="spellEnd"/>
      <w:r w:rsidRPr="00236893">
        <w:rPr>
          <w:sz w:val="24"/>
          <w:szCs w:val="24"/>
        </w:rPr>
        <w:t xml:space="preserve"> og potentielle </w:t>
      </w:r>
      <w:proofErr w:type="spellStart"/>
      <w:r w:rsidRPr="00236893">
        <w:rPr>
          <w:sz w:val="24"/>
          <w:szCs w:val="24"/>
        </w:rPr>
        <w:t>oto</w:t>
      </w:r>
      <w:proofErr w:type="spellEnd"/>
      <w:r w:rsidRPr="00236893">
        <w:rPr>
          <w:sz w:val="24"/>
          <w:szCs w:val="24"/>
        </w:rPr>
        <w:t xml:space="preserve">- eller </w:t>
      </w:r>
      <w:proofErr w:type="spellStart"/>
      <w:r w:rsidRPr="00236893">
        <w:rPr>
          <w:sz w:val="24"/>
          <w:szCs w:val="24"/>
        </w:rPr>
        <w:t>nefrotoksiske</w:t>
      </w:r>
      <w:proofErr w:type="spellEnd"/>
      <w:r w:rsidRPr="00236893">
        <w:rPr>
          <w:sz w:val="24"/>
          <w:szCs w:val="24"/>
        </w:rPr>
        <w:t xml:space="preserve"> stoffer.</w:t>
      </w:r>
      <w:bookmarkEnd w:id="5"/>
    </w:p>
    <w:p w14:paraId="5147CB6A" w14:textId="77777777" w:rsidR="00D74392" w:rsidRPr="00236893" w:rsidRDefault="00D74392" w:rsidP="00D74392">
      <w:pPr>
        <w:tabs>
          <w:tab w:val="left" w:pos="851"/>
        </w:tabs>
        <w:ind w:left="851"/>
        <w:rPr>
          <w:sz w:val="24"/>
          <w:szCs w:val="24"/>
        </w:rPr>
      </w:pPr>
    </w:p>
    <w:p w14:paraId="4A53719B" w14:textId="77777777" w:rsidR="00D74392" w:rsidRPr="00236893" w:rsidRDefault="00D74392" w:rsidP="00D74392">
      <w:pPr>
        <w:tabs>
          <w:tab w:val="left" w:pos="851"/>
        </w:tabs>
        <w:ind w:left="851" w:hanging="851"/>
        <w:rPr>
          <w:b/>
          <w:sz w:val="24"/>
          <w:szCs w:val="24"/>
        </w:rPr>
      </w:pPr>
      <w:r w:rsidRPr="00236893">
        <w:rPr>
          <w:b/>
          <w:sz w:val="24"/>
          <w:szCs w:val="24"/>
        </w:rPr>
        <w:t>3.9</w:t>
      </w:r>
      <w:r w:rsidRPr="00236893">
        <w:rPr>
          <w:b/>
          <w:sz w:val="24"/>
          <w:szCs w:val="24"/>
        </w:rPr>
        <w:tab/>
        <w:t>Administrationsveje og dosering</w:t>
      </w:r>
    </w:p>
    <w:p w14:paraId="6E574A31" w14:textId="77777777" w:rsidR="00EC4B25" w:rsidRPr="00236893" w:rsidRDefault="00EC4B25" w:rsidP="00365457">
      <w:pPr>
        <w:widowControl w:val="0"/>
        <w:ind w:left="851"/>
        <w:rPr>
          <w:sz w:val="24"/>
          <w:szCs w:val="24"/>
        </w:rPr>
      </w:pPr>
      <w:r w:rsidRPr="00236893">
        <w:rPr>
          <w:sz w:val="24"/>
          <w:szCs w:val="24"/>
        </w:rPr>
        <w:t>Oral anvendelse.</w:t>
      </w:r>
    </w:p>
    <w:p w14:paraId="25C6294C" w14:textId="77777777" w:rsidR="00EC4B25" w:rsidRPr="00236893" w:rsidRDefault="00EC4B25" w:rsidP="00365457">
      <w:pPr>
        <w:widowControl w:val="0"/>
        <w:ind w:left="851"/>
        <w:rPr>
          <w:sz w:val="24"/>
          <w:szCs w:val="24"/>
        </w:rPr>
      </w:pPr>
      <w:r w:rsidRPr="00236893">
        <w:rPr>
          <w:sz w:val="24"/>
          <w:szCs w:val="24"/>
        </w:rPr>
        <w:t>For at sikre korrekt dosering bør legemsvægten beregnes så nøjagtigt som muligt.</w:t>
      </w:r>
    </w:p>
    <w:p w14:paraId="7E3A27D0" w14:textId="3E2B06E0" w:rsidR="00D74392" w:rsidRPr="00236893" w:rsidRDefault="00D74392" w:rsidP="00365457">
      <w:pPr>
        <w:tabs>
          <w:tab w:val="left" w:pos="851"/>
        </w:tabs>
        <w:ind w:left="851"/>
        <w:rPr>
          <w:sz w:val="24"/>
          <w:szCs w:val="24"/>
        </w:rPr>
      </w:pPr>
    </w:p>
    <w:p w14:paraId="1CCBBD2E" w14:textId="77777777" w:rsidR="00EC4B25" w:rsidRPr="00236893" w:rsidRDefault="00EC4B25" w:rsidP="00365457">
      <w:pPr>
        <w:widowControl w:val="0"/>
        <w:ind w:left="851"/>
        <w:rPr>
          <w:b/>
          <w:sz w:val="24"/>
          <w:szCs w:val="24"/>
        </w:rPr>
      </w:pPr>
      <w:r w:rsidRPr="00236893">
        <w:rPr>
          <w:b/>
          <w:sz w:val="24"/>
          <w:szCs w:val="24"/>
        </w:rPr>
        <w:t xml:space="preserve">Kvæg (præ-drøvtyggende kvæg): </w:t>
      </w:r>
    </w:p>
    <w:p w14:paraId="4F254D79" w14:textId="77777777" w:rsidR="00EC4B25" w:rsidRPr="00236893" w:rsidRDefault="00EC4B25" w:rsidP="00365457">
      <w:pPr>
        <w:widowControl w:val="0"/>
        <w:ind w:left="851"/>
        <w:rPr>
          <w:i/>
          <w:sz w:val="24"/>
          <w:szCs w:val="24"/>
          <w:u w:val="single"/>
        </w:rPr>
      </w:pPr>
      <w:proofErr w:type="spellStart"/>
      <w:r w:rsidRPr="00236893">
        <w:rPr>
          <w:i/>
          <w:sz w:val="24"/>
          <w:szCs w:val="24"/>
          <w:u w:val="single"/>
        </w:rPr>
        <w:t>Colibacillose</w:t>
      </w:r>
      <w:proofErr w:type="spellEnd"/>
    </w:p>
    <w:p w14:paraId="651A0AE6" w14:textId="77777777" w:rsidR="00EC4B25" w:rsidRPr="00236893" w:rsidRDefault="00EC4B25" w:rsidP="00365457">
      <w:pPr>
        <w:widowControl w:val="0"/>
        <w:ind w:left="851"/>
        <w:rPr>
          <w:b/>
          <w:sz w:val="24"/>
          <w:szCs w:val="24"/>
          <w:u w:val="single"/>
        </w:rPr>
      </w:pPr>
      <w:r w:rsidRPr="00236893">
        <w:rPr>
          <w:sz w:val="24"/>
          <w:szCs w:val="24"/>
        </w:rPr>
        <w:t>Behandlingens varighed: 3-5 dage.</w:t>
      </w:r>
    </w:p>
    <w:p w14:paraId="332101A2" w14:textId="77777777" w:rsidR="00EC4B25" w:rsidRPr="00236893" w:rsidRDefault="00EC4B25" w:rsidP="00365457">
      <w:pPr>
        <w:widowControl w:val="0"/>
        <w:ind w:left="851"/>
        <w:rPr>
          <w:sz w:val="24"/>
          <w:szCs w:val="24"/>
        </w:rPr>
      </w:pPr>
      <w:r w:rsidRPr="00236893">
        <w:rPr>
          <w:sz w:val="24"/>
          <w:szCs w:val="24"/>
        </w:rPr>
        <w:t>Administration i mælk/mælkeerstatning.</w:t>
      </w:r>
    </w:p>
    <w:p w14:paraId="144862CB" w14:textId="77777777" w:rsidR="00EC4B25" w:rsidRPr="00236893" w:rsidRDefault="00EC4B25" w:rsidP="00365457">
      <w:pPr>
        <w:widowControl w:val="0"/>
        <w:ind w:left="851"/>
        <w:rPr>
          <w:sz w:val="24"/>
          <w:szCs w:val="24"/>
        </w:rPr>
      </w:pPr>
      <w:r w:rsidRPr="00236893">
        <w:rPr>
          <w:sz w:val="24"/>
          <w:szCs w:val="24"/>
        </w:rPr>
        <w:t xml:space="preserve">Anbefalet dosering: 1,25-2,5 ml veterinærlægemiddel/10 kg legemsvægt/dag, svarende til 17.500-35.000 IE </w:t>
      </w:r>
      <w:proofErr w:type="spellStart"/>
      <w:r w:rsidRPr="00236893">
        <w:rPr>
          <w:sz w:val="24"/>
          <w:szCs w:val="24"/>
        </w:rPr>
        <w:t>paromomycin</w:t>
      </w:r>
      <w:proofErr w:type="spellEnd"/>
      <w:r w:rsidRPr="00236893">
        <w:rPr>
          <w:sz w:val="24"/>
          <w:szCs w:val="24"/>
        </w:rPr>
        <w:t xml:space="preserve"> pr. kg legemsvægt/dag (dvs. ca. 25-50 mg </w:t>
      </w:r>
      <w:proofErr w:type="spellStart"/>
      <w:r w:rsidRPr="00236893">
        <w:rPr>
          <w:sz w:val="24"/>
          <w:szCs w:val="24"/>
        </w:rPr>
        <w:t>paromomycinsulfat</w:t>
      </w:r>
      <w:proofErr w:type="spellEnd"/>
      <w:r w:rsidRPr="00236893">
        <w:rPr>
          <w:sz w:val="24"/>
          <w:szCs w:val="24"/>
        </w:rPr>
        <w:t xml:space="preserve"> pr. kg legemsvægt/dag).</w:t>
      </w:r>
    </w:p>
    <w:p w14:paraId="3802CF67" w14:textId="77777777" w:rsidR="00EC4B25" w:rsidRPr="00236893" w:rsidRDefault="00EC4B25" w:rsidP="00365457">
      <w:pPr>
        <w:widowControl w:val="0"/>
        <w:ind w:left="851"/>
        <w:rPr>
          <w:sz w:val="24"/>
          <w:szCs w:val="24"/>
        </w:rPr>
      </w:pPr>
    </w:p>
    <w:p w14:paraId="5EDB6B19" w14:textId="77777777" w:rsidR="00EC4B25" w:rsidRPr="00236893" w:rsidRDefault="00EC4B25" w:rsidP="00365457">
      <w:pPr>
        <w:widowControl w:val="0"/>
        <w:ind w:left="851"/>
        <w:rPr>
          <w:b/>
          <w:sz w:val="24"/>
          <w:szCs w:val="24"/>
        </w:rPr>
      </w:pPr>
      <w:r w:rsidRPr="00236893">
        <w:rPr>
          <w:b/>
          <w:sz w:val="24"/>
          <w:szCs w:val="24"/>
        </w:rPr>
        <w:t>Kvæg (nyfødte kalve):</w:t>
      </w:r>
    </w:p>
    <w:p w14:paraId="22A87F44" w14:textId="77777777" w:rsidR="00EC4B25" w:rsidRPr="00236893" w:rsidRDefault="00EC4B25" w:rsidP="00365457">
      <w:pPr>
        <w:widowControl w:val="0"/>
        <w:ind w:left="851"/>
        <w:rPr>
          <w:i/>
          <w:sz w:val="24"/>
          <w:szCs w:val="24"/>
          <w:u w:val="single"/>
        </w:rPr>
      </w:pPr>
      <w:proofErr w:type="spellStart"/>
      <w:r w:rsidRPr="00236893">
        <w:rPr>
          <w:i/>
          <w:sz w:val="24"/>
          <w:szCs w:val="24"/>
          <w:u w:val="single"/>
        </w:rPr>
        <w:t>Cryptosporidiose</w:t>
      </w:r>
      <w:proofErr w:type="spellEnd"/>
    </w:p>
    <w:p w14:paraId="35271DBC" w14:textId="77777777" w:rsidR="00EC4B25" w:rsidRPr="00236893" w:rsidRDefault="00EC4B25" w:rsidP="00365457">
      <w:pPr>
        <w:widowControl w:val="0"/>
        <w:ind w:left="851"/>
        <w:rPr>
          <w:sz w:val="24"/>
          <w:szCs w:val="24"/>
        </w:rPr>
      </w:pPr>
      <w:r w:rsidRPr="00236893">
        <w:rPr>
          <w:sz w:val="24"/>
          <w:szCs w:val="24"/>
        </w:rPr>
        <w:t>Behandlingens varighed: 5 dage.</w:t>
      </w:r>
    </w:p>
    <w:p w14:paraId="38AC7A75" w14:textId="77777777" w:rsidR="00EC4B25" w:rsidRPr="00236893" w:rsidRDefault="00EC4B25" w:rsidP="00365457">
      <w:pPr>
        <w:widowControl w:val="0"/>
        <w:ind w:left="851"/>
        <w:rPr>
          <w:sz w:val="24"/>
          <w:szCs w:val="24"/>
        </w:rPr>
      </w:pPr>
      <w:r w:rsidRPr="00236893">
        <w:rPr>
          <w:sz w:val="24"/>
          <w:szCs w:val="24"/>
        </w:rPr>
        <w:t>Administration i mælk/mælkeerstatning eller direkte i munden ved hjælp af enten en sprøjte eller en enhed beregnet til oral administration.</w:t>
      </w:r>
    </w:p>
    <w:p w14:paraId="4BE2A715" w14:textId="77777777" w:rsidR="00EC4B25" w:rsidRPr="00236893" w:rsidRDefault="00EC4B25" w:rsidP="00365457">
      <w:pPr>
        <w:widowControl w:val="0"/>
        <w:ind w:left="851"/>
        <w:rPr>
          <w:sz w:val="24"/>
          <w:szCs w:val="24"/>
        </w:rPr>
      </w:pPr>
      <w:r w:rsidRPr="00236893">
        <w:rPr>
          <w:sz w:val="24"/>
          <w:szCs w:val="24"/>
        </w:rPr>
        <w:t xml:space="preserve">Anbefalet dosering: 7,5 ml veterinærlægemiddel/10 kg legemsvægt/dag i 5 på hinanden følgende dage, dvs. 105.000 IE </w:t>
      </w:r>
      <w:proofErr w:type="spellStart"/>
      <w:r w:rsidRPr="00236893">
        <w:rPr>
          <w:sz w:val="24"/>
          <w:szCs w:val="24"/>
        </w:rPr>
        <w:t>paromomycin</w:t>
      </w:r>
      <w:proofErr w:type="spellEnd"/>
      <w:r w:rsidRPr="00236893">
        <w:rPr>
          <w:sz w:val="24"/>
          <w:szCs w:val="24"/>
        </w:rPr>
        <w:t xml:space="preserve"> pr. kg legemsvægt/dag i 5 på hinanden følgende dage (dvs. ca. 150 mg </w:t>
      </w:r>
      <w:proofErr w:type="spellStart"/>
      <w:r w:rsidRPr="00236893">
        <w:rPr>
          <w:sz w:val="24"/>
          <w:szCs w:val="24"/>
        </w:rPr>
        <w:t>paromomycinsulfat</w:t>
      </w:r>
      <w:proofErr w:type="spellEnd"/>
      <w:r w:rsidRPr="00236893">
        <w:rPr>
          <w:sz w:val="24"/>
          <w:szCs w:val="24"/>
        </w:rPr>
        <w:t xml:space="preserve"> pr. kg legemsvægt/dag).</w:t>
      </w:r>
    </w:p>
    <w:p w14:paraId="51309C88" w14:textId="77777777" w:rsidR="00EC4B25" w:rsidRPr="00236893" w:rsidRDefault="00EC4B25" w:rsidP="00365457">
      <w:pPr>
        <w:widowControl w:val="0"/>
        <w:ind w:left="851"/>
        <w:rPr>
          <w:sz w:val="24"/>
          <w:szCs w:val="24"/>
        </w:rPr>
      </w:pPr>
      <w:r w:rsidRPr="00236893">
        <w:rPr>
          <w:sz w:val="24"/>
          <w:szCs w:val="24"/>
        </w:rPr>
        <w:t xml:space="preserve">I tilfælde af utilstrækkeligt indtag af mælk skal hele den resterende opløsning administreres </w:t>
      </w:r>
      <w:r w:rsidRPr="00236893">
        <w:rPr>
          <w:sz w:val="24"/>
          <w:szCs w:val="24"/>
        </w:rPr>
        <w:lastRenderedPageBreak/>
        <w:t>oralt direkte i munden på dyret.</w:t>
      </w:r>
    </w:p>
    <w:p w14:paraId="50F1E752" w14:textId="77777777" w:rsidR="00EC4B25" w:rsidRPr="00236893" w:rsidRDefault="00EC4B25" w:rsidP="00365457">
      <w:pPr>
        <w:widowControl w:val="0"/>
        <w:ind w:left="851"/>
        <w:rPr>
          <w:sz w:val="24"/>
          <w:szCs w:val="24"/>
        </w:rPr>
      </w:pPr>
    </w:p>
    <w:p w14:paraId="6B440D6D" w14:textId="77777777" w:rsidR="00EC4B25" w:rsidRPr="00236893" w:rsidRDefault="00EC4B25" w:rsidP="00365457">
      <w:pPr>
        <w:widowControl w:val="0"/>
        <w:ind w:left="851"/>
        <w:rPr>
          <w:b/>
          <w:sz w:val="24"/>
          <w:szCs w:val="24"/>
        </w:rPr>
      </w:pPr>
      <w:r w:rsidRPr="00236893">
        <w:rPr>
          <w:b/>
          <w:sz w:val="24"/>
          <w:szCs w:val="24"/>
        </w:rPr>
        <w:t>Svin:</w:t>
      </w:r>
    </w:p>
    <w:p w14:paraId="2CC40A3B" w14:textId="77777777" w:rsidR="00EC4B25" w:rsidRPr="00236893" w:rsidRDefault="00EC4B25" w:rsidP="00365457">
      <w:pPr>
        <w:widowControl w:val="0"/>
        <w:ind w:left="851"/>
        <w:rPr>
          <w:i/>
          <w:sz w:val="24"/>
          <w:szCs w:val="24"/>
          <w:u w:val="single"/>
        </w:rPr>
      </w:pPr>
      <w:proofErr w:type="spellStart"/>
      <w:r w:rsidRPr="00236893">
        <w:rPr>
          <w:i/>
          <w:sz w:val="24"/>
          <w:szCs w:val="24"/>
          <w:u w:val="single"/>
        </w:rPr>
        <w:t>Colibacillose</w:t>
      </w:r>
      <w:proofErr w:type="spellEnd"/>
    </w:p>
    <w:p w14:paraId="77C9482E" w14:textId="77777777" w:rsidR="00EC4B25" w:rsidRPr="00236893" w:rsidRDefault="00EC4B25" w:rsidP="00365457">
      <w:pPr>
        <w:widowControl w:val="0"/>
        <w:ind w:left="851"/>
        <w:rPr>
          <w:sz w:val="24"/>
          <w:szCs w:val="24"/>
        </w:rPr>
      </w:pPr>
      <w:r w:rsidRPr="00236893">
        <w:rPr>
          <w:sz w:val="24"/>
          <w:szCs w:val="24"/>
        </w:rPr>
        <w:t>Behandlingens varighed: 3-5 dage.</w:t>
      </w:r>
    </w:p>
    <w:p w14:paraId="7FE3093D" w14:textId="77777777" w:rsidR="00EC4B25" w:rsidRPr="00236893" w:rsidRDefault="00EC4B25" w:rsidP="00365457">
      <w:pPr>
        <w:widowControl w:val="0"/>
        <w:ind w:left="851"/>
        <w:rPr>
          <w:sz w:val="24"/>
          <w:szCs w:val="24"/>
        </w:rPr>
      </w:pPr>
      <w:r w:rsidRPr="00236893">
        <w:rPr>
          <w:sz w:val="24"/>
          <w:szCs w:val="24"/>
        </w:rPr>
        <w:t>Administration i drikkevand.</w:t>
      </w:r>
    </w:p>
    <w:p w14:paraId="43E6652B" w14:textId="77777777" w:rsidR="00EC4B25" w:rsidRPr="00236893" w:rsidRDefault="00EC4B25" w:rsidP="00365457">
      <w:pPr>
        <w:widowControl w:val="0"/>
        <w:ind w:left="851"/>
        <w:rPr>
          <w:sz w:val="24"/>
          <w:szCs w:val="24"/>
        </w:rPr>
      </w:pPr>
      <w:r w:rsidRPr="00236893">
        <w:rPr>
          <w:sz w:val="24"/>
          <w:szCs w:val="24"/>
        </w:rPr>
        <w:t xml:space="preserve">Anbefalet dosering: 1,25-2 ml veterinærlægemiddel/10 kg legemsvægt/dag, svarende til 17.500-28.000 IE </w:t>
      </w:r>
      <w:proofErr w:type="spellStart"/>
      <w:r w:rsidRPr="00236893">
        <w:rPr>
          <w:sz w:val="24"/>
          <w:szCs w:val="24"/>
        </w:rPr>
        <w:t>paromomycin</w:t>
      </w:r>
      <w:proofErr w:type="spellEnd"/>
      <w:r w:rsidRPr="00236893">
        <w:rPr>
          <w:sz w:val="24"/>
          <w:szCs w:val="24"/>
        </w:rPr>
        <w:t xml:space="preserve"> pr. kg legemsvægt/dag (dvs. ca. 25-40 mg </w:t>
      </w:r>
      <w:proofErr w:type="spellStart"/>
      <w:r w:rsidRPr="00236893">
        <w:rPr>
          <w:sz w:val="24"/>
          <w:szCs w:val="24"/>
        </w:rPr>
        <w:t>paromomycinsulfat</w:t>
      </w:r>
      <w:proofErr w:type="spellEnd"/>
      <w:r w:rsidRPr="00236893">
        <w:rPr>
          <w:sz w:val="24"/>
          <w:szCs w:val="24"/>
        </w:rPr>
        <w:t xml:space="preserve"> pr. kg legemsvægt/dag).</w:t>
      </w:r>
    </w:p>
    <w:p w14:paraId="78C3EDC5" w14:textId="77777777" w:rsidR="00EC4B25" w:rsidRPr="00236893" w:rsidRDefault="00EC4B25" w:rsidP="00365457">
      <w:pPr>
        <w:widowControl w:val="0"/>
        <w:ind w:left="851"/>
        <w:rPr>
          <w:sz w:val="24"/>
          <w:szCs w:val="24"/>
        </w:rPr>
      </w:pPr>
    </w:p>
    <w:p w14:paraId="0F85A5E4" w14:textId="77777777" w:rsidR="00EC4B25" w:rsidRPr="00236893" w:rsidRDefault="00EC4B25" w:rsidP="00365457">
      <w:pPr>
        <w:widowControl w:val="0"/>
        <w:ind w:left="851"/>
        <w:rPr>
          <w:sz w:val="24"/>
          <w:szCs w:val="24"/>
        </w:rPr>
      </w:pPr>
      <w:r w:rsidRPr="00236893">
        <w:rPr>
          <w:sz w:val="24"/>
          <w:szCs w:val="24"/>
        </w:rPr>
        <w:t>Ved administration via drikkevandet skal den præcise daglige mængde af veterinærlægemidlet baseres på antallet af dyr, der skal behandles, og den anbefalede dosis skal beregnes i henhold til følgende formel:</w:t>
      </w:r>
    </w:p>
    <w:p w14:paraId="1539D11B" w14:textId="77777777" w:rsidR="00EC4B25" w:rsidRPr="00236893" w:rsidRDefault="00EC4B25" w:rsidP="00EC4B25">
      <w:pPr>
        <w:widowControl w:val="0"/>
        <w:rPr>
          <w:sz w:val="24"/>
          <w:szCs w:val="24"/>
        </w:rPr>
      </w:pPr>
      <w:bookmarkStart w:id="6" w:name="_Hlk94087392"/>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914"/>
        <w:gridCol w:w="2499"/>
        <w:gridCol w:w="424"/>
        <w:gridCol w:w="2515"/>
        <w:gridCol w:w="36"/>
      </w:tblGrid>
      <w:tr w:rsidR="00EC4B25" w:rsidRPr="00236893" w14:paraId="31E62A9C" w14:textId="77777777" w:rsidTr="00EC4B25">
        <w:trPr>
          <w:trHeight w:val="835"/>
        </w:trPr>
        <w:tc>
          <w:tcPr>
            <w:tcW w:w="1865" w:type="dxa"/>
            <w:tcBorders>
              <w:top w:val="nil"/>
              <w:left w:val="nil"/>
              <w:bottom w:val="single" w:sz="4" w:space="0" w:color="auto"/>
              <w:right w:val="nil"/>
            </w:tcBorders>
            <w:vAlign w:val="center"/>
            <w:hideMark/>
          </w:tcPr>
          <w:p w14:paraId="6617B1E7" w14:textId="77777777" w:rsidR="00EC4B25" w:rsidRPr="00236893" w:rsidRDefault="00EC4B25">
            <w:pPr>
              <w:tabs>
                <w:tab w:val="left" w:pos="1304"/>
              </w:tabs>
              <w:jc w:val="center"/>
              <w:rPr>
                <w:sz w:val="24"/>
                <w:szCs w:val="24"/>
              </w:rPr>
            </w:pPr>
            <w:r w:rsidRPr="00236893">
              <w:rPr>
                <w:sz w:val="24"/>
                <w:szCs w:val="24"/>
              </w:rPr>
              <w:t>ml lægemiddel / kg legemsvægt / dag</w:t>
            </w:r>
          </w:p>
        </w:tc>
        <w:tc>
          <w:tcPr>
            <w:tcW w:w="914" w:type="dxa"/>
            <w:tcBorders>
              <w:top w:val="nil"/>
              <w:left w:val="nil"/>
              <w:bottom w:val="single" w:sz="4" w:space="0" w:color="auto"/>
              <w:right w:val="nil"/>
            </w:tcBorders>
            <w:vAlign w:val="center"/>
            <w:hideMark/>
          </w:tcPr>
          <w:p w14:paraId="3610D47E" w14:textId="77777777" w:rsidR="00EC4B25" w:rsidRPr="00236893" w:rsidRDefault="00EC4B25">
            <w:pPr>
              <w:tabs>
                <w:tab w:val="left" w:pos="1304"/>
              </w:tabs>
              <w:jc w:val="center"/>
              <w:rPr>
                <w:sz w:val="24"/>
                <w:szCs w:val="24"/>
              </w:rPr>
            </w:pPr>
            <w:r w:rsidRPr="00236893">
              <w:rPr>
                <w:sz w:val="24"/>
                <w:szCs w:val="24"/>
              </w:rPr>
              <w:t>×</w:t>
            </w:r>
          </w:p>
        </w:tc>
        <w:tc>
          <w:tcPr>
            <w:tcW w:w="2499" w:type="dxa"/>
            <w:tcBorders>
              <w:top w:val="nil"/>
              <w:left w:val="nil"/>
              <w:bottom w:val="single" w:sz="4" w:space="0" w:color="auto"/>
              <w:right w:val="nil"/>
            </w:tcBorders>
            <w:hideMark/>
          </w:tcPr>
          <w:p w14:paraId="3EB4BCFE" w14:textId="77777777" w:rsidR="00EC4B25" w:rsidRPr="00236893" w:rsidRDefault="00EC4B25">
            <w:pPr>
              <w:tabs>
                <w:tab w:val="left" w:pos="1304"/>
              </w:tabs>
              <w:jc w:val="center"/>
              <w:rPr>
                <w:sz w:val="24"/>
                <w:szCs w:val="24"/>
              </w:rPr>
            </w:pPr>
            <w:r w:rsidRPr="00236893">
              <w:rPr>
                <w:sz w:val="24"/>
                <w:szCs w:val="24"/>
              </w:rPr>
              <w:t>Gennemsnitlig legemsvægt (kg) af de dyr, der skal behandles</w:t>
            </w:r>
          </w:p>
        </w:tc>
        <w:tc>
          <w:tcPr>
            <w:tcW w:w="424" w:type="dxa"/>
            <w:vMerge w:val="restart"/>
            <w:vAlign w:val="center"/>
          </w:tcPr>
          <w:p w14:paraId="36C3203C" w14:textId="77777777" w:rsidR="00EC4B25" w:rsidRPr="00236893" w:rsidRDefault="00EC4B25">
            <w:pPr>
              <w:tabs>
                <w:tab w:val="left" w:pos="1304"/>
              </w:tabs>
              <w:ind w:left="851" w:hanging="851"/>
              <w:jc w:val="center"/>
              <w:rPr>
                <w:sz w:val="24"/>
                <w:szCs w:val="24"/>
              </w:rPr>
            </w:pPr>
          </w:p>
          <w:p w14:paraId="76B86DF8" w14:textId="77777777" w:rsidR="00EC4B25" w:rsidRPr="00236893" w:rsidRDefault="00EC4B25">
            <w:pPr>
              <w:tabs>
                <w:tab w:val="left" w:pos="1304"/>
              </w:tabs>
              <w:ind w:left="851" w:hanging="851"/>
              <w:jc w:val="center"/>
              <w:rPr>
                <w:sz w:val="24"/>
                <w:szCs w:val="24"/>
              </w:rPr>
            </w:pPr>
          </w:p>
          <w:p w14:paraId="1C5FAA92" w14:textId="77777777" w:rsidR="00EC4B25" w:rsidRPr="00236893" w:rsidRDefault="00EC4B25">
            <w:pPr>
              <w:tabs>
                <w:tab w:val="left" w:pos="1304"/>
              </w:tabs>
              <w:ind w:left="851" w:hanging="851"/>
              <w:jc w:val="center"/>
              <w:rPr>
                <w:sz w:val="24"/>
                <w:szCs w:val="24"/>
              </w:rPr>
            </w:pPr>
            <w:r w:rsidRPr="00236893">
              <w:rPr>
                <w:sz w:val="24"/>
                <w:szCs w:val="24"/>
              </w:rPr>
              <w:t>=</w:t>
            </w:r>
          </w:p>
        </w:tc>
        <w:tc>
          <w:tcPr>
            <w:tcW w:w="2551" w:type="dxa"/>
            <w:gridSpan w:val="2"/>
          </w:tcPr>
          <w:p w14:paraId="1D1F7709" w14:textId="77777777" w:rsidR="00EC4B25" w:rsidRPr="00236893" w:rsidRDefault="00EC4B25">
            <w:pPr>
              <w:tabs>
                <w:tab w:val="left" w:pos="1304"/>
              </w:tabs>
              <w:autoSpaceDE w:val="0"/>
              <w:autoSpaceDN w:val="0"/>
              <w:adjustRightInd w:val="0"/>
              <w:ind w:left="851" w:hanging="851"/>
              <w:rPr>
                <w:rFonts w:eastAsia="Calibri"/>
                <w:sz w:val="24"/>
                <w:szCs w:val="24"/>
              </w:rPr>
            </w:pPr>
          </w:p>
          <w:p w14:paraId="5B265F7F" w14:textId="77777777" w:rsidR="00EC4B25" w:rsidRPr="00236893" w:rsidRDefault="00EC4B25">
            <w:pPr>
              <w:tabs>
                <w:tab w:val="left" w:pos="1304"/>
              </w:tabs>
              <w:autoSpaceDE w:val="0"/>
              <w:autoSpaceDN w:val="0"/>
              <w:adjustRightInd w:val="0"/>
              <w:ind w:left="851" w:hanging="851"/>
              <w:rPr>
                <w:rFonts w:eastAsia="Calibri"/>
                <w:sz w:val="24"/>
                <w:szCs w:val="24"/>
              </w:rPr>
            </w:pPr>
          </w:p>
          <w:p w14:paraId="6A2A730F" w14:textId="77777777" w:rsidR="00EC4B25" w:rsidRPr="00236893" w:rsidRDefault="00EC4B25">
            <w:pPr>
              <w:tabs>
                <w:tab w:val="left" w:pos="1304"/>
              </w:tabs>
              <w:autoSpaceDE w:val="0"/>
              <w:autoSpaceDN w:val="0"/>
              <w:adjustRightInd w:val="0"/>
              <w:ind w:left="851" w:hanging="851"/>
              <w:rPr>
                <w:sz w:val="24"/>
                <w:szCs w:val="24"/>
              </w:rPr>
            </w:pPr>
            <w:r w:rsidRPr="00236893">
              <w:rPr>
                <w:sz w:val="24"/>
                <w:szCs w:val="24"/>
              </w:rPr>
              <w:t xml:space="preserve">ml lægemiddel per liter </w:t>
            </w:r>
          </w:p>
          <w:p w14:paraId="798D042D" w14:textId="77777777" w:rsidR="00EC4B25" w:rsidRPr="00236893" w:rsidRDefault="00EC4B25">
            <w:pPr>
              <w:tabs>
                <w:tab w:val="left" w:pos="1304"/>
              </w:tabs>
              <w:ind w:left="851" w:hanging="851"/>
              <w:jc w:val="center"/>
              <w:rPr>
                <w:sz w:val="24"/>
                <w:szCs w:val="24"/>
              </w:rPr>
            </w:pPr>
            <w:r w:rsidRPr="00236893">
              <w:rPr>
                <w:sz w:val="24"/>
                <w:szCs w:val="24"/>
              </w:rPr>
              <w:t>drikkevand/dag/dyr</w:t>
            </w:r>
          </w:p>
        </w:tc>
      </w:tr>
      <w:tr w:rsidR="00EC4B25" w:rsidRPr="00236893" w14:paraId="106D71E7" w14:textId="77777777" w:rsidTr="00EC4B25">
        <w:trPr>
          <w:gridAfter w:val="1"/>
          <w:wAfter w:w="36" w:type="dxa"/>
          <w:trHeight w:val="340"/>
        </w:trPr>
        <w:tc>
          <w:tcPr>
            <w:tcW w:w="5278" w:type="dxa"/>
            <w:gridSpan w:val="3"/>
            <w:tcBorders>
              <w:top w:val="single" w:sz="4" w:space="0" w:color="auto"/>
              <w:left w:val="nil"/>
              <w:bottom w:val="nil"/>
              <w:right w:val="nil"/>
            </w:tcBorders>
            <w:vAlign w:val="center"/>
            <w:hideMark/>
          </w:tcPr>
          <w:p w14:paraId="65FD6AAD" w14:textId="77777777" w:rsidR="00EC4B25" w:rsidRPr="00236893" w:rsidRDefault="00EC4B25">
            <w:pPr>
              <w:tabs>
                <w:tab w:val="left" w:pos="1304"/>
              </w:tabs>
              <w:jc w:val="center"/>
              <w:rPr>
                <w:sz w:val="24"/>
                <w:szCs w:val="24"/>
              </w:rPr>
            </w:pPr>
            <w:r w:rsidRPr="00236893">
              <w:rPr>
                <w:sz w:val="24"/>
                <w:szCs w:val="24"/>
              </w:rPr>
              <w:t>Gennemsnitlig daglig vandindtagelse (liter) per dyr</w:t>
            </w:r>
          </w:p>
        </w:tc>
        <w:tc>
          <w:tcPr>
            <w:tcW w:w="0" w:type="auto"/>
            <w:vMerge/>
            <w:vAlign w:val="center"/>
            <w:hideMark/>
          </w:tcPr>
          <w:p w14:paraId="45F25E0B" w14:textId="77777777" w:rsidR="00EC4B25" w:rsidRPr="00236893" w:rsidRDefault="00EC4B25">
            <w:pPr>
              <w:rPr>
                <w:sz w:val="24"/>
                <w:szCs w:val="24"/>
              </w:rPr>
            </w:pPr>
          </w:p>
        </w:tc>
        <w:tc>
          <w:tcPr>
            <w:tcW w:w="2515" w:type="dxa"/>
            <w:vAlign w:val="center"/>
          </w:tcPr>
          <w:p w14:paraId="7E0E94BF" w14:textId="77777777" w:rsidR="00EC4B25" w:rsidRPr="00236893" w:rsidRDefault="00EC4B25">
            <w:pPr>
              <w:tabs>
                <w:tab w:val="left" w:pos="1304"/>
              </w:tabs>
              <w:ind w:left="851" w:hanging="851"/>
              <w:jc w:val="center"/>
              <w:rPr>
                <w:sz w:val="24"/>
                <w:szCs w:val="24"/>
              </w:rPr>
            </w:pPr>
          </w:p>
        </w:tc>
      </w:tr>
    </w:tbl>
    <w:p w14:paraId="0575FA4B" w14:textId="77777777" w:rsidR="00EC4B25" w:rsidRPr="00236893" w:rsidRDefault="00EC4B25" w:rsidP="00EC4B25">
      <w:pPr>
        <w:rPr>
          <w:sz w:val="24"/>
          <w:szCs w:val="24"/>
        </w:rPr>
      </w:pPr>
    </w:p>
    <w:p w14:paraId="1A0FD010" w14:textId="77777777" w:rsidR="00EC4B25" w:rsidRPr="00236893" w:rsidRDefault="00EC4B25" w:rsidP="00365457">
      <w:pPr>
        <w:widowControl w:val="0"/>
        <w:ind w:left="851"/>
        <w:rPr>
          <w:b/>
          <w:sz w:val="24"/>
          <w:szCs w:val="24"/>
        </w:rPr>
      </w:pPr>
      <w:r w:rsidRPr="00236893">
        <w:rPr>
          <w:sz w:val="24"/>
          <w:szCs w:val="24"/>
        </w:rPr>
        <w:t xml:space="preserve">Indtagelsen af medicineret vand afhænger af flere forskellige faktorer herunder dyrenes kliniske tilstand og de lokale forhold som f.eks. omgivende temperatur og luftfugtighed. For at opnå den korrekte dosering skal indtagelsen af drikkevand overvåges, og koncentrationen af </w:t>
      </w:r>
      <w:proofErr w:type="spellStart"/>
      <w:r w:rsidRPr="00236893">
        <w:rPr>
          <w:sz w:val="24"/>
          <w:szCs w:val="24"/>
        </w:rPr>
        <w:t>paromomycin</w:t>
      </w:r>
      <w:proofErr w:type="spellEnd"/>
      <w:r w:rsidRPr="00236893">
        <w:rPr>
          <w:sz w:val="24"/>
          <w:szCs w:val="24"/>
        </w:rPr>
        <w:t xml:space="preserve"> skal justeres i overensstemmelse hermed.</w:t>
      </w:r>
    </w:p>
    <w:p w14:paraId="6BADADDB" w14:textId="77777777" w:rsidR="00EC4B25" w:rsidRPr="00236893" w:rsidRDefault="00EC4B25" w:rsidP="00365457">
      <w:pPr>
        <w:widowControl w:val="0"/>
        <w:ind w:left="851"/>
        <w:rPr>
          <w:sz w:val="24"/>
          <w:szCs w:val="24"/>
        </w:rPr>
      </w:pPr>
    </w:p>
    <w:p w14:paraId="00F3A5AC" w14:textId="77777777" w:rsidR="00EC4B25" w:rsidRPr="00236893" w:rsidRDefault="00EC4B25" w:rsidP="00365457">
      <w:pPr>
        <w:widowControl w:val="0"/>
        <w:ind w:left="851"/>
        <w:rPr>
          <w:sz w:val="24"/>
          <w:szCs w:val="24"/>
        </w:rPr>
      </w:pPr>
      <w:r w:rsidRPr="00236893">
        <w:rPr>
          <w:sz w:val="24"/>
          <w:szCs w:val="24"/>
        </w:rPr>
        <w:t>Frisk medicineret drikkevand/mælk/mælkeerstatning og eventuelle stamopløsninger skal klargøres hver 6. time (ved mælk/mælkeerstatning) eller hver 24. time (ved vand).</w:t>
      </w:r>
      <w:bookmarkEnd w:id="6"/>
    </w:p>
    <w:p w14:paraId="181654F8" w14:textId="77777777" w:rsidR="00D74392" w:rsidRPr="00236893" w:rsidRDefault="00D74392" w:rsidP="00D74392">
      <w:pPr>
        <w:tabs>
          <w:tab w:val="left" w:pos="851"/>
        </w:tabs>
        <w:ind w:left="851"/>
        <w:rPr>
          <w:sz w:val="24"/>
          <w:szCs w:val="24"/>
        </w:rPr>
      </w:pPr>
    </w:p>
    <w:p w14:paraId="2BC6720E" w14:textId="77777777" w:rsidR="00D74392" w:rsidRPr="00236893" w:rsidRDefault="00D74392" w:rsidP="00D74392">
      <w:pPr>
        <w:tabs>
          <w:tab w:val="left" w:pos="851"/>
        </w:tabs>
        <w:ind w:left="851" w:hanging="851"/>
        <w:rPr>
          <w:b/>
          <w:sz w:val="24"/>
          <w:szCs w:val="24"/>
        </w:rPr>
      </w:pPr>
      <w:r w:rsidRPr="00236893">
        <w:rPr>
          <w:b/>
          <w:sz w:val="24"/>
          <w:szCs w:val="24"/>
        </w:rPr>
        <w:t>3.10</w:t>
      </w:r>
      <w:r w:rsidRPr="00236893">
        <w:rPr>
          <w:b/>
          <w:sz w:val="24"/>
          <w:szCs w:val="24"/>
        </w:rPr>
        <w:tab/>
        <w:t>Symptomer på overdosering (og, hvis relevant, nødforanstaltninger og modgift)</w:t>
      </w:r>
    </w:p>
    <w:p w14:paraId="293C6C87" w14:textId="77777777" w:rsidR="00EC4B25" w:rsidRPr="00236893" w:rsidRDefault="00EC4B25" w:rsidP="00365457">
      <w:pPr>
        <w:widowControl w:val="0"/>
        <w:ind w:left="851"/>
        <w:rPr>
          <w:sz w:val="24"/>
          <w:szCs w:val="24"/>
        </w:rPr>
      </w:pPr>
      <w:bookmarkStart w:id="7" w:name="_Hlk94086850"/>
      <w:r w:rsidRPr="00236893">
        <w:rPr>
          <w:sz w:val="24"/>
          <w:szCs w:val="24"/>
        </w:rPr>
        <w:t xml:space="preserve">Efter administration af 1X, 2X og 3X den anbefalede dosis til behandling af </w:t>
      </w:r>
      <w:proofErr w:type="spellStart"/>
      <w:r w:rsidRPr="00236893">
        <w:rPr>
          <w:sz w:val="24"/>
          <w:szCs w:val="24"/>
        </w:rPr>
        <w:t>cryptosporidiose</w:t>
      </w:r>
      <w:proofErr w:type="spellEnd"/>
      <w:r w:rsidRPr="00236893">
        <w:rPr>
          <w:sz w:val="24"/>
          <w:szCs w:val="24"/>
        </w:rPr>
        <w:t xml:space="preserve"> (150, 300 og 450 mg </w:t>
      </w:r>
      <w:proofErr w:type="spellStart"/>
      <w:r w:rsidRPr="00236893">
        <w:rPr>
          <w:sz w:val="24"/>
          <w:szCs w:val="24"/>
        </w:rPr>
        <w:t>paromomycinsulfat</w:t>
      </w:r>
      <w:proofErr w:type="spellEnd"/>
      <w:r w:rsidRPr="00236893">
        <w:rPr>
          <w:sz w:val="24"/>
          <w:szCs w:val="24"/>
        </w:rPr>
        <w:t xml:space="preserve">/kg) i 3 gange den anbefalede varighed (15 dage), er der hos nyfødte kalve (5-13 dage) konstateret </w:t>
      </w:r>
      <w:proofErr w:type="spellStart"/>
      <w:r w:rsidRPr="00236893">
        <w:rPr>
          <w:sz w:val="24"/>
          <w:szCs w:val="24"/>
        </w:rPr>
        <w:t>histopatologiske</w:t>
      </w:r>
      <w:proofErr w:type="spellEnd"/>
      <w:r w:rsidRPr="00236893">
        <w:rPr>
          <w:sz w:val="24"/>
          <w:szCs w:val="24"/>
        </w:rPr>
        <w:t xml:space="preserve"> nyreabnormiteter hos nogle kalve. Disse abnormiteter kan konstateres hos kalve uden nogen form for behandling. Dog kan en </w:t>
      </w:r>
      <w:proofErr w:type="spellStart"/>
      <w:r w:rsidRPr="00236893">
        <w:rPr>
          <w:sz w:val="24"/>
          <w:szCs w:val="24"/>
        </w:rPr>
        <w:t>nefrotoksicitet</w:t>
      </w:r>
      <w:proofErr w:type="spellEnd"/>
      <w:r w:rsidRPr="00236893">
        <w:rPr>
          <w:sz w:val="24"/>
          <w:szCs w:val="24"/>
        </w:rPr>
        <w:t xml:space="preserve"> relateret til behandlingen ikke helt udelukkes.</w:t>
      </w:r>
    </w:p>
    <w:p w14:paraId="0E1C3CA8" w14:textId="77777777" w:rsidR="00EC4B25" w:rsidRPr="00236893" w:rsidRDefault="00EC4B25" w:rsidP="00365457">
      <w:pPr>
        <w:widowControl w:val="0"/>
        <w:ind w:left="851"/>
        <w:rPr>
          <w:sz w:val="24"/>
          <w:szCs w:val="24"/>
        </w:rPr>
      </w:pPr>
      <w:r w:rsidRPr="00236893">
        <w:rPr>
          <w:sz w:val="24"/>
          <w:szCs w:val="24"/>
        </w:rPr>
        <w:t xml:space="preserve">Ved 3X den anbefalede dosis medførte administration til nyfødte kalve et mindre appetittab, reversibelt ved afslutningen af behandlingsperioden. Nedgangen i mælkeindtagelsen havde en begrænset indvirkning på øgningen af legemsvægten. </w:t>
      </w:r>
    </w:p>
    <w:p w14:paraId="6C4FA2B0" w14:textId="77777777" w:rsidR="00EC4B25" w:rsidRPr="00236893" w:rsidRDefault="00EC4B25" w:rsidP="00365457">
      <w:pPr>
        <w:tabs>
          <w:tab w:val="left" w:pos="1304"/>
        </w:tabs>
        <w:ind w:left="851"/>
        <w:rPr>
          <w:sz w:val="24"/>
          <w:szCs w:val="24"/>
        </w:rPr>
      </w:pPr>
      <w:r w:rsidRPr="00236893">
        <w:rPr>
          <w:sz w:val="24"/>
          <w:szCs w:val="24"/>
        </w:rPr>
        <w:t xml:space="preserve">Ved 5X den anbefalede dosis medførte administration til nyfødte kalve alvorlig inflammation i mave-tarm-kanalen og </w:t>
      </w:r>
      <w:proofErr w:type="spellStart"/>
      <w:r w:rsidRPr="00236893">
        <w:rPr>
          <w:sz w:val="24"/>
          <w:szCs w:val="24"/>
        </w:rPr>
        <w:t>nekrotiserende</w:t>
      </w:r>
      <w:proofErr w:type="spellEnd"/>
      <w:r w:rsidRPr="00236893">
        <w:rPr>
          <w:sz w:val="24"/>
          <w:szCs w:val="24"/>
        </w:rPr>
        <w:t xml:space="preserve"> inflammation i urinblæren. Gentagen overdosering (ved 5X) kan medføre død.</w:t>
      </w:r>
      <w:bookmarkEnd w:id="7"/>
    </w:p>
    <w:p w14:paraId="1510F275" w14:textId="77777777" w:rsidR="00D74392" w:rsidRPr="00236893" w:rsidRDefault="00D74392" w:rsidP="00D74392">
      <w:pPr>
        <w:tabs>
          <w:tab w:val="left" w:pos="851"/>
        </w:tabs>
        <w:ind w:left="851"/>
        <w:rPr>
          <w:sz w:val="24"/>
          <w:szCs w:val="24"/>
        </w:rPr>
      </w:pPr>
    </w:p>
    <w:p w14:paraId="46322023" w14:textId="77777777" w:rsidR="00D74392" w:rsidRPr="00236893" w:rsidRDefault="00D74392" w:rsidP="00D74392">
      <w:pPr>
        <w:tabs>
          <w:tab w:val="left" w:pos="851"/>
        </w:tabs>
        <w:ind w:left="851" w:hanging="851"/>
        <w:rPr>
          <w:sz w:val="24"/>
          <w:szCs w:val="24"/>
        </w:rPr>
      </w:pPr>
      <w:r w:rsidRPr="00236893">
        <w:rPr>
          <w:b/>
          <w:sz w:val="24"/>
          <w:szCs w:val="24"/>
        </w:rPr>
        <w:t>3.11</w:t>
      </w:r>
      <w:r w:rsidRPr="00236893">
        <w:rPr>
          <w:sz w:val="24"/>
          <w:szCs w:val="24"/>
        </w:rPr>
        <w:tab/>
      </w:r>
      <w:r w:rsidRPr="00236893">
        <w:rPr>
          <w:b/>
          <w:sz w:val="24"/>
          <w:szCs w:val="24"/>
        </w:rPr>
        <w:t>Særlige begrænsninger og betingelser for anvendelse, herunder begrænsninger for anvendelsen af antimikrobielle og antiparasitære veterinærlægemidler for at begrænse risikoen for udvikling af resistens</w:t>
      </w:r>
    </w:p>
    <w:p w14:paraId="4516380D" w14:textId="77777777" w:rsidR="00EC4B25" w:rsidRPr="00236893" w:rsidRDefault="00EC4B25" w:rsidP="00365457">
      <w:pPr>
        <w:ind w:left="851"/>
        <w:rPr>
          <w:sz w:val="24"/>
          <w:szCs w:val="24"/>
        </w:rPr>
      </w:pPr>
      <w:r w:rsidRPr="00236893">
        <w:rPr>
          <w:sz w:val="24"/>
          <w:szCs w:val="24"/>
        </w:rPr>
        <w:t>Ikke relevant.</w:t>
      </w:r>
    </w:p>
    <w:p w14:paraId="1D0F6A7B" w14:textId="01306915" w:rsidR="00A45A47" w:rsidRDefault="00A45A47">
      <w:pPr>
        <w:rPr>
          <w:sz w:val="24"/>
          <w:szCs w:val="24"/>
        </w:rPr>
      </w:pPr>
      <w:r>
        <w:rPr>
          <w:sz w:val="24"/>
          <w:szCs w:val="24"/>
        </w:rPr>
        <w:br w:type="page"/>
      </w:r>
    </w:p>
    <w:p w14:paraId="393C06B9" w14:textId="77777777" w:rsidR="00D74392" w:rsidRPr="00236893" w:rsidRDefault="00D74392" w:rsidP="00D74392">
      <w:pPr>
        <w:tabs>
          <w:tab w:val="left" w:pos="851"/>
        </w:tabs>
        <w:ind w:left="851"/>
        <w:rPr>
          <w:sz w:val="24"/>
          <w:szCs w:val="24"/>
        </w:rPr>
      </w:pPr>
    </w:p>
    <w:p w14:paraId="7374A1AF" w14:textId="77777777" w:rsidR="00D74392" w:rsidRPr="00236893" w:rsidRDefault="00D74392" w:rsidP="00D74392">
      <w:pPr>
        <w:tabs>
          <w:tab w:val="left" w:pos="851"/>
        </w:tabs>
        <w:ind w:left="851" w:hanging="851"/>
        <w:rPr>
          <w:b/>
          <w:sz w:val="24"/>
          <w:szCs w:val="24"/>
        </w:rPr>
      </w:pPr>
      <w:r w:rsidRPr="00236893">
        <w:rPr>
          <w:b/>
          <w:sz w:val="24"/>
          <w:szCs w:val="24"/>
        </w:rPr>
        <w:t>3.12</w:t>
      </w:r>
      <w:r w:rsidRPr="00236893">
        <w:rPr>
          <w:b/>
          <w:sz w:val="24"/>
          <w:szCs w:val="24"/>
        </w:rPr>
        <w:tab/>
        <w:t>Tilbageholdelsestid(er)</w:t>
      </w:r>
    </w:p>
    <w:p w14:paraId="4721223A" w14:textId="77777777" w:rsidR="00EC4B25" w:rsidRPr="00236893" w:rsidRDefault="00EC4B25" w:rsidP="00EC4B25">
      <w:pPr>
        <w:tabs>
          <w:tab w:val="left" w:pos="1304"/>
        </w:tabs>
        <w:rPr>
          <w:sz w:val="24"/>
          <w:szCs w:val="24"/>
        </w:rPr>
      </w:pPr>
    </w:p>
    <w:p w14:paraId="5D2AD326" w14:textId="77777777" w:rsidR="00EC4B25" w:rsidRPr="00236893" w:rsidRDefault="00EC4B25" w:rsidP="00365457">
      <w:pPr>
        <w:widowControl w:val="0"/>
        <w:ind w:left="851"/>
        <w:rPr>
          <w:b/>
          <w:sz w:val="24"/>
          <w:szCs w:val="24"/>
        </w:rPr>
      </w:pPr>
      <w:bookmarkStart w:id="8" w:name="_Hlk94087605"/>
      <w:r w:rsidRPr="00236893">
        <w:rPr>
          <w:b/>
          <w:sz w:val="24"/>
          <w:szCs w:val="24"/>
          <w:u w:val="single"/>
        </w:rPr>
        <w:t>Kvæg (præ-drøvtyggende kvæg og nyfødte kalve</w:t>
      </w:r>
      <w:r w:rsidRPr="00236893">
        <w:rPr>
          <w:b/>
          <w:sz w:val="24"/>
          <w:szCs w:val="24"/>
        </w:rPr>
        <w:t>):</w:t>
      </w:r>
    </w:p>
    <w:p w14:paraId="1FE915D7" w14:textId="77777777" w:rsidR="005B7DD5" w:rsidRDefault="00EC4B25" w:rsidP="00365457">
      <w:pPr>
        <w:widowControl w:val="0"/>
        <w:ind w:left="851"/>
        <w:rPr>
          <w:b/>
          <w:sz w:val="24"/>
          <w:szCs w:val="24"/>
        </w:rPr>
      </w:pPr>
      <w:r w:rsidRPr="00236893">
        <w:rPr>
          <w:sz w:val="24"/>
          <w:szCs w:val="24"/>
        </w:rPr>
        <w:t xml:space="preserve">- </w:t>
      </w:r>
      <w:proofErr w:type="spellStart"/>
      <w:r w:rsidRPr="00236893">
        <w:rPr>
          <w:sz w:val="24"/>
          <w:szCs w:val="24"/>
        </w:rPr>
        <w:t>Colibacillose</w:t>
      </w:r>
      <w:proofErr w:type="spellEnd"/>
      <w:r w:rsidRPr="00236893">
        <w:rPr>
          <w:sz w:val="24"/>
          <w:szCs w:val="24"/>
        </w:rPr>
        <w:t>:</w:t>
      </w:r>
      <w:r w:rsidRPr="00236893">
        <w:rPr>
          <w:b/>
          <w:sz w:val="24"/>
          <w:szCs w:val="24"/>
        </w:rPr>
        <w:t xml:space="preserve"> </w:t>
      </w:r>
    </w:p>
    <w:p w14:paraId="73A238BF" w14:textId="77777777" w:rsidR="005B7DD5" w:rsidRDefault="00EC4B25" w:rsidP="00365457">
      <w:pPr>
        <w:widowControl w:val="0"/>
        <w:ind w:left="851"/>
        <w:rPr>
          <w:sz w:val="24"/>
          <w:szCs w:val="24"/>
        </w:rPr>
      </w:pPr>
      <w:r w:rsidRPr="00236893">
        <w:rPr>
          <w:sz w:val="24"/>
          <w:szCs w:val="24"/>
          <w:u w:val="single"/>
        </w:rPr>
        <w:t>Dosering</w:t>
      </w:r>
      <w:r w:rsidRPr="00236893">
        <w:rPr>
          <w:sz w:val="24"/>
          <w:szCs w:val="24"/>
        </w:rPr>
        <w:t>:</w:t>
      </w:r>
      <w:r w:rsidRPr="00236893">
        <w:rPr>
          <w:b/>
          <w:sz w:val="24"/>
          <w:szCs w:val="24"/>
        </w:rPr>
        <w:t xml:space="preserve"> </w:t>
      </w:r>
      <w:r w:rsidRPr="00236893">
        <w:rPr>
          <w:sz w:val="24"/>
          <w:szCs w:val="24"/>
        </w:rPr>
        <w:t xml:space="preserve">25-50 mg/kg/dag i 3 til 5 dage. </w:t>
      </w:r>
    </w:p>
    <w:p w14:paraId="4EF34EF7" w14:textId="23448508" w:rsidR="00EC4B25" w:rsidRDefault="00EC4B25" w:rsidP="00365457">
      <w:pPr>
        <w:widowControl w:val="0"/>
        <w:ind w:left="851"/>
        <w:rPr>
          <w:sz w:val="24"/>
          <w:szCs w:val="24"/>
        </w:rPr>
      </w:pPr>
      <w:r w:rsidRPr="00236893">
        <w:rPr>
          <w:sz w:val="24"/>
          <w:szCs w:val="24"/>
          <w:u w:val="single"/>
        </w:rPr>
        <w:t>Slagtning</w:t>
      </w:r>
      <w:r w:rsidRPr="00236893">
        <w:rPr>
          <w:sz w:val="24"/>
          <w:szCs w:val="24"/>
        </w:rPr>
        <w:t>: 20 dage</w:t>
      </w:r>
    </w:p>
    <w:p w14:paraId="16B05189" w14:textId="77777777" w:rsidR="00A45A47" w:rsidRPr="00236893" w:rsidRDefault="00A45A47" w:rsidP="00365457">
      <w:pPr>
        <w:widowControl w:val="0"/>
        <w:ind w:left="851"/>
        <w:rPr>
          <w:sz w:val="24"/>
          <w:szCs w:val="24"/>
        </w:rPr>
      </w:pPr>
    </w:p>
    <w:p w14:paraId="512FBEA9" w14:textId="77777777" w:rsidR="00A45A47" w:rsidRDefault="00EC4B25" w:rsidP="00365457">
      <w:pPr>
        <w:widowControl w:val="0"/>
        <w:ind w:left="851"/>
        <w:rPr>
          <w:b/>
          <w:sz w:val="24"/>
          <w:szCs w:val="24"/>
        </w:rPr>
      </w:pPr>
      <w:r w:rsidRPr="00236893">
        <w:rPr>
          <w:sz w:val="24"/>
          <w:szCs w:val="24"/>
        </w:rPr>
        <w:t xml:space="preserve">- </w:t>
      </w:r>
      <w:proofErr w:type="spellStart"/>
      <w:r w:rsidRPr="00236893">
        <w:rPr>
          <w:sz w:val="24"/>
          <w:szCs w:val="24"/>
        </w:rPr>
        <w:t>Cryptosporidiose</w:t>
      </w:r>
      <w:proofErr w:type="spellEnd"/>
      <w:r w:rsidRPr="00236893">
        <w:rPr>
          <w:sz w:val="24"/>
          <w:szCs w:val="24"/>
        </w:rPr>
        <w:t>:</w:t>
      </w:r>
      <w:r w:rsidRPr="00236893">
        <w:rPr>
          <w:b/>
          <w:sz w:val="24"/>
          <w:szCs w:val="24"/>
        </w:rPr>
        <w:t xml:space="preserve"> </w:t>
      </w:r>
    </w:p>
    <w:p w14:paraId="62FF8F7C" w14:textId="77777777" w:rsidR="00A45A47" w:rsidRDefault="00EC4B25" w:rsidP="00365457">
      <w:pPr>
        <w:widowControl w:val="0"/>
        <w:ind w:left="851"/>
        <w:rPr>
          <w:sz w:val="24"/>
          <w:szCs w:val="24"/>
        </w:rPr>
      </w:pPr>
      <w:r w:rsidRPr="00236893">
        <w:rPr>
          <w:sz w:val="24"/>
          <w:szCs w:val="24"/>
          <w:u w:val="single"/>
        </w:rPr>
        <w:t>Dosering</w:t>
      </w:r>
      <w:r w:rsidRPr="00236893">
        <w:rPr>
          <w:sz w:val="24"/>
          <w:szCs w:val="24"/>
        </w:rPr>
        <w:t xml:space="preserve">: 150 mg/kg/dag i 5 dage. </w:t>
      </w:r>
    </w:p>
    <w:p w14:paraId="672944BA" w14:textId="2FB23748" w:rsidR="00EC4B25" w:rsidRPr="00236893" w:rsidRDefault="00EC4B25" w:rsidP="00365457">
      <w:pPr>
        <w:widowControl w:val="0"/>
        <w:ind w:left="851"/>
        <w:rPr>
          <w:sz w:val="24"/>
          <w:szCs w:val="24"/>
        </w:rPr>
      </w:pPr>
      <w:r w:rsidRPr="00236893">
        <w:rPr>
          <w:sz w:val="24"/>
          <w:szCs w:val="24"/>
          <w:u w:val="single"/>
        </w:rPr>
        <w:t>Slagtning</w:t>
      </w:r>
      <w:r w:rsidRPr="00236893">
        <w:rPr>
          <w:sz w:val="24"/>
          <w:szCs w:val="24"/>
        </w:rPr>
        <w:t>:  110 dage</w:t>
      </w:r>
    </w:p>
    <w:p w14:paraId="353E7C19" w14:textId="77777777" w:rsidR="00EC4B25" w:rsidRPr="00236893" w:rsidRDefault="00EC4B25" w:rsidP="00365457">
      <w:pPr>
        <w:widowControl w:val="0"/>
        <w:ind w:left="851"/>
        <w:rPr>
          <w:sz w:val="24"/>
          <w:szCs w:val="24"/>
        </w:rPr>
      </w:pPr>
    </w:p>
    <w:p w14:paraId="392B8D78" w14:textId="77777777" w:rsidR="00EC4B25" w:rsidRPr="00236893" w:rsidRDefault="00EC4B25" w:rsidP="00365457">
      <w:pPr>
        <w:widowControl w:val="0"/>
        <w:ind w:left="851"/>
        <w:rPr>
          <w:sz w:val="24"/>
          <w:szCs w:val="24"/>
        </w:rPr>
      </w:pPr>
      <w:r w:rsidRPr="00236893">
        <w:rPr>
          <w:b/>
          <w:sz w:val="24"/>
          <w:szCs w:val="24"/>
          <w:u w:val="single"/>
        </w:rPr>
        <w:t>Svin</w:t>
      </w:r>
      <w:r w:rsidRPr="00236893">
        <w:rPr>
          <w:b/>
          <w:sz w:val="24"/>
          <w:szCs w:val="24"/>
        </w:rPr>
        <w:t xml:space="preserve">: </w:t>
      </w:r>
      <w:r w:rsidRPr="00236893">
        <w:rPr>
          <w:sz w:val="24"/>
          <w:szCs w:val="24"/>
          <w:u w:val="single"/>
        </w:rPr>
        <w:t>Slagtning</w:t>
      </w:r>
      <w:r w:rsidRPr="00236893">
        <w:rPr>
          <w:sz w:val="24"/>
          <w:szCs w:val="24"/>
        </w:rPr>
        <w:t>: 3 dage</w:t>
      </w:r>
    </w:p>
    <w:p w14:paraId="56DF0BE2" w14:textId="77777777" w:rsidR="00EC4B25" w:rsidRPr="00236893" w:rsidRDefault="00EC4B25" w:rsidP="00365457">
      <w:pPr>
        <w:widowControl w:val="0"/>
        <w:ind w:left="851"/>
        <w:rPr>
          <w:sz w:val="24"/>
          <w:szCs w:val="24"/>
        </w:rPr>
      </w:pPr>
    </w:p>
    <w:p w14:paraId="45D7CE65" w14:textId="77777777" w:rsidR="00EC4B25" w:rsidRPr="00236893" w:rsidRDefault="00EC4B25" w:rsidP="00365457">
      <w:pPr>
        <w:ind w:left="851"/>
        <w:rPr>
          <w:sz w:val="24"/>
          <w:szCs w:val="24"/>
        </w:rPr>
      </w:pPr>
      <w:r w:rsidRPr="00236893">
        <w:rPr>
          <w:sz w:val="24"/>
          <w:szCs w:val="24"/>
        </w:rPr>
        <w:t xml:space="preserve">På grund af akkumulering af </w:t>
      </w:r>
      <w:proofErr w:type="spellStart"/>
      <w:r w:rsidRPr="00236893">
        <w:rPr>
          <w:sz w:val="24"/>
          <w:szCs w:val="24"/>
        </w:rPr>
        <w:t>paromomycin</w:t>
      </w:r>
      <w:proofErr w:type="spellEnd"/>
      <w:r w:rsidRPr="00236893">
        <w:rPr>
          <w:sz w:val="24"/>
          <w:szCs w:val="24"/>
        </w:rPr>
        <w:t xml:space="preserve"> i leveren og nyrerne, skal gentagne behandlingsforløb under tilbageholdelsestiden undgås.</w:t>
      </w:r>
      <w:bookmarkEnd w:id="8"/>
    </w:p>
    <w:p w14:paraId="2A1F0FC0" w14:textId="77777777" w:rsidR="00D74392" w:rsidRPr="00236893" w:rsidRDefault="00D74392" w:rsidP="00D74392">
      <w:pPr>
        <w:pStyle w:val="Sidehoved"/>
        <w:tabs>
          <w:tab w:val="clear" w:pos="4819"/>
        </w:tabs>
        <w:ind w:left="851"/>
        <w:rPr>
          <w:szCs w:val="24"/>
        </w:rPr>
      </w:pPr>
    </w:p>
    <w:p w14:paraId="04AC0196" w14:textId="77777777" w:rsidR="00D74392" w:rsidRPr="00236893" w:rsidRDefault="00D74392" w:rsidP="00D74392">
      <w:pPr>
        <w:tabs>
          <w:tab w:val="left" w:pos="851"/>
        </w:tabs>
        <w:ind w:left="851"/>
        <w:rPr>
          <w:sz w:val="24"/>
          <w:szCs w:val="24"/>
        </w:rPr>
      </w:pPr>
    </w:p>
    <w:p w14:paraId="55C579E2" w14:textId="6DA788E7" w:rsidR="00D74392" w:rsidRPr="00903CF5" w:rsidRDefault="00D74392" w:rsidP="00D74392">
      <w:pPr>
        <w:ind w:left="851" w:hanging="851"/>
        <w:rPr>
          <w:b/>
          <w:sz w:val="24"/>
          <w:szCs w:val="24"/>
        </w:rPr>
      </w:pPr>
      <w:r w:rsidRPr="00903CF5">
        <w:rPr>
          <w:b/>
          <w:sz w:val="24"/>
          <w:szCs w:val="24"/>
        </w:rPr>
        <w:t>4.</w:t>
      </w:r>
      <w:r w:rsidRPr="00903CF5">
        <w:rPr>
          <w:b/>
          <w:sz w:val="24"/>
          <w:szCs w:val="24"/>
        </w:rPr>
        <w:tab/>
        <w:t xml:space="preserve">FARMAKOLOGISKE </w:t>
      </w:r>
      <w:r w:rsidR="00FE0090" w:rsidRPr="00903CF5">
        <w:rPr>
          <w:b/>
          <w:sz w:val="24"/>
          <w:szCs w:val="24"/>
        </w:rPr>
        <w:t>O</w:t>
      </w:r>
      <w:r w:rsidRPr="00903CF5">
        <w:rPr>
          <w:b/>
          <w:sz w:val="24"/>
          <w:szCs w:val="24"/>
        </w:rPr>
        <w:t>PLYSNINGER</w:t>
      </w:r>
    </w:p>
    <w:p w14:paraId="13E1BB41" w14:textId="77777777" w:rsidR="00D74392" w:rsidRPr="00903CF5" w:rsidRDefault="00D74392" w:rsidP="00D74392">
      <w:pPr>
        <w:ind w:left="851"/>
        <w:rPr>
          <w:sz w:val="24"/>
          <w:szCs w:val="24"/>
        </w:rPr>
      </w:pPr>
    </w:p>
    <w:p w14:paraId="55D97285" w14:textId="77777777" w:rsidR="00D74392" w:rsidRPr="00903CF5" w:rsidRDefault="00D74392" w:rsidP="00D74392">
      <w:pPr>
        <w:ind w:left="851" w:hanging="851"/>
        <w:rPr>
          <w:b/>
          <w:sz w:val="24"/>
          <w:szCs w:val="24"/>
        </w:rPr>
      </w:pPr>
      <w:r w:rsidRPr="00903CF5">
        <w:rPr>
          <w:b/>
          <w:sz w:val="24"/>
          <w:szCs w:val="24"/>
        </w:rPr>
        <w:t>4.1</w:t>
      </w:r>
      <w:r w:rsidRPr="00903CF5">
        <w:rPr>
          <w:b/>
          <w:sz w:val="24"/>
          <w:szCs w:val="24"/>
        </w:rPr>
        <w:tab/>
      </w:r>
      <w:proofErr w:type="spellStart"/>
      <w:r w:rsidRPr="00903CF5">
        <w:rPr>
          <w:b/>
          <w:sz w:val="24"/>
          <w:szCs w:val="24"/>
        </w:rPr>
        <w:t>ATCvet</w:t>
      </w:r>
      <w:proofErr w:type="spellEnd"/>
      <w:r w:rsidRPr="00903CF5">
        <w:rPr>
          <w:b/>
          <w:sz w:val="24"/>
          <w:szCs w:val="24"/>
        </w:rPr>
        <w:t>-kode</w:t>
      </w:r>
    </w:p>
    <w:p w14:paraId="4D24E850" w14:textId="041F1DAA" w:rsidR="00FE0090" w:rsidRPr="00903CF5" w:rsidRDefault="00FE0090" w:rsidP="00365457">
      <w:pPr>
        <w:ind w:left="851"/>
        <w:rPr>
          <w:sz w:val="24"/>
          <w:szCs w:val="24"/>
        </w:rPr>
      </w:pPr>
      <w:r w:rsidRPr="00903CF5">
        <w:rPr>
          <w:sz w:val="24"/>
          <w:szCs w:val="24"/>
        </w:rPr>
        <w:t>QA</w:t>
      </w:r>
      <w:r w:rsidR="00A45A47">
        <w:rPr>
          <w:sz w:val="24"/>
          <w:szCs w:val="24"/>
        </w:rPr>
        <w:t xml:space="preserve"> </w:t>
      </w:r>
      <w:r w:rsidRPr="00903CF5">
        <w:rPr>
          <w:sz w:val="24"/>
          <w:szCs w:val="24"/>
        </w:rPr>
        <w:t>07</w:t>
      </w:r>
      <w:r w:rsidR="00A45A47">
        <w:rPr>
          <w:sz w:val="24"/>
          <w:szCs w:val="24"/>
        </w:rPr>
        <w:t xml:space="preserve"> </w:t>
      </w:r>
      <w:r w:rsidRPr="00903CF5">
        <w:rPr>
          <w:sz w:val="24"/>
          <w:szCs w:val="24"/>
        </w:rPr>
        <w:t>AA</w:t>
      </w:r>
      <w:r w:rsidR="00A45A47">
        <w:rPr>
          <w:sz w:val="24"/>
          <w:szCs w:val="24"/>
        </w:rPr>
        <w:t xml:space="preserve"> </w:t>
      </w:r>
      <w:r w:rsidRPr="00903CF5">
        <w:rPr>
          <w:sz w:val="24"/>
          <w:szCs w:val="24"/>
        </w:rPr>
        <w:t>06</w:t>
      </w:r>
    </w:p>
    <w:p w14:paraId="5544BB09" w14:textId="77777777" w:rsidR="00D74392" w:rsidRPr="00903CF5" w:rsidRDefault="00D74392" w:rsidP="00D74392">
      <w:pPr>
        <w:ind w:left="851"/>
        <w:rPr>
          <w:sz w:val="24"/>
          <w:szCs w:val="24"/>
        </w:rPr>
      </w:pPr>
    </w:p>
    <w:p w14:paraId="48C825EE" w14:textId="77777777" w:rsidR="00D74392" w:rsidRPr="00903CF5" w:rsidRDefault="00D74392" w:rsidP="00D74392">
      <w:pPr>
        <w:tabs>
          <w:tab w:val="left" w:pos="851"/>
        </w:tabs>
        <w:ind w:left="851" w:hanging="851"/>
        <w:rPr>
          <w:b/>
          <w:sz w:val="24"/>
          <w:szCs w:val="24"/>
        </w:rPr>
      </w:pPr>
      <w:r w:rsidRPr="00903CF5">
        <w:rPr>
          <w:b/>
          <w:sz w:val="24"/>
          <w:szCs w:val="24"/>
        </w:rPr>
        <w:t>4.2</w:t>
      </w:r>
      <w:r w:rsidRPr="00903CF5">
        <w:rPr>
          <w:b/>
          <w:sz w:val="24"/>
          <w:szCs w:val="24"/>
        </w:rPr>
        <w:tab/>
      </w:r>
      <w:proofErr w:type="spellStart"/>
      <w:r w:rsidRPr="00903CF5">
        <w:rPr>
          <w:b/>
          <w:sz w:val="24"/>
          <w:szCs w:val="24"/>
        </w:rPr>
        <w:t>Farmakodynamiske</w:t>
      </w:r>
      <w:proofErr w:type="spellEnd"/>
      <w:r w:rsidRPr="00903CF5">
        <w:rPr>
          <w:b/>
          <w:sz w:val="24"/>
          <w:szCs w:val="24"/>
        </w:rPr>
        <w:t xml:space="preserve"> oplysninger</w:t>
      </w:r>
    </w:p>
    <w:p w14:paraId="78680543" w14:textId="77777777" w:rsidR="00A45A47" w:rsidRDefault="00A45A47" w:rsidP="00365457">
      <w:pPr>
        <w:widowControl w:val="0"/>
        <w:ind w:left="851"/>
        <w:rPr>
          <w:i/>
          <w:sz w:val="24"/>
          <w:szCs w:val="24"/>
          <w:u w:val="single"/>
        </w:rPr>
      </w:pPr>
      <w:bookmarkStart w:id="9" w:name="_Hlk94088946"/>
    </w:p>
    <w:p w14:paraId="31014E6D" w14:textId="38C1A873" w:rsidR="00FE0090" w:rsidRPr="00903CF5" w:rsidRDefault="00FE0090" w:rsidP="00365457">
      <w:pPr>
        <w:widowControl w:val="0"/>
        <w:ind w:left="851"/>
        <w:rPr>
          <w:i/>
          <w:sz w:val="24"/>
          <w:szCs w:val="24"/>
          <w:u w:val="single"/>
        </w:rPr>
      </w:pPr>
      <w:proofErr w:type="spellStart"/>
      <w:r w:rsidRPr="00903CF5">
        <w:rPr>
          <w:i/>
          <w:sz w:val="24"/>
          <w:szCs w:val="24"/>
          <w:u w:val="single"/>
        </w:rPr>
        <w:t>Colibacillose</w:t>
      </w:r>
      <w:proofErr w:type="spellEnd"/>
    </w:p>
    <w:p w14:paraId="1A2A8A16" w14:textId="77777777" w:rsidR="00FE0090" w:rsidRPr="00236893" w:rsidRDefault="00FE0090" w:rsidP="00365457">
      <w:pPr>
        <w:widowControl w:val="0"/>
        <w:ind w:left="851"/>
        <w:rPr>
          <w:sz w:val="24"/>
          <w:szCs w:val="24"/>
        </w:rPr>
      </w:pPr>
      <w:proofErr w:type="spellStart"/>
      <w:r w:rsidRPr="00903CF5">
        <w:rPr>
          <w:sz w:val="24"/>
          <w:szCs w:val="24"/>
        </w:rPr>
        <w:t>Paromomycin</w:t>
      </w:r>
      <w:proofErr w:type="spellEnd"/>
      <w:r w:rsidRPr="00903CF5">
        <w:rPr>
          <w:sz w:val="24"/>
          <w:szCs w:val="24"/>
        </w:rPr>
        <w:t xml:space="preserve"> tilhører gruppen af </w:t>
      </w:r>
      <w:proofErr w:type="spellStart"/>
      <w:r w:rsidRPr="00903CF5">
        <w:rPr>
          <w:sz w:val="24"/>
          <w:szCs w:val="24"/>
        </w:rPr>
        <w:t>aminoglykosidantibiotika</w:t>
      </w:r>
      <w:proofErr w:type="spellEnd"/>
      <w:r w:rsidRPr="00903CF5">
        <w:rPr>
          <w:sz w:val="24"/>
          <w:szCs w:val="24"/>
        </w:rPr>
        <w:t xml:space="preserve">. </w:t>
      </w:r>
      <w:proofErr w:type="spellStart"/>
      <w:r w:rsidRPr="00903CF5">
        <w:rPr>
          <w:sz w:val="24"/>
          <w:szCs w:val="24"/>
        </w:rPr>
        <w:t>Paromomycin</w:t>
      </w:r>
      <w:proofErr w:type="spellEnd"/>
      <w:r w:rsidRPr="00903CF5">
        <w:rPr>
          <w:sz w:val="24"/>
          <w:szCs w:val="24"/>
        </w:rPr>
        <w:t xml:space="preserve"> ændrer</w:t>
      </w:r>
      <w:r w:rsidRPr="00236893">
        <w:rPr>
          <w:sz w:val="24"/>
          <w:szCs w:val="24"/>
        </w:rPr>
        <w:t xml:space="preserve"> aflæsningen af </w:t>
      </w:r>
      <w:proofErr w:type="spellStart"/>
      <w:r w:rsidRPr="00236893">
        <w:rPr>
          <w:sz w:val="24"/>
          <w:szCs w:val="24"/>
        </w:rPr>
        <w:t>messenger</w:t>
      </w:r>
      <w:proofErr w:type="spellEnd"/>
      <w:r w:rsidRPr="00236893">
        <w:rPr>
          <w:sz w:val="24"/>
          <w:szCs w:val="24"/>
        </w:rPr>
        <w:t xml:space="preserve">-RNA, hvilket forstyrrer proteinsyntesen. </w:t>
      </w:r>
      <w:proofErr w:type="spellStart"/>
      <w:r w:rsidRPr="00236893">
        <w:rPr>
          <w:sz w:val="24"/>
          <w:szCs w:val="24"/>
        </w:rPr>
        <w:t>Paromomycins</w:t>
      </w:r>
      <w:proofErr w:type="spellEnd"/>
      <w:r w:rsidRPr="00236893">
        <w:rPr>
          <w:sz w:val="24"/>
          <w:szCs w:val="24"/>
        </w:rPr>
        <w:t xml:space="preserve"> baktericide virkning skyldes hovedsageligt dets irreversible binding til ribosomer. </w:t>
      </w:r>
      <w:proofErr w:type="spellStart"/>
      <w:r w:rsidRPr="00236893">
        <w:rPr>
          <w:sz w:val="24"/>
          <w:szCs w:val="24"/>
        </w:rPr>
        <w:t>Paromomycin</w:t>
      </w:r>
      <w:proofErr w:type="spellEnd"/>
      <w:r w:rsidRPr="00236893">
        <w:rPr>
          <w:sz w:val="24"/>
          <w:szCs w:val="24"/>
        </w:rPr>
        <w:t xml:space="preserve"> har en bredspektret virkning på mange </w:t>
      </w:r>
      <w:proofErr w:type="spellStart"/>
      <w:r w:rsidRPr="00236893">
        <w:rPr>
          <w:sz w:val="24"/>
          <w:szCs w:val="24"/>
        </w:rPr>
        <w:t>Gram-positive</w:t>
      </w:r>
      <w:proofErr w:type="spellEnd"/>
      <w:r w:rsidRPr="00236893">
        <w:rPr>
          <w:sz w:val="24"/>
          <w:szCs w:val="24"/>
        </w:rPr>
        <w:t xml:space="preserve"> og </w:t>
      </w:r>
      <w:proofErr w:type="spellStart"/>
      <w:r w:rsidRPr="00236893">
        <w:rPr>
          <w:sz w:val="24"/>
          <w:szCs w:val="24"/>
        </w:rPr>
        <w:t>Gram-negative</w:t>
      </w:r>
      <w:proofErr w:type="spellEnd"/>
      <w:r w:rsidRPr="00236893">
        <w:rPr>
          <w:sz w:val="24"/>
          <w:szCs w:val="24"/>
        </w:rPr>
        <w:t xml:space="preserve"> bakterier, herunder </w:t>
      </w:r>
      <w:r w:rsidRPr="00236893">
        <w:rPr>
          <w:i/>
          <w:sz w:val="24"/>
          <w:szCs w:val="24"/>
        </w:rPr>
        <w:t>E. coli</w:t>
      </w:r>
      <w:r w:rsidRPr="00236893">
        <w:rPr>
          <w:sz w:val="24"/>
          <w:szCs w:val="24"/>
        </w:rPr>
        <w:t>.</w:t>
      </w:r>
    </w:p>
    <w:p w14:paraId="6D002357" w14:textId="77777777" w:rsidR="00FE0090" w:rsidRPr="00236893" w:rsidRDefault="00FE0090" w:rsidP="00365457">
      <w:pPr>
        <w:widowControl w:val="0"/>
        <w:ind w:left="851"/>
        <w:rPr>
          <w:sz w:val="24"/>
          <w:szCs w:val="24"/>
        </w:rPr>
      </w:pPr>
      <w:proofErr w:type="spellStart"/>
      <w:r w:rsidRPr="00236893">
        <w:rPr>
          <w:sz w:val="24"/>
          <w:szCs w:val="24"/>
        </w:rPr>
        <w:t>Paromomycins</w:t>
      </w:r>
      <w:proofErr w:type="spellEnd"/>
      <w:r w:rsidRPr="00236893">
        <w:rPr>
          <w:sz w:val="24"/>
          <w:szCs w:val="24"/>
        </w:rPr>
        <w:t xml:space="preserve"> virkning er koncentrationsafhængig. Der er identificeret fem resistensmekanismer: ændringer af ribosomer pga. mutationer, reduceret permeabilitet af bakteriecellevæggen eller aktiv udstrømning, enzymatisk modifikation af ribosomer og </w:t>
      </w:r>
      <w:proofErr w:type="spellStart"/>
      <w:r w:rsidRPr="00236893">
        <w:rPr>
          <w:sz w:val="24"/>
          <w:szCs w:val="24"/>
        </w:rPr>
        <w:t>deaktivering</w:t>
      </w:r>
      <w:proofErr w:type="spellEnd"/>
      <w:r w:rsidRPr="00236893">
        <w:rPr>
          <w:sz w:val="24"/>
          <w:szCs w:val="24"/>
        </w:rPr>
        <w:t xml:space="preserve"> af aminoglykosider ved hjælp af enzymer. De første tre resistensmekanismer skyldes mutationer af visse gener i bakteriens kromosom. Den fjerde og femte resistensmekanisme forekommer kun efter indtagelse af mobile genetiske elementer, der koder for resistens. </w:t>
      </w:r>
      <w:proofErr w:type="spellStart"/>
      <w:r w:rsidRPr="00236893">
        <w:rPr>
          <w:sz w:val="24"/>
          <w:szCs w:val="24"/>
        </w:rPr>
        <w:t>Paromomycin</w:t>
      </w:r>
      <w:proofErr w:type="spellEnd"/>
      <w:r w:rsidRPr="00236893">
        <w:rPr>
          <w:sz w:val="24"/>
          <w:szCs w:val="24"/>
        </w:rPr>
        <w:t xml:space="preserve"> selekterer hyppigt for resistens og </w:t>
      </w:r>
      <w:proofErr w:type="spellStart"/>
      <w:r w:rsidRPr="00236893">
        <w:rPr>
          <w:sz w:val="24"/>
          <w:szCs w:val="24"/>
        </w:rPr>
        <w:t>krydsresistenser</w:t>
      </w:r>
      <w:proofErr w:type="spellEnd"/>
      <w:r w:rsidRPr="00236893">
        <w:rPr>
          <w:sz w:val="24"/>
          <w:szCs w:val="24"/>
        </w:rPr>
        <w:t xml:space="preserve"> over for en række andre aminoglykosider i tarmbakterier. Forekomsten af resistens af </w:t>
      </w:r>
      <w:r w:rsidRPr="00236893">
        <w:rPr>
          <w:i/>
          <w:sz w:val="24"/>
          <w:szCs w:val="24"/>
        </w:rPr>
        <w:t>E. coli</w:t>
      </w:r>
      <w:r w:rsidRPr="00236893">
        <w:rPr>
          <w:sz w:val="24"/>
          <w:szCs w:val="24"/>
        </w:rPr>
        <w:t xml:space="preserve"> over for </w:t>
      </w:r>
      <w:proofErr w:type="spellStart"/>
      <w:r w:rsidRPr="00236893">
        <w:rPr>
          <w:sz w:val="24"/>
          <w:szCs w:val="24"/>
        </w:rPr>
        <w:t>paromomycin</w:t>
      </w:r>
      <w:proofErr w:type="spellEnd"/>
      <w:r w:rsidRPr="00236893">
        <w:rPr>
          <w:sz w:val="24"/>
          <w:szCs w:val="24"/>
        </w:rPr>
        <w:t xml:space="preserve"> var relativt stabil mellem 2002 til 2015 og ca. 40 % for </w:t>
      </w:r>
      <w:proofErr w:type="spellStart"/>
      <w:r w:rsidRPr="00236893">
        <w:rPr>
          <w:sz w:val="24"/>
          <w:szCs w:val="24"/>
        </w:rPr>
        <w:t>bovine</w:t>
      </w:r>
      <w:proofErr w:type="spellEnd"/>
      <w:r w:rsidRPr="00236893">
        <w:rPr>
          <w:sz w:val="24"/>
          <w:szCs w:val="24"/>
        </w:rPr>
        <w:t xml:space="preserve"> </w:t>
      </w:r>
      <w:proofErr w:type="spellStart"/>
      <w:r w:rsidRPr="00236893">
        <w:rPr>
          <w:sz w:val="24"/>
          <w:szCs w:val="24"/>
        </w:rPr>
        <w:t>patogener</w:t>
      </w:r>
      <w:proofErr w:type="spellEnd"/>
      <w:r w:rsidRPr="00236893">
        <w:rPr>
          <w:sz w:val="24"/>
          <w:szCs w:val="24"/>
        </w:rPr>
        <w:t xml:space="preserve"> og 10 % for </w:t>
      </w:r>
      <w:proofErr w:type="spellStart"/>
      <w:r w:rsidRPr="00236893">
        <w:rPr>
          <w:sz w:val="24"/>
          <w:szCs w:val="24"/>
        </w:rPr>
        <w:t>porcine</w:t>
      </w:r>
      <w:proofErr w:type="spellEnd"/>
      <w:r w:rsidRPr="00236893">
        <w:rPr>
          <w:sz w:val="24"/>
          <w:szCs w:val="24"/>
        </w:rPr>
        <w:t xml:space="preserve"> </w:t>
      </w:r>
      <w:proofErr w:type="spellStart"/>
      <w:r w:rsidRPr="00236893">
        <w:rPr>
          <w:sz w:val="24"/>
          <w:szCs w:val="24"/>
        </w:rPr>
        <w:t>patogener</w:t>
      </w:r>
      <w:proofErr w:type="spellEnd"/>
      <w:r w:rsidRPr="00236893">
        <w:rPr>
          <w:sz w:val="24"/>
          <w:szCs w:val="24"/>
        </w:rPr>
        <w:t>.</w:t>
      </w:r>
    </w:p>
    <w:p w14:paraId="3958A708" w14:textId="77777777" w:rsidR="00FE0090" w:rsidRPr="00236893" w:rsidRDefault="00FE0090" w:rsidP="00365457">
      <w:pPr>
        <w:widowControl w:val="0"/>
        <w:ind w:left="851"/>
        <w:rPr>
          <w:sz w:val="24"/>
          <w:szCs w:val="24"/>
        </w:rPr>
      </w:pPr>
    </w:p>
    <w:p w14:paraId="190CC370" w14:textId="77777777" w:rsidR="00FE0090" w:rsidRPr="00236893" w:rsidRDefault="00FE0090" w:rsidP="00365457">
      <w:pPr>
        <w:widowControl w:val="0"/>
        <w:ind w:left="851"/>
        <w:rPr>
          <w:i/>
          <w:sz w:val="24"/>
          <w:szCs w:val="24"/>
          <w:u w:val="single"/>
        </w:rPr>
      </w:pPr>
      <w:proofErr w:type="spellStart"/>
      <w:r w:rsidRPr="00236893">
        <w:rPr>
          <w:i/>
          <w:sz w:val="24"/>
          <w:szCs w:val="24"/>
          <w:u w:val="single"/>
        </w:rPr>
        <w:t>Cryptosporidiose</w:t>
      </w:r>
      <w:proofErr w:type="spellEnd"/>
    </w:p>
    <w:p w14:paraId="19B257E3" w14:textId="77777777" w:rsidR="00FE0090" w:rsidRPr="00236893" w:rsidRDefault="00FE0090" w:rsidP="00365457">
      <w:pPr>
        <w:widowControl w:val="0"/>
        <w:ind w:left="851"/>
        <w:rPr>
          <w:sz w:val="24"/>
          <w:szCs w:val="24"/>
        </w:rPr>
      </w:pPr>
      <w:proofErr w:type="spellStart"/>
      <w:r w:rsidRPr="00236893">
        <w:rPr>
          <w:sz w:val="24"/>
          <w:szCs w:val="24"/>
        </w:rPr>
        <w:t>Paromomycin</w:t>
      </w:r>
      <w:proofErr w:type="spellEnd"/>
      <w:r w:rsidRPr="00236893">
        <w:rPr>
          <w:sz w:val="24"/>
          <w:szCs w:val="24"/>
        </w:rPr>
        <w:t xml:space="preserve"> er aktivt mod </w:t>
      </w:r>
      <w:proofErr w:type="spellStart"/>
      <w:r w:rsidRPr="00236893">
        <w:rPr>
          <w:sz w:val="24"/>
          <w:szCs w:val="24"/>
        </w:rPr>
        <w:t>prozoer</w:t>
      </w:r>
      <w:proofErr w:type="spellEnd"/>
      <w:r w:rsidRPr="00236893">
        <w:rPr>
          <w:sz w:val="24"/>
          <w:szCs w:val="24"/>
        </w:rPr>
        <w:t xml:space="preserve">, selvom dets virkningsmekanisme er uklar. I </w:t>
      </w:r>
      <w:r w:rsidRPr="00236893">
        <w:rPr>
          <w:i/>
          <w:sz w:val="24"/>
          <w:szCs w:val="24"/>
        </w:rPr>
        <w:t xml:space="preserve">in </w:t>
      </w:r>
      <w:proofErr w:type="spellStart"/>
      <w:r w:rsidRPr="00236893">
        <w:rPr>
          <w:i/>
          <w:sz w:val="24"/>
          <w:szCs w:val="24"/>
        </w:rPr>
        <w:t>vitro</w:t>
      </w:r>
      <w:proofErr w:type="spellEnd"/>
      <w:r w:rsidRPr="00236893">
        <w:rPr>
          <w:sz w:val="24"/>
          <w:szCs w:val="24"/>
        </w:rPr>
        <w:t xml:space="preserve">-studier med cellelinjerne HCT-8 og Caco-2 sås der hæmmende virkning mod </w:t>
      </w:r>
      <w:r w:rsidRPr="00236893">
        <w:rPr>
          <w:i/>
          <w:sz w:val="24"/>
          <w:szCs w:val="24"/>
        </w:rPr>
        <w:t>C. </w:t>
      </w:r>
      <w:proofErr w:type="spellStart"/>
      <w:r w:rsidRPr="00236893">
        <w:rPr>
          <w:i/>
          <w:sz w:val="24"/>
          <w:szCs w:val="24"/>
        </w:rPr>
        <w:t>parvum</w:t>
      </w:r>
      <w:proofErr w:type="spellEnd"/>
      <w:r w:rsidRPr="00236893">
        <w:rPr>
          <w:sz w:val="24"/>
          <w:szCs w:val="24"/>
        </w:rPr>
        <w:t xml:space="preserve">. </w:t>
      </w:r>
      <w:proofErr w:type="spellStart"/>
      <w:r w:rsidRPr="00236893">
        <w:rPr>
          <w:sz w:val="24"/>
          <w:szCs w:val="24"/>
        </w:rPr>
        <w:t>Cryptosporidiums</w:t>
      </w:r>
      <w:proofErr w:type="spellEnd"/>
      <w:r w:rsidRPr="00236893">
        <w:rPr>
          <w:sz w:val="24"/>
          <w:szCs w:val="24"/>
        </w:rPr>
        <w:t xml:space="preserve"> resistens over for </w:t>
      </w:r>
      <w:proofErr w:type="spellStart"/>
      <w:r w:rsidRPr="00236893">
        <w:rPr>
          <w:sz w:val="24"/>
          <w:szCs w:val="24"/>
        </w:rPr>
        <w:t>paromomycin</w:t>
      </w:r>
      <w:proofErr w:type="spellEnd"/>
      <w:r w:rsidRPr="00236893">
        <w:rPr>
          <w:sz w:val="24"/>
          <w:szCs w:val="24"/>
        </w:rPr>
        <w:t xml:space="preserve"> er ikke beskrevet til dato. Ikke desto mindre er brugen af aminoglykosider forbundet med forekomsten af bakterieresistens. </w:t>
      </w:r>
      <w:proofErr w:type="spellStart"/>
      <w:r w:rsidRPr="00236893">
        <w:rPr>
          <w:sz w:val="24"/>
          <w:szCs w:val="24"/>
        </w:rPr>
        <w:t>Paromomycin</w:t>
      </w:r>
      <w:proofErr w:type="spellEnd"/>
      <w:r w:rsidRPr="00236893">
        <w:rPr>
          <w:sz w:val="24"/>
          <w:szCs w:val="24"/>
        </w:rPr>
        <w:t xml:space="preserve"> kan selektere for krydsresistens over for andre aminoglykosider. </w:t>
      </w:r>
    </w:p>
    <w:bookmarkEnd w:id="9"/>
    <w:p w14:paraId="33111948" w14:textId="77777777" w:rsidR="00D74392" w:rsidRPr="00236893" w:rsidRDefault="00D74392" w:rsidP="00D74392">
      <w:pPr>
        <w:tabs>
          <w:tab w:val="left" w:pos="851"/>
        </w:tabs>
        <w:ind w:left="851"/>
        <w:rPr>
          <w:sz w:val="24"/>
          <w:szCs w:val="24"/>
        </w:rPr>
      </w:pPr>
    </w:p>
    <w:p w14:paraId="3203C07D" w14:textId="77777777" w:rsidR="00D74392" w:rsidRPr="00236893" w:rsidRDefault="00D74392" w:rsidP="00D74392">
      <w:pPr>
        <w:tabs>
          <w:tab w:val="left" w:pos="851"/>
        </w:tabs>
        <w:ind w:left="851" w:hanging="851"/>
        <w:rPr>
          <w:b/>
          <w:sz w:val="24"/>
          <w:szCs w:val="24"/>
        </w:rPr>
      </w:pPr>
      <w:r w:rsidRPr="00903CF5">
        <w:rPr>
          <w:b/>
          <w:sz w:val="24"/>
          <w:szCs w:val="24"/>
        </w:rPr>
        <w:t>4.3</w:t>
      </w:r>
      <w:r w:rsidRPr="00903CF5">
        <w:rPr>
          <w:b/>
          <w:sz w:val="24"/>
          <w:szCs w:val="24"/>
        </w:rPr>
        <w:tab/>
      </w:r>
      <w:proofErr w:type="spellStart"/>
      <w:r w:rsidRPr="00903CF5">
        <w:rPr>
          <w:b/>
          <w:sz w:val="24"/>
          <w:szCs w:val="24"/>
        </w:rPr>
        <w:t>Farmakokinetiske</w:t>
      </w:r>
      <w:proofErr w:type="spellEnd"/>
      <w:r w:rsidRPr="00903CF5">
        <w:rPr>
          <w:b/>
          <w:sz w:val="24"/>
          <w:szCs w:val="24"/>
        </w:rPr>
        <w:t xml:space="preserve"> oplysninger</w:t>
      </w:r>
    </w:p>
    <w:p w14:paraId="2277D828" w14:textId="77777777" w:rsidR="00FE0090" w:rsidRPr="00236893" w:rsidRDefault="00FE0090" w:rsidP="00365457">
      <w:pPr>
        <w:widowControl w:val="0"/>
        <w:ind w:left="851"/>
        <w:rPr>
          <w:sz w:val="24"/>
          <w:szCs w:val="24"/>
        </w:rPr>
      </w:pPr>
      <w:bookmarkStart w:id="10" w:name="_Hlk94088976"/>
      <w:proofErr w:type="spellStart"/>
      <w:r w:rsidRPr="00236893">
        <w:rPr>
          <w:sz w:val="24"/>
          <w:szCs w:val="24"/>
        </w:rPr>
        <w:t>Paromomycins</w:t>
      </w:r>
      <w:proofErr w:type="spellEnd"/>
      <w:r w:rsidRPr="00236893">
        <w:rPr>
          <w:sz w:val="24"/>
          <w:szCs w:val="24"/>
        </w:rPr>
        <w:t xml:space="preserve"> biotilgængelighed ved administration som en enkelt oral dosis på 150 mg </w:t>
      </w:r>
      <w:proofErr w:type="spellStart"/>
      <w:r w:rsidRPr="00236893">
        <w:rPr>
          <w:sz w:val="24"/>
          <w:szCs w:val="24"/>
        </w:rPr>
        <w:lastRenderedPageBreak/>
        <w:t>paromomycin</w:t>
      </w:r>
      <w:proofErr w:type="spellEnd"/>
      <w:r w:rsidRPr="00236893">
        <w:rPr>
          <w:sz w:val="24"/>
          <w:szCs w:val="24"/>
        </w:rPr>
        <w:t>/kg legemsvægt hos 8-10 dage gamle kalve var 3,23 %.</w:t>
      </w:r>
    </w:p>
    <w:p w14:paraId="6AAC31B9" w14:textId="77777777" w:rsidR="00FE0090" w:rsidRPr="00236893" w:rsidRDefault="00FE0090" w:rsidP="00365457">
      <w:pPr>
        <w:widowControl w:val="0"/>
        <w:ind w:left="851" w:right="-143"/>
        <w:rPr>
          <w:sz w:val="24"/>
          <w:szCs w:val="24"/>
        </w:rPr>
      </w:pPr>
      <w:r w:rsidRPr="00236893">
        <w:rPr>
          <w:sz w:val="24"/>
          <w:szCs w:val="24"/>
        </w:rPr>
        <w:t>Med hensyn til den absorberede fraktion var den gennemsnitlige maks. plasmakoncentration (</w:t>
      </w:r>
      <w:proofErr w:type="spellStart"/>
      <w:r w:rsidRPr="00236893">
        <w:rPr>
          <w:sz w:val="24"/>
          <w:szCs w:val="24"/>
        </w:rPr>
        <w:t>C</w:t>
      </w:r>
      <w:r w:rsidRPr="00236893">
        <w:rPr>
          <w:sz w:val="24"/>
          <w:szCs w:val="24"/>
          <w:vertAlign w:val="subscript"/>
        </w:rPr>
        <w:t>max</w:t>
      </w:r>
      <w:proofErr w:type="spellEnd"/>
      <w:r w:rsidRPr="00236893">
        <w:rPr>
          <w:sz w:val="24"/>
          <w:szCs w:val="24"/>
        </w:rPr>
        <w:t>) 4,148 ± 3,106 mg/l, mediantiden til opnåelse af maks. plasmakoncentrationen (</w:t>
      </w:r>
      <w:proofErr w:type="spellStart"/>
      <w:r w:rsidRPr="00236893">
        <w:rPr>
          <w:sz w:val="24"/>
          <w:szCs w:val="24"/>
        </w:rPr>
        <w:t>T</w:t>
      </w:r>
      <w:r w:rsidRPr="00236893">
        <w:rPr>
          <w:sz w:val="24"/>
          <w:szCs w:val="24"/>
          <w:vertAlign w:val="subscript"/>
        </w:rPr>
        <w:t>max</w:t>
      </w:r>
      <w:proofErr w:type="spellEnd"/>
      <w:r w:rsidRPr="00236893">
        <w:rPr>
          <w:sz w:val="24"/>
          <w:szCs w:val="24"/>
        </w:rPr>
        <w:t>) var 4,75 timer (2-12 t), og den gennemsnitlige terminale halveringstid (t</w:t>
      </w:r>
      <w:r w:rsidRPr="00236893">
        <w:rPr>
          <w:sz w:val="24"/>
          <w:szCs w:val="24"/>
          <w:vertAlign w:val="subscript"/>
        </w:rPr>
        <w:t>1/2</w:t>
      </w:r>
      <w:r w:rsidRPr="00236893">
        <w:rPr>
          <w:sz w:val="24"/>
          <w:szCs w:val="24"/>
        </w:rPr>
        <w:t xml:space="preserve">) var ca. 10 timer. Størstedelen af dosen elimineres uændret i fæces, mens den absorberede fraktion udskilles næsten udelukkende i urin som uændret </w:t>
      </w:r>
      <w:proofErr w:type="spellStart"/>
      <w:r w:rsidRPr="00236893">
        <w:rPr>
          <w:sz w:val="24"/>
          <w:szCs w:val="24"/>
        </w:rPr>
        <w:t>paromomycin</w:t>
      </w:r>
      <w:proofErr w:type="spellEnd"/>
      <w:r w:rsidRPr="00236893">
        <w:rPr>
          <w:sz w:val="24"/>
          <w:szCs w:val="24"/>
        </w:rPr>
        <w:t>.</w:t>
      </w:r>
    </w:p>
    <w:p w14:paraId="6AFC7313" w14:textId="77777777" w:rsidR="00FE0090" w:rsidRPr="00236893" w:rsidRDefault="00FE0090" w:rsidP="00365457">
      <w:pPr>
        <w:widowControl w:val="0"/>
        <w:ind w:left="851"/>
        <w:rPr>
          <w:sz w:val="24"/>
          <w:szCs w:val="24"/>
        </w:rPr>
      </w:pPr>
      <w:proofErr w:type="spellStart"/>
      <w:r w:rsidRPr="00236893">
        <w:rPr>
          <w:sz w:val="24"/>
          <w:szCs w:val="24"/>
        </w:rPr>
        <w:t>Paromomycin</w:t>
      </w:r>
      <w:proofErr w:type="spellEnd"/>
      <w:r w:rsidRPr="00236893">
        <w:rPr>
          <w:sz w:val="24"/>
          <w:szCs w:val="24"/>
        </w:rPr>
        <w:t xml:space="preserve"> viser aldersrelateret farmakokinetik, hvor den største systemiske eksponering forekommer hos nyfødte dyr.</w:t>
      </w:r>
    </w:p>
    <w:bookmarkEnd w:id="10"/>
    <w:p w14:paraId="71D79D2E" w14:textId="77777777" w:rsidR="00FE0090" w:rsidRPr="00236893" w:rsidRDefault="00FE0090" w:rsidP="00365457">
      <w:pPr>
        <w:tabs>
          <w:tab w:val="left" w:pos="1304"/>
        </w:tabs>
        <w:ind w:left="851"/>
        <w:rPr>
          <w:sz w:val="24"/>
          <w:szCs w:val="24"/>
        </w:rPr>
      </w:pPr>
    </w:p>
    <w:p w14:paraId="77B5E285" w14:textId="77777777" w:rsidR="00FE0090" w:rsidRPr="00236893" w:rsidRDefault="00FE0090" w:rsidP="00365457">
      <w:pPr>
        <w:tabs>
          <w:tab w:val="left" w:pos="0"/>
        </w:tabs>
        <w:ind w:left="851"/>
        <w:rPr>
          <w:b/>
          <w:sz w:val="24"/>
          <w:szCs w:val="24"/>
        </w:rPr>
      </w:pPr>
      <w:bookmarkStart w:id="11" w:name="_Hlk94088985"/>
      <w:r w:rsidRPr="00236893">
        <w:rPr>
          <w:b/>
          <w:sz w:val="24"/>
          <w:szCs w:val="24"/>
        </w:rPr>
        <w:t>Miljøoplysninger</w:t>
      </w:r>
    </w:p>
    <w:p w14:paraId="3E1C1C2A" w14:textId="77777777" w:rsidR="00FE0090" w:rsidRPr="00236893" w:rsidRDefault="00FE0090" w:rsidP="00365457">
      <w:pPr>
        <w:widowControl w:val="0"/>
        <w:ind w:left="851"/>
        <w:rPr>
          <w:sz w:val="24"/>
          <w:szCs w:val="24"/>
        </w:rPr>
      </w:pPr>
      <w:r w:rsidRPr="00236893">
        <w:rPr>
          <w:sz w:val="24"/>
          <w:szCs w:val="24"/>
        </w:rPr>
        <w:t xml:space="preserve">Den aktive ingrediens </w:t>
      </w:r>
      <w:proofErr w:type="spellStart"/>
      <w:r w:rsidRPr="00236893">
        <w:rPr>
          <w:sz w:val="24"/>
          <w:szCs w:val="24"/>
        </w:rPr>
        <w:t>paromomycin</w:t>
      </w:r>
      <w:proofErr w:type="spellEnd"/>
      <w:r w:rsidRPr="00236893">
        <w:rPr>
          <w:sz w:val="24"/>
          <w:szCs w:val="24"/>
        </w:rPr>
        <w:t xml:space="preserve"> binder kraftigt til jord og er meget </w:t>
      </w:r>
      <w:proofErr w:type="spellStart"/>
      <w:r w:rsidRPr="00236893">
        <w:rPr>
          <w:sz w:val="24"/>
          <w:szCs w:val="24"/>
        </w:rPr>
        <w:t>persistent</w:t>
      </w:r>
      <w:proofErr w:type="spellEnd"/>
      <w:r w:rsidRPr="00236893">
        <w:rPr>
          <w:sz w:val="24"/>
          <w:szCs w:val="24"/>
        </w:rPr>
        <w:t xml:space="preserve"> i miljøet.</w:t>
      </w:r>
      <w:bookmarkEnd w:id="11"/>
    </w:p>
    <w:p w14:paraId="2AED9FCD" w14:textId="77777777" w:rsidR="00D74392" w:rsidRPr="00236893" w:rsidRDefault="00D74392" w:rsidP="00D74392">
      <w:pPr>
        <w:ind w:left="851"/>
        <w:rPr>
          <w:sz w:val="24"/>
          <w:szCs w:val="24"/>
        </w:rPr>
      </w:pPr>
    </w:p>
    <w:p w14:paraId="79183876" w14:textId="77777777" w:rsidR="00D74392" w:rsidRPr="00236893" w:rsidRDefault="00D74392" w:rsidP="00D74392">
      <w:pPr>
        <w:tabs>
          <w:tab w:val="left" w:pos="851"/>
        </w:tabs>
        <w:ind w:left="851"/>
        <w:rPr>
          <w:sz w:val="24"/>
          <w:szCs w:val="24"/>
        </w:rPr>
      </w:pPr>
    </w:p>
    <w:p w14:paraId="313B0187" w14:textId="77777777" w:rsidR="00D74392" w:rsidRPr="00236893" w:rsidRDefault="00D74392" w:rsidP="00D74392">
      <w:pPr>
        <w:ind w:left="851" w:hanging="851"/>
        <w:rPr>
          <w:b/>
          <w:sz w:val="24"/>
          <w:szCs w:val="24"/>
        </w:rPr>
      </w:pPr>
      <w:r w:rsidRPr="00236893">
        <w:rPr>
          <w:b/>
          <w:sz w:val="24"/>
          <w:szCs w:val="24"/>
        </w:rPr>
        <w:t>5.</w:t>
      </w:r>
      <w:r w:rsidRPr="00236893">
        <w:rPr>
          <w:b/>
          <w:sz w:val="24"/>
          <w:szCs w:val="24"/>
        </w:rPr>
        <w:tab/>
        <w:t>FARMACEUTISKE OPLYSNINGER</w:t>
      </w:r>
    </w:p>
    <w:p w14:paraId="3FB658DB" w14:textId="77777777" w:rsidR="00D74392" w:rsidRPr="00236893" w:rsidRDefault="00D74392" w:rsidP="00D74392">
      <w:pPr>
        <w:tabs>
          <w:tab w:val="left" w:pos="851"/>
        </w:tabs>
        <w:ind w:left="851"/>
        <w:rPr>
          <w:sz w:val="24"/>
          <w:szCs w:val="24"/>
        </w:rPr>
      </w:pPr>
    </w:p>
    <w:p w14:paraId="517BA7F8" w14:textId="77777777" w:rsidR="00D74392" w:rsidRPr="00236893" w:rsidRDefault="00D74392" w:rsidP="00D74392">
      <w:pPr>
        <w:ind w:left="851" w:hanging="851"/>
        <w:rPr>
          <w:b/>
          <w:sz w:val="24"/>
          <w:szCs w:val="24"/>
        </w:rPr>
      </w:pPr>
      <w:r w:rsidRPr="00236893">
        <w:rPr>
          <w:b/>
          <w:sz w:val="24"/>
          <w:szCs w:val="24"/>
        </w:rPr>
        <w:t>5.1</w:t>
      </w:r>
      <w:r w:rsidRPr="00236893">
        <w:rPr>
          <w:b/>
          <w:sz w:val="24"/>
          <w:szCs w:val="24"/>
        </w:rPr>
        <w:tab/>
        <w:t>Væsentlige uforligeligheder</w:t>
      </w:r>
    </w:p>
    <w:p w14:paraId="70F8E43A" w14:textId="77777777" w:rsidR="00FE0090" w:rsidRPr="00236893" w:rsidRDefault="00FE0090" w:rsidP="00365457">
      <w:pPr>
        <w:ind w:left="851"/>
        <w:rPr>
          <w:sz w:val="24"/>
          <w:szCs w:val="24"/>
        </w:rPr>
      </w:pPr>
      <w:bookmarkStart w:id="12" w:name="_Hlk94086903"/>
      <w:r w:rsidRPr="00236893">
        <w:rPr>
          <w:sz w:val="24"/>
          <w:szCs w:val="24"/>
        </w:rPr>
        <w:t>Da der ikke foreligger undersøgelser vedrørende eventuelle uforligeligheder, bør dette veterinærlægemiddel ikke blandes med andre veterinærlægemidler.</w:t>
      </w:r>
      <w:bookmarkEnd w:id="12"/>
    </w:p>
    <w:p w14:paraId="456B614A" w14:textId="77777777" w:rsidR="00D74392" w:rsidRPr="00236893" w:rsidRDefault="00D74392" w:rsidP="00D74392">
      <w:pPr>
        <w:tabs>
          <w:tab w:val="left" w:pos="851"/>
        </w:tabs>
        <w:ind w:left="851"/>
        <w:rPr>
          <w:sz w:val="24"/>
          <w:szCs w:val="24"/>
        </w:rPr>
      </w:pPr>
    </w:p>
    <w:p w14:paraId="438038F6" w14:textId="77777777" w:rsidR="00D74392" w:rsidRPr="00236893" w:rsidRDefault="00D74392" w:rsidP="00D74392">
      <w:pPr>
        <w:ind w:left="851" w:hanging="851"/>
        <w:rPr>
          <w:b/>
          <w:sz w:val="24"/>
          <w:szCs w:val="24"/>
        </w:rPr>
      </w:pPr>
      <w:r w:rsidRPr="00236893">
        <w:rPr>
          <w:b/>
          <w:sz w:val="24"/>
          <w:szCs w:val="24"/>
        </w:rPr>
        <w:t>5.2</w:t>
      </w:r>
      <w:r w:rsidRPr="00236893">
        <w:rPr>
          <w:b/>
          <w:sz w:val="24"/>
          <w:szCs w:val="24"/>
        </w:rPr>
        <w:tab/>
        <w:t>Opbevaringstid</w:t>
      </w:r>
    </w:p>
    <w:p w14:paraId="5B002149" w14:textId="77777777" w:rsidR="00FE0090" w:rsidRPr="00236893" w:rsidRDefault="00FE0090" w:rsidP="00365457">
      <w:pPr>
        <w:widowControl w:val="0"/>
        <w:ind w:left="851"/>
        <w:rPr>
          <w:sz w:val="24"/>
          <w:szCs w:val="24"/>
        </w:rPr>
      </w:pPr>
      <w:r w:rsidRPr="00236893">
        <w:rPr>
          <w:sz w:val="24"/>
          <w:szCs w:val="24"/>
        </w:rPr>
        <w:t xml:space="preserve">Opbevaringstid for veterinærlægemidlet i salgspakning i flasker af </w:t>
      </w:r>
      <w:proofErr w:type="spellStart"/>
      <w:r w:rsidRPr="00236893">
        <w:rPr>
          <w:sz w:val="24"/>
          <w:szCs w:val="24"/>
        </w:rPr>
        <w:t>højdensitetspolyethylen</w:t>
      </w:r>
      <w:proofErr w:type="spellEnd"/>
      <w:r w:rsidRPr="00236893">
        <w:rPr>
          <w:sz w:val="24"/>
          <w:szCs w:val="24"/>
        </w:rPr>
        <w:t xml:space="preserve"> (HDPE):</w:t>
      </w:r>
    </w:p>
    <w:p w14:paraId="2F09CD21" w14:textId="77777777" w:rsidR="00FE0090" w:rsidRPr="00236893" w:rsidRDefault="00FE0090" w:rsidP="00365457">
      <w:pPr>
        <w:widowControl w:val="0"/>
        <w:ind w:left="851"/>
        <w:rPr>
          <w:sz w:val="24"/>
          <w:szCs w:val="24"/>
        </w:rPr>
      </w:pPr>
      <w:r w:rsidRPr="00236893">
        <w:rPr>
          <w:sz w:val="24"/>
          <w:szCs w:val="24"/>
        </w:rPr>
        <w:t>- 125 ml: 1 år</w:t>
      </w:r>
    </w:p>
    <w:p w14:paraId="260F3C23" w14:textId="77777777" w:rsidR="00FE0090" w:rsidRPr="00236893" w:rsidRDefault="00FE0090" w:rsidP="00365457">
      <w:pPr>
        <w:widowControl w:val="0"/>
        <w:ind w:left="851"/>
        <w:rPr>
          <w:sz w:val="24"/>
          <w:szCs w:val="24"/>
        </w:rPr>
      </w:pPr>
      <w:r w:rsidRPr="00236893">
        <w:rPr>
          <w:sz w:val="24"/>
          <w:szCs w:val="24"/>
        </w:rPr>
        <w:t>- 250 ml: 18 måneder</w:t>
      </w:r>
    </w:p>
    <w:p w14:paraId="3182D9B1" w14:textId="77777777" w:rsidR="00FE0090" w:rsidRPr="00236893" w:rsidRDefault="00FE0090" w:rsidP="00365457">
      <w:pPr>
        <w:widowControl w:val="0"/>
        <w:ind w:left="851"/>
        <w:rPr>
          <w:sz w:val="24"/>
          <w:szCs w:val="24"/>
        </w:rPr>
      </w:pPr>
      <w:r w:rsidRPr="00236893">
        <w:rPr>
          <w:sz w:val="24"/>
          <w:szCs w:val="24"/>
        </w:rPr>
        <w:t>- 500 ml: 2 år</w:t>
      </w:r>
    </w:p>
    <w:p w14:paraId="03E62004" w14:textId="77777777" w:rsidR="00FE0090" w:rsidRPr="00236893" w:rsidRDefault="00FE0090" w:rsidP="00365457">
      <w:pPr>
        <w:widowControl w:val="0"/>
        <w:ind w:left="851"/>
        <w:rPr>
          <w:sz w:val="24"/>
          <w:szCs w:val="24"/>
        </w:rPr>
      </w:pPr>
      <w:r w:rsidRPr="00236893">
        <w:rPr>
          <w:sz w:val="24"/>
          <w:szCs w:val="24"/>
        </w:rPr>
        <w:t>- 1 l: 3 år</w:t>
      </w:r>
    </w:p>
    <w:p w14:paraId="2E66DC39" w14:textId="77777777" w:rsidR="00FE0090" w:rsidRPr="00236893" w:rsidRDefault="00FE0090" w:rsidP="00365457">
      <w:pPr>
        <w:widowControl w:val="0"/>
        <w:ind w:left="851"/>
        <w:rPr>
          <w:sz w:val="24"/>
          <w:szCs w:val="24"/>
        </w:rPr>
      </w:pPr>
    </w:p>
    <w:p w14:paraId="3B1B34F9" w14:textId="499ED21A" w:rsidR="00FE0090" w:rsidRPr="00236893" w:rsidRDefault="00FE0090" w:rsidP="00365457">
      <w:pPr>
        <w:widowControl w:val="0"/>
        <w:ind w:left="851"/>
        <w:rPr>
          <w:sz w:val="24"/>
          <w:szCs w:val="24"/>
        </w:rPr>
      </w:pPr>
      <w:r w:rsidRPr="00236893">
        <w:rPr>
          <w:sz w:val="24"/>
          <w:szCs w:val="24"/>
        </w:rPr>
        <w:t>Opbevaringstid for veterinærlægemidlet i salgspakning i flasker af højdensitets</w:t>
      </w:r>
      <w:r w:rsidR="00A45A47">
        <w:rPr>
          <w:sz w:val="24"/>
          <w:szCs w:val="24"/>
        </w:rPr>
        <w:softHyphen/>
      </w:r>
      <w:r w:rsidRPr="00236893">
        <w:rPr>
          <w:sz w:val="24"/>
          <w:szCs w:val="24"/>
        </w:rPr>
        <w:t>polyethylen/ethylenvinylalkohol/højdensitetspolyethylen (HDPE/ EVOH/ HDPE):</w:t>
      </w:r>
    </w:p>
    <w:p w14:paraId="1DCC0C20" w14:textId="77777777" w:rsidR="00FE0090" w:rsidRPr="00236893" w:rsidRDefault="00FE0090" w:rsidP="00365457">
      <w:pPr>
        <w:widowControl w:val="0"/>
        <w:ind w:left="851"/>
        <w:rPr>
          <w:sz w:val="24"/>
          <w:szCs w:val="24"/>
        </w:rPr>
      </w:pPr>
      <w:r w:rsidRPr="00236893">
        <w:rPr>
          <w:sz w:val="24"/>
          <w:szCs w:val="24"/>
        </w:rPr>
        <w:t>- 250 ml: 6 måneder</w:t>
      </w:r>
    </w:p>
    <w:p w14:paraId="37F9EF08" w14:textId="77777777" w:rsidR="00FE0090" w:rsidRPr="00236893" w:rsidRDefault="00FE0090" w:rsidP="00365457">
      <w:pPr>
        <w:widowControl w:val="0"/>
        <w:ind w:left="851" w:right="-710"/>
        <w:rPr>
          <w:sz w:val="24"/>
          <w:szCs w:val="24"/>
        </w:rPr>
      </w:pPr>
      <w:r w:rsidRPr="00236893">
        <w:rPr>
          <w:sz w:val="24"/>
          <w:szCs w:val="24"/>
        </w:rPr>
        <w:t>- 500 ml: 6 måneder</w:t>
      </w:r>
    </w:p>
    <w:p w14:paraId="0A53E3B8" w14:textId="77777777" w:rsidR="00FE0090" w:rsidRPr="00236893" w:rsidRDefault="00FE0090" w:rsidP="00365457">
      <w:pPr>
        <w:widowControl w:val="0"/>
        <w:ind w:left="851" w:right="-710"/>
        <w:rPr>
          <w:sz w:val="24"/>
          <w:szCs w:val="24"/>
        </w:rPr>
      </w:pPr>
      <w:r w:rsidRPr="00236893">
        <w:rPr>
          <w:sz w:val="24"/>
          <w:szCs w:val="24"/>
        </w:rPr>
        <w:t>- 1 l: 6 måneder</w:t>
      </w:r>
    </w:p>
    <w:p w14:paraId="4F53CD34" w14:textId="77777777" w:rsidR="00FE0090" w:rsidRPr="00236893" w:rsidRDefault="00FE0090" w:rsidP="00365457">
      <w:pPr>
        <w:widowControl w:val="0"/>
        <w:ind w:left="851"/>
        <w:rPr>
          <w:sz w:val="24"/>
          <w:szCs w:val="24"/>
        </w:rPr>
      </w:pPr>
    </w:p>
    <w:p w14:paraId="5CF4290B" w14:textId="77777777" w:rsidR="00FE0090" w:rsidRPr="00236893" w:rsidRDefault="00FE0090" w:rsidP="00365457">
      <w:pPr>
        <w:tabs>
          <w:tab w:val="left" w:pos="1304"/>
        </w:tabs>
        <w:ind w:left="851"/>
        <w:textAlignment w:val="baseline"/>
        <w:rPr>
          <w:color w:val="000000"/>
          <w:sz w:val="24"/>
          <w:szCs w:val="24"/>
        </w:rPr>
      </w:pPr>
      <w:r w:rsidRPr="00236893">
        <w:rPr>
          <w:color w:val="000000"/>
          <w:sz w:val="24"/>
          <w:szCs w:val="24"/>
          <w:bdr w:val="none" w:sz="0" w:space="0" w:color="auto" w:frame="1"/>
        </w:rPr>
        <w:t>Opbevaringstid efter første åbning af den indre emballage:</w:t>
      </w:r>
    </w:p>
    <w:p w14:paraId="1DD76D14" w14:textId="77777777" w:rsidR="00FE0090" w:rsidRPr="00236893" w:rsidRDefault="00FE0090" w:rsidP="00365457">
      <w:pPr>
        <w:tabs>
          <w:tab w:val="left" w:pos="1304"/>
        </w:tabs>
        <w:ind w:left="851"/>
        <w:textAlignment w:val="baseline"/>
        <w:rPr>
          <w:color w:val="000000"/>
          <w:sz w:val="24"/>
          <w:szCs w:val="24"/>
        </w:rPr>
      </w:pPr>
      <w:r w:rsidRPr="00236893">
        <w:rPr>
          <w:color w:val="000000"/>
          <w:sz w:val="24"/>
          <w:szCs w:val="24"/>
          <w:bdr w:val="none" w:sz="0" w:space="0" w:color="auto" w:frame="1"/>
        </w:rPr>
        <w:t xml:space="preserve">- Flasker af </w:t>
      </w:r>
      <w:proofErr w:type="spellStart"/>
      <w:r w:rsidRPr="00236893">
        <w:rPr>
          <w:color w:val="000000"/>
          <w:sz w:val="24"/>
          <w:szCs w:val="24"/>
          <w:bdr w:val="none" w:sz="0" w:space="0" w:color="auto" w:frame="1"/>
        </w:rPr>
        <w:t>højdensitetspolyethylen</w:t>
      </w:r>
      <w:proofErr w:type="spellEnd"/>
      <w:r w:rsidRPr="00236893">
        <w:rPr>
          <w:color w:val="000000"/>
          <w:sz w:val="24"/>
          <w:szCs w:val="24"/>
          <w:bdr w:val="none" w:sz="0" w:space="0" w:color="auto" w:frame="1"/>
        </w:rPr>
        <w:t xml:space="preserve"> (HDPE): 6 måneder</w:t>
      </w:r>
    </w:p>
    <w:p w14:paraId="6C806930" w14:textId="77777777" w:rsidR="00FE0090" w:rsidRPr="00236893" w:rsidRDefault="00FE0090" w:rsidP="00365457">
      <w:pPr>
        <w:shd w:val="clear" w:color="auto" w:fill="FFFFFF"/>
        <w:tabs>
          <w:tab w:val="left" w:pos="1304"/>
        </w:tabs>
        <w:ind w:left="851"/>
        <w:textAlignment w:val="baseline"/>
        <w:rPr>
          <w:color w:val="000000"/>
          <w:sz w:val="24"/>
          <w:szCs w:val="24"/>
          <w:bdr w:val="none" w:sz="0" w:space="0" w:color="auto" w:frame="1"/>
        </w:rPr>
      </w:pPr>
      <w:r w:rsidRPr="00236893">
        <w:rPr>
          <w:color w:val="000000"/>
          <w:sz w:val="24"/>
          <w:szCs w:val="24"/>
          <w:bdr w:val="none" w:sz="0" w:space="0" w:color="auto" w:frame="1"/>
        </w:rPr>
        <w:t>- Flasker af højdensitetspolyethylen/ethylenvinylalkohol/højdensitetspolyethylen (HDPE/EVOH/HDPE): 3 måneder</w:t>
      </w:r>
    </w:p>
    <w:p w14:paraId="155036E0" w14:textId="77777777" w:rsidR="00FE0090" w:rsidRPr="00236893" w:rsidRDefault="00FE0090" w:rsidP="00365457">
      <w:pPr>
        <w:widowControl w:val="0"/>
        <w:ind w:left="851"/>
        <w:rPr>
          <w:sz w:val="24"/>
          <w:szCs w:val="24"/>
        </w:rPr>
      </w:pPr>
    </w:p>
    <w:p w14:paraId="4155DA29" w14:textId="77777777" w:rsidR="00FE0090" w:rsidRPr="00236893" w:rsidRDefault="00FE0090" w:rsidP="00365457">
      <w:pPr>
        <w:widowControl w:val="0"/>
        <w:ind w:left="851"/>
        <w:rPr>
          <w:sz w:val="24"/>
          <w:szCs w:val="24"/>
        </w:rPr>
      </w:pPr>
      <w:r w:rsidRPr="00236893">
        <w:rPr>
          <w:sz w:val="24"/>
          <w:szCs w:val="24"/>
          <w:u w:val="single"/>
        </w:rPr>
        <w:t>Alle præsentationer</w:t>
      </w:r>
      <w:r w:rsidRPr="00236893">
        <w:rPr>
          <w:sz w:val="24"/>
          <w:szCs w:val="24"/>
        </w:rPr>
        <w:t>:</w:t>
      </w:r>
    </w:p>
    <w:p w14:paraId="159F25DF" w14:textId="77777777" w:rsidR="00FE0090" w:rsidRPr="00236893" w:rsidRDefault="00FE0090" w:rsidP="00365457">
      <w:pPr>
        <w:widowControl w:val="0"/>
        <w:ind w:left="851"/>
        <w:rPr>
          <w:sz w:val="24"/>
          <w:szCs w:val="24"/>
        </w:rPr>
      </w:pPr>
      <w:r w:rsidRPr="00236893">
        <w:rPr>
          <w:sz w:val="24"/>
          <w:szCs w:val="24"/>
        </w:rPr>
        <w:t xml:space="preserve">Opbevaringstid efter fortynding i drikkevand: 24 timer </w:t>
      </w:r>
    </w:p>
    <w:p w14:paraId="157CA0B9" w14:textId="77777777" w:rsidR="00FE0090" w:rsidRPr="00236893" w:rsidRDefault="00FE0090" w:rsidP="00365457">
      <w:pPr>
        <w:widowControl w:val="0"/>
        <w:ind w:left="851"/>
        <w:rPr>
          <w:sz w:val="24"/>
          <w:szCs w:val="24"/>
        </w:rPr>
      </w:pPr>
      <w:r w:rsidRPr="00236893">
        <w:rPr>
          <w:sz w:val="24"/>
          <w:szCs w:val="24"/>
        </w:rPr>
        <w:t>Opbevaringstid efter fortynding i mælk eller mælkeerstatning: 6 timer</w:t>
      </w:r>
    </w:p>
    <w:p w14:paraId="4E8313BA" w14:textId="77777777" w:rsidR="00D74392" w:rsidRPr="00236893" w:rsidRDefault="00D74392" w:rsidP="00D74392">
      <w:pPr>
        <w:tabs>
          <w:tab w:val="left" w:pos="851"/>
        </w:tabs>
        <w:ind w:left="851"/>
        <w:rPr>
          <w:sz w:val="24"/>
          <w:szCs w:val="24"/>
        </w:rPr>
      </w:pPr>
    </w:p>
    <w:p w14:paraId="1598A6A2" w14:textId="77777777" w:rsidR="00D74392" w:rsidRPr="00236893" w:rsidRDefault="00D74392" w:rsidP="00D74392">
      <w:pPr>
        <w:ind w:left="851" w:hanging="851"/>
        <w:rPr>
          <w:b/>
          <w:sz w:val="24"/>
          <w:szCs w:val="24"/>
        </w:rPr>
      </w:pPr>
      <w:r w:rsidRPr="00236893">
        <w:rPr>
          <w:b/>
          <w:sz w:val="24"/>
          <w:szCs w:val="24"/>
        </w:rPr>
        <w:t>5.3</w:t>
      </w:r>
      <w:r w:rsidRPr="00236893">
        <w:rPr>
          <w:b/>
          <w:sz w:val="24"/>
          <w:szCs w:val="24"/>
        </w:rPr>
        <w:tab/>
        <w:t>Særlige forholdsregler vedrørende opbevaring</w:t>
      </w:r>
    </w:p>
    <w:p w14:paraId="00D85F3B" w14:textId="77777777" w:rsidR="00903CF5" w:rsidRDefault="00903CF5" w:rsidP="00365457">
      <w:pPr>
        <w:widowControl w:val="0"/>
        <w:ind w:left="851"/>
        <w:rPr>
          <w:sz w:val="24"/>
          <w:szCs w:val="24"/>
          <w:u w:val="single"/>
        </w:rPr>
      </w:pPr>
      <w:bookmarkStart w:id="13" w:name="_Hlk94088154"/>
    </w:p>
    <w:p w14:paraId="7D18013B" w14:textId="321F965E" w:rsidR="00FE0090" w:rsidRPr="00236893" w:rsidRDefault="00FE0090" w:rsidP="00365457">
      <w:pPr>
        <w:widowControl w:val="0"/>
        <w:ind w:left="851"/>
        <w:rPr>
          <w:sz w:val="24"/>
          <w:szCs w:val="24"/>
          <w:u w:val="single"/>
        </w:rPr>
      </w:pPr>
      <w:r w:rsidRPr="00236893">
        <w:rPr>
          <w:sz w:val="24"/>
          <w:szCs w:val="24"/>
          <w:u w:val="single"/>
        </w:rPr>
        <w:t>HDPE-flasker med 125 ml og 250 ml:</w:t>
      </w:r>
    </w:p>
    <w:p w14:paraId="1CF4389C" w14:textId="761E1843" w:rsidR="00FE0090" w:rsidRPr="00236893" w:rsidRDefault="00FE0090" w:rsidP="00365457">
      <w:pPr>
        <w:widowControl w:val="0"/>
        <w:ind w:left="851"/>
        <w:rPr>
          <w:sz w:val="24"/>
          <w:szCs w:val="24"/>
        </w:rPr>
      </w:pPr>
      <w:r w:rsidRPr="00236893">
        <w:rPr>
          <w:sz w:val="24"/>
          <w:szCs w:val="24"/>
        </w:rPr>
        <w:t>Må ikke opbevares over 25</w:t>
      </w:r>
      <w:r w:rsidR="00A45A47">
        <w:rPr>
          <w:sz w:val="24"/>
          <w:szCs w:val="24"/>
        </w:rPr>
        <w:t xml:space="preserve"> </w:t>
      </w:r>
      <w:r w:rsidRPr="00236893">
        <w:rPr>
          <w:sz w:val="24"/>
          <w:szCs w:val="24"/>
        </w:rPr>
        <w:t>°C.</w:t>
      </w:r>
    </w:p>
    <w:p w14:paraId="602C7C08" w14:textId="77777777" w:rsidR="00FE0090" w:rsidRPr="00236893" w:rsidRDefault="00FE0090" w:rsidP="00365457">
      <w:pPr>
        <w:widowControl w:val="0"/>
        <w:ind w:left="851"/>
        <w:rPr>
          <w:sz w:val="24"/>
          <w:szCs w:val="24"/>
        </w:rPr>
      </w:pPr>
    </w:p>
    <w:p w14:paraId="259F2410" w14:textId="77777777" w:rsidR="00FE0090" w:rsidRPr="00236893" w:rsidRDefault="00FE0090" w:rsidP="00365457">
      <w:pPr>
        <w:widowControl w:val="0"/>
        <w:ind w:left="851"/>
        <w:rPr>
          <w:sz w:val="24"/>
          <w:szCs w:val="24"/>
          <w:u w:val="single"/>
        </w:rPr>
      </w:pPr>
      <w:r w:rsidRPr="00236893">
        <w:rPr>
          <w:sz w:val="24"/>
          <w:szCs w:val="24"/>
          <w:u w:val="single"/>
        </w:rPr>
        <w:t>HDPE-flasker med 500 ml og 1 liter:</w:t>
      </w:r>
    </w:p>
    <w:p w14:paraId="65373587" w14:textId="77777777" w:rsidR="00FE0090" w:rsidRPr="00236893" w:rsidRDefault="00FE0090" w:rsidP="00365457">
      <w:pPr>
        <w:widowControl w:val="0"/>
        <w:ind w:left="851"/>
        <w:rPr>
          <w:sz w:val="24"/>
          <w:szCs w:val="24"/>
        </w:rPr>
      </w:pPr>
      <w:r w:rsidRPr="00236893">
        <w:rPr>
          <w:sz w:val="24"/>
          <w:szCs w:val="24"/>
        </w:rPr>
        <w:t>Der er ingen særlige krav vedrørende opbevaringsforhold for dette veterinærlægemiddel.</w:t>
      </w:r>
    </w:p>
    <w:p w14:paraId="120D7355" w14:textId="6CEF0589" w:rsidR="00A45A47" w:rsidRDefault="00A45A47">
      <w:pPr>
        <w:rPr>
          <w:sz w:val="24"/>
          <w:szCs w:val="24"/>
        </w:rPr>
      </w:pPr>
      <w:r>
        <w:rPr>
          <w:sz w:val="24"/>
          <w:szCs w:val="24"/>
        </w:rPr>
        <w:br w:type="page"/>
      </w:r>
    </w:p>
    <w:p w14:paraId="28B44DA9" w14:textId="77777777" w:rsidR="00FE0090" w:rsidRPr="00236893" w:rsidRDefault="00FE0090" w:rsidP="00365457">
      <w:pPr>
        <w:widowControl w:val="0"/>
        <w:ind w:left="851"/>
        <w:rPr>
          <w:sz w:val="24"/>
          <w:szCs w:val="24"/>
        </w:rPr>
      </w:pPr>
    </w:p>
    <w:p w14:paraId="290E3DF3" w14:textId="77777777" w:rsidR="00FE0090" w:rsidRPr="00236893" w:rsidRDefault="00FE0090" w:rsidP="00365457">
      <w:pPr>
        <w:widowControl w:val="0"/>
        <w:ind w:left="851"/>
        <w:rPr>
          <w:sz w:val="24"/>
          <w:szCs w:val="24"/>
          <w:u w:val="single"/>
        </w:rPr>
      </w:pPr>
      <w:r w:rsidRPr="00236893">
        <w:rPr>
          <w:sz w:val="24"/>
          <w:szCs w:val="24"/>
          <w:u w:val="single"/>
        </w:rPr>
        <w:t>HDPE/EVOH/HDPE-flasker med 250 ml, 500 ml og 1 liter:</w:t>
      </w:r>
    </w:p>
    <w:p w14:paraId="226B645A" w14:textId="77777777" w:rsidR="00FE0090" w:rsidRPr="00236893" w:rsidRDefault="00FE0090" w:rsidP="00365457">
      <w:pPr>
        <w:widowControl w:val="0"/>
        <w:ind w:left="851"/>
        <w:rPr>
          <w:sz w:val="24"/>
          <w:szCs w:val="24"/>
        </w:rPr>
      </w:pPr>
      <w:r w:rsidRPr="00236893">
        <w:rPr>
          <w:sz w:val="24"/>
          <w:szCs w:val="24"/>
        </w:rPr>
        <w:t>Der er ingen særlige krav vedrørende opbevaringsforhold for dette veterinærlægemiddel.</w:t>
      </w:r>
    </w:p>
    <w:p w14:paraId="0CF598B4" w14:textId="77777777" w:rsidR="00FE0090" w:rsidRPr="00236893" w:rsidRDefault="00FE0090" w:rsidP="00365457">
      <w:pPr>
        <w:widowControl w:val="0"/>
        <w:ind w:left="851"/>
        <w:rPr>
          <w:sz w:val="24"/>
          <w:szCs w:val="24"/>
        </w:rPr>
      </w:pPr>
    </w:p>
    <w:p w14:paraId="44EFFA39" w14:textId="77777777" w:rsidR="00FE0090" w:rsidRPr="00236893" w:rsidRDefault="00FE0090" w:rsidP="00365457">
      <w:pPr>
        <w:widowControl w:val="0"/>
        <w:ind w:left="851"/>
        <w:rPr>
          <w:sz w:val="24"/>
          <w:szCs w:val="24"/>
          <w:u w:val="single"/>
        </w:rPr>
      </w:pPr>
      <w:r w:rsidRPr="00236893">
        <w:rPr>
          <w:sz w:val="24"/>
          <w:szCs w:val="24"/>
          <w:u w:val="single"/>
        </w:rPr>
        <w:t>Alle præsentationer:</w:t>
      </w:r>
    </w:p>
    <w:p w14:paraId="455F2576" w14:textId="77777777" w:rsidR="00FE0090" w:rsidRPr="00236893" w:rsidRDefault="00FE0090" w:rsidP="00365457">
      <w:pPr>
        <w:widowControl w:val="0"/>
        <w:ind w:left="851"/>
        <w:rPr>
          <w:sz w:val="24"/>
          <w:szCs w:val="24"/>
        </w:rPr>
      </w:pPr>
      <w:r w:rsidRPr="00236893">
        <w:rPr>
          <w:sz w:val="24"/>
          <w:szCs w:val="24"/>
        </w:rPr>
        <w:t>Efter første åbning skal flasken være holdes tæt tillukket.</w:t>
      </w:r>
      <w:bookmarkEnd w:id="13"/>
    </w:p>
    <w:p w14:paraId="7543593D" w14:textId="77777777" w:rsidR="00D74392" w:rsidRPr="00236893" w:rsidRDefault="00D74392" w:rsidP="00D74392">
      <w:pPr>
        <w:tabs>
          <w:tab w:val="left" w:pos="851"/>
        </w:tabs>
        <w:ind w:left="851"/>
        <w:rPr>
          <w:sz w:val="24"/>
          <w:szCs w:val="24"/>
        </w:rPr>
      </w:pPr>
    </w:p>
    <w:p w14:paraId="33C3667B" w14:textId="77777777" w:rsidR="00D74392" w:rsidRPr="00236893" w:rsidRDefault="00D74392" w:rsidP="00D74392">
      <w:pPr>
        <w:ind w:left="851" w:hanging="851"/>
        <w:rPr>
          <w:b/>
          <w:sz w:val="24"/>
          <w:szCs w:val="24"/>
        </w:rPr>
      </w:pPr>
      <w:r w:rsidRPr="00236893">
        <w:rPr>
          <w:b/>
          <w:sz w:val="24"/>
          <w:szCs w:val="24"/>
        </w:rPr>
        <w:t>5.4</w:t>
      </w:r>
      <w:r w:rsidRPr="00236893">
        <w:rPr>
          <w:b/>
          <w:sz w:val="24"/>
          <w:szCs w:val="24"/>
        </w:rPr>
        <w:tab/>
        <w:t>Den indre emballages art og indhold</w:t>
      </w:r>
    </w:p>
    <w:p w14:paraId="343606A9" w14:textId="77777777" w:rsidR="00FE0090" w:rsidRPr="00236893" w:rsidRDefault="00FE0090" w:rsidP="00365457">
      <w:pPr>
        <w:widowControl w:val="0"/>
        <w:ind w:left="851"/>
        <w:rPr>
          <w:sz w:val="24"/>
          <w:szCs w:val="24"/>
        </w:rPr>
      </w:pPr>
      <w:r w:rsidRPr="00236893">
        <w:rPr>
          <w:sz w:val="24"/>
          <w:szCs w:val="24"/>
        </w:rPr>
        <w:t>Beholderens art:</w:t>
      </w:r>
    </w:p>
    <w:p w14:paraId="17AA528B" w14:textId="77777777" w:rsidR="00FE0090" w:rsidRPr="00236893" w:rsidRDefault="00FE0090" w:rsidP="00A45A47">
      <w:pPr>
        <w:pStyle w:val="Listeafsnit"/>
        <w:widowControl w:val="0"/>
        <w:numPr>
          <w:ilvl w:val="0"/>
          <w:numId w:val="4"/>
        </w:numPr>
        <w:tabs>
          <w:tab w:val="clear" w:pos="567"/>
        </w:tabs>
        <w:ind w:left="1276" w:hanging="425"/>
        <w:rPr>
          <w:sz w:val="24"/>
          <w:szCs w:val="24"/>
        </w:rPr>
      </w:pPr>
      <w:r w:rsidRPr="00236893">
        <w:rPr>
          <w:sz w:val="24"/>
          <w:szCs w:val="24"/>
        </w:rPr>
        <w:t xml:space="preserve">Hvide flasker af </w:t>
      </w:r>
      <w:proofErr w:type="spellStart"/>
      <w:r w:rsidRPr="00236893">
        <w:rPr>
          <w:sz w:val="24"/>
          <w:szCs w:val="24"/>
        </w:rPr>
        <w:t>højdensitetspolyethylen</w:t>
      </w:r>
      <w:proofErr w:type="spellEnd"/>
      <w:r w:rsidRPr="00236893">
        <w:rPr>
          <w:sz w:val="24"/>
          <w:szCs w:val="24"/>
        </w:rPr>
        <w:t xml:space="preserve"> (HDPE), med et skruelåg af polypropylen (PP) og en forsegling af </w:t>
      </w:r>
      <w:proofErr w:type="spellStart"/>
      <w:r w:rsidRPr="00236893">
        <w:rPr>
          <w:sz w:val="24"/>
          <w:szCs w:val="24"/>
        </w:rPr>
        <w:t>polyvinylchlorid</w:t>
      </w:r>
      <w:proofErr w:type="spellEnd"/>
      <w:r w:rsidRPr="00236893">
        <w:rPr>
          <w:sz w:val="24"/>
          <w:szCs w:val="24"/>
        </w:rPr>
        <w:t xml:space="preserve"> (PVC) eller </w:t>
      </w:r>
      <w:proofErr w:type="spellStart"/>
      <w:r w:rsidRPr="00236893">
        <w:rPr>
          <w:sz w:val="24"/>
          <w:szCs w:val="24"/>
        </w:rPr>
        <w:t>lavdensitetspolyethylen</w:t>
      </w:r>
      <w:proofErr w:type="spellEnd"/>
      <w:r w:rsidRPr="00236893">
        <w:rPr>
          <w:sz w:val="24"/>
          <w:szCs w:val="24"/>
        </w:rPr>
        <w:t xml:space="preserve"> (LDPE) </w:t>
      </w:r>
    </w:p>
    <w:p w14:paraId="7C2D6D78" w14:textId="77777777" w:rsidR="00FE0090" w:rsidRPr="00236893" w:rsidRDefault="00FE0090" w:rsidP="00FF281C">
      <w:pPr>
        <w:pStyle w:val="Listeafsnit"/>
        <w:widowControl w:val="0"/>
        <w:tabs>
          <w:tab w:val="clear" w:pos="567"/>
        </w:tabs>
        <w:ind w:left="1276"/>
        <w:rPr>
          <w:sz w:val="24"/>
          <w:szCs w:val="24"/>
        </w:rPr>
      </w:pPr>
      <w:r w:rsidRPr="00236893">
        <w:rPr>
          <w:sz w:val="24"/>
          <w:szCs w:val="24"/>
        </w:rPr>
        <w:t>Flasker med 125, 250, 500 ml og 1 l</w:t>
      </w:r>
    </w:p>
    <w:p w14:paraId="75CD7FAA" w14:textId="77777777" w:rsidR="00FE0090" w:rsidRPr="00236893" w:rsidRDefault="00FE0090" w:rsidP="00365457">
      <w:pPr>
        <w:widowControl w:val="0"/>
        <w:ind w:left="851"/>
        <w:rPr>
          <w:sz w:val="24"/>
          <w:szCs w:val="24"/>
        </w:rPr>
      </w:pPr>
      <w:r w:rsidRPr="00236893">
        <w:rPr>
          <w:sz w:val="24"/>
          <w:szCs w:val="24"/>
        </w:rPr>
        <w:t>eller</w:t>
      </w:r>
    </w:p>
    <w:p w14:paraId="67A78C53" w14:textId="728E8715" w:rsidR="00FE0090" w:rsidRPr="00236893" w:rsidRDefault="00FE0090" w:rsidP="00FF281C">
      <w:pPr>
        <w:pStyle w:val="Listeafsnit"/>
        <w:widowControl w:val="0"/>
        <w:numPr>
          <w:ilvl w:val="0"/>
          <w:numId w:val="5"/>
        </w:numPr>
        <w:tabs>
          <w:tab w:val="clear" w:pos="567"/>
        </w:tabs>
        <w:ind w:left="1276" w:hanging="425"/>
        <w:rPr>
          <w:sz w:val="24"/>
          <w:szCs w:val="24"/>
        </w:rPr>
      </w:pPr>
      <w:r w:rsidRPr="00236893">
        <w:rPr>
          <w:sz w:val="24"/>
          <w:szCs w:val="24"/>
        </w:rPr>
        <w:t xml:space="preserve">Hvide flasker af højdensitetspolyethylen/ethylenvinylalkohol/højdensitetspolyethylen (HDPE/EVOH/HDPE):med et skruelåg af </w:t>
      </w:r>
      <w:proofErr w:type="spellStart"/>
      <w:r w:rsidRPr="00236893">
        <w:rPr>
          <w:sz w:val="24"/>
          <w:szCs w:val="24"/>
        </w:rPr>
        <w:t>højdensitetspolyethylen</w:t>
      </w:r>
      <w:proofErr w:type="spellEnd"/>
      <w:r w:rsidRPr="00236893">
        <w:rPr>
          <w:sz w:val="24"/>
          <w:szCs w:val="24"/>
        </w:rPr>
        <w:t xml:space="preserve"> (HDPE) og en forsegling af polyethylenterephthalat/polyethylen/polyethylen</w:t>
      </w:r>
      <w:r w:rsidR="00FF281C">
        <w:rPr>
          <w:sz w:val="24"/>
          <w:szCs w:val="24"/>
        </w:rPr>
        <w:softHyphen/>
      </w:r>
      <w:r w:rsidRPr="00236893">
        <w:rPr>
          <w:sz w:val="24"/>
          <w:szCs w:val="24"/>
        </w:rPr>
        <w:t>skum/polyethylen/polyethylenterephtalat (PET/PE/LDPE-skum/PE/PET)</w:t>
      </w:r>
    </w:p>
    <w:p w14:paraId="21BF37D4" w14:textId="77777777" w:rsidR="00FE0090" w:rsidRPr="00236893" w:rsidRDefault="00FE0090" w:rsidP="00FF281C">
      <w:pPr>
        <w:pStyle w:val="Listeafsnit"/>
        <w:widowControl w:val="0"/>
        <w:tabs>
          <w:tab w:val="clear" w:pos="567"/>
        </w:tabs>
        <w:ind w:left="1276"/>
        <w:rPr>
          <w:sz w:val="24"/>
          <w:szCs w:val="24"/>
        </w:rPr>
      </w:pPr>
      <w:r w:rsidRPr="00236893">
        <w:rPr>
          <w:sz w:val="24"/>
          <w:szCs w:val="24"/>
        </w:rPr>
        <w:t>Flasker med 250, 500 ml og 1 l</w:t>
      </w:r>
    </w:p>
    <w:p w14:paraId="3FCD742B" w14:textId="77777777" w:rsidR="00FE0090" w:rsidRPr="00236893" w:rsidRDefault="00FE0090" w:rsidP="00365457">
      <w:pPr>
        <w:pStyle w:val="Listeafsnit"/>
        <w:widowControl w:val="0"/>
        <w:ind w:left="851"/>
        <w:rPr>
          <w:sz w:val="24"/>
          <w:szCs w:val="24"/>
        </w:rPr>
      </w:pPr>
    </w:p>
    <w:p w14:paraId="47EE5948" w14:textId="77777777" w:rsidR="00FE0090" w:rsidRPr="00236893" w:rsidRDefault="00FE0090" w:rsidP="00365457">
      <w:pPr>
        <w:pStyle w:val="Listeafsnit"/>
        <w:widowControl w:val="0"/>
        <w:numPr>
          <w:ilvl w:val="0"/>
          <w:numId w:val="5"/>
        </w:numPr>
        <w:ind w:left="851" w:firstLine="0"/>
        <w:rPr>
          <w:sz w:val="24"/>
          <w:szCs w:val="24"/>
        </w:rPr>
      </w:pPr>
      <w:r w:rsidRPr="00236893">
        <w:rPr>
          <w:sz w:val="24"/>
          <w:szCs w:val="24"/>
        </w:rPr>
        <w:t>30 ml doseringsenhed af polypropylen (PP) med 5 ml-inddelinger</w:t>
      </w:r>
    </w:p>
    <w:p w14:paraId="1DE3F9D2" w14:textId="77777777" w:rsidR="00FE0090" w:rsidRPr="00236893" w:rsidRDefault="00FE0090" w:rsidP="00365457">
      <w:pPr>
        <w:widowControl w:val="0"/>
        <w:ind w:left="851"/>
        <w:rPr>
          <w:sz w:val="24"/>
          <w:szCs w:val="24"/>
          <w:u w:val="single"/>
        </w:rPr>
      </w:pPr>
    </w:p>
    <w:p w14:paraId="4DF3BEE3" w14:textId="77777777" w:rsidR="00FE0090" w:rsidRPr="00236893" w:rsidRDefault="00FE0090" w:rsidP="00365457">
      <w:pPr>
        <w:widowControl w:val="0"/>
        <w:ind w:left="851" w:right="-318"/>
        <w:rPr>
          <w:sz w:val="24"/>
          <w:szCs w:val="24"/>
        </w:rPr>
      </w:pPr>
      <w:r w:rsidRPr="00236893">
        <w:rPr>
          <w:sz w:val="24"/>
          <w:szCs w:val="24"/>
          <w:u w:val="single"/>
        </w:rPr>
        <w:t>Pakningsstørrelser</w:t>
      </w:r>
      <w:r w:rsidRPr="00236893">
        <w:rPr>
          <w:sz w:val="24"/>
          <w:szCs w:val="24"/>
        </w:rPr>
        <w:t>:</w:t>
      </w:r>
    </w:p>
    <w:p w14:paraId="1AEEDCE3" w14:textId="77777777" w:rsidR="00FE0090" w:rsidRPr="00236893" w:rsidRDefault="00FE0090" w:rsidP="00365457">
      <w:pPr>
        <w:widowControl w:val="0"/>
        <w:ind w:left="851" w:right="-318"/>
        <w:rPr>
          <w:sz w:val="24"/>
          <w:szCs w:val="24"/>
        </w:rPr>
      </w:pPr>
      <w:bookmarkStart w:id="14" w:name="_Hlk94088596"/>
      <w:r w:rsidRPr="00236893">
        <w:rPr>
          <w:sz w:val="24"/>
          <w:szCs w:val="24"/>
        </w:rPr>
        <w:t xml:space="preserve">Kartonæske indeholdende 1 plastflaske med 125 ml </w:t>
      </w:r>
    </w:p>
    <w:p w14:paraId="589CC2CF" w14:textId="77777777" w:rsidR="00FE0090" w:rsidRPr="00236893" w:rsidRDefault="00FE0090" w:rsidP="00365457">
      <w:pPr>
        <w:widowControl w:val="0"/>
        <w:ind w:left="851" w:right="-318"/>
        <w:rPr>
          <w:sz w:val="24"/>
          <w:szCs w:val="24"/>
        </w:rPr>
      </w:pPr>
      <w:r w:rsidRPr="00236893">
        <w:rPr>
          <w:sz w:val="24"/>
          <w:szCs w:val="24"/>
        </w:rPr>
        <w:t>Kartonæske indeholdende 1 plastflaske med 250 ml</w:t>
      </w:r>
    </w:p>
    <w:p w14:paraId="10EA70F2" w14:textId="77777777" w:rsidR="00FE0090" w:rsidRPr="00236893" w:rsidRDefault="00FE0090" w:rsidP="00365457">
      <w:pPr>
        <w:widowControl w:val="0"/>
        <w:ind w:left="851" w:right="-318"/>
        <w:rPr>
          <w:sz w:val="24"/>
          <w:szCs w:val="24"/>
        </w:rPr>
      </w:pPr>
      <w:r w:rsidRPr="00236893">
        <w:rPr>
          <w:sz w:val="24"/>
          <w:szCs w:val="24"/>
        </w:rPr>
        <w:t>Kartonæske indeholdende 1 plastflaske med 500 ml</w:t>
      </w:r>
    </w:p>
    <w:p w14:paraId="0CFB9D0E" w14:textId="77777777" w:rsidR="00FE0090" w:rsidRPr="00236893" w:rsidRDefault="00FE0090" w:rsidP="00365457">
      <w:pPr>
        <w:widowControl w:val="0"/>
        <w:ind w:left="851" w:right="-318"/>
        <w:rPr>
          <w:sz w:val="24"/>
          <w:szCs w:val="24"/>
        </w:rPr>
      </w:pPr>
      <w:r w:rsidRPr="00236893">
        <w:rPr>
          <w:sz w:val="24"/>
          <w:szCs w:val="24"/>
        </w:rPr>
        <w:t>Kartonæske indeholdende 1 plastflaske med 1 l</w:t>
      </w:r>
    </w:p>
    <w:p w14:paraId="2BC4CAD9" w14:textId="77777777" w:rsidR="00FE0090" w:rsidRPr="00236893" w:rsidRDefault="00FE0090" w:rsidP="00365457">
      <w:pPr>
        <w:widowControl w:val="0"/>
        <w:ind w:left="851" w:right="-318"/>
        <w:rPr>
          <w:sz w:val="24"/>
          <w:szCs w:val="24"/>
        </w:rPr>
      </w:pPr>
      <w:r w:rsidRPr="00236893">
        <w:rPr>
          <w:sz w:val="24"/>
          <w:szCs w:val="24"/>
        </w:rPr>
        <w:t>Til alle angivne pakningsstørrelser medfølger en 30 ml doseringsenhed.</w:t>
      </w:r>
    </w:p>
    <w:p w14:paraId="37A6B97B" w14:textId="77777777" w:rsidR="00FE0090" w:rsidRPr="00236893" w:rsidRDefault="00FE0090" w:rsidP="00365457">
      <w:pPr>
        <w:widowControl w:val="0"/>
        <w:ind w:left="851" w:right="-318"/>
        <w:rPr>
          <w:sz w:val="24"/>
          <w:szCs w:val="24"/>
        </w:rPr>
      </w:pPr>
    </w:p>
    <w:p w14:paraId="12266493" w14:textId="77777777" w:rsidR="00FE0090" w:rsidRPr="00236893" w:rsidRDefault="00FE0090" w:rsidP="00365457">
      <w:pPr>
        <w:widowControl w:val="0"/>
        <w:ind w:left="851" w:right="-318"/>
        <w:rPr>
          <w:sz w:val="24"/>
          <w:szCs w:val="24"/>
        </w:rPr>
      </w:pPr>
      <w:r w:rsidRPr="00236893">
        <w:rPr>
          <w:sz w:val="24"/>
          <w:szCs w:val="24"/>
        </w:rPr>
        <w:t>Ikke alle pakningsstørrelser er nødvendigvis markedsført.</w:t>
      </w:r>
      <w:bookmarkEnd w:id="14"/>
    </w:p>
    <w:p w14:paraId="1AFE2352" w14:textId="77777777" w:rsidR="00D74392" w:rsidRPr="00236893" w:rsidRDefault="00D74392" w:rsidP="00D74392">
      <w:pPr>
        <w:tabs>
          <w:tab w:val="left" w:pos="851"/>
        </w:tabs>
        <w:ind w:left="851"/>
        <w:rPr>
          <w:sz w:val="24"/>
          <w:szCs w:val="24"/>
        </w:rPr>
      </w:pPr>
    </w:p>
    <w:p w14:paraId="229DB936" w14:textId="77777777" w:rsidR="00D74392" w:rsidRPr="00236893" w:rsidRDefault="00D74392" w:rsidP="00D74392">
      <w:pPr>
        <w:tabs>
          <w:tab w:val="left" w:pos="851"/>
        </w:tabs>
        <w:ind w:left="851" w:hanging="851"/>
        <w:rPr>
          <w:sz w:val="24"/>
          <w:szCs w:val="24"/>
        </w:rPr>
      </w:pPr>
      <w:r w:rsidRPr="00236893">
        <w:rPr>
          <w:b/>
          <w:sz w:val="24"/>
          <w:szCs w:val="24"/>
        </w:rPr>
        <w:t>5.5</w:t>
      </w:r>
      <w:r w:rsidRPr="00236893">
        <w:rPr>
          <w:b/>
          <w:sz w:val="24"/>
          <w:szCs w:val="24"/>
        </w:rPr>
        <w:tab/>
        <w:t>Særlige forholdsregler vedrørende bortskaffelse af ubrugte veterinærlægemidler eller affaldsmaterialer fra brugen heraf</w:t>
      </w:r>
    </w:p>
    <w:p w14:paraId="48CFB1E9" w14:textId="77777777" w:rsidR="00FE0090" w:rsidRPr="00236893" w:rsidRDefault="00FE0090" w:rsidP="00365457">
      <w:pPr>
        <w:ind w:left="851"/>
        <w:rPr>
          <w:sz w:val="24"/>
          <w:szCs w:val="24"/>
        </w:rPr>
      </w:pPr>
      <w:r w:rsidRPr="00236893">
        <w:rPr>
          <w:sz w:val="24"/>
          <w:szCs w:val="24"/>
        </w:rPr>
        <w:t xml:space="preserve">Lægemidler må ikke bortskaffes sammen med spildevand.  </w:t>
      </w:r>
    </w:p>
    <w:p w14:paraId="62E9069E" w14:textId="77777777" w:rsidR="00FE0090" w:rsidRPr="00236893" w:rsidRDefault="00FE0090" w:rsidP="00365457">
      <w:pPr>
        <w:tabs>
          <w:tab w:val="left" w:pos="1304"/>
        </w:tabs>
        <w:ind w:left="851"/>
        <w:rPr>
          <w:sz w:val="24"/>
          <w:szCs w:val="24"/>
        </w:rPr>
      </w:pPr>
      <w:r w:rsidRPr="00236893">
        <w:rPr>
          <w:sz w:val="24"/>
          <w:szCs w:val="24"/>
        </w:rPr>
        <w:t>Ikke anvendte veterinærlægemidler samt affald heraf bør destrueres i henhold til lokale retningslinjer.</w:t>
      </w:r>
    </w:p>
    <w:p w14:paraId="55CF8E4F" w14:textId="77777777" w:rsidR="00D74392" w:rsidRPr="00236893" w:rsidRDefault="00D74392" w:rsidP="00D74392">
      <w:pPr>
        <w:tabs>
          <w:tab w:val="left" w:pos="851"/>
        </w:tabs>
        <w:ind w:left="851"/>
        <w:rPr>
          <w:sz w:val="24"/>
          <w:szCs w:val="24"/>
        </w:rPr>
      </w:pPr>
    </w:p>
    <w:p w14:paraId="16935C92" w14:textId="77777777" w:rsidR="00D74392" w:rsidRPr="00236893" w:rsidRDefault="00D74392" w:rsidP="00D74392">
      <w:pPr>
        <w:tabs>
          <w:tab w:val="left" w:pos="851"/>
        </w:tabs>
        <w:ind w:left="851" w:hanging="851"/>
        <w:rPr>
          <w:b/>
          <w:sz w:val="24"/>
          <w:szCs w:val="24"/>
        </w:rPr>
      </w:pPr>
      <w:r w:rsidRPr="00236893">
        <w:rPr>
          <w:b/>
          <w:sz w:val="24"/>
          <w:szCs w:val="24"/>
        </w:rPr>
        <w:t>6.</w:t>
      </w:r>
      <w:r w:rsidRPr="00236893">
        <w:rPr>
          <w:b/>
          <w:sz w:val="24"/>
          <w:szCs w:val="24"/>
        </w:rPr>
        <w:tab/>
        <w:t>NAVN PÅ INDEHAVEREN AF MARKEDSFØRINGSTILLADELSEN</w:t>
      </w:r>
    </w:p>
    <w:p w14:paraId="248A5D99" w14:textId="77777777" w:rsidR="00FE0090" w:rsidRPr="00236893" w:rsidRDefault="00FE0090" w:rsidP="00365457">
      <w:pPr>
        <w:ind w:left="851"/>
        <w:rPr>
          <w:sz w:val="24"/>
          <w:szCs w:val="24"/>
        </w:rPr>
      </w:pPr>
      <w:proofErr w:type="spellStart"/>
      <w:r w:rsidRPr="00236893">
        <w:rPr>
          <w:sz w:val="24"/>
          <w:szCs w:val="24"/>
        </w:rPr>
        <w:t>Ceva</w:t>
      </w:r>
      <w:proofErr w:type="spellEnd"/>
      <w:r w:rsidRPr="00236893">
        <w:rPr>
          <w:sz w:val="24"/>
          <w:szCs w:val="24"/>
        </w:rPr>
        <w:t xml:space="preserve"> </w:t>
      </w:r>
      <w:proofErr w:type="spellStart"/>
      <w:r w:rsidRPr="00236893">
        <w:rPr>
          <w:sz w:val="24"/>
          <w:szCs w:val="24"/>
        </w:rPr>
        <w:t>Sante</w:t>
      </w:r>
      <w:proofErr w:type="spellEnd"/>
      <w:r w:rsidRPr="00236893">
        <w:rPr>
          <w:sz w:val="24"/>
          <w:szCs w:val="24"/>
        </w:rPr>
        <w:t xml:space="preserve"> </w:t>
      </w:r>
      <w:proofErr w:type="spellStart"/>
      <w:r w:rsidRPr="00236893">
        <w:rPr>
          <w:sz w:val="24"/>
          <w:szCs w:val="24"/>
        </w:rPr>
        <w:t>Animale</w:t>
      </w:r>
      <w:proofErr w:type="spellEnd"/>
    </w:p>
    <w:p w14:paraId="6B3588A0" w14:textId="77777777" w:rsidR="00FE0090" w:rsidRPr="00236893" w:rsidRDefault="00FE0090" w:rsidP="00365457">
      <w:pPr>
        <w:ind w:left="851"/>
        <w:rPr>
          <w:sz w:val="24"/>
          <w:szCs w:val="24"/>
        </w:rPr>
      </w:pPr>
      <w:r w:rsidRPr="00236893">
        <w:rPr>
          <w:sz w:val="24"/>
          <w:szCs w:val="24"/>
        </w:rPr>
        <w:t xml:space="preserve">10, Avenue de La </w:t>
      </w:r>
      <w:proofErr w:type="spellStart"/>
      <w:r w:rsidRPr="00236893">
        <w:rPr>
          <w:sz w:val="24"/>
          <w:szCs w:val="24"/>
        </w:rPr>
        <w:t>Ballastiére</w:t>
      </w:r>
      <w:proofErr w:type="spellEnd"/>
    </w:p>
    <w:p w14:paraId="7FC75E5A" w14:textId="77777777" w:rsidR="00FE0090" w:rsidRPr="00236893" w:rsidRDefault="00FE0090" w:rsidP="00365457">
      <w:pPr>
        <w:ind w:left="851"/>
        <w:rPr>
          <w:sz w:val="24"/>
          <w:szCs w:val="24"/>
        </w:rPr>
      </w:pPr>
      <w:r w:rsidRPr="00236893">
        <w:rPr>
          <w:sz w:val="24"/>
          <w:szCs w:val="24"/>
        </w:rPr>
        <w:t xml:space="preserve">33500 </w:t>
      </w:r>
      <w:proofErr w:type="spellStart"/>
      <w:r w:rsidRPr="00236893">
        <w:rPr>
          <w:sz w:val="24"/>
          <w:szCs w:val="24"/>
        </w:rPr>
        <w:t>Libourne</w:t>
      </w:r>
      <w:proofErr w:type="spellEnd"/>
    </w:p>
    <w:p w14:paraId="1E7BA932" w14:textId="77777777" w:rsidR="00FE0090" w:rsidRPr="00236893" w:rsidRDefault="00FE0090" w:rsidP="00365457">
      <w:pPr>
        <w:ind w:left="851"/>
        <w:rPr>
          <w:sz w:val="24"/>
          <w:szCs w:val="24"/>
        </w:rPr>
      </w:pPr>
      <w:r w:rsidRPr="00236893">
        <w:rPr>
          <w:sz w:val="24"/>
          <w:szCs w:val="24"/>
        </w:rPr>
        <w:t>Frankrig</w:t>
      </w:r>
    </w:p>
    <w:p w14:paraId="09169871" w14:textId="77777777" w:rsidR="00FE0090" w:rsidRPr="00236893" w:rsidRDefault="00FE0090" w:rsidP="00365457">
      <w:pPr>
        <w:ind w:left="851"/>
        <w:rPr>
          <w:sz w:val="24"/>
          <w:szCs w:val="24"/>
        </w:rPr>
      </w:pPr>
    </w:p>
    <w:p w14:paraId="42E2E025" w14:textId="77777777" w:rsidR="00FE0090" w:rsidRPr="00236893" w:rsidRDefault="00FE0090" w:rsidP="00365457">
      <w:pPr>
        <w:ind w:left="851"/>
        <w:rPr>
          <w:b/>
          <w:bCs/>
          <w:sz w:val="24"/>
          <w:szCs w:val="24"/>
        </w:rPr>
      </w:pPr>
      <w:r w:rsidRPr="00236893">
        <w:rPr>
          <w:b/>
          <w:bCs/>
          <w:sz w:val="24"/>
          <w:szCs w:val="24"/>
        </w:rPr>
        <w:t>Repræsentant</w:t>
      </w:r>
    </w:p>
    <w:p w14:paraId="14BDD505" w14:textId="77777777" w:rsidR="00FE0090" w:rsidRPr="00236893" w:rsidRDefault="00FE0090" w:rsidP="00365457">
      <w:pPr>
        <w:ind w:left="851"/>
        <w:rPr>
          <w:sz w:val="24"/>
          <w:szCs w:val="24"/>
          <w:lang w:val="en-US"/>
        </w:rPr>
      </w:pPr>
      <w:proofErr w:type="spellStart"/>
      <w:r w:rsidRPr="00236893">
        <w:rPr>
          <w:sz w:val="24"/>
          <w:szCs w:val="24"/>
          <w:lang w:val="en-US"/>
        </w:rPr>
        <w:t>Ceva</w:t>
      </w:r>
      <w:proofErr w:type="spellEnd"/>
      <w:r w:rsidRPr="00236893">
        <w:rPr>
          <w:sz w:val="24"/>
          <w:szCs w:val="24"/>
          <w:lang w:val="en-US"/>
        </w:rPr>
        <w:t xml:space="preserve"> Animal Health A/S</w:t>
      </w:r>
    </w:p>
    <w:p w14:paraId="59EC9026" w14:textId="77777777" w:rsidR="00855EBE" w:rsidRPr="004B53E6" w:rsidRDefault="00855EBE" w:rsidP="00855EBE">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14:paraId="6362ECCD" w14:textId="77777777" w:rsidR="00855EBE" w:rsidRPr="006B1E8D" w:rsidRDefault="00855EBE" w:rsidP="00855EBE">
      <w:pPr>
        <w:tabs>
          <w:tab w:val="left" w:pos="851"/>
        </w:tabs>
        <w:ind w:left="851"/>
        <w:rPr>
          <w:bCs/>
          <w:sz w:val="24"/>
          <w:szCs w:val="24"/>
        </w:rPr>
      </w:pPr>
      <w:r w:rsidRPr="004B53E6">
        <w:rPr>
          <w:sz w:val="24"/>
          <w:szCs w:val="24"/>
          <w:lang w:val="en-US"/>
        </w:rPr>
        <w:t xml:space="preserve">7100 </w:t>
      </w:r>
      <w:proofErr w:type="spellStart"/>
      <w:r w:rsidRPr="004B53E6">
        <w:rPr>
          <w:sz w:val="24"/>
          <w:szCs w:val="24"/>
          <w:lang w:val="en-US"/>
        </w:rPr>
        <w:t>Vejle</w:t>
      </w:r>
      <w:proofErr w:type="spellEnd"/>
    </w:p>
    <w:p w14:paraId="425E6D15" w14:textId="77777777" w:rsidR="00D74392" w:rsidRPr="00236893" w:rsidRDefault="00D74392" w:rsidP="00D74392">
      <w:pPr>
        <w:tabs>
          <w:tab w:val="left" w:pos="851"/>
        </w:tabs>
        <w:ind w:left="851"/>
        <w:rPr>
          <w:sz w:val="24"/>
          <w:szCs w:val="24"/>
        </w:rPr>
      </w:pPr>
    </w:p>
    <w:p w14:paraId="010BB923" w14:textId="77777777" w:rsidR="00D74392" w:rsidRPr="00236893" w:rsidRDefault="00D74392" w:rsidP="00D74392">
      <w:pPr>
        <w:ind w:left="851" w:hanging="851"/>
        <w:rPr>
          <w:b/>
          <w:sz w:val="24"/>
          <w:szCs w:val="24"/>
        </w:rPr>
      </w:pPr>
      <w:r w:rsidRPr="00236893">
        <w:rPr>
          <w:b/>
          <w:sz w:val="24"/>
          <w:szCs w:val="24"/>
        </w:rPr>
        <w:t>7.</w:t>
      </w:r>
      <w:r w:rsidRPr="00236893">
        <w:rPr>
          <w:b/>
          <w:sz w:val="24"/>
          <w:szCs w:val="24"/>
        </w:rPr>
        <w:tab/>
        <w:t>MARKEDSFØRINGSTILLADELSESNUMMER (-NUMRE)</w:t>
      </w:r>
    </w:p>
    <w:p w14:paraId="39CA241F" w14:textId="3B0822BB" w:rsidR="00D74392" w:rsidRPr="00236893" w:rsidRDefault="00B5443C" w:rsidP="00D74392">
      <w:pPr>
        <w:tabs>
          <w:tab w:val="left" w:pos="851"/>
        </w:tabs>
        <w:ind w:left="851"/>
        <w:rPr>
          <w:sz w:val="24"/>
          <w:szCs w:val="24"/>
        </w:rPr>
      </w:pPr>
      <w:r w:rsidRPr="00236893">
        <w:rPr>
          <w:sz w:val="24"/>
          <w:szCs w:val="24"/>
        </w:rPr>
        <w:t>66304</w:t>
      </w:r>
    </w:p>
    <w:p w14:paraId="1AD879C7" w14:textId="60E11F12" w:rsidR="00FF281C" w:rsidRDefault="00FF281C">
      <w:pPr>
        <w:rPr>
          <w:sz w:val="24"/>
          <w:szCs w:val="24"/>
        </w:rPr>
      </w:pPr>
      <w:r>
        <w:rPr>
          <w:sz w:val="24"/>
          <w:szCs w:val="24"/>
        </w:rPr>
        <w:br w:type="page"/>
      </w:r>
    </w:p>
    <w:p w14:paraId="3771EBDA" w14:textId="77777777" w:rsidR="00D74392" w:rsidRPr="00236893" w:rsidRDefault="00D74392" w:rsidP="00D74392">
      <w:pPr>
        <w:tabs>
          <w:tab w:val="left" w:pos="851"/>
        </w:tabs>
        <w:ind w:left="851"/>
        <w:rPr>
          <w:sz w:val="24"/>
          <w:szCs w:val="24"/>
        </w:rPr>
      </w:pPr>
    </w:p>
    <w:p w14:paraId="7DC4954A" w14:textId="77777777" w:rsidR="00D74392" w:rsidRPr="00236893" w:rsidRDefault="00D74392" w:rsidP="00D74392">
      <w:pPr>
        <w:tabs>
          <w:tab w:val="left" w:pos="851"/>
        </w:tabs>
        <w:ind w:left="851" w:hanging="851"/>
        <w:rPr>
          <w:b/>
          <w:sz w:val="24"/>
          <w:szCs w:val="24"/>
        </w:rPr>
      </w:pPr>
      <w:r w:rsidRPr="00236893">
        <w:rPr>
          <w:b/>
          <w:sz w:val="24"/>
          <w:szCs w:val="24"/>
        </w:rPr>
        <w:t>8.</w:t>
      </w:r>
      <w:r w:rsidRPr="00236893">
        <w:rPr>
          <w:b/>
          <w:sz w:val="24"/>
          <w:szCs w:val="24"/>
        </w:rPr>
        <w:tab/>
        <w:t>DATO FOR FØRSTE TILLADELSE</w:t>
      </w:r>
    </w:p>
    <w:p w14:paraId="79A03B74" w14:textId="6F9323DE" w:rsidR="00D74392" w:rsidRPr="00236893" w:rsidRDefault="00FC28BC" w:rsidP="00D74392">
      <w:pPr>
        <w:tabs>
          <w:tab w:val="left" w:pos="851"/>
        </w:tabs>
        <w:ind w:left="851"/>
        <w:rPr>
          <w:sz w:val="24"/>
          <w:szCs w:val="24"/>
        </w:rPr>
      </w:pPr>
      <w:r>
        <w:rPr>
          <w:sz w:val="24"/>
          <w:szCs w:val="24"/>
        </w:rPr>
        <w:t>5. juli 2022</w:t>
      </w:r>
    </w:p>
    <w:p w14:paraId="1315CFD9" w14:textId="77777777" w:rsidR="00D74392" w:rsidRPr="00236893" w:rsidRDefault="00D74392" w:rsidP="00D74392">
      <w:pPr>
        <w:tabs>
          <w:tab w:val="left" w:pos="851"/>
        </w:tabs>
        <w:ind w:left="851"/>
        <w:rPr>
          <w:sz w:val="24"/>
          <w:szCs w:val="24"/>
        </w:rPr>
      </w:pPr>
    </w:p>
    <w:p w14:paraId="46D3714D" w14:textId="77777777" w:rsidR="00D74392" w:rsidRPr="00236893" w:rsidRDefault="00D74392" w:rsidP="00D74392">
      <w:pPr>
        <w:tabs>
          <w:tab w:val="left" w:pos="851"/>
        </w:tabs>
        <w:ind w:left="851" w:hanging="851"/>
        <w:rPr>
          <w:b/>
          <w:sz w:val="24"/>
          <w:szCs w:val="24"/>
        </w:rPr>
      </w:pPr>
      <w:r w:rsidRPr="00236893">
        <w:rPr>
          <w:b/>
          <w:sz w:val="24"/>
          <w:szCs w:val="24"/>
        </w:rPr>
        <w:t>9.</w:t>
      </w:r>
      <w:r w:rsidRPr="00236893">
        <w:rPr>
          <w:b/>
          <w:sz w:val="24"/>
          <w:szCs w:val="24"/>
        </w:rPr>
        <w:tab/>
        <w:t>DATO FOR SENESTE ÆNDRING AF PRODUKTRESUMÉET</w:t>
      </w:r>
    </w:p>
    <w:p w14:paraId="38AE7D07" w14:textId="656174E4" w:rsidR="00D74392" w:rsidRPr="00236893" w:rsidRDefault="00855EBE" w:rsidP="00D74392">
      <w:pPr>
        <w:tabs>
          <w:tab w:val="left" w:pos="851"/>
        </w:tabs>
        <w:ind w:left="851"/>
        <w:rPr>
          <w:sz w:val="24"/>
          <w:szCs w:val="24"/>
        </w:rPr>
      </w:pPr>
      <w:r>
        <w:rPr>
          <w:sz w:val="24"/>
          <w:szCs w:val="24"/>
        </w:rPr>
        <w:t>22. marts 2023</w:t>
      </w:r>
    </w:p>
    <w:p w14:paraId="18FF3828" w14:textId="77777777" w:rsidR="00D74392" w:rsidRPr="00236893" w:rsidRDefault="00D74392" w:rsidP="00D74392">
      <w:pPr>
        <w:tabs>
          <w:tab w:val="left" w:pos="851"/>
        </w:tabs>
        <w:ind w:left="851"/>
        <w:rPr>
          <w:sz w:val="24"/>
          <w:szCs w:val="24"/>
        </w:rPr>
      </w:pPr>
    </w:p>
    <w:p w14:paraId="121A1C5E" w14:textId="77777777" w:rsidR="00D74392" w:rsidRPr="00236893" w:rsidRDefault="00D74392" w:rsidP="00D74392">
      <w:pPr>
        <w:tabs>
          <w:tab w:val="left" w:pos="851"/>
        </w:tabs>
        <w:ind w:left="851" w:hanging="851"/>
        <w:rPr>
          <w:b/>
          <w:sz w:val="24"/>
          <w:szCs w:val="24"/>
        </w:rPr>
      </w:pPr>
      <w:r w:rsidRPr="00236893">
        <w:rPr>
          <w:b/>
          <w:sz w:val="24"/>
          <w:szCs w:val="24"/>
        </w:rPr>
        <w:t>10.</w:t>
      </w:r>
      <w:r w:rsidRPr="00236893">
        <w:rPr>
          <w:b/>
          <w:sz w:val="24"/>
          <w:szCs w:val="24"/>
        </w:rPr>
        <w:tab/>
        <w:t>KLASSIFICERING AF VETERINÆRLÆGEMIDLER</w:t>
      </w:r>
    </w:p>
    <w:p w14:paraId="312355E6" w14:textId="07CA0E10" w:rsidR="005B0036" w:rsidRPr="00236893" w:rsidRDefault="0015445B" w:rsidP="00903CF5">
      <w:pPr>
        <w:pStyle w:val="Sidehoved"/>
        <w:tabs>
          <w:tab w:val="clear" w:pos="4819"/>
          <w:tab w:val="left" w:pos="851"/>
        </w:tabs>
        <w:ind w:left="851"/>
        <w:rPr>
          <w:szCs w:val="24"/>
        </w:rPr>
      </w:pPr>
      <w:r w:rsidRPr="00236893">
        <w:rPr>
          <w:szCs w:val="24"/>
        </w:rPr>
        <w:t>BP</w:t>
      </w:r>
    </w:p>
    <w:sectPr w:rsidR="005B0036" w:rsidRPr="0023689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4E538" w14:textId="77777777" w:rsidR="00D8266D" w:rsidRDefault="00D8266D">
      <w:r>
        <w:separator/>
      </w:r>
    </w:p>
  </w:endnote>
  <w:endnote w:type="continuationSeparator" w:id="0">
    <w:p w14:paraId="5EB06DEF" w14:textId="77777777" w:rsidR="00D8266D" w:rsidRDefault="00D8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51035" w14:textId="77777777" w:rsidR="004A62CC" w:rsidRDefault="004A62CC">
    <w:pPr>
      <w:pStyle w:val="Sidefod"/>
      <w:pBdr>
        <w:bottom w:val="single" w:sz="6" w:space="1" w:color="auto"/>
      </w:pBdr>
      <w:tabs>
        <w:tab w:val="clear" w:pos="4819"/>
        <w:tab w:val="left" w:pos="8647"/>
      </w:tabs>
      <w:rPr>
        <w:i/>
        <w:snapToGrid w:val="0"/>
        <w:sz w:val="18"/>
      </w:rPr>
    </w:pPr>
  </w:p>
  <w:p w14:paraId="3D2B9600" w14:textId="77777777" w:rsidR="004A62CC" w:rsidRDefault="004A62CC">
    <w:pPr>
      <w:pStyle w:val="Sidefod"/>
      <w:tabs>
        <w:tab w:val="clear" w:pos="4819"/>
        <w:tab w:val="left" w:pos="8647"/>
      </w:tabs>
      <w:rPr>
        <w:i/>
        <w:snapToGrid w:val="0"/>
        <w:sz w:val="18"/>
      </w:rPr>
    </w:pPr>
  </w:p>
  <w:p w14:paraId="4C26422F" w14:textId="25FD2BA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F3847">
      <w:rPr>
        <w:i/>
        <w:noProof/>
        <w:snapToGrid w:val="0"/>
        <w:sz w:val="18"/>
      </w:rPr>
      <w:t>Gabbrovet Multi</w:t>
    </w:r>
    <w:r w:rsidR="00597DFF">
      <w:rPr>
        <w:i/>
        <w:noProof/>
        <w:snapToGrid w:val="0"/>
        <w:sz w:val="18"/>
      </w:rPr>
      <w:t>, opløsning til anvendelse i drikkevand-mælk 140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66496" w14:textId="77777777" w:rsidR="004A62CC" w:rsidRDefault="004A62CC">
    <w:pPr>
      <w:pStyle w:val="Sidefod"/>
      <w:pBdr>
        <w:bottom w:val="single" w:sz="6" w:space="1" w:color="auto"/>
      </w:pBdr>
      <w:tabs>
        <w:tab w:val="clear" w:pos="4819"/>
        <w:tab w:val="left" w:pos="8647"/>
      </w:tabs>
      <w:rPr>
        <w:i/>
        <w:snapToGrid w:val="0"/>
        <w:sz w:val="18"/>
      </w:rPr>
    </w:pPr>
  </w:p>
  <w:p w14:paraId="150DA317" w14:textId="77777777" w:rsidR="004A62CC" w:rsidRDefault="004A62CC">
    <w:pPr>
      <w:pStyle w:val="Sidefod"/>
      <w:tabs>
        <w:tab w:val="clear" w:pos="4819"/>
        <w:tab w:val="left" w:pos="8647"/>
      </w:tabs>
      <w:rPr>
        <w:i/>
        <w:snapToGrid w:val="0"/>
        <w:sz w:val="18"/>
      </w:rPr>
    </w:pPr>
  </w:p>
  <w:p w14:paraId="47365F9A" w14:textId="28FBA64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F3847">
      <w:rPr>
        <w:i/>
        <w:noProof/>
        <w:snapToGrid w:val="0"/>
        <w:sz w:val="18"/>
      </w:rPr>
      <w:t>Gabbrovet Multi</w:t>
    </w:r>
    <w:r w:rsidR="00597DFF">
      <w:rPr>
        <w:i/>
        <w:noProof/>
        <w:snapToGrid w:val="0"/>
        <w:sz w:val="18"/>
      </w:rPr>
      <w:t>, opløsning til anvendelse i drikkevand-mælk 140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02CDB" w14:textId="77777777" w:rsidR="00D8266D" w:rsidRDefault="00D8266D">
      <w:r>
        <w:separator/>
      </w:r>
    </w:p>
  </w:footnote>
  <w:footnote w:type="continuationSeparator" w:id="0">
    <w:p w14:paraId="1C2FB730" w14:textId="77777777" w:rsidR="00D8266D" w:rsidRDefault="00D8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825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4B54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4541B"/>
    <w:multiLevelType w:val="hybridMultilevel"/>
    <w:tmpl w:val="FFFFFFFF"/>
    <w:lvl w:ilvl="0" w:tplc="A0B49306">
      <w:start w:val="1"/>
      <w:numFmt w:val="bullet"/>
      <w:lvlText w:val="-"/>
      <w:lvlJc w:val="left"/>
      <w:pPr>
        <w:ind w:left="720" w:hanging="360"/>
      </w:pPr>
      <w:rPr>
        <w:rFonts w:ascii="Calibri" w:hAnsi="Calibri" w:cs="Times New Roman" w:hint="default"/>
      </w:rPr>
    </w:lvl>
    <w:lvl w:ilvl="1" w:tplc="D8DC140C">
      <w:start w:val="1"/>
      <w:numFmt w:val="bullet"/>
      <w:lvlText w:val="o"/>
      <w:lvlJc w:val="left"/>
      <w:pPr>
        <w:ind w:left="1440" w:hanging="360"/>
      </w:pPr>
      <w:rPr>
        <w:rFonts w:ascii="Courier New" w:hAnsi="Courier New" w:cs="Times New Roman" w:hint="default"/>
      </w:rPr>
    </w:lvl>
    <w:lvl w:ilvl="2" w:tplc="69C29DAE">
      <w:start w:val="1"/>
      <w:numFmt w:val="bullet"/>
      <w:lvlText w:val=""/>
      <w:lvlJc w:val="left"/>
      <w:pPr>
        <w:ind w:left="2160" w:hanging="360"/>
      </w:pPr>
      <w:rPr>
        <w:rFonts w:ascii="Wingdings" w:hAnsi="Wingdings" w:hint="default"/>
      </w:rPr>
    </w:lvl>
    <w:lvl w:ilvl="3" w:tplc="9DCAD7DA">
      <w:start w:val="1"/>
      <w:numFmt w:val="bullet"/>
      <w:lvlText w:val=""/>
      <w:lvlJc w:val="left"/>
      <w:pPr>
        <w:ind w:left="2880" w:hanging="360"/>
      </w:pPr>
      <w:rPr>
        <w:rFonts w:ascii="Symbol" w:hAnsi="Symbol" w:hint="default"/>
      </w:rPr>
    </w:lvl>
    <w:lvl w:ilvl="4" w:tplc="54440A7C">
      <w:start w:val="1"/>
      <w:numFmt w:val="bullet"/>
      <w:lvlText w:val="o"/>
      <w:lvlJc w:val="left"/>
      <w:pPr>
        <w:ind w:left="3600" w:hanging="360"/>
      </w:pPr>
      <w:rPr>
        <w:rFonts w:ascii="Courier New" w:hAnsi="Courier New" w:cs="Times New Roman" w:hint="default"/>
      </w:rPr>
    </w:lvl>
    <w:lvl w:ilvl="5" w:tplc="7BF851D0">
      <w:start w:val="1"/>
      <w:numFmt w:val="bullet"/>
      <w:lvlText w:val=""/>
      <w:lvlJc w:val="left"/>
      <w:pPr>
        <w:ind w:left="4320" w:hanging="360"/>
      </w:pPr>
      <w:rPr>
        <w:rFonts w:ascii="Wingdings" w:hAnsi="Wingdings" w:hint="default"/>
      </w:rPr>
    </w:lvl>
    <w:lvl w:ilvl="6" w:tplc="1D62975A">
      <w:start w:val="1"/>
      <w:numFmt w:val="bullet"/>
      <w:lvlText w:val=""/>
      <w:lvlJc w:val="left"/>
      <w:pPr>
        <w:ind w:left="5040" w:hanging="360"/>
      </w:pPr>
      <w:rPr>
        <w:rFonts w:ascii="Symbol" w:hAnsi="Symbol" w:hint="default"/>
      </w:rPr>
    </w:lvl>
    <w:lvl w:ilvl="7" w:tplc="FC9CAA48">
      <w:start w:val="1"/>
      <w:numFmt w:val="bullet"/>
      <w:lvlText w:val="o"/>
      <w:lvlJc w:val="left"/>
      <w:pPr>
        <w:ind w:left="5760" w:hanging="360"/>
      </w:pPr>
      <w:rPr>
        <w:rFonts w:ascii="Courier New" w:hAnsi="Courier New" w:cs="Times New Roman" w:hint="default"/>
      </w:rPr>
    </w:lvl>
    <w:lvl w:ilvl="8" w:tplc="F5CC5472">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14204FD"/>
    <w:multiLevelType w:val="hybridMultilevel"/>
    <w:tmpl w:val="FFFFFFFF"/>
    <w:lvl w:ilvl="0" w:tplc="31FA91D6">
      <w:start w:val="1"/>
      <w:numFmt w:val="bullet"/>
      <w:lvlText w:val="-"/>
      <w:lvlJc w:val="left"/>
      <w:pPr>
        <w:ind w:left="720" w:hanging="360"/>
      </w:pPr>
      <w:rPr>
        <w:rFonts w:ascii="Calibri" w:hAnsi="Calibri" w:cs="Times New Roman" w:hint="default"/>
      </w:rPr>
    </w:lvl>
    <w:lvl w:ilvl="1" w:tplc="6902DFAC">
      <w:start w:val="1"/>
      <w:numFmt w:val="bullet"/>
      <w:lvlText w:val="o"/>
      <w:lvlJc w:val="left"/>
      <w:pPr>
        <w:ind w:left="1440" w:hanging="360"/>
      </w:pPr>
      <w:rPr>
        <w:rFonts w:ascii="Courier New" w:hAnsi="Courier New" w:cs="Times New Roman" w:hint="default"/>
      </w:rPr>
    </w:lvl>
    <w:lvl w:ilvl="2" w:tplc="585C4080">
      <w:start w:val="1"/>
      <w:numFmt w:val="bullet"/>
      <w:lvlText w:val=""/>
      <w:lvlJc w:val="left"/>
      <w:pPr>
        <w:ind w:left="2160" w:hanging="360"/>
      </w:pPr>
      <w:rPr>
        <w:rFonts w:ascii="Wingdings" w:hAnsi="Wingdings" w:hint="default"/>
      </w:rPr>
    </w:lvl>
    <w:lvl w:ilvl="3" w:tplc="E6AE2C04">
      <w:start w:val="1"/>
      <w:numFmt w:val="bullet"/>
      <w:lvlText w:val=""/>
      <w:lvlJc w:val="left"/>
      <w:pPr>
        <w:ind w:left="2880" w:hanging="360"/>
      </w:pPr>
      <w:rPr>
        <w:rFonts w:ascii="Symbol" w:hAnsi="Symbol" w:hint="default"/>
      </w:rPr>
    </w:lvl>
    <w:lvl w:ilvl="4" w:tplc="E77AB5A8">
      <w:start w:val="1"/>
      <w:numFmt w:val="bullet"/>
      <w:lvlText w:val="o"/>
      <w:lvlJc w:val="left"/>
      <w:pPr>
        <w:ind w:left="3600" w:hanging="360"/>
      </w:pPr>
      <w:rPr>
        <w:rFonts w:ascii="Courier New" w:hAnsi="Courier New" w:cs="Times New Roman" w:hint="default"/>
      </w:rPr>
    </w:lvl>
    <w:lvl w:ilvl="5" w:tplc="6C4ADD8C">
      <w:start w:val="1"/>
      <w:numFmt w:val="bullet"/>
      <w:lvlText w:val=""/>
      <w:lvlJc w:val="left"/>
      <w:pPr>
        <w:ind w:left="4320" w:hanging="360"/>
      </w:pPr>
      <w:rPr>
        <w:rFonts w:ascii="Wingdings" w:hAnsi="Wingdings" w:hint="default"/>
      </w:rPr>
    </w:lvl>
    <w:lvl w:ilvl="6" w:tplc="C05E577C">
      <w:start w:val="1"/>
      <w:numFmt w:val="bullet"/>
      <w:lvlText w:val=""/>
      <w:lvlJc w:val="left"/>
      <w:pPr>
        <w:ind w:left="5040" w:hanging="360"/>
      </w:pPr>
      <w:rPr>
        <w:rFonts w:ascii="Symbol" w:hAnsi="Symbol" w:hint="default"/>
      </w:rPr>
    </w:lvl>
    <w:lvl w:ilvl="7" w:tplc="8C924C68">
      <w:start w:val="1"/>
      <w:numFmt w:val="bullet"/>
      <w:lvlText w:val="o"/>
      <w:lvlJc w:val="left"/>
      <w:pPr>
        <w:ind w:left="5760" w:hanging="360"/>
      </w:pPr>
      <w:rPr>
        <w:rFonts w:ascii="Courier New" w:hAnsi="Courier New" w:cs="Times New Roman" w:hint="default"/>
      </w:rPr>
    </w:lvl>
    <w:lvl w:ilvl="8" w:tplc="90E8949A">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6D"/>
    <w:rsid w:val="0003527F"/>
    <w:rsid w:val="00065C7D"/>
    <w:rsid w:val="000C6CD4"/>
    <w:rsid w:val="0015445B"/>
    <w:rsid w:val="001577E4"/>
    <w:rsid w:val="001858CA"/>
    <w:rsid w:val="001C4AEF"/>
    <w:rsid w:val="001D3CC5"/>
    <w:rsid w:val="00236893"/>
    <w:rsid w:val="002E2471"/>
    <w:rsid w:val="00322BDE"/>
    <w:rsid w:val="00365457"/>
    <w:rsid w:val="003A5521"/>
    <w:rsid w:val="003B5E29"/>
    <w:rsid w:val="00406EE7"/>
    <w:rsid w:val="00407013"/>
    <w:rsid w:val="004A62CC"/>
    <w:rsid w:val="00565A74"/>
    <w:rsid w:val="00597DFF"/>
    <w:rsid w:val="005B0036"/>
    <w:rsid w:val="005B7DD5"/>
    <w:rsid w:val="005F5831"/>
    <w:rsid w:val="00662012"/>
    <w:rsid w:val="00666B01"/>
    <w:rsid w:val="006B1539"/>
    <w:rsid w:val="006E3424"/>
    <w:rsid w:val="006F5621"/>
    <w:rsid w:val="007E17D2"/>
    <w:rsid w:val="007E2A00"/>
    <w:rsid w:val="008010F2"/>
    <w:rsid w:val="00817227"/>
    <w:rsid w:val="00855EBE"/>
    <w:rsid w:val="008E7E1D"/>
    <w:rsid w:val="00903CD6"/>
    <w:rsid w:val="00903CF5"/>
    <w:rsid w:val="009202AE"/>
    <w:rsid w:val="009D66C6"/>
    <w:rsid w:val="009F5E5A"/>
    <w:rsid w:val="00A0141F"/>
    <w:rsid w:val="00A45A47"/>
    <w:rsid w:val="00A65A2C"/>
    <w:rsid w:val="00A96525"/>
    <w:rsid w:val="00AD7CC5"/>
    <w:rsid w:val="00AE29E5"/>
    <w:rsid w:val="00AE5757"/>
    <w:rsid w:val="00B25EB8"/>
    <w:rsid w:val="00B5443C"/>
    <w:rsid w:val="00BB249E"/>
    <w:rsid w:val="00BC634B"/>
    <w:rsid w:val="00BF2AE0"/>
    <w:rsid w:val="00C479BF"/>
    <w:rsid w:val="00CE1470"/>
    <w:rsid w:val="00CE2C08"/>
    <w:rsid w:val="00D74392"/>
    <w:rsid w:val="00D8266D"/>
    <w:rsid w:val="00DD6D71"/>
    <w:rsid w:val="00DF32BE"/>
    <w:rsid w:val="00E14F0A"/>
    <w:rsid w:val="00EB505B"/>
    <w:rsid w:val="00EB5778"/>
    <w:rsid w:val="00EC4B25"/>
    <w:rsid w:val="00EE5253"/>
    <w:rsid w:val="00F52CAB"/>
    <w:rsid w:val="00FA66E4"/>
    <w:rsid w:val="00FB5349"/>
    <w:rsid w:val="00FC28BC"/>
    <w:rsid w:val="00FD6433"/>
    <w:rsid w:val="00FE0090"/>
    <w:rsid w:val="00FF281C"/>
    <w:rsid w:val="00FF38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EEC40"/>
  <w15:chartTrackingRefBased/>
  <w15:docId w15:val="{AA5A4455-1E09-4ACB-8C57-95C8C877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rsid w:val="00AD7CC5"/>
    <w:rPr>
      <w:lang w:eastAsia="ja-JP"/>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eafsnitTegn">
    <w:name w:val="Listeafsnit Tegn"/>
    <w:link w:val="Listeafsnit"/>
    <w:uiPriority w:val="34"/>
    <w:locked/>
    <w:rsid w:val="00FE0090"/>
    <w:rPr>
      <w:sz w:val="22"/>
      <w:szCs w:val="22"/>
      <w:lang w:eastAsia="en-US"/>
    </w:rPr>
  </w:style>
  <w:style w:type="paragraph" w:styleId="Listeafsnit">
    <w:name w:val="List Paragraph"/>
    <w:basedOn w:val="Normal"/>
    <w:link w:val="ListeafsnitTegn"/>
    <w:uiPriority w:val="34"/>
    <w:qFormat/>
    <w:rsid w:val="00FE0090"/>
    <w:pPr>
      <w:tabs>
        <w:tab w:val="left" w:pos="567"/>
      </w:tabs>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41204">
      <w:bodyDiv w:val="1"/>
      <w:marLeft w:val="0"/>
      <w:marRight w:val="0"/>
      <w:marTop w:val="0"/>
      <w:marBottom w:val="0"/>
      <w:divBdr>
        <w:top w:val="none" w:sz="0" w:space="0" w:color="auto"/>
        <w:left w:val="none" w:sz="0" w:space="0" w:color="auto"/>
        <w:bottom w:val="none" w:sz="0" w:space="0" w:color="auto"/>
        <w:right w:val="none" w:sz="0" w:space="0" w:color="auto"/>
      </w:divBdr>
    </w:div>
    <w:div w:id="15919546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3270899">
      <w:bodyDiv w:val="1"/>
      <w:marLeft w:val="0"/>
      <w:marRight w:val="0"/>
      <w:marTop w:val="0"/>
      <w:marBottom w:val="0"/>
      <w:divBdr>
        <w:top w:val="none" w:sz="0" w:space="0" w:color="auto"/>
        <w:left w:val="none" w:sz="0" w:space="0" w:color="auto"/>
        <w:bottom w:val="none" w:sz="0" w:space="0" w:color="auto"/>
        <w:right w:val="none" w:sz="0" w:space="0" w:color="auto"/>
      </w:divBdr>
    </w:div>
    <w:div w:id="215166391">
      <w:bodyDiv w:val="1"/>
      <w:marLeft w:val="0"/>
      <w:marRight w:val="0"/>
      <w:marTop w:val="0"/>
      <w:marBottom w:val="0"/>
      <w:divBdr>
        <w:top w:val="none" w:sz="0" w:space="0" w:color="auto"/>
        <w:left w:val="none" w:sz="0" w:space="0" w:color="auto"/>
        <w:bottom w:val="none" w:sz="0" w:space="0" w:color="auto"/>
        <w:right w:val="none" w:sz="0" w:space="0" w:color="auto"/>
      </w:divBdr>
    </w:div>
    <w:div w:id="248775447">
      <w:bodyDiv w:val="1"/>
      <w:marLeft w:val="0"/>
      <w:marRight w:val="0"/>
      <w:marTop w:val="0"/>
      <w:marBottom w:val="0"/>
      <w:divBdr>
        <w:top w:val="none" w:sz="0" w:space="0" w:color="auto"/>
        <w:left w:val="none" w:sz="0" w:space="0" w:color="auto"/>
        <w:bottom w:val="none" w:sz="0" w:space="0" w:color="auto"/>
        <w:right w:val="none" w:sz="0" w:space="0" w:color="auto"/>
      </w:divBdr>
    </w:div>
    <w:div w:id="303850661">
      <w:bodyDiv w:val="1"/>
      <w:marLeft w:val="0"/>
      <w:marRight w:val="0"/>
      <w:marTop w:val="0"/>
      <w:marBottom w:val="0"/>
      <w:divBdr>
        <w:top w:val="none" w:sz="0" w:space="0" w:color="auto"/>
        <w:left w:val="none" w:sz="0" w:space="0" w:color="auto"/>
        <w:bottom w:val="none" w:sz="0" w:space="0" w:color="auto"/>
        <w:right w:val="none" w:sz="0" w:space="0" w:color="auto"/>
      </w:divBdr>
    </w:div>
    <w:div w:id="338315358">
      <w:bodyDiv w:val="1"/>
      <w:marLeft w:val="0"/>
      <w:marRight w:val="0"/>
      <w:marTop w:val="0"/>
      <w:marBottom w:val="0"/>
      <w:divBdr>
        <w:top w:val="none" w:sz="0" w:space="0" w:color="auto"/>
        <w:left w:val="none" w:sz="0" w:space="0" w:color="auto"/>
        <w:bottom w:val="none" w:sz="0" w:space="0" w:color="auto"/>
        <w:right w:val="none" w:sz="0" w:space="0" w:color="auto"/>
      </w:divBdr>
    </w:div>
    <w:div w:id="504707422">
      <w:bodyDiv w:val="1"/>
      <w:marLeft w:val="0"/>
      <w:marRight w:val="0"/>
      <w:marTop w:val="0"/>
      <w:marBottom w:val="0"/>
      <w:divBdr>
        <w:top w:val="none" w:sz="0" w:space="0" w:color="auto"/>
        <w:left w:val="none" w:sz="0" w:space="0" w:color="auto"/>
        <w:bottom w:val="none" w:sz="0" w:space="0" w:color="auto"/>
        <w:right w:val="none" w:sz="0" w:space="0" w:color="auto"/>
      </w:divBdr>
    </w:div>
    <w:div w:id="504713597">
      <w:bodyDiv w:val="1"/>
      <w:marLeft w:val="0"/>
      <w:marRight w:val="0"/>
      <w:marTop w:val="0"/>
      <w:marBottom w:val="0"/>
      <w:divBdr>
        <w:top w:val="none" w:sz="0" w:space="0" w:color="auto"/>
        <w:left w:val="none" w:sz="0" w:space="0" w:color="auto"/>
        <w:bottom w:val="none" w:sz="0" w:space="0" w:color="auto"/>
        <w:right w:val="none" w:sz="0" w:space="0" w:color="auto"/>
      </w:divBdr>
    </w:div>
    <w:div w:id="620839959">
      <w:bodyDiv w:val="1"/>
      <w:marLeft w:val="0"/>
      <w:marRight w:val="0"/>
      <w:marTop w:val="0"/>
      <w:marBottom w:val="0"/>
      <w:divBdr>
        <w:top w:val="none" w:sz="0" w:space="0" w:color="auto"/>
        <w:left w:val="none" w:sz="0" w:space="0" w:color="auto"/>
        <w:bottom w:val="none" w:sz="0" w:space="0" w:color="auto"/>
        <w:right w:val="none" w:sz="0" w:space="0" w:color="auto"/>
      </w:divBdr>
    </w:div>
    <w:div w:id="633677131">
      <w:bodyDiv w:val="1"/>
      <w:marLeft w:val="0"/>
      <w:marRight w:val="0"/>
      <w:marTop w:val="0"/>
      <w:marBottom w:val="0"/>
      <w:divBdr>
        <w:top w:val="none" w:sz="0" w:space="0" w:color="auto"/>
        <w:left w:val="none" w:sz="0" w:space="0" w:color="auto"/>
        <w:bottom w:val="none" w:sz="0" w:space="0" w:color="auto"/>
        <w:right w:val="none" w:sz="0" w:space="0" w:color="auto"/>
      </w:divBdr>
    </w:div>
    <w:div w:id="676078434">
      <w:bodyDiv w:val="1"/>
      <w:marLeft w:val="0"/>
      <w:marRight w:val="0"/>
      <w:marTop w:val="0"/>
      <w:marBottom w:val="0"/>
      <w:divBdr>
        <w:top w:val="none" w:sz="0" w:space="0" w:color="auto"/>
        <w:left w:val="none" w:sz="0" w:space="0" w:color="auto"/>
        <w:bottom w:val="none" w:sz="0" w:space="0" w:color="auto"/>
        <w:right w:val="none" w:sz="0" w:space="0" w:color="auto"/>
      </w:divBdr>
    </w:div>
    <w:div w:id="688993572">
      <w:bodyDiv w:val="1"/>
      <w:marLeft w:val="0"/>
      <w:marRight w:val="0"/>
      <w:marTop w:val="0"/>
      <w:marBottom w:val="0"/>
      <w:divBdr>
        <w:top w:val="none" w:sz="0" w:space="0" w:color="auto"/>
        <w:left w:val="none" w:sz="0" w:space="0" w:color="auto"/>
        <w:bottom w:val="none" w:sz="0" w:space="0" w:color="auto"/>
        <w:right w:val="none" w:sz="0" w:space="0" w:color="auto"/>
      </w:divBdr>
    </w:div>
    <w:div w:id="724257928">
      <w:bodyDiv w:val="1"/>
      <w:marLeft w:val="0"/>
      <w:marRight w:val="0"/>
      <w:marTop w:val="0"/>
      <w:marBottom w:val="0"/>
      <w:divBdr>
        <w:top w:val="none" w:sz="0" w:space="0" w:color="auto"/>
        <w:left w:val="none" w:sz="0" w:space="0" w:color="auto"/>
        <w:bottom w:val="none" w:sz="0" w:space="0" w:color="auto"/>
        <w:right w:val="none" w:sz="0" w:space="0" w:color="auto"/>
      </w:divBdr>
    </w:div>
    <w:div w:id="847252556">
      <w:bodyDiv w:val="1"/>
      <w:marLeft w:val="0"/>
      <w:marRight w:val="0"/>
      <w:marTop w:val="0"/>
      <w:marBottom w:val="0"/>
      <w:divBdr>
        <w:top w:val="none" w:sz="0" w:space="0" w:color="auto"/>
        <w:left w:val="none" w:sz="0" w:space="0" w:color="auto"/>
        <w:bottom w:val="none" w:sz="0" w:space="0" w:color="auto"/>
        <w:right w:val="none" w:sz="0" w:space="0" w:color="auto"/>
      </w:divBdr>
    </w:div>
    <w:div w:id="921185458">
      <w:bodyDiv w:val="1"/>
      <w:marLeft w:val="0"/>
      <w:marRight w:val="0"/>
      <w:marTop w:val="0"/>
      <w:marBottom w:val="0"/>
      <w:divBdr>
        <w:top w:val="none" w:sz="0" w:space="0" w:color="auto"/>
        <w:left w:val="none" w:sz="0" w:space="0" w:color="auto"/>
        <w:bottom w:val="none" w:sz="0" w:space="0" w:color="auto"/>
        <w:right w:val="none" w:sz="0" w:space="0" w:color="auto"/>
      </w:divBdr>
    </w:div>
    <w:div w:id="955137498">
      <w:bodyDiv w:val="1"/>
      <w:marLeft w:val="0"/>
      <w:marRight w:val="0"/>
      <w:marTop w:val="0"/>
      <w:marBottom w:val="0"/>
      <w:divBdr>
        <w:top w:val="none" w:sz="0" w:space="0" w:color="auto"/>
        <w:left w:val="none" w:sz="0" w:space="0" w:color="auto"/>
        <w:bottom w:val="none" w:sz="0" w:space="0" w:color="auto"/>
        <w:right w:val="none" w:sz="0" w:space="0" w:color="auto"/>
      </w:divBdr>
    </w:div>
    <w:div w:id="1021476115">
      <w:bodyDiv w:val="1"/>
      <w:marLeft w:val="0"/>
      <w:marRight w:val="0"/>
      <w:marTop w:val="0"/>
      <w:marBottom w:val="0"/>
      <w:divBdr>
        <w:top w:val="none" w:sz="0" w:space="0" w:color="auto"/>
        <w:left w:val="none" w:sz="0" w:space="0" w:color="auto"/>
        <w:bottom w:val="none" w:sz="0" w:space="0" w:color="auto"/>
        <w:right w:val="none" w:sz="0" w:space="0" w:color="auto"/>
      </w:divBdr>
    </w:div>
    <w:div w:id="1078671341">
      <w:bodyDiv w:val="1"/>
      <w:marLeft w:val="0"/>
      <w:marRight w:val="0"/>
      <w:marTop w:val="0"/>
      <w:marBottom w:val="0"/>
      <w:divBdr>
        <w:top w:val="none" w:sz="0" w:space="0" w:color="auto"/>
        <w:left w:val="none" w:sz="0" w:space="0" w:color="auto"/>
        <w:bottom w:val="none" w:sz="0" w:space="0" w:color="auto"/>
        <w:right w:val="none" w:sz="0" w:space="0" w:color="auto"/>
      </w:divBdr>
    </w:div>
    <w:div w:id="1183741428">
      <w:bodyDiv w:val="1"/>
      <w:marLeft w:val="0"/>
      <w:marRight w:val="0"/>
      <w:marTop w:val="0"/>
      <w:marBottom w:val="0"/>
      <w:divBdr>
        <w:top w:val="none" w:sz="0" w:space="0" w:color="auto"/>
        <w:left w:val="none" w:sz="0" w:space="0" w:color="auto"/>
        <w:bottom w:val="none" w:sz="0" w:space="0" w:color="auto"/>
        <w:right w:val="none" w:sz="0" w:space="0" w:color="auto"/>
      </w:divBdr>
    </w:div>
    <w:div w:id="1234970369">
      <w:bodyDiv w:val="1"/>
      <w:marLeft w:val="0"/>
      <w:marRight w:val="0"/>
      <w:marTop w:val="0"/>
      <w:marBottom w:val="0"/>
      <w:divBdr>
        <w:top w:val="none" w:sz="0" w:space="0" w:color="auto"/>
        <w:left w:val="none" w:sz="0" w:space="0" w:color="auto"/>
        <w:bottom w:val="none" w:sz="0" w:space="0" w:color="auto"/>
        <w:right w:val="none" w:sz="0" w:space="0" w:color="auto"/>
      </w:divBdr>
    </w:div>
    <w:div w:id="1253316307">
      <w:bodyDiv w:val="1"/>
      <w:marLeft w:val="0"/>
      <w:marRight w:val="0"/>
      <w:marTop w:val="0"/>
      <w:marBottom w:val="0"/>
      <w:divBdr>
        <w:top w:val="none" w:sz="0" w:space="0" w:color="auto"/>
        <w:left w:val="none" w:sz="0" w:space="0" w:color="auto"/>
        <w:bottom w:val="none" w:sz="0" w:space="0" w:color="auto"/>
        <w:right w:val="none" w:sz="0" w:space="0" w:color="auto"/>
      </w:divBdr>
    </w:div>
    <w:div w:id="1298103112">
      <w:bodyDiv w:val="1"/>
      <w:marLeft w:val="0"/>
      <w:marRight w:val="0"/>
      <w:marTop w:val="0"/>
      <w:marBottom w:val="0"/>
      <w:divBdr>
        <w:top w:val="none" w:sz="0" w:space="0" w:color="auto"/>
        <w:left w:val="none" w:sz="0" w:space="0" w:color="auto"/>
        <w:bottom w:val="none" w:sz="0" w:space="0" w:color="auto"/>
        <w:right w:val="none" w:sz="0" w:space="0" w:color="auto"/>
      </w:divBdr>
    </w:div>
    <w:div w:id="1299218151">
      <w:bodyDiv w:val="1"/>
      <w:marLeft w:val="0"/>
      <w:marRight w:val="0"/>
      <w:marTop w:val="0"/>
      <w:marBottom w:val="0"/>
      <w:divBdr>
        <w:top w:val="none" w:sz="0" w:space="0" w:color="auto"/>
        <w:left w:val="none" w:sz="0" w:space="0" w:color="auto"/>
        <w:bottom w:val="none" w:sz="0" w:space="0" w:color="auto"/>
        <w:right w:val="none" w:sz="0" w:space="0" w:color="auto"/>
      </w:divBdr>
    </w:div>
    <w:div w:id="1303119326">
      <w:bodyDiv w:val="1"/>
      <w:marLeft w:val="0"/>
      <w:marRight w:val="0"/>
      <w:marTop w:val="0"/>
      <w:marBottom w:val="0"/>
      <w:divBdr>
        <w:top w:val="none" w:sz="0" w:space="0" w:color="auto"/>
        <w:left w:val="none" w:sz="0" w:space="0" w:color="auto"/>
        <w:bottom w:val="none" w:sz="0" w:space="0" w:color="auto"/>
        <w:right w:val="none" w:sz="0" w:space="0" w:color="auto"/>
      </w:divBdr>
    </w:div>
    <w:div w:id="1314288354">
      <w:bodyDiv w:val="1"/>
      <w:marLeft w:val="0"/>
      <w:marRight w:val="0"/>
      <w:marTop w:val="0"/>
      <w:marBottom w:val="0"/>
      <w:divBdr>
        <w:top w:val="none" w:sz="0" w:space="0" w:color="auto"/>
        <w:left w:val="none" w:sz="0" w:space="0" w:color="auto"/>
        <w:bottom w:val="none" w:sz="0" w:space="0" w:color="auto"/>
        <w:right w:val="none" w:sz="0" w:space="0" w:color="auto"/>
      </w:divBdr>
    </w:div>
    <w:div w:id="1406411793">
      <w:bodyDiv w:val="1"/>
      <w:marLeft w:val="0"/>
      <w:marRight w:val="0"/>
      <w:marTop w:val="0"/>
      <w:marBottom w:val="0"/>
      <w:divBdr>
        <w:top w:val="none" w:sz="0" w:space="0" w:color="auto"/>
        <w:left w:val="none" w:sz="0" w:space="0" w:color="auto"/>
        <w:bottom w:val="none" w:sz="0" w:space="0" w:color="auto"/>
        <w:right w:val="none" w:sz="0" w:space="0" w:color="auto"/>
      </w:divBdr>
    </w:div>
    <w:div w:id="1453670237">
      <w:bodyDiv w:val="1"/>
      <w:marLeft w:val="0"/>
      <w:marRight w:val="0"/>
      <w:marTop w:val="0"/>
      <w:marBottom w:val="0"/>
      <w:divBdr>
        <w:top w:val="none" w:sz="0" w:space="0" w:color="auto"/>
        <w:left w:val="none" w:sz="0" w:space="0" w:color="auto"/>
        <w:bottom w:val="none" w:sz="0" w:space="0" w:color="auto"/>
        <w:right w:val="none" w:sz="0" w:space="0" w:color="auto"/>
      </w:divBdr>
    </w:div>
    <w:div w:id="1525709601">
      <w:bodyDiv w:val="1"/>
      <w:marLeft w:val="0"/>
      <w:marRight w:val="0"/>
      <w:marTop w:val="0"/>
      <w:marBottom w:val="0"/>
      <w:divBdr>
        <w:top w:val="none" w:sz="0" w:space="0" w:color="auto"/>
        <w:left w:val="none" w:sz="0" w:space="0" w:color="auto"/>
        <w:bottom w:val="none" w:sz="0" w:space="0" w:color="auto"/>
        <w:right w:val="none" w:sz="0" w:space="0" w:color="auto"/>
      </w:divBdr>
    </w:div>
    <w:div w:id="1637754292">
      <w:bodyDiv w:val="1"/>
      <w:marLeft w:val="0"/>
      <w:marRight w:val="0"/>
      <w:marTop w:val="0"/>
      <w:marBottom w:val="0"/>
      <w:divBdr>
        <w:top w:val="none" w:sz="0" w:space="0" w:color="auto"/>
        <w:left w:val="none" w:sz="0" w:space="0" w:color="auto"/>
        <w:bottom w:val="none" w:sz="0" w:space="0" w:color="auto"/>
        <w:right w:val="none" w:sz="0" w:space="0" w:color="auto"/>
      </w:divBdr>
    </w:div>
    <w:div w:id="1696541754">
      <w:bodyDiv w:val="1"/>
      <w:marLeft w:val="0"/>
      <w:marRight w:val="0"/>
      <w:marTop w:val="0"/>
      <w:marBottom w:val="0"/>
      <w:divBdr>
        <w:top w:val="none" w:sz="0" w:space="0" w:color="auto"/>
        <w:left w:val="none" w:sz="0" w:space="0" w:color="auto"/>
        <w:bottom w:val="none" w:sz="0" w:space="0" w:color="auto"/>
        <w:right w:val="none" w:sz="0" w:space="0" w:color="auto"/>
      </w:divBdr>
    </w:div>
    <w:div w:id="1714691645">
      <w:bodyDiv w:val="1"/>
      <w:marLeft w:val="0"/>
      <w:marRight w:val="0"/>
      <w:marTop w:val="0"/>
      <w:marBottom w:val="0"/>
      <w:divBdr>
        <w:top w:val="none" w:sz="0" w:space="0" w:color="auto"/>
        <w:left w:val="none" w:sz="0" w:space="0" w:color="auto"/>
        <w:bottom w:val="none" w:sz="0" w:space="0" w:color="auto"/>
        <w:right w:val="none" w:sz="0" w:space="0" w:color="auto"/>
      </w:divBdr>
    </w:div>
    <w:div w:id="1797869601">
      <w:bodyDiv w:val="1"/>
      <w:marLeft w:val="0"/>
      <w:marRight w:val="0"/>
      <w:marTop w:val="0"/>
      <w:marBottom w:val="0"/>
      <w:divBdr>
        <w:top w:val="none" w:sz="0" w:space="0" w:color="auto"/>
        <w:left w:val="none" w:sz="0" w:space="0" w:color="auto"/>
        <w:bottom w:val="none" w:sz="0" w:space="0" w:color="auto"/>
        <w:right w:val="none" w:sz="0" w:space="0" w:color="auto"/>
      </w:divBdr>
    </w:div>
    <w:div w:id="1912305941">
      <w:bodyDiv w:val="1"/>
      <w:marLeft w:val="0"/>
      <w:marRight w:val="0"/>
      <w:marTop w:val="0"/>
      <w:marBottom w:val="0"/>
      <w:divBdr>
        <w:top w:val="none" w:sz="0" w:space="0" w:color="auto"/>
        <w:left w:val="none" w:sz="0" w:space="0" w:color="auto"/>
        <w:bottom w:val="none" w:sz="0" w:space="0" w:color="auto"/>
        <w:right w:val="none" w:sz="0" w:space="0" w:color="auto"/>
      </w:divBdr>
    </w:div>
    <w:div w:id="1929999444">
      <w:bodyDiv w:val="1"/>
      <w:marLeft w:val="0"/>
      <w:marRight w:val="0"/>
      <w:marTop w:val="0"/>
      <w:marBottom w:val="0"/>
      <w:divBdr>
        <w:top w:val="none" w:sz="0" w:space="0" w:color="auto"/>
        <w:left w:val="none" w:sz="0" w:space="0" w:color="auto"/>
        <w:bottom w:val="none" w:sz="0" w:space="0" w:color="auto"/>
        <w:right w:val="none" w:sz="0" w:space="0" w:color="auto"/>
      </w:divBdr>
    </w:div>
    <w:div w:id="1995645393">
      <w:bodyDiv w:val="1"/>
      <w:marLeft w:val="0"/>
      <w:marRight w:val="0"/>
      <w:marTop w:val="0"/>
      <w:marBottom w:val="0"/>
      <w:divBdr>
        <w:top w:val="none" w:sz="0" w:space="0" w:color="auto"/>
        <w:left w:val="none" w:sz="0" w:space="0" w:color="auto"/>
        <w:bottom w:val="none" w:sz="0" w:space="0" w:color="auto"/>
        <w:right w:val="none" w:sz="0" w:space="0" w:color="auto"/>
      </w:divBdr>
    </w:div>
    <w:div w:id="2003964191">
      <w:bodyDiv w:val="1"/>
      <w:marLeft w:val="0"/>
      <w:marRight w:val="0"/>
      <w:marTop w:val="0"/>
      <w:marBottom w:val="0"/>
      <w:divBdr>
        <w:top w:val="none" w:sz="0" w:space="0" w:color="auto"/>
        <w:left w:val="none" w:sz="0" w:space="0" w:color="auto"/>
        <w:bottom w:val="none" w:sz="0" w:space="0" w:color="auto"/>
        <w:right w:val="none" w:sz="0" w:space="0" w:color="auto"/>
      </w:divBdr>
    </w:div>
    <w:div w:id="2009168684">
      <w:bodyDiv w:val="1"/>
      <w:marLeft w:val="0"/>
      <w:marRight w:val="0"/>
      <w:marTop w:val="0"/>
      <w:marBottom w:val="0"/>
      <w:divBdr>
        <w:top w:val="none" w:sz="0" w:space="0" w:color="auto"/>
        <w:left w:val="none" w:sz="0" w:space="0" w:color="auto"/>
        <w:bottom w:val="none" w:sz="0" w:space="0" w:color="auto"/>
        <w:right w:val="none" w:sz="0" w:space="0" w:color="auto"/>
      </w:divBdr>
    </w:div>
    <w:div w:id="2009626105">
      <w:bodyDiv w:val="1"/>
      <w:marLeft w:val="0"/>
      <w:marRight w:val="0"/>
      <w:marTop w:val="0"/>
      <w:marBottom w:val="0"/>
      <w:divBdr>
        <w:top w:val="none" w:sz="0" w:space="0" w:color="auto"/>
        <w:left w:val="none" w:sz="0" w:space="0" w:color="auto"/>
        <w:bottom w:val="none" w:sz="0" w:space="0" w:color="auto"/>
        <w:right w:val="none" w:sz="0" w:space="0" w:color="auto"/>
      </w:divBdr>
    </w:div>
    <w:div w:id="20581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2162</Words>
  <Characters>14616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2022111731_x000d_
Ændring af repræsentant adresse</dc:description>
  <cp:lastModifiedBy>Marianne Ott Jensen</cp:lastModifiedBy>
  <cp:revision>3</cp:revision>
  <dcterms:created xsi:type="dcterms:W3CDTF">2023-03-22T09:52:00Z</dcterms:created>
  <dcterms:modified xsi:type="dcterms:W3CDTF">2023-03-22T09:52:00Z</dcterms:modified>
</cp:coreProperties>
</file>