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036" w:rsidRPr="007C2147" w:rsidRDefault="005B0036" w:rsidP="005B0036">
      <w:pPr>
        <w:rPr>
          <w:sz w:val="24"/>
          <w:szCs w:val="24"/>
        </w:rPr>
      </w:pPr>
      <w:bookmarkStart w:id="0" w:name="_GoBack"/>
      <w:bookmarkEnd w:id="0"/>
      <w:r w:rsidRPr="007C2147">
        <w:rPr>
          <w:noProof/>
          <w:sz w:val="24"/>
          <w:szCs w:val="24"/>
          <w:lang w:eastAsia="da-DK"/>
        </w:rPr>
        <w:drawing>
          <wp:inline distT="0" distB="0" distL="0" distR="0" wp14:anchorId="417F1A69" wp14:editId="578A875D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9BF" w:rsidRPr="007C2147" w:rsidRDefault="00C479BF" w:rsidP="005B0036">
      <w:pPr>
        <w:rPr>
          <w:sz w:val="24"/>
          <w:szCs w:val="24"/>
        </w:rPr>
      </w:pPr>
    </w:p>
    <w:p w:rsidR="005B0036" w:rsidRPr="007C2147" w:rsidRDefault="005B0036" w:rsidP="005B0036">
      <w:pPr>
        <w:tabs>
          <w:tab w:val="right" w:pos="9356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ab/>
      </w:r>
      <w:r w:rsidR="00392242" w:rsidRPr="007C2147">
        <w:rPr>
          <w:b/>
          <w:sz w:val="24"/>
          <w:szCs w:val="24"/>
        </w:rPr>
        <w:t>5. februar 2019</w:t>
      </w:r>
    </w:p>
    <w:p w:rsidR="005B0036" w:rsidRPr="007C2147" w:rsidRDefault="005B0036" w:rsidP="005B0036">
      <w:pPr>
        <w:rPr>
          <w:sz w:val="24"/>
          <w:szCs w:val="24"/>
        </w:rPr>
      </w:pPr>
    </w:p>
    <w:p w:rsidR="00392242" w:rsidRPr="007C2147" w:rsidRDefault="00392242" w:rsidP="005B0036">
      <w:pPr>
        <w:rPr>
          <w:sz w:val="24"/>
          <w:szCs w:val="24"/>
        </w:rPr>
      </w:pPr>
    </w:p>
    <w:p w:rsidR="00392242" w:rsidRPr="007C2147" w:rsidRDefault="00392242" w:rsidP="005B0036">
      <w:pPr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PRODUKTRESUMÉ</w:t>
      </w:r>
    </w:p>
    <w:p w:rsidR="005B0036" w:rsidRPr="007C214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7C2147">
        <w:rPr>
          <w:b/>
          <w:sz w:val="24"/>
          <w:szCs w:val="24"/>
        </w:rPr>
        <w:t>for</w:t>
      </w:r>
      <w:proofErr w:type="gramEnd"/>
    </w:p>
    <w:p w:rsidR="005B0036" w:rsidRPr="007C214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5B0036" w:rsidRPr="007C2147" w:rsidRDefault="00577CAA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7C2147">
        <w:rPr>
          <w:b/>
          <w:sz w:val="24"/>
          <w:szCs w:val="24"/>
        </w:rPr>
        <w:t>Gallifen</w:t>
      </w:r>
      <w:proofErr w:type="spellEnd"/>
      <w:r w:rsidR="00342345" w:rsidRPr="007C2147">
        <w:rPr>
          <w:b/>
          <w:sz w:val="24"/>
          <w:szCs w:val="24"/>
        </w:rPr>
        <w:t>, suspension til anvendelse i drikkevand</w:t>
      </w:r>
    </w:p>
    <w:p w:rsidR="005B0036" w:rsidRPr="007C214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0.</w:t>
      </w:r>
      <w:r w:rsidRPr="007C2147">
        <w:rPr>
          <w:b/>
          <w:sz w:val="24"/>
          <w:szCs w:val="24"/>
        </w:rPr>
        <w:tab/>
        <w:t>D.SP.NR.</w:t>
      </w:r>
    </w:p>
    <w:p w:rsidR="005B0036" w:rsidRPr="007C2147" w:rsidRDefault="00577CAA" w:rsidP="005B0036">
      <w:pPr>
        <w:tabs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30539</w:t>
      </w:r>
    </w:p>
    <w:p w:rsidR="005B0036" w:rsidRPr="007C214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1.</w:t>
      </w:r>
      <w:r w:rsidRPr="007C2147">
        <w:rPr>
          <w:b/>
          <w:sz w:val="24"/>
          <w:szCs w:val="24"/>
        </w:rPr>
        <w:tab/>
        <w:t>VETERINÆRLÆGEMIDLETS NAVN</w:t>
      </w:r>
    </w:p>
    <w:p w:rsidR="005B0036" w:rsidRPr="007C2147" w:rsidRDefault="00577CAA" w:rsidP="005B0036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7C2147">
        <w:rPr>
          <w:sz w:val="24"/>
          <w:szCs w:val="24"/>
        </w:rPr>
        <w:t>Gallifen</w:t>
      </w:r>
      <w:proofErr w:type="spellEnd"/>
    </w:p>
    <w:p w:rsidR="005B0036" w:rsidRPr="007C214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2.</w:t>
      </w:r>
      <w:r w:rsidRPr="007C2147">
        <w:rPr>
          <w:b/>
          <w:sz w:val="24"/>
          <w:szCs w:val="24"/>
        </w:rPr>
        <w:tab/>
        <w:t>KVALITATIV OG KVANTITATIV SAMMENSÆTNING</w:t>
      </w:r>
    </w:p>
    <w:p w:rsidR="005243F4" w:rsidRPr="007C2147" w:rsidRDefault="000D41AC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  <w:r w:rsidRPr="007C2147">
        <w:rPr>
          <w:color w:val="000000"/>
          <w:sz w:val="24"/>
          <w:szCs w:val="24"/>
          <w:lang w:eastAsia="nl-BE"/>
        </w:rPr>
        <w:t>1 ml indeholder</w:t>
      </w:r>
      <w:r w:rsidR="00930E98" w:rsidRPr="007C2147">
        <w:rPr>
          <w:color w:val="000000"/>
          <w:sz w:val="24"/>
          <w:szCs w:val="24"/>
          <w:lang w:eastAsia="nl-BE"/>
        </w:rPr>
        <w:t>:</w:t>
      </w:r>
    </w:p>
    <w:p w:rsidR="005243F4" w:rsidRPr="007C2147" w:rsidRDefault="005243F4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</w:p>
    <w:p w:rsidR="005243F4" w:rsidRPr="007C2147" w:rsidRDefault="000D41AC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  <w:lang w:eastAsia="nl-BE"/>
        </w:rPr>
      </w:pPr>
      <w:r w:rsidRPr="007C2147">
        <w:rPr>
          <w:sz w:val="24"/>
          <w:szCs w:val="24"/>
          <w:u w:val="single"/>
        </w:rPr>
        <w:t>Aktivt stof</w:t>
      </w:r>
    </w:p>
    <w:p w:rsidR="005243F4" w:rsidRPr="007C2147" w:rsidRDefault="005243F4" w:rsidP="000D41AC">
      <w:pPr>
        <w:tabs>
          <w:tab w:val="left" w:pos="3402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="000D41AC" w:rsidRPr="007C2147">
        <w:rPr>
          <w:color w:val="000000"/>
          <w:sz w:val="24"/>
          <w:szCs w:val="24"/>
          <w:lang w:eastAsia="nl-BE"/>
        </w:rPr>
        <w:tab/>
      </w:r>
      <w:r w:rsidRPr="007C2147">
        <w:rPr>
          <w:color w:val="000000"/>
          <w:sz w:val="24"/>
          <w:szCs w:val="24"/>
          <w:lang w:eastAsia="nl-BE"/>
        </w:rPr>
        <w:t xml:space="preserve">200 mg </w:t>
      </w:r>
    </w:p>
    <w:p w:rsidR="005243F4" w:rsidRPr="007C2147" w:rsidRDefault="005243F4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</w:p>
    <w:p w:rsidR="005243F4" w:rsidRPr="007C2147" w:rsidRDefault="005243F4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u w:val="single"/>
          <w:lang w:eastAsia="nl-BE"/>
        </w:rPr>
      </w:pPr>
      <w:r w:rsidRPr="007C2147">
        <w:rPr>
          <w:sz w:val="24"/>
          <w:szCs w:val="24"/>
          <w:u w:val="single"/>
        </w:rPr>
        <w:t>Hjælpestoffer</w:t>
      </w:r>
    </w:p>
    <w:p w:rsidR="005243F4" w:rsidRPr="007C2147" w:rsidRDefault="005243F4" w:rsidP="000D41AC">
      <w:pPr>
        <w:tabs>
          <w:tab w:val="left" w:pos="3402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  <w:r w:rsidRPr="007C2147">
        <w:rPr>
          <w:color w:val="000000"/>
          <w:sz w:val="24"/>
          <w:szCs w:val="24"/>
          <w:lang w:eastAsia="nl-BE"/>
        </w:rPr>
        <w:t>Natriumbenzoat</w:t>
      </w:r>
      <w:r w:rsidR="004B1907" w:rsidRPr="007C2147">
        <w:rPr>
          <w:color w:val="000000"/>
          <w:sz w:val="24"/>
          <w:szCs w:val="24"/>
          <w:lang w:eastAsia="nl-BE"/>
        </w:rPr>
        <w:t xml:space="preserve"> (E</w:t>
      </w:r>
      <w:proofErr w:type="gramStart"/>
      <w:r w:rsidR="004B1907" w:rsidRPr="007C2147">
        <w:rPr>
          <w:color w:val="000000"/>
          <w:sz w:val="24"/>
          <w:szCs w:val="24"/>
          <w:lang w:eastAsia="nl-BE"/>
        </w:rPr>
        <w:t>211)</w:t>
      </w:r>
      <w:r w:rsidR="000D41AC" w:rsidRPr="007C2147">
        <w:rPr>
          <w:b/>
          <w:color w:val="000000"/>
          <w:sz w:val="24"/>
          <w:szCs w:val="24"/>
          <w:lang w:eastAsia="nl-BE"/>
        </w:rPr>
        <w:tab/>
      </w:r>
      <w:proofErr w:type="gramEnd"/>
      <w:r w:rsidRPr="007C2147">
        <w:rPr>
          <w:color w:val="000000"/>
          <w:sz w:val="24"/>
          <w:szCs w:val="24"/>
          <w:lang w:eastAsia="nl-BE"/>
        </w:rPr>
        <w:t>3 mg</w:t>
      </w:r>
    </w:p>
    <w:p w:rsidR="005243F4" w:rsidRPr="007C2147" w:rsidRDefault="005243F4" w:rsidP="005243F4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</w:p>
    <w:p w:rsidR="005B0036" w:rsidRPr="007C2147" w:rsidRDefault="005243F4" w:rsidP="000D41AC">
      <w:pPr>
        <w:ind w:left="851"/>
        <w:rPr>
          <w:bCs/>
          <w:iCs/>
          <w:sz w:val="24"/>
          <w:szCs w:val="24"/>
        </w:rPr>
      </w:pPr>
      <w:r w:rsidRPr="007C2147">
        <w:rPr>
          <w:sz w:val="24"/>
          <w:szCs w:val="24"/>
        </w:rPr>
        <w:t>Alle hjælpestoffer er anført under pkt. 6.1</w:t>
      </w:r>
      <w:r w:rsidR="000D41AC" w:rsidRPr="007C2147">
        <w:rPr>
          <w:bCs/>
          <w:iCs/>
          <w:sz w:val="24"/>
          <w:szCs w:val="24"/>
        </w:rPr>
        <w:t>.</w:t>
      </w:r>
    </w:p>
    <w:p w:rsidR="005B0036" w:rsidRPr="007C214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3.</w:t>
      </w:r>
      <w:r w:rsidRPr="007C2147">
        <w:rPr>
          <w:b/>
          <w:sz w:val="24"/>
          <w:szCs w:val="24"/>
        </w:rPr>
        <w:tab/>
        <w:t>LÆGEMIDDELFORM</w:t>
      </w:r>
    </w:p>
    <w:p w:rsidR="005243F4" w:rsidRPr="007C2147" w:rsidRDefault="000D41AC" w:rsidP="005243F4">
      <w:pPr>
        <w:tabs>
          <w:tab w:val="left" w:pos="-589"/>
          <w:tab w:val="left" w:pos="0"/>
          <w:tab w:val="left" w:pos="709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Suspension</w:t>
      </w:r>
      <w:r w:rsidR="0060527F" w:rsidRPr="007C2147">
        <w:rPr>
          <w:sz w:val="24"/>
          <w:szCs w:val="24"/>
        </w:rPr>
        <w:t xml:space="preserve"> til anvendelse i drikkevand</w:t>
      </w:r>
    </w:p>
    <w:p w:rsidR="0060527F" w:rsidRPr="007C2147" w:rsidRDefault="0060527F" w:rsidP="005243F4">
      <w:pPr>
        <w:tabs>
          <w:tab w:val="left" w:pos="-589"/>
          <w:tab w:val="left" w:pos="0"/>
          <w:tab w:val="left" w:pos="709"/>
          <w:tab w:val="left" w:pos="851"/>
          <w:tab w:val="left" w:pos="1440"/>
        </w:tabs>
        <w:ind w:left="851"/>
        <w:rPr>
          <w:sz w:val="24"/>
          <w:szCs w:val="24"/>
        </w:rPr>
      </w:pPr>
    </w:p>
    <w:p w:rsidR="005B0036" w:rsidRPr="007C2147" w:rsidRDefault="005243F4" w:rsidP="0060527F">
      <w:pPr>
        <w:tabs>
          <w:tab w:val="left" w:pos="-589"/>
          <w:tab w:val="left" w:pos="0"/>
          <w:tab w:val="left" w:pos="709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Hvid til næsten hvid </w:t>
      </w:r>
      <w:r w:rsidR="008F1523" w:rsidRPr="007C2147">
        <w:rPr>
          <w:sz w:val="24"/>
          <w:szCs w:val="24"/>
        </w:rPr>
        <w:t>suspension</w:t>
      </w:r>
      <w:r w:rsidRPr="007C2147">
        <w:rPr>
          <w:sz w:val="24"/>
          <w:szCs w:val="24"/>
        </w:rPr>
        <w:t>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8B5DF7" w:rsidRPr="007C2147" w:rsidRDefault="008B5DF7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</w:t>
      </w:r>
      <w:r w:rsidRPr="007C2147">
        <w:rPr>
          <w:b/>
          <w:sz w:val="24"/>
          <w:szCs w:val="24"/>
        </w:rPr>
        <w:tab/>
        <w:t>KLINISKE OPLYSNINGER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7C2147">
        <w:rPr>
          <w:b/>
          <w:sz w:val="24"/>
          <w:szCs w:val="24"/>
        </w:rPr>
        <w:t>4.1</w:t>
      </w:r>
      <w:r w:rsidRPr="007C2147">
        <w:rPr>
          <w:b/>
          <w:sz w:val="24"/>
          <w:szCs w:val="24"/>
        </w:rPr>
        <w:tab/>
        <w:t>Dyrearter</w:t>
      </w:r>
    </w:p>
    <w:p w:rsidR="005B0036" w:rsidRPr="007C2147" w:rsidRDefault="008B5DF7" w:rsidP="0060527F">
      <w:pPr>
        <w:tabs>
          <w:tab w:val="left" w:pos="-589"/>
          <w:tab w:val="left" w:pos="0"/>
          <w:tab w:val="left" w:pos="567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Høns og hønniker.</w:t>
      </w:r>
    </w:p>
    <w:p w:rsidR="00AE1F7F" w:rsidRPr="007C2147" w:rsidRDefault="00AE1F7F" w:rsidP="00AE1F7F">
      <w:pPr>
        <w:tabs>
          <w:tab w:val="left" w:pos="-589"/>
          <w:tab w:val="left" w:pos="0"/>
          <w:tab w:val="left" w:pos="567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Fasaner.</w:t>
      </w:r>
    </w:p>
    <w:p w:rsidR="0060527F" w:rsidRPr="007C2147" w:rsidRDefault="0060527F" w:rsidP="0060527F">
      <w:pPr>
        <w:tabs>
          <w:tab w:val="left" w:pos="-589"/>
          <w:tab w:val="left" w:pos="0"/>
          <w:tab w:val="left" w:pos="567"/>
          <w:tab w:val="left" w:pos="851"/>
          <w:tab w:val="left" w:pos="1440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7C2147">
        <w:rPr>
          <w:b/>
          <w:szCs w:val="24"/>
        </w:rPr>
        <w:t>4.2</w:t>
      </w:r>
      <w:r w:rsidRPr="007C2147">
        <w:rPr>
          <w:b/>
          <w:szCs w:val="24"/>
        </w:rPr>
        <w:tab/>
        <w:t>Terapeutiske indikationer</w:t>
      </w:r>
    </w:p>
    <w:p w:rsidR="005B0036" w:rsidRPr="007C2147" w:rsidRDefault="005243F4" w:rsidP="0060527F">
      <w:pPr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Behandling af </w:t>
      </w:r>
      <w:r w:rsidR="00EB17AE" w:rsidRPr="007C2147">
        <w:rPr>
          <w:sz w:val="24"/>
          <w:szCs w:val="24"/>
        </w:rPr>
        <w:t>høns og hønniker</w:t>
      </w:r>
      <w:r w:rsidRPr="007C2147">
        <w:rPr>
          <w:sz w:val="24"/>
          <w:szCs w:val="24"/>
        </w:rPr>
        <w:t xml:space="preserve"> inficeret med </w:t>
      </w:r>
      <w:proofErr w:type="spellStart"/>
      <w:r w:rsidR="00F07B51" w:rsidRPr="007C2147">
        <w:rPr>
          <w:i/>
          <w:iCs/>
          <w:sz w:val="24"/>
          <w:szCs w:val="24"/>
        </w:rPr>
        <w:t>Heterakis</w:t>
      </w:r>
      <w:proofErr w:type="spellEnd"/>
      <w:r w:rsidR="00F07B51" w:rsidRPr="007C2147">
        <w:rPr>
          <w:i/>
          <w:iCs/>
          <w:sz w:val="24"/>
          <w:szCs w:val="24"/>
        </w:rPr>
        <w:t xml:space="preserve"> </w:t>
      </w:r>
      <w:proofErr w:type="spellStart"/>
      <w:r w:rsidR="00F07B51" w:rsidRPr="007C2147">
        <w:rPr>
          <w:i/>
          <w:iCs/>
          <w:sz w:val="24"/>
          <w:szCs w:val="24"/>
        </w:rPr>
        <w:t>gallinarum</w:t>
      </w:r>
      <w:proofErr w:type="spellEnd"/>
      <w:r w:rsidRPr="007C2147">
        <w:rPr>
          <w:i/>
          <w:iCs/>
          <w:sz w:val="24"/>
          <w:szCs w:val="24"/>
        </w:rPr>
        <w:t xml:space="preserve"> </w:t>
      </w:r>
      <w:r w:rsidRPr="007C2147">
        <w:rPr>
          <w:sz w:val="24"/>
          <w:szCs w:val="24"/>
        </w:rPr>
        <w:t>(voksne</w:t>
      </w:r>
      <w:r w:rsidR="00F07B51" w:rsidRPr="007C2147">
        <w:rPr>
          <w:sz w:val="24"/>
          <w:szCs w:val="24"/>
        </w:rPr>
        <w:t xml:space="preserve"> stadier) eller </w:t>
      </w:r>
      <w:proofErr w:type="spellStart"/>
      <w:r w:rsidR="00F07B51" w:rsidRPr="007C2147">
        <w:rPr>
          <w:i/>
          <w:sz w:val="24"/>
          <w:szCs w:val="24"/>
        </w:rPr>
        <w:t>Ascaridia</w:t>
      </w:r>
      <w:proofErr w:type="spellEnd"/>
      <w:r w:rsidR="00F07B51" w:rsidRPr="007C2147">
        <w:rPr>
          <w:i/>
          <w:sz w:val="24"/>
          <w:szCs w:val="24"/>
        </w:rPr>
        <w:t xml:space="preserve"> </w:t>
      </w:r>
      <w:proofErr w:type="spellStart"/>
      <w:r w:rsidR="00F07B51" w:rsidRPr="007C2147">
        <w:rPr>
          <w:i/>
          <w:sz w:val="24"/>
          <w:szCs w:val="24"/>
        </w:rPr>
        <w:t>galli</w:t>
      </w:r>
      <w:proofErr w:type="spellEnd"/>
      <w:r w:rsidR="00F07B51" w:rsidRPr="007C2147">
        <w:rPr>
          <w:sz w:val="24"/>
          <w:szCs w:val="24"/>
        </w:rPr>
        <w:t xml:space="preserve"> (voksne stadier).</w:t>
      </w:r>
    </w:p>
    <w:p w:rsidR="00AE1F7F" w:rsidRPr="007C2147" w:rsidRDefault="00AE1F7F" w:rsidP="0060527F">
      <w:pPr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Behandling af fasaner inficeret med </w:t>
      </w:r>
      <w:proofErr w:type="spellStart"/>
      <w:r w:rsidRPr="007C2147">
        <w:rPr>
          <w:i/>
          <w:iCs/>
          <w:sz w:val="24"/>
          <w:szCs w:val="24"/>
        </w:rPr>
        <w:t>Heterakis</w:t>
      </w:r>
      <w:proofErr w:type="spellEnd"/>
      <w:r w:rsidRPr="007C2147">
        <w:rPr>
          <w:i/>
          <w:iCs/>
          <w:sz w:val="24"/>
          <w:szCs w:val="24"/>
        </w:rPr>
        <w:t xml:space="preserve"> </w:t>
      </w:r>
      <w:proofErr w:type="spellStart"/>
      <w:r w:rsidRPr="007C2147">
        <w:rPr>
          <w:i/>
          <w:iCs/>
          <w:sz w:val="24"/>
          <w:szCs w:val="24"/>
        </w:rPr>
        <w:t>gallinarum</w:t>
      </w:r>
      <w:proofErr w:type="spellEnd"/>
      <w:r w:rsidRPr="007C2147">
        <w:rPr>
          <w:i/>
          <w:iCs/>
          <w:sz w:val="24"/>
          <w:szCs w:val="24"/>
        </w:rPr>
        <w:t xml:space="preserve"> </w:t>
      </w:r>
      <w:r w:rsidRPr="007C2147">
        <w:rPr>
          <w:sz w:val="24"/>
          <w:szCs w:val="24"/>
        </w:rPr>
        <w:t>(voksne stadier) (se pkt. 4.7).</w:t>
      </w:r>
    </w:p>
    <w:p w:rsidR="008F1523" w:rsidRPr="007C2147" w:rsidRDefault="008F1523">
      <w:pPr>
        <w:rPr>
          <w:sz w:val="24"/>
          <w:szCs w:val="24"/>
          <w:lang w:eastAsia="da-DK"/>
        </w:rPr>
      </w:pPr>
      <w:r w:rsidRPr="007C2147">
        <w:rPr>
          <w:szCs w:val="24"/>
        </w:rPr>
        <w:br w:type="page"/>
      </w:r>
    </w:p>
    <w:p w:rsidR="005B0036" w:rsidRPr="007C214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7C2147" w:rsidRDefault="005B0036" w:rsidP="005B0036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7C2147">
        <w:rPr>
          <w:b/>
          <w:szCs w:val="24"/>
        </w:rPr>
        <w:t>4.3</w:t>
      </w:r>
      <w:r w:rsidRPr="007C2147">
        <w:rPr>
          <w:b/>
          <w:szCs w:val="24"/>
        </w:rPr>
        <w:tab/>
        <w:t>Kontraindikationer</w:t>
      </w:r>
    </w:p>
    <w:p w:rsidR="005243F4" w:rsidRPr="007C2147" w:rsidRDefault="005243F4" w:rsidP="005243F4">
      <w:pPr>
        <w:tabs>
          <w:tab w:val="left" w:pos="540"/>
        </w:tabs>
        <w:ind w:left="851"/>
        <w:rPr>
          <w:bCs/>
          <w:sz w:val="24"/>
          <w:szCs w:val="24"/>
        </w:rPr>
      </w:pPr>
      <w:r w:rsidRPr="007C2147">
        <w:rPr>
          <w:bCs/>
          <w:sz w:val="24"/>
          <w:szCs w:val="24"/>
        </w:rPr>
        <w:t xml:space="preserve">Bør ikke anvendes i tilfælde af overfølsomhed over for det aktive stof </w:t>
      </w:r>
      <w:r w:rsidR="0060527F" w:rsidRPr="007C2147">
        <w:rPr>
          <w:bCs/>
          <w:sz w:val="24"/>
          <w:szCs w:val="24"/>
        </w:rPr>
        <w:t xml:space="preserve">eller over for et eller </w:t>
      </w:r>
      <w:r w:rsidRPr="007C2147">
        <w:rPr>
          <w:bCs/>
          <w:sz w:val="24"/>
          <w:szCs w:val="24"/>
        </w:rPr>
        <w:t>flere af hjælpestofferne.</w:t>
      </w:r>
      <w:r w:rsidRPr="007C2147" w:rsidDel="00D76425">
        <w:rPr>
          <w:bCs/>
          <w:sz w:val="24"/>
          <w:szCs w:val="24"/>
        </w:rPr>
        <w:t xml:space="preserve"> </w:t>
      </w:r>
    </w:p>
    <w:p w:rsidR="005B0036" w:rsidRPr="007C214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4.4</w:t>
      </w:r>
      <w:r w:rsidRPr="007C2147">
        <w:rPr>
          <w:b/>
          <w:sz w:val="24"/>
          <w:szCs w:val="24"/>
        </w:rPr>
        <w:tab/>
        <w:t>Særlige advarsler</w:t>
      </w:r>
    </w:p>
    <w:p w:rsidR="005243F4" w:rsidRPr="007C2147" w:rsidRDefault="005243F4" w:rsidP="005243F4">
      <w:pPr>
        <w:tabs>
          <w:tab w:val="left" w:pos="567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Der skal udvises omhu for at forhindre følgende praksis, fordi de øger risikoen for udvikling af resistens og i sidste ende kan resultere i ineffektiv behandling:</w:t>
      </w:r>
    </w:p>
    <w:p w:rsidR="005243F4" w:rsidRPr="007C2147" w:rsidRDefault="005243F4" w:rsidP="008F1523">
      <w:pPr>
        <w:numPr>
          <w:ilvl w:val="0"/>
          <w:numId w:val="4"/>
        </w:numPr>
        <w:tabs>
          <w:tab w:val="clear" w:pos="1620"/>
        </w:tabs>
        <w:ind w:left="1134" w:hanging="283"/>
        <w:rPr>
          <w:sz w:val="24"/>
          <w:szCs w:val="24"/>
        </w:rPr>
      </w:pPr>
      <w:r w:rsidRPr="007C2147">
        <w:rPr>
          <w:sz w:val="24"/>
          <w:szCs w:val="24"/>
        </w:rPr>
        <w:t xml:space="preserve">For hyppig og gentagen anvendelse af </w:t>
      </w:r>
      <w:proofErr w:type="spellStart"/>
      <w:r w:rsidRPr="007C2147">
        <w:rPr>
          <w:sz w:val="24"/>
          <w:szCs w:val="24"/>
        </w:rPr>
        <w:t>anthelmintika</w:t>
      </w:r>
      <w:proofErr w:type="spellEnd"/>
      <w:r w:rsidRPr="007C2147">
        <w:rPr>
          <w:sz w:val="24"/>
          <w:szCs w:val="24"/>
        </w:rPr>
        <w:t xml:space="preserve"> fra samme klasse i en længere periode.</w:t>
      </w:r>
    </w:p>
    <w:p w:rsidR="005243F4" w:rsidRPr="007C2147" w:rsidRDefault="005243F4" w:rsidP="008F1523">
      <w:pPr>
        <w:numPr>
          <w:ilvl w:val="0"/>
          <w:numId w:val="4"/>
        </w:numPr>
        <w:tabs>
          <w:tab w:val="clear" w:pos="1620"/>
        </w:tabs>
        <w:ind w:left="1134" w:hanging="283"/>
        <w:rPr>
          <w:sz w:val="24"/>
          <w:szCs w:val="24"/>
        </w:rPr>
      </w:pPr>
      <w:r w:rsidRPr="007C2147">
        <w:rPr>
          <w:sz w:val="24"/>
          <w:szCs w:val="24"/>
        </w:rPr>
        <w:t>Underdosering, der kan skyldes underestimering af legemsvægt, forkert administration af lægemidlet eller manglende kalibrering af doseringsudstyr (hvis relevant).</w:t>
      </w:r>
    </w:p>
    <w:p w:rsidR="005243F4" w:rsidRPr="007C2147" w:rsidRDefault="005243F4" w:rsidP="005243F4">
      <w:pPr>
        <w:tabs>
          <w:tab w:val="left" w:pos="567"/>
        </w:tabs>
        <w:ind w:left="851"/>
        <w:rPr>
          <w:sz w:val="24"/>
          <w:szCs w:val="24"/>
        </w:rPr>
      </w:pPr>
    </w:p>
    <w:p w:rsidR="005243F4" w:rsidRPr="007C2147" w:rsidRDefault="005243F4" w:rsidP="005243F4">
      <w:pPr>
        <w:tabs>
          <w:tab w:val="left" w:pos="567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Formodede kliniske tilfælde af resistens over for </w:t>
      </w:r>
      <w:proofErr w:type="spellStart"/>
      <w:r w:rsidRPr="007C2147">
        <w:rPr>
          <w:sz w:val="24"/>
          <w:szCs w:val="24"/>
        </w:rPr>
        <w:t>anthelmintika</w:t>
      </w:r>
      <w:proofErr w:type="spellEnd"/>
      <w:r w:rsidRPr="007C2147">
        <w:rPr>
          <w:sz w:val="24"/>
          <w:szCs w:val="24"/>
        </w:rPr>
        <w:t xml:space="preserve"> bør undersøges nærmere </w:t>
      </w:r>
      <w:r w:rsidR="00392242" w:rsidRPr="007C2147">
        <w:rPr>
          <w:sz w:val="24"/>
          <w:szCs w:val="24"/>
        </w:rPr>
        <w:t>ved hjælp af relevante tests (f.eks.</w:t>
      </w:r>
      <w:r w:rsidRPr="007C2147">
        <w:rPr>
          <w:sz w:val="24"/>
          <w:szCs w:val="24"/>
        </w:rPr>
        <w:t xml:space="preserve"> </w:t>
      </w:r>
      <w:r w:rsidR="00392242" w:rsidRPr="007C2147">
        <w:rPr>
          <w:sz w:val="24"/>
          <w:szCs w:val="24"/>
        </w:rPr>
        <w:t>"</w:t>
      </w:r>
      <w:proofErr w:type="spellStart"/>
      <w:r w:rsidRPr="007C2147">
        <w:rPr>
          <w:sz w:val="24"/>
          <w:szCs w:val="24"/>
        </w:rPr>
        <w:t>Faecal</w:t>
      </w:r>
      <w:proofErr w:type="spellEnd"/>
      <w:r w:rsidRPr="007C2147">
        <w:rPr>
          <w:sz w:val="24"/>
          <w:szCs w:val="24"/>
        </w:rPr>
        <w:t xml:space="preserve"> </w:t>
      </w:r>
      <w:proofErr w:type="spellStart"/>
      <w:r w:rsidRPr="007C2147">
        <w:rPr>
          <w:sz w:val="24"/>
          <w:szCs w:val="24"/>
        </w:rPr>
        <w:t>Egg</w:t>
      </w:r>
      <w:proofErr w:type="spellEnd"/>
      <w:r w:rsidRPr="007C2147">
        <w:rPr>
          <w:sz w:val="24"/>
          <w:szCs w:val="24"/>
        </w:rPr>
        <w:t xml:space="preserve"> Count </w:t>
      </w:r>
      <w:proofErr w:type="spellStart"/>
      <w:r w:rsidRPr="007C2147">
        <w:rPr>
          <w:sz w:val="24"/>
          <w:szCs w:val="24"/>
        </w:rPr>
        <w:t>Reduction</w:t>
      </w:r>
      <w:proofErr w:type="spellEnd"/>
      <w:r w:rsidRPr="007C2147">
        <w:rPr>
          <w:sz w:val="24"/>
          <w:szCs w:val="24"/>
        </w:rPr>
        <w:t xml:space="preserve"> Test</w:t>
      </w:r>
      <w:r w:rsidR="00392242" w:rsidRPr="007C2147">
        <w:rPr>
          <w:sz w:val="24"/>
          <w:szCs w:val="24"/>
        </w:rPr>
        <w:t>"</w:t>
      </w:r>
      <w:r w:rsidRPr="007C2147">
        <w:rPr>
          <w:sz w:val="24"/>
          <w:szCs w:val="24"/>
        </w:rPr>
        <w:t xml:space="preserve">). Hvis resultatet af testen/testene kraftigt tyder på resistens over for et bestemt </w:t>
      </w:r>
      <w:proofErr w:type="spellStart"/>
      <w:r w:rsidRPr="007C2147">
        <w:rPr>
          <w:sz w:val="24"/>
          <w:szCs w:val="24"/>
        </w:rPr>
        <w:t>anthelmintika</w:t>
      </w:r>
      <w:proofErr w:type="spellEnd"/>
      <w:r w:rsidRPr="007C2147">
        <w:rPr>
          <w:sz w:val="24"/>
          <w:szCs w:val="24"/>
        </w:rPr>
        <w:t xml:space="preserve">, bør der anvendes et </w:t>
      </w:r>
      <w:proofErr w:type="spellStart"/>
      <w:r w:rsidRPr="007C2147">
        <w:rPr>
          <w:sz w:val="24"/>
          <w:szCs w:val="24"/>
        </w:rPr>
        <w:t>anthelmintika</w:t>
      </w:r>
      <w:proofErr w:type="spellEnd"/>
      <w:r w:rsidRPr="007C2147">
        <w:rPr>
          <w:sz w:val="24"/>
          <w:szCs w:val="24"/>
        </w:rPr>
        <w:t xml:space="preserve"> fra en anden farmakologisk klasse og med en anden virkningsmekanisme.</w:t>
      </w:r>
    </w:p>
    <w:p w:rsidR="005243F4" w:rsidRPr="007C2147" w:rsidRDefault="005243F4" w:rsidP="005243F4">
      <w:pPr>
        <w:tabs>
          <w:tab w:val="left" w:pos="567"/>
        </w:tabs>
        <w:ind w:left="851"/>
        <w:rPr>
          <w:bCs/>
          <w:i/>
          <w:iCs/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4.5</w:t>
      </w:r>
      <w:r w:rsidRPr="007C2147">
        <w:rPr>
          <w:b/>
          <w:sz w:val="24"/>
          <w:szCs w:val="24"/>
        </w:rPr>
        <w:tab/>
        <w:t>Særlige forsigtighedsregler vedrørende brugen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Særlige forsigtighedsregler for dyret</w:t>
      </w:r>
    </w:p>
    <w:p w:rsidR="00AE1F7F" w:rsidRPr="007C2147" w:rsidRDefault="00AE1F7F" w:rsidP="00AE1F7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Sikkerheden med henblik på overdosering af dette veterinærlægemiddel er ikke undersøgt i kyllinger, der er under 8 uger gamle, og i fasaner, der er under 3 uger gamle.</w:t>
      </w:r>
    </w:p>
    <w:p w:rsidR="00C11C6E" w:rsidRPr="007C2147" w:rsidRDefault="00C11C6E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C11C6E" w:rsidRPr="007C2147" w:rsidRDefault="0061441C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E</w:t>
      </w:r>
      <w:r w:rsidR="00C11C6E" w:rsidRPr="007C2147">
        <w:rPr>
          <w:sz w:val="24"/>
          <w:szCs w:val="24"/>
        </w:rPr>
        <w:t>ffekten af veterinærlægemidlet ved den anbefalede dosis er ikke tilstræk</w:t>
      </w:r>
      <w:r w:rsidR="00AE1F7F" w:rsidRPr="007C2147">
        <w:rPr>
          <w:sz w:val="24"/>
          <w:szCs w:val="24"/>
        </w:rPr>
        <w:t>k</w:t>
      </w:r>
      <w:r w:rsidR="00C11C6E" w:rsidRPr="007C2147">
        <w:rPr>
          <w:sz w:val="24"/>
          <w:szCs w:val="24"/>
        </w:rPr>
        <w:t>elig til b</w:t>
      </w:r>
      <w:r w:rsidR="00AE1F7F" w:rsidRPr="007C2147">
        <w:rPr>
          <w:sz w:val="24"/>
          <w:szCs w:val="24"/>
        </w:rPr>
        <w:t>e</w:t>
      </w:r>
      <w:r w:rsidR="00C11C6E" w:rsidRPr="007C2147">
        <w:rPr>
          <w:sz w:val="24"/>
          <w:szCs w:val="24"/>
        </w:rPr>
        <w:t>h</w:t>
      </w:r>
      <w:r w:rsidR="00AE1F7F" w:rsidRPr="007C2147">
        <w:rPr>
          <w:sz w:val="24"/>
          <w:szCs w:val="24"/>
        </w:rPr>
        <w:t>a</w:t>
      </w:r>
      <w:r w:rsidR="00C11C6E" w:rsidRPr="007C2147">
        <w:rPr>
          <w:sz w:val="24"/>
          <w:szCs w:val="24"/>
        </w:rPr>
        <w:t xml:space="preserve">ndling af infektioner forårsaget af </w:t>
      </w:r>
      <w:proofErr w:type="spellStart"/>
      <w:r w:rsidR="00C11C6E" w:rsidRPr="007C2147">
        <w:rPr>
          <w:i/>
          <w:sz w:val="24"/>
          <w:szCs w:val="24"/>
        </w:rPr>
        <w:t>Capillaria</w:t>
      </w:r>
      <w:proofErr w:type="spellEnd"/>
      <w:r w:rsidR="00C11C6E" w:rsidRPr="007C2147">
        <w:rPr>
          <w:sz w:val="24"/>
          <w:szCs w:val="24"/>
        </w:rPr>
        <w:t xml:space="preserve"> </w:t>
      </w:r>
      <w:proofErr w:type="spellStart"/>
      <w:r w:rsidR="00C11C6E" w:rsidRPr="007C2147">
        <w:rPr>
          <w:sz w:val="24"/>
          <w:szCs w:val="24"/>
        </w:rPr>
        <w:t>spp</w:t>
      </w:r>
      <w:proofErr w:type="spellEnd"/>
      <w:r w:rsidR="00C11C6E" w:rsidRPr="007C2147">
        <w:rPr>
          <w:sz w:val="24"/>
          <w:szCs w:val="24"/>
        </w:rPr>
        <w:t xml:space="preserve">. </w:t>
      </w:r>
      <w:r w:rsidR="00B1554C" w:rsidRPr="007C2147">
        <w:rPr>
          <w:sz w:val="24"/>
          <w:szCs w:val="24"/>
        </w:rPr>
        <w:t xml:space="preserve">Før anvendelse af produktet bør det konstateres, at der ikke forekommer infektioner forårsaget af </w:t>
      </w:r>
      <w:proofErr w:type="spellStart"/>
      <w:r w:rsidR="00B1554C" w:rsidRPr="007C2147">
        <w:rPr>
          <w:i/>
          <w:sz w:val="24"/>
          <w:szCs w:val="24"/>
        </w:rPr>
        <w:t>Capillaria</w:t>
      </w:r>
      <w:proofErr w:type="spellEnd"/>
      <w:r w:rsidR="00B1554C" w:rsidRPr="007C2147">
        <w:rPr>
          <w:sz w:val="24"/>
          <w:szCs w:val="24"/>
        </w:rPr>
        <w:t xml:space="preserve"> </w:t>
      </w:r>
      <w:proofErr w:type="spellStart"/>
      <w:r w:rsidR="00B1554C" w:rsidRPr="007C2147">
        <w:rPr>
          <w:sz w:val="24"/>
          <w:szCs w:val="24"/>
        </w:rPr>
        <w:t>spp</w:t>
      </w:r>
      <w:proofErr w:type="spellEnd"/>
      <w:r w:rsidR="00B1554C" w:rsidRPr="007C2147">
        <w:rPr>
          <w:sz w:val="24"/>
          <w:szCs w:val="24"/>
        </w:rPr>
        <w:t xml:space="preserve">. I tilfælde af infektioner forårsaget af </w:t>
      </w:r>
      <w:proofErr w:type="spellStart"/>
      <w:r w:rsidR="00B1554C" w:rsidRPr="007C2147">
        <w:rPr>
          <w:i/>
          <w:sz w:val="24"/>
          <w:szCs w:val="24"/>
        </w:rPr>
        <w:t>Capillaria</w:t>
      </w:r>
      <w:proofErr w:type="spellEnd"/>
      <w:r w:rsidR="00B1554C" w:rsidRPr="007C2147">
        <w:rPr>
          <w:sz w:val="24"/>
          <w:szCs w:val="24"/>
        </w:rPr>
        <w:t xml:space="preserve"> </w:t>
      </w:r>
      <w:proofErr w:type="spellStart"/>
      <w:r w:rsidR="00B1554C" w:rsidRPr="007C2147">
        <w:rPr>
          <w:sz w:val="24"/>
          <w:szCs w:val="24"/>
        </w:rPr>
        <w:t>spp</w:t>
      </w:r>
      <w:proofErr w:type="spellEnd"/>
      <w:r w:rsidR="00B1554C" w:rsidRPr="007C2147">
        <w:rPr>
          <w:sz w:val="24"/>
          <w:szCs w:val="24"/>
        </w:rPr>
        <w:t xml:space="preserve">. </w:t>
      </w:r>
      <w:proofErr w:type="gramStart"/>
      <w:r w:rsidR="006030E6" w:rsidRPr="007C2147">
        <w:rPr>
          <w:sz w:val="24"/>
          <w:szCs w:val="24"/>
        </w:rPr>
        <w:t>skal</w:t>
      </w:r>
      <w:proofErr w:type="gramEnd"/>
      <w:r w:rsidR="006030E6" w:rsidRPr="007C2147">
        <w:rPr>
          <w:sz w:val="24"/>
          <w:szCs w:val="24"/>
        </w:rPr>
        <w:t xml:space="preserve"> der anvendes et andet passende </w:t>
      </w:r>
      <w:proofErr w:type="spellStart"/>
      <w:r w:rsidR="006030E6" w:rsidRPr="007C2147">
        <w:rPr>
          <w:sz w:val="24"/>
          <w:szCs w:val="24"/>
        </w:rPr>
        <w:t>anthelmintikum</w:t>
      </w:r>
      <w:proofErr w:type="spellEnd"/>
      <w:r w:rsidR="006030E6" w:rsidRPr="007C2147">
        <w:rPr>
          <w:sz w:val="24"/>
          <w:szCs w:val="24"/>
        </w:rPr>
        <w:t>. Anden anvendelse end den, der er angivet i produktresuméet, kan medføre øget risiko for udvikli</w:t>
      </w:r>
      <w:r w:rsidR="00AB32C8" w:rsidRPr="007C2147">
        <w:rPr>
          <w:sz w:val="24"/>
          <w:szCs w:val="24"/>
        </w:rPr>
        <w:t>n</w:t>
      </w:r>
      <w:r w:rsidR="006030E6" w:rsidRPr="007C2147">
        <w:rPr>
          <w:sz w:val="24"/>
          <w:szCs w:val="24"/>
        </w:rPr>
        <w:t>g af resistens.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Særlige forsigtighedsregler for personer, der administrerer lægemidlet</w:t>
      </w:r>
    </w:p>
    <w:p w:rsidR="00452964" w:rsidRPr="007C2147" w:rsidRDefault="00452964" w:rsidP="00825AE0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bCs/>
          <w:iCs/>
          <w:sz w:val="24"/>
          <w:szCs w:val="24"/>
        </w:rPr>
        <w:t>Embryotoksisk effekt kan ikke udelukkes. Gravide kvinder skal træffe særlige</w:t>
      </w:r>
      <w:r w:rsidR="00392242" w:rsidRPr="007C2147">
        <w:rPr>
          <w:bCs/>
          <w:iCs/>
          <w:sz w:val="24"/>
          <w:szCs w:val="24"/>
        </w:rPr>
        <w:t xml:space="preserve"> </w:t>
      </w:r>
      <w:r w:rsidRPr="007C2147">
        <w:rPr>
          <w:bCs/>
          <w:iCs/>
          <w:sz w:val="24"/>
          <w:szCs w:val="24"/>
        </w:rPr>
        <w:t xml:space="preserve">forholdsregler ved håndtering </w:t>
      </w:r>
      <w:r w:rsidR="00A9394F" w:rsidRPr="007C2147">
        <w:rPr>
          <w:bCs/>
          <w:iCs/>
          <w:sz w:val="24"/>
          <w:szCs w:val="24"/>
        </w:rPr>
        <w:t>af dette veterinærlægemiddel.</w:t>
      </w:r>
    </w:p>
    <w:p w:rsidR="00452964" w:rsidRPr="007C2147" w:rsidRDefault="00452964" w:rsidP="00A9394F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bCs/>
          <w:iCs/>
          <w:sz w:val="24"/>
          <w:szCs w:val="24"/>
        </w:rPr>
        <w:t>Dette veterinærlægemiddel kan være toksisk for mennesker efter indtagelse.</w:t>
      </w:r>
    </w:p>
    <w:p w:rsidR="00452964" w:rsidRPr="007C2147" w:rsidRDefault="00452964" w:rsidP="00A9394F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bCs/>
          <w:iCs/>
          <w:sz w:val="24"/>
          <w:szCs w:val="24"/>
        </w:rPr>
        <w:t>Dette produkt kan forårsage øjenirritation.</w:t>
      </w:r>
    </w:p>
    <w:p w:rsidR="00452964" w:rsidRPr="007C2147" w:rsidRDefault="00452964" w:rsidP="00A9394F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bCs/>
          <w:sz w:val="24"/>
          <w:szCs w:val="24"/>
        </w:rPr>
        <w:t>Undgå kontakt med hud og/eller øjne og utilsigtet indtagelse af produktet</w:t>
      </w:r>
      <w:r w:rsidRPr="007C2147">
        <w:rPr>
          <w:bCs/>
          <w:iCs/>
          <w:sz w:val="24"/>
          <w:szCs w:val="24"/>
        </w:rPr>
        <w:t>.</w:t>
      </w:r>
    </w:p>
    <w:p w:rsidR="00AE1F7F" w:rsidRPr="007C2147" w:rsidRDefault="00AE1F7F" w:rsidP="00AE1F7F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kern w:val="14"/>
          <w:sz w:val="24"/>
          <w:szCs w:val="24"/>
        </w:rPr>
        <w:t>Undgå at spise, drikke eller ryge under håndtering af dette veterinærlægemiddel.</w:t>
      </w:r>
    </w:p>
    <w:p w:rsidR="00AE1F7F" w:rsidRPr="007C2147" w:rsidRDefault="00AE1F7F" w:rsidP="00AE1F7F">
      <w:pPr>
        <w:numPr>
          <w:ilvl w:val="0"/>
          <w:numId w:val="5"/>
        </w:numPr>
        <w:ind w:left="1134" w:hanging="283"/>
        <w:rPr>
          <w:bCs/>
          <w:iCs/>
          <w:sz w:val="24"/>
          <w:szCs w:val="24"/>
        </w:rPr>
      </w:pPr>
      <w:r w:rsidRPr="007C2147">
        <w:rPr>
          <w:bCs/>
          <w:iCs/>
          <w:sz w:val="24"/>
          <w:szCs w:val="24"/>
        </w:rPr>
        <w:t>I tilfælde af utilsigtet indtag skylles munden med rigelige mængder rent vand og søg læge.</w:t>
      </w:r>
    </w:p>
    <w:p w:rsidR="00392242" w:rsidRPr="007C2147" w:rsidRDefault="00452964" w:rsidP="00E05B0D">
      <w:pPr>
        <w:numPr>
          <w:ilvl w:val="0"/>
          <w:numId w:val="5"/>
        </w:numPr>
        <w:ind w:left="1134" w:hanging="283"/>
        <w:rPr>
          <w:bCs/>
          <w:color w:val="000000"/>
          <w:sz w:val="24"/>
          <w:szCs w:val="24"/>
          <w:lang w:eastAsia="de-DE"/>
        </w:rPr>
      </w:pPr>
      <w:r w:rsidRPr="007C2147">
        <w:rPr>
          <w:bCs/>
          <w:iCs/>
          <w:sz w:val="24"/>
          <w:szCs w:val="24"/>
        </w:rPr>
        <w:t>I tilfælde af utilsigtet indtag skylles munden med rigelige mængder rent vand og søges læge.</w:t>
      </w:r>
      <w:r w:rsidR="00A9394F" w:rsidRPr="007C2147">
        <w:rPr>
          <w:bCs/>
          <w:iCs/>
          <w:sz w:val="24"/>
          <w:szCs w:val="24"/>
        </w:rPr>
        <w:br/>
      </w:r>
      <w:r w:rsidRPr="007C2147">
        <w:rPr>
          <w:bCs/>
          <w:iCs/>
          <w:sz w:val="24"/>
          <w:szCs w:val="24"/>
        </w:rPr>
        <w:t xml:space="preserve">I tilfælde af utilsigtet </w:t>
      </w:r>
      <w:r w:rsidRPr="007C2147">
        <w:rPr>
          <w:bCs/>
          <w:sz w:val="24"/>
          <w:szCs w:val="24"/>
        </w:rPr>
        <w:t>kontakt med hud og/eller øjne skylles med rigelige mængder vand og</w:t>
      </w:r>
      <w:r w:rsidR="00A9394F" w:rsidRPr="007C2147">
        <w:rPr>
          <w:bCs/>
          <w:sz w:val="24"/>
          <w:szCs w:val="24"/>
        </w:rPr>
        <w:t xml:space="preserve"> </w:t>
      </w:r>
      <w:r w:rsidRPr="007C2147">
        <w:rPr>
          <w:bCs/>
          <w:sz w:val="24"/>
          <w:szCs w:val="24"/>
        </w:rPr>
        <w:t>søges læge.</w:t>
      </w:r>
    </w:p>
    <w:p w:rsidR="00452964" w:rsidRPr="007C2147" w:rsidRDefault="00452964" w:rsidP="00E05B0D">
      <w:pPr>
        <w:numPr>
          <w:ilvl w:val="0"/>
          <w:numId w:val="5"/>
        </w:numPr>
        <w:ind w:left="1134" w:hanging="283"/>
        <w:rPr>
          <w:bCs/>
          <w:color w:val="000000"/>
          <w:sz w:val="24"/>
          <w:szCs w:val="24"/>
          <w:lang w:eastAsia="de-DE"/>
        </w:rPr>
      </w:pPr>
      <w:r w:rsidRPr="007C2147">
        <w:rPr>
          <w:sz w:val="24"/>
          <w:szCs w:val="24"/>
        </w:rPr>
        <w:t>Vask hænder efter brug.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Andre forsigtighedsregler</w:t>
      </w:r>
    </w:p>
    <w:p w:rsidR="00EC1EBE" w:rsidRPr="007C2147" w:rsidRDefault="00EC1EBE" w:rsidP="00EC1EBE">
      <w:pPr>
        <w:ind w:left="851"/>
        <w:rPr>
          <w:sz w:val="24"/>
          <w:szCs w:val="24"/>
        </w:rPr>
      </w:pPr>
      <w:r w:rsidRPr="007C2147">
        <w:rPr>
          <w:bCs/>
          <w:sz w:val="24"/>
          <w:szCs w:val="24"/>
        </w:rPr>
        <w:t>Dette veterinærlægemiddel må ikke udledes i vandløb, da d</w:t>
      </w:r>
      <w:r w:rsidR="00725ABA" w:rsidRPr="007C2147">
        <w:rPr>
          <w:bCs/>
          <w:sz w:val="24"/>
          <w:szCs w:val="24"/>
        </w:rPr>
        <w:t xml:space="preserve">et kan være farligt for fisk og </w:t>
      </w:r>
      <w:r w:rsidRPr="007C2147">
        <w:rPr>
          <w:bCs/>
          <w:sz w:val="24"/>
          <w:szCs w:val="24"/>
        </w:rPr>
        <w:t xml:space="preserve">andre organismer i vandet. 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lastRenderedPageBreak/>
        <w:t>4.6</w:t>
      </w:r>
      <w:r w:rsidRPr="007C2147">
        <w:rPr>
          <w:b/>
          <w:sz w:val="24"/>
          <w:szCs w:val="24"/>
        </w:rPr>
        <w:tab/>
        <w:t>Bivirkninger</w:t>
      </w:r>
    </w:p>
    <w:p w:rsidR="005B0036" w:rsidRPr="007C2147" w:rsidRDefault="005243F4" w:rsidP="000C70B4">
      <w:pPr>
        <w:tabs>
          <w:tab w:val="left" w:pos="-589"/>
          <w:tab w:val="left" w:pos="0"/>
          <w:tab w:val="left" w:pos="510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Ingen kendte.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4.7</w:t>
      </w:r>
      <w:r w:rsidRPr="007C2147">
        <w:rPr>
          <w:b/>
          <w:sz w:val="24"/>
          <w:szCs w:val="24"/>
        </w:rPr>
        <w:tab/>
        <w:t>Drægtighed, diegivning eller æglægning</w:t>
      </w:r>
    </w:p>
    <w:p w:rsidR="00AE1F7F" w:rsidRPr="007C2147" w:rsidRDefault="00AE1F7F" w:rsidP="00AE1F7F">
      <w:pPr>
        <w:tabs>
          <w:tab w:val="left" w:pos="567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Høns: Kan anvendes under æglægning.</w:t>
      </w:r>
    </w:p>
    <w:p w:rsidR="00AE1F7F" w:rsidRPr="007C2147" w:rsidRDefault="00AE1F7F" w:rsidP="00AE1F7F">
      <w:pPr>
        <w:tabs>
          <w:tab w:val="left" w:pos="567"/>
        </w:tabs>
        <w:ind w:left="851"/>
        <w:rPr>
          <w:iCs/>
          <w:sz w:val="24"/>
          <w:szCs w:val="24"/>
          <w:lang w:eastAsia="en-GB"/>
        </w:rPr>
      </w:pPr>
      <w:r w:rsidRPr="007C2147">
        <w:rPr>
          <w:sz w:val="24"/>
          <w:szCs w:val="24"/>
        </w:rPr>
        <w:t>Fasaner:</w:t>
      </w:r>
      <w:r w:rsidRPr="007C2147">
        <w:rPr>
          <w:iCs/>
          <w:sz w:val="24"/>
          <w:szCs w:val="24"/>
          <w:lang w:eastAsia="en-GB"/>
        </w:rPr>
        <w:t xml:space="preserve"> </w:t>
      </w:r>
      <w:bookmarkStart w:id="1" w:name="_Hlk535853798"/>
      <w:r w:rsidRPr="007C2147">
        <w:rPr>
          <w:iCs/>
          <w:sz w:val="24"/>
          <w:szCs w:val="24"/>
          <w:lang w:eastAsia="en-GB"/>
        </w:rPr>
        <w:t xml:space="preserve">Veterinærlægemidlets sikkerhed </w:t>
      </w:r>
      <w:r w:rsidR="002E1903">
        <w:rPr>
          <w:iCs/>
          <w:sz w:val="24"/>
          <w:szCs w:val="24"/>
          <w:lang w:eastAsia="en-GB"/>
        </w:rPr>
        <w:t>i forbindelse med av</w:t>
      </w:r>
      <w:r w:rsidR="00866D06">
        <w:rPr>
          <w:iCs/>
          <w:sz w:val="24"/>
          <w:szCs w:val="24"/>
          <w:lang w:eastAsia="en-GB"/>
        </w:rPr>
        <w:t>l</w:t>
      </w:r>
      <w:r w:rsidRPr="007C2147">
        <w:rPr>
          <w:iCs/>
          <w:sz w:val="24"/>
          <w:szCs w:val="24"/>
          <w:lang w:eastAsia="en-GB"/>
        </w:rPr>
        <w:t xml:space="preserve"> er ikke fastlagt. Må kun anvendes i overensstemmelse med den ansvarlig dyrlæges vurdering af </w:t>
      </w:r>
      <w:proofErr w:type="spellStart"/>
      <w:r w:rsidRPr="007C2147">
        <w:rPr>
          <w:iCs/>
          <w:sz w:val="24"/>
          <w:szCs w:val="24"/>
          <w:lang w:eastAsia="en-GB"/>
        </w:rPr>
        <w:t>benefit</w:t>
      </w:r>
      <w:proofErr w:type="spellEnd"/>
      <w:r w:rsidRPr="007C2147">
        <w:rPr>
          <w:iCs/>
          <w:sz w:val="24"/>
          <w:szCs w:val="24"/>
          <w:lang w:eastAsia="en-GB"/>
        </w:rPr>
        <w:t>-</w:t>
      </w:r>
      <w:proofErr w:type="spellStart"/>
      <w:r w:rsidRPr="007C2147">
        <w:rPr>
          <w:iCs/>
          <w:sz w:val="24"/>
          <w:szCs w:val="24"/>
          <w:lang w:eastAsia="en-GB"/>
        </w:rPr>
        <w:t>risk</w:t>
      </w:r>
      <w:proofErr w:type="spellEnd"/>
      <w:r w:rsidRPr="007C2147">
        <w:rPr>
          <w:iCs/>
          <w:sz w:val="24"/>
          <w:szCs w:val="24"/>
          <w:lang w:eastAsia="en-GB"/>
        </w:rPr>
        <w:t>-forholdet</w:t>
      </w:r>
      <w:r w:rsidR="002E1903">
        <w:rPr>
          <w:iCs/>
          <w:sz w:val="24"/>
          <w:szCs w:val="24"/>
          <w:lang w:eastAsia="en-GB"/>
        </w:rPr>
        <w:t xml:space="preserve"> hos disse fugle</w:t>
      </w:r>
      <w:r w:rsidRPr="007C2147">
        <w:rPr>
          <w:iCs/>
          <w:sz w:val="24"/>
          <w:szCs w:val="24"/>
          <w:lang w:eastAsia="en-GB"/>
        </w:rPr>
        <w:t xml:space="preserve">. </w:t>
      </w:r>
      <w:bookmarkEnd w:id="1"/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4.8</w:t>
      </w:r>
      <w:r w:rsidRPr="007C2147">
        <w:rPr>
          <w:b/>
          <w:sz w:val="24"/>
          <w:szCs w:val="24"/>
        </w:rPr>
        <w:tab/>
        <w:t>Interaktion med andre lægemidler og andre former for interaktion</w:t>
      </w:r>
    </w:p>
    <w:p w:rsidR="005B0036" w:rsidRPr="007C2147" w:rsidRDefault="00D5234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Ingen kendte.</w:t>
      </w:r>
    </w:p>
    <w:p w:rsidR="00D5234A" w:rsidRPr="007C2147" w:rsidRDefault="00D5234A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4.9</w:t>
      </w:r>
      <w:r w:rsidRPr="007C2147">
        <w:rPr>
          <w:b/>
          <w:sz w:val="24"/>
          <w:szCs w:val="24"/>
        </w:rPr>
        <w:tab/>
        <w:t>Dosering og indgivelsesmåde</w:t>
      </w:r>
    </w:p>
    <w:p w:rsidR="00B54138" w:rsidRPr="007C2147" w:rsidRDefault="00B54138" w:rsidP="009F3057">
      <w:pPr>
        <w:tabs>
          <w:tab w:val="left" w:pos="-589"/>
          <w:tab w:val="left" w:pos="1134"/>
        </w:tabs>
        <w:ind w:left="1134" w:hanging="283"/>
        <w:rPr>
          <w:sz w:val="24"/>
          <w:szCs w:val="24"/>
        </w:rPr>
      </w:pPr>
      <w:r w:rsidRPr="007C2147">
        <w:rPr>
          <w:sz w:val="24"/>
          <w:szCs w:val="24"/>
        </w:rPr>
        <w:t>Til anvendelse i drikkevand.</w:t>
      </w:r>
    </w:p>
    <w:p w:rsidR="006540BE" w:rsidRPr="007C2147" w:rsidRDefault="006540BE" w:rsidP="009F3057">
      <w:pPr>
        <w:tabs>
          <w:tab w:val="left" w:pos="-589"/>
          <w:tab w:val="left" w:pos="1134"/>
        </w:tabs>
        <w:ind w:left="1134" w:hanging="283"/>
        <w:rPr>
          <w:sz w:val="24"/>
          <w:szCs w:val="24"/>
        </w:rPr>
      </w:pPr>
      <w:r w:rsidRPr="007C2147">
        <w:rPr>
          <w:sz w:val="24"/>
          <w:szCs w:val="24"/>
        </w:rPr>
        <w:t>Rystes omhyggeligt før brug.</w:t>
      </w:r>
    </w:p>
    <w:p w:rsidR="00B54138" w:rsidRPr="007C2147" w:rsidRDefault="00B54138" w:rsidP="009F3057">
      <w:pPr>
        <w:tabs>
          <w:tab w:val="left" w:pos="-589"/>
          <w:tab w:val="left" w:pos="1134"/>
        </w:tabs>
        <w:ind w:left="1134" w:hanging="283"/>
        <w:rPr>
          <w:sz w:val="24"/>
          <w:szCs w:val="24"/>
        </w:rPr>
      </w:pPr>
    </w:p>
    <w:p w:rsidR="00B54138" w:rsidRPr="007C2147" w:rsidRDefault="00B54138" w:rsidP="009F3057">
      <w:pPr>
        <w:tabs>
          <w:tab w:val="left" w:pos="-589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For at si</w:t>
      </w:r>
      <w:r w:rsidR="006540BE" w:rsidRPr="007C2147">
        <w:rPr>
          <w:sz w:val="24"/>
          <w:szCs w:val="24"/>
        </w:rPr>
        <w:t>kre indgivelse af korrekt dosis</w:t>
      </w:r>
      <w:r w:rsidRPr="007C2147">
        <w:rPr>
          <w:sz w:val="24"/>
          <w:szCs w:val="24"/>
        </w:rPr>
        <w:t xml:space="preserve"> bør legemsvæ</w:t>
      </w:r>
      <w:r w:rsidR="009F3057" w:rsidRPr="007C2147">
        <w:rPr>
          <w:sz w:val="24"/>
          <w:szCs w:val="24"/>
        </w:rPr>
        <w:t xml:space="preserve">gten bestemmes så nøjagtigt som </w:t>
      </w:r>
      <w:r w:rsidRPr="007C2147">
        <w:rPr>
          <w:sz w:val="24"/>
          <w:szCs w:val="24"/>
        </w:rPr>
        <w:t>muligt.</w:t>
      </w:r>
    </w:p>
    <w:p w:rsidR="00B54138" w:rsidRPr="007C2147" w:rsidRDefault="00B54138" w:rsidP="009F3057">
      <w:pPr>
        <w:tabs>
          <w:tab w:val="left" w:pos="-589"/>
          <w:tab w:val="left" w:pos="1134"/>
        </w:tabs>
        <w:ind w:left="1134" w:hanging="283"/>
        <w:rPr>
          <w:sz w:val="24"/>
          <w:szCs w:val="24"/>
        </w:rPr>
      </w:pPr>
    </w:p>
    <w:p w:rsidR="00B54138" w:rsidRPr="007C2147" w:rsidRDefault="00B54138" w:rsidP="00024282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Før dyrene får adgang til det medicinerede vand, bør drikkevandssystemet, hvis muligt, tømmes og skylles igennem med medicineret vand, </w:t>
      </w:r>
      <w:r w:rsidR="00BF3C69" w:rsidRPr="007C2147">
        <w:rPr>
          <w:sz w:val="24"/>
          <w:szCs w:val="24"/>
          <w:lang w:eastAsia="nl-NL"/>
        </w:rPr>
        <w:t>således</w:t>
      </w:r>
      <w:r w:rsidRPr="007C2147">
        <w:rPr>
          <w:sz w:val="24"/>
          <w:szCs w:val="24"/>
          <w:lang w:eastAsia="nl-NL"/>
        </w:rPr>
        <w:t xml:space="preserve"> at nøjagtig dosering sikres. Det</w:t>
      </w:r>
      <w:r w:rsidR="00BF3C69" w:rsidRPr="007C2147">
        <w:rPr>
          <w:sz w:val="24"/>
          <w:szCs w:val="24"/>
          <w:lang w:eastAsia="nl-NL"/>
        </w:rPr>
        <w:t xml:space="preserve"> </w:t>
      </w:r>
      <w:r w:rsidRPr="007C2147">
        <w:rPr>
          <w:sz w:val="24"/>
          <w:szCs w:val="24"/>
          <w:lang w:eastAsia="nl-NL"/>
        </w:rPr>
        <w:t>kan være nødvendigt at gennemføre denne procedure på alle behandlingsdage.</w:t>
      </w:r>
    </w:p>
    <w:p w:rsidR="00B54138" w:rsidRPr="007C2147" w:rsidRDefault="00B54138" w:rsidP="009F3057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lang w:eastAsia="it-IT"/>
        </w:rPr>
      </w:pPr>
    </w:p>
    <w:p w:rsidR="006540BE" w:rsidRPr="007C2147" w:rsidRDefault="00393BDD" w:rsidP="00282AC2">
      <w:pPr>
        <w:autoSpaceDE w:val="0"/>
        <w:autoSpaceDN w:val="0"/>
        <w:adjustRightInd w:val="0"/>
        <w:ind w:left="851"/>
        <w:rPr>
          <w:rFonts w:eastAsia="EUAlbertina"/>
          <w:color w:val="000000"/>
          <w:sz w:val="24"/>
          <w:szCs w:val="24"/>
          <w:lang w:eastAsia="it-IT"/>
        </w:rPr>
      </w:pPr>
      <w:r w:rsidRPr="007C2147">
        <w:rPr>
          <w:rFonts w:eastAsia="EUAlbertina"/>
          <w:color w:val="000000"/>
          <w:sz w:val="24"/>
          <w:szCs w:val="24"/>
          <w:lang w:eastAsia="it-IT"/>
        </w:rPr>
        <w:t>Indtagelsen af medicineret vand er afhængig af fjerkræets alder og kliniske tilstand, omgivelsestemperaturen og dagslysforholdene. For at opnå korrekt dosis skal koncentrationen af lægemidlet justeres i henhold til dette.</w:t>
      </w:r>
    </w:p>
    <w:p w:rsidR="006540BE" w:rsidRPr="007C2147" w:rsidRDefault="006540BE" w:rsidP="009F3057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lang w:eastAsia="it-IT"/>
        </w:rPr>
      </w:pPr>
    </w:p>
    <w:p w:rsidR="00B54138" w:rsidRPr="007C2147" w:rsidRDefault="00B54138" w:rsidP="00024282">
      <w:pPr>
        <w:autoSpaceDE w:val="0"/>
        <w:autoSpaceDN w:val="0"/>
        <w:adjustRightInd w:val="0"/>
        <w:ind w:left="851"/>
        <w:rPr>
          <w:rFonts w:eastAsia="EUAlbertina"/>
          <w:color w:val="000000"/>
          <w:sz w:val="24"/>
          <w:szCs w:val="24"/>
          <w:lang w:eastAsia="nl-BE"/>
        </w:rPr>
      </w:pPr>
      <w:r w:rsidRPr="007C2147">
        <w:rPr>
          <w:rFonts w:eastAsia="EUAlbertina"/>
          <w:color w:val="000000"/>
          <w:sz w:val="24"/>
          <w:szCs w:val="24"/>
          <w:lang w:eastAsia="it-IT"/>
        </w:rPr>
        <w:t xml:space="preserve">Dosis er </w:t>
      </w:r>
      <w:r w:rsidR="00282AC2" w:rsidRPr="007C2147">
        <w:rPr>
          <w:rFonts w:eastAsia="EUAlbertina"/>
          <w:color w:val="000000"/>
          <w:sz w:val="24"/>
          <w:szCs w:val="24"/>
          <w:lang w:eastAsia="nl-BE"/>
        </w:rPr>
        <w:t>1,0</w:t>
      </w:r>
      <w:r w:rsidRPr="007C2147">
        <w:rPr>
          <w:rFonts w:eastAsia="EUAlbertina"/>
          <w:color w:val="000000"/>
          <w:sz w:val="24"/>
          <w:szCs w:val="24"/>
          <w:lang w:eastAsia="nl-BE"/>
        </w:rPr>
        <w:t xml:space="preserve"> mg </w:t>
      </w:r>
      <w:proofErr w:type="spellStart"/>
      <w:r w:rsidRPr="007C2147">
        <w:rPr>
          <w:rFonts w:eastAsia="EUAlbertina"/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rFonts w:eastAsia="EUAlbertina"/>
          <w:color w:val="000000"/>
          <w:sz w:val="24"/>
          <w:szCs w:val="24"/>
          <w:lang w:eastAsia="nl-BE"/>
        </w:rPr>
        <w:t xml:space="preserve"> pr. kg legemsvægt pr. dag (sv</w:t>
      </w:r>
      <w:r w:rsidR="00024282" w:rsidRPr="007C2147">
        <w:rPr>
          <w:rFonts w:eastAsia="EUAlbertina"/>
          <w:color w:val="000000"/>
          <w:sz w:val="24"/>
          <w:szCs w:val="24"/>
          <w:lang w:eastAsia="nl-BE"/>
        </w:rPr>
        <w:t>arende til 0,0</w:t>
      </w:r>
      <w:r w:rsidR="00282AC2" w:rsidRPr="007C2147">
        <w:rPr>
          <w:rFonts w:eastAsia="EUAlbertina"/>
          <w:color w:val="000000"/>
          <w:sz w:val="24"/>
          <w:szCs w:val="24"/>
          <w:lang w:eastAsia="nl-BE"/>
        </w:rPr>
        <w:t>0</w:t>
      </w:r>
      <w:r w:rsidR="00024282" w:rsidRPr="007C2147">
        <w:rPr>
          <w:rFonts w:eastAsia="EUAlbertina"/>
          <w:color w:val="000000"/>
          <w:sz w:val="24"/>
          <w:szCs w:val="24"/>
          <w:lang w:eastAsia="nl-BE"/>
        </w:rPr>
        <w:t xml:space="preserve">5 ml </w:t>
      </w:r>
      <w:proofErr w:type="spellStart"/>
      <w:r w:rsidR="00577CAA" w:rsidRPr="007C2147">
        <w:rPr>
          <w:rFonts w:eastAsia="EUAlbertina"/>
          <w:color w:val="000000"/>
          <w:sz w:val="24"/>
          <w:szCs w:val="24"/>
          <w:lang w:eastAsia="nl-BE"/>
        </w:rPr>
        <w:t>Gallifen</w:t>
      </w:r>
      <w:proofErr w:type="spellEnd"/>
      <w:r w:rsidR="00024282" w:rsidRPr="007C2147">
        <w:rPr>
          <w:rFonts w:eastAsia="EUAlbertina"/>
          <w:color w:val="000000"/>
          <w:sz w:val="24"/>
          <w:szCs w:val="24"/>
          <w:lang w:eastAsia="nl-BE"/>
        </w:rPr>
        <w:t xml:space="preserve"> </w:t>
      </w:r>
      <w:r w:rsidR="00282AC2" w:rsidRPr="007C2147">
        <w:rPr>
          <w:rFonts w:eastAsia="EUAlbertina"/>
          <w:color w:val="000000"/>
          <w:sz w:val="24"/>
          <w:szCs w:val="24"/>
          <w:lang w:eastAsia="nl-BE"/>
        </w:rPr>
        <w:t>suspension)</w:t>
      </w:r>
      <w:r w:rsidRPr="007C2147">
        <w:rPr>
          <w:rFonts w:eastAsia="EUAlbertina"/>
          <w:color w:val="000000"/>
          <w:sz w:val="24"/>
          <w:szCs w:val="24"/>
          <w:lang w:eastAsia="nl-BE"/>
        </w:rPr>
        <w:t xml:space="preserve">. Denne dosis indgives </w:t>
      </w:r>
      <w:r w:rsidR="00F25F1D" w:rsidRPr="007C2147">
        <w:rPr>
          <w:rFonts w:eastAsia="EUAlbertina"/>
          <w:color w:val="000000"/>
          <w:sz w:val="24"/>
          <w:szCs w:val="24"/>
          <w:lang w:eastAsia="nl-BE"/>
        </w:rPr>
        <w:t>5</w:t>
      </w:r>
      <w:r w:rsidRPr="007C2147">
        <w:rPr>
          <w:rFonts w:eastAsia="EUAlbertina"/>
          <w:color w:val="000000"/>
          <w:sz w:val="24"/>
          <w:szCs w:val="24"/>
          <w:lang w:eastAsia="nl-BE"/>
        </w:rPr>
        <w:t xml:space="preserve"> på hinanden følgende dage.</w:t>
      </w:r>
    </w:p>
    <w:p w:rsidR="00B54138" w:rsidRPr="007C2147" w:rsidRDefault="00B54138" w:rsidP="009F3057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lang w:eastAsia="nl-BE"/>
        </w:rPr>
      </w:pPr>
    </w:p>
    <w:p w:rsidR="00B54138" w:rsidRPr="007C2147" w:rsidRDefault="002A5FBE" w:rsidP="009F3057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u w:val="single"/>
          <w:lang w:eastAsia="nl-BE"/>
        </w:rPr>
      </w:pPr>
      <w:r w:rsidRPr="007C2147">
        <w:rPr>
          <w:rFonts w:eastAsia="EUAlbertina"/>
          <w:color w:val="000000"/>
          <w:sz w:val="24"/>
          <w:szCs w:val="24"/>
          <w:u w:val="single"/>
          <w:lang w:eastAsia="it-IT"/>
        </w:rPr>
        <w:t>Beregning af dosis</w:t>
      </w:r>
    </w:p>
    <w:p w:rsidR="00B54138" w:rsidRPr="007C2147" w:rsidRDefault="00B54138" w:rsidP="002A5FBE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Den nødvendige daglige mængde veterinærlægemiddel </w:t>
      </w:r>
      <w:r w:rsidR="002A5FBE" w:rsidRPr="007C2147">
        <w:rPr>
          <w:sz w:val="24"/>
          <w:szCs w:val="24"/>
          <w:lang w:eastAsia="nl-NL"/>
        </w:rPr>
        <w:t>beregnes ud fra den estimerede</w:t>
      </w:r>
      <w:r w:rsidR="009F3057" w:rsidRPr="007C2147">
        <w:rPr>
          <w:sz w:val="24"/>
          <w:szCs w:val="24"/>
          <w:lang w:eastAsia="nl-NL"/>
        </w:rPr>
        <w:t xml:space="preserve"> </w:t>
      </w:r>
      <w:r w:rsidRPr="007C2147">
        <w:rPr>
          <w:sz w:val="24"/>
          <w:szCs w:val="24"/>
          <w:lang w:eastAsia="nl-NL"/>
        </w:rPr>
        <w:t xml:space="preserve">samlede kropsvægt (kg) af hele gruppen af </w:t>
      </w:r>
      <w:r w:rsidR="00D4613B" w:rsidRPr="007C2147">
        <w:rPr>
          <w:sz w:val="24"/>
          <w:szCs w:val="24"/>
          <w:lang w:eastAsia="nl-NL"/>
        </w:rPr>
        <w:t xml:space="preserve">høns, hønniker eller fasaner, </w:t>
      </w:r>
      <w:r w:rsidRPr="007C2147">
        <w:rPr>
          <w:sz w:val="24"/>
          <w:szCs w:val="24"/>
          <w:lang w:eastAsia="nl-NL"/>
        </w:rPr>
        <w:t>der skal behandles. Brug venligst</w:t>
      </w:r>
      <w:r w:rsidR="009F3057" w:rsidRPr="007C2147">
        <w:rPr>
          <w:sz w:val="24"/>
          <w:szCs w:val="24"/>
          <w:lang w:eastAsia="nl-NL"/>
        </w:rPr>
        <w:t xml:space="preserve"> </w:t>
      </w:r>
      <w:r w:rsidR="00BF3C69" w:rsidRPr="007C2147">
        <w:rPr>
          <w:sz w:val="24"/>
          <w:szCs w:val="24"/>
          <w:lang w:eastAsia="nl-NL"/>
        </w:rPr>
        <w:t>nedenstående</w:t>
      </w:r>
      <w:r w:rsidRPr="007C2147">
        <w:rPr>
          <w:sz w:val="24"/>
          <w:szCs w:val="24"/>
          <w:lang w:eastAsia="nl-NL"/>
        </w:rPr>
        <w:t xml:space="preserve"> formel:</w:t>
      </w:r>
    </w:p>
    <w:p w:rsidR="00B54138" w:rsidRPr="007C2147" w:rsidRDefault="00B54138" w:rsidP="009F3057">
      <w:pPr>
        <w:tabs>
          <w:tab w:val="left" w:pos="1134"/>
        </w:tabs>
        <w:ind w:left="1134" w:hanging="283"/>
        <w:rPr>
          <w:sz w:val="24"/>
          <w:szCs w:val="24"/>
          <w:lang w:eastAsia="nl-NL"/>
        </w:rPr>
      </w:pPr>
    </w:p>
    <w:p w:rsidR="00B54138" w:rsidRPr="007C2147" w:rsidRDefault="00B54138" w:rsidP="00141AC7">
      <w:pPr>
        <w:ind w:left="851"/>
        <w:rPr>
          <w:sz w:val="22"/>
          <w:szCs w:val="22"/>
          <w:lang w:eastAsia="nl-NL"/>
        </w:rPr>
      </w:pPr>
      <w:proofErr w:type="gramStart"/>
      <w:r w:rsidRPr="007C2147">
        <w:rPr>
          <w:sz w:val="22"/>
          <w:szCs w:val="22"/>
          <w:lang w:eastAsia="nl-NL"/>
        </w:rPr>
        <w:t>ml</w:t>
      </w:r>
      <w:proofErr w:type="gramEnd"/>
      <w:r w:rsidRPr="007C2147">
        <w:rPr>
          <w:sz w:val="22"/>
          <w:szCs w:val="22"/>
          <w:lang w:eastAsia="nl-NL"/>
        </w:rPr>
        <w:t xml:space="preserve"> lægemiddel/dag = estimeret samlet kropsvægt (kg) af </w:t>
      </w:r>
      <w:r w:rsidR="00F25F1D" w:rsidRPr="007C2147">
        <w:rPr>
          <w:sz w:val="22"/>
          <w:szCs w:val="22"/>
          <w:lang w:eastAsia="nl-NL"/>
        </w:rPr>
        <w:t>høns</w:t>
      </w:r>
      <w:r w:rsidRPr="007C2147">
        <w:rPr>
          <w:sz w:val="22"/>
          <w:szCs w:val="22"/>
          <w:lang w:eastAsia="nl-NL"/>
        </w:rPr>
        <w:t>, der skal behandles</w:t>
      </w:r>
      <w:r w:rsidR="00141AC7" w:rsidRPr="007C2147">
        <w:rPr>
          <w:sz w:val="22"/>
          <w:szCs w:val="22"/>
          <w:lang w:eastAsia="nl-NL"/>
        </w:rPr>
        <w:t>×</w:t>
      </w:r>
      <w:r w:rsidR="00B77D52" w:rsidRPr="007C2147">
        <w:rPr>
          <w:sz w:val="22"/>
          <w:szCs w:val="22"/>
          <w:lang w:eastAsia="nl-NL"/>
        </w:rPr>
        <w:t>0,0</w:t>
      </w:r>
      <w:r w:rsidR="00F25F1D" w:rsidRPr="007C2147">
        <w:rPr>
          <w:sz w:val="22"/>
          <w:szCs w:val="22"/>
          <w:lang w:eastAsia="nl-NL"/>
        </w:rPr>
        <w:t>05</w:t>
      </w:r>
      <w:r w:rsidR="00B77D52" w:rsidRPr="007C2147">
        <w:rPr>
          <w:sz w:val="22"/>
          <w:szCs w:val="22"/>
          <w:lang w:eastAsia="nl-NL"/>
        </w:rPr>
        <w:t xml:space="preserve"> ml</w:t>
      </w:r>
    </w:p>
    <w:p w:rsidR="00D2726C" w:rsidRPr="007C2147" w:rsidRDefault="00D2726C" w:rsidP="00D2726C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</w:p>
    <w:p w:rsidR="00D2726C" w:rsidRPr="007C2147" w:rsidRDefault="00D2726C" w:rsidP="00D2726C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nl-BE"/>
        </w:rPr>
      </w:pPr>
      <w:r w:rsidRPr="007C2147">
        <w:rPr>
          <w:color w:val="000000"/>
          <w:sz w:val="24"/>
          <w:szCs w:val="24"/>
          <w:lang w:eastAsia="nl-BE"/>
        </w:rPr>
        <w:t>Følg instruktionerne nedenfor for at fremstille det medicinerede vand. Anvend tilstrækkeligt præcist kommercielt tilgængeligt måleudstyr.</w:t>
      </w:r>
    </w:p>
    <w:p w:rsidR="00B54138" w:rsidRPr="007C2147" w:rsidRDefault="00B54138" w:rsidP="009F3057">
      <w:pPr>
        <w:tabs>
          <w:tab w:val="left" w:pos="1134"/>
        </w:tabs>
        <w:ind w:left="1134" w:hanging="283"/>
        <w:rPr>
          <w:sz w:val="24"/>
          <w:szCs w:val="24"/>
          <w:lang w:eastAsia="nl-NL"/>
        </w:rPr>
      </w:pPr>
    </w:p>
    <w:p w:rsidR="00B54138" w:rsidRPr="007C2147" w:rsidRDefault="00B54138" w:rsidP="00141AC7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Der skal tilberedes frisk medicineret vand </w:t>
      </w:r>
      <w:r w:rsidR="00B77D52" w:rsidRPr="007C2147">
        <w:rPr>
          <w:sz w:val="24"/>
          <w:szCs w:val="24"/>
          <w:lang w:eastAsia="nl-NL"/>
        </w:rPr>
        <w:t>hver dag i behandlingsperioden.</w:t>
      </w:r>
    </w:p>
    <w:p w:rsidR="00141AC7" w:rsidRPr="007C2147" w:rsidRDefault="00141AC7" w:rsidP="009F3057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sz w:val="24"/>
          <w:szCs w:val="24"/>
        </w:rPr>
      </w:pPr>
    </w:p>
    <w:p w:rsidR="00D4613B" w:rsidRPr="007C2147" w:rsidRDefault="00D4613B" w:rsidP="00D4613B">
      <w:pPr>
        <w:tabs>
          <w:tab w:val="left" w:pos="1134"/>
        </w:tabs>
        <w:autoSpaceDE w:val="0"/>
        <w:autoSpaceDN w:val="0"/>
        <w:adjustRightInd w:val="0"/>
        <w:ind w:left="1134" w:hanging="283"/>
        <w:rPr>
          <w:color w:val="000000"/>
          <w:sz w:val="24"/>
          <w:szCs w:val="24"/>
          <w:u w:val="single"/>
          <w:lang w:eastAsia="nl-BE"/>
        </w:rPr>
      </w:pPr>
      <w:r w:rsidRPr="007C2147">
        <w:rPr>
          <w:sz w:val="24"/>
          <w:szCs w:val="24"/>
          <w:u w:val="single"/>
        </w:rPr>
        <w:t>Til anvendelse i medicineringstank</w:t>
      </w:r>
    </w:p>
    <w:p w:rsidR="00D4613B" w:rsidRPr="007C2147" w:rsidRDefault="00D4613B" w:rsidP="00D4613B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Til behandling af høns og hønniker tilsættes den beregnede mængde af produktet til 40 til 80 % af den daglige vandration. </w:t>
      </w:r>
    </w:p>
    <w:p w:rsidR="00D4613B" w:rsidRPr="007C2147" w:rsidRDefault="00D4613B" w:rsidP="00D4613B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Til behandling af fasaner tilsættes den beregnede mængde af produktet til 40 % af den daglige vandration.   </w:t>
      </w:r>
    </w:p>
    <w:p w:rsidR="00D4613B" w:rsidRPr="007C2147" w:rsidRDefault="00D4613B" w:rsidP="00D4613B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>Rør om, indtil indholdet i medicineringstanken er tydeligt homogent. Det medicinerede vand fremtræder uklart. Yderligere omrøring er ikke nødvendig under indgivelsen.</w:t>
      </w:r>
    </w:p>
    <w:p w:rsidR="00930E98" w:rsidRPr="007C2147" w:rsidRDefault="00930E98">
      <w:pPr>
        <w:rPr>
          <w:rFonts w:eastAsia="EUAlbertina"/>
          <w:color w:val="000000"/>
          <w:sz w:val="24"/>
          <w:szCs w:val="24"/>
          <w:lang w:eastAsia="it-IT"/>
        </w:rPr>
      </w:pPr>
      <w:r w:rsidRPr="007C2147">
        <w:rPr>
          <w:rFonts w:eastAsia="EUAlbertina"/>
          <w:color w:val="000000"/>
          <w:sz w:val="24"/>
          <w:szCs w:val="24"/>
          <w:lang w:eastAsia="it-IT"/>
        </w:rPr>
        <w:br w:type="page"/>
      </w:r>
    </w:p>
    <w:p w:rsidR="00B54138" w:rsidRPr="007C2147" w:rsidRDefault="00B54138" w:rsidP="009F3057">
      <w:pPr>
        <w:tabs>
          <w:tab w:val="left" w:pos="851"/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lang w:eastAsia="it-IT"/>
        </w:rPr>
      </w:pPr>
    </w:p>
    <w:p w:rsidR="00B54138" w:rsidRPr="007C2147" w:rsidRDefault="00B54138" w:rsidP="009F3057">
      <w:pPr>
        <w:tabs>
          <w:tab w:val="left" w:pos="851"/>
          <w:tab w:val="left" w:pos="1134"/>
        </w:tabs>
        <w:autoSpaceDE w:val="0"/>
        <w:autoSpaceDN w:val="0"/>
        <w:adjustRightInd w:val="0"/>
        <w:ind w:left="1134" w:hanging="283"/>
        <w:rPr>
          <w:rFonts w:eastAsia="EUAlbertina"/>
          <w:color w:val="000000"/>
          <w:sz w:val="24"/>
          <w:szCs w:val="24"/>
          <w:u w:val="single"/>
          <w:lang w:eastAsia="it-IT"/>
        </w:rPr>
      </w:pPr>
      <w:r w:rsidRPr="007C2147">
        <w:rPr>
          <w:rFonts w:eastAsia="EUAlbertina"/>
          <w:color w:val="000000"/>
          <w:sz w:val="24"/>
          <w:szCs w:val="24"/>
          <w:u w:val="single"/>
          <w:lang w:eastAsia="it-IT"/>
        </w:rPr>
        <w:t>Til anvendelse i do</w:t>
      </w:r>
      <w:r w:rsidR="004570C4" w:rsidRPr="007C2147">
        <w:rPr>
          <w:rFonts w:eastAsia="EUAlbertina"/>
          <w:color w:val="000000"/>
          <w:sz w:val="24"/>
          <w:szCs w:val="24"/>
          <w:u w:val="single"/>
          <w:lang w:eastAsia="it-IT"/>
        </w:rPr>
        <w:t>seringspumpe</w:t>
      </w:r>
    </w:p>
    <w:p w:rsidR="00D4613B" w:rsidRPr="007C2147" w:rsidRDefault="00B54138" w:rsidP="004570C4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>Tilsæt den beregnede mængde af produktet t</w:t>
      </w:r>
      <w:r w:rsidR="004570C4" w:rsidRPr="007C2147">
        <w:rPr>
          <w:sz w:val="24"/>
          <w:szCs w:val="24"/>
          <w:lang w:eastAsia="nl-NL"/>
        </w:rPr>
        <w:t xml:space="preserve">il det ikke-medicinerede vand i </w:t>
      </w:r>
      <w:r w:rsidRPr="007C2147">
        <w:rPr>
          <w:sz w:val="24"/>
          <w:szCs w:val="24"/>
          <w:lang w:eastAsia="nl-NL"/>
        </w:rPr>
        <w:t>doserings</w:t>
      </w:r>
      <w:r w:rsidR="00930E98" w:rsidRPr="007C2147">
        <w:rPr>
          <w:sz w:val="24"/>
          <w:szCs w:val="24"/>
          <w:lang w:eastAsia="nl-NL"/>
        </w:rPr>
        <w:softHyphen/>
      </w:r>
      <w:r w:rsidRPr="007C2147">
        <w:rPr>
          <w:sz w:val="24"/>
          <w:szCs w:val="24"/>
          <w:lang w:eastAsia="nl-NL"/>
        </w:rPr>
        <w:t>pumpens stamopløsningsbeholder. Mængden af ikke-medicineret vand i</w:t>
      </w:r>
      <w:r w:rsidR="00C8724C" w:rsidRPr="007C2147">
        <w:rPr>
          <w:sz w:val="24"/>
          <w:szCs w:val="24"/>
          <w:lang w:eastAsia="nl-NL"/>
        </w:rPr>
        <w:t xml:space="preserve"> </w:t>
      </w:r>
      <w:r w:rsidRPr="007C2147">
        <w:rPr>
          <w:sz w:val="24"/>
          <w:szCs w:val="24"/>
          <w:lang w:eastAsia="nl-NL"/>
        </w:rPr>
        <w:t>stamopløsnings</w:t>
      </w:r>
      <w:r w:rsidR="00C8724C" w:rsidRPr="007C2147">
        <w:rPr>
          <w:sz w:val="24"/>
          <w:szCs w:val="24"/>
          <w:lang w:eastAsia="nl-NL"/>
        </w:rPr>
        <w:softHyphen/>
      </w:r>
      <w:r w:rsidRPr="007C2147">
        <w:rPr>
          <w:sz w:val="24"/>
          <w:szCs w:val="24"/>
          <w:lang w:eastAsia="nl-NL"/>
        </w:rPr>
        <w:t xml:space="preserve">beholderen skal beregnes på grundlag af den forudindstillede indsprøjtningshastighed på doseringspumpen og </w:t>
      </w:r>
      <w:r w:rsidR="002A635F" w:rsidRPr="007C2147">
        <w:rPr>
          <w:sz w:val="24"/>
          <w:szCs w:val="24"/>
          <w:lang w:eastAsia="nl-NL"/>
        </w:rPr>
        <w:t xml:space="preserve">40 til 80 % </w:t>
      </w:r>
      <w:r w:rsidR="00D4613B" w:rsidRPr="007C2147">
        <w:rPr>
          <w:sz w:val="24"/>
          <w:szCs w:val="24"/>
          <w:lang w:eastAsia="nl-NL"/>
        </w:rPr>
        <w:t>af hønsenes/hønnikernes daglige vandration eller 40 % af fasanernes daglige vandration.</w:t>
      </w:r>
    </w:p>
    <w:p w:rsidR="00B54138" w:rsidRPr="007C2147" w:rsidRDefault="00B54138" w:rsidP="004570C4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>Rør om, indtil indholdet i stamopløsningsbeholderen er tydeligt homogent. Det medicinerede vand fremtræder u</w:t>
      </w:r>
      <w:r w:rsidR="00B77D52" w:rsidRPr="007C2147">
        <w:rPr>
          <w:sz w:val="24"/>
          <w:szCs w:val="24"/>
          <w:lang w:eastAsia="nl-NL"/>
        </w:rPr>
        <w:t>klart.</w:t>
      </w:r>
    </w:p>
    <w:p w:rsidR="00B54138" w:rsidRPr="007C2147" w:rsidRDefault="00B54138" w:rsidP="004570C4">
      <w:pPr>
        <w:ind w:left="851"/>
        <w:rPr>
          <w:sz w:val="24"/>
          <w:szCs w:val="24"/>
          <w:lang w:eastAsia="nl-NL"/>
        </w:rPr>
      </w:pPr>
    </w:p>
    <w:p w:rsidR="00B54138" w:rsidRPr="007C2147" w:rsidRDefault="00B54138" w:rsidP="004570C4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>Under behandlingen skal alle dyr have fri ad</w:t>
      </w:r>
      <w:r w:rsidR="001F16AA" w:rsidRPr="007C2147">
        <w:rPr>
          <w:sz w:val="24"/>
          <w:szCs w:val="24"/>
          <w:lang w:eastAsia="nl-NL"/>
        </w:rPr>
        <w:t>gang til det medicinerede vand -</w:t>
      </w:r>
      <w:r w:rsidRPr="007C2147">
        <w:rPr>
          <w:sz w:val="24"/>
          <w:szCs w:val="24"/>
          <w:lang w:eastAsia="nl-NL"/>
        </w:rPr>
        <w:t xml:space="preserve"> og kun det. </w:t>
      </w:r>
    </w:p>
    <w:p w:rsidR="00B54138" w:rsidRPr="007C2147" w:rsidRDefault="00B54138" w:rsidP="004570C4">
      <w:pPr>
        <w:ind w:left="851"/>
        <w:rPr>
          <w:sz w:val="24"/>
          <w:szCs w:val="24"/>
          <w:lang w:eastAsia="nl-NL"/>
        </w:rPr>
      </w:pPr>
    </w:p>
    <w:p w:rsidR="00B54138" w:rsidRPr="007C2147" w:rsidRDefault="00B54138" w:rsidP="001F16AA">
      <w:pPr>
        <w:ind w:left="851"/>
        <w:rPr>
          <w:sz w:val="24"/>
          <w:szCs w:val="24"/>
          <w:lang w:eastAsia="nl-NL"/>
        </w:rPr>
      </w:pPr>
      <w:r w:rsidRPr="007C2147">
        <w:rPr>
          <w:sz w:val="24"/>
          <w:szCs w:val="24"/>
          <w:lang w:eastAsia="nl-NL"/>
        </w:rPr>
        <w:t xml:space="preserve">Under behandlingen skal dyrene </w:t>
      </w:r>
      <w:proofErr w:type="spellStart"/>
      <w:r w:rsidRPr="007C2147">
        <w:rPr>
          <w:sz w:val="24"/>
          <w:szCs w:val="24"/>
          <w:lang w:eastAsia="nl-NL"/>
        </w:rPr>
        <w:t>sa</w:t>
      </w:r>
      <w:proofErr w:type="spellEnd"/>
      <w:r w:rsidRPr="007C2147">
        <w:rPr>
          <w:sz w:val="24"/>
          <w:szCs w:val="24"/>
          <w:lang w:eastAsia="nl-NL"/>
        </w:rPr>
        <w:t>̊ hurtigt som muligt</w:t>
      </w:r>
      <w:r w:rsidR="001F16AA" w:rsidRPr="007C2147">
        <w:rPr>
          <w:sz w:val="24"/>
          <w:szCs w:val="24"/>
          <w:lang w:eastAsia="nl-NL"/>
        </w:rPr>
        <w:t>,</w:t>
      </w:r>
      <w:r w:rsidRPr="007C2147">
        <w:rPr>
          <w:sz w:val="24"/>
          <w:szCs w:val="24"/>
          <w:lang w:eastAsia="nl-NL"/>
        </w:rPr>
        <w:t xml:space="preserve"> efter de har drukket alt det</w:t>
      </w:r>
      <w:r w:rsidR="001F16AA" w:rsidRPr="007C2147">
        <w:rPr>
          <w:sz w:val="24"/>
          <w:szCs w:val="24"/>
          <w:lang w:eastAsia="nl-NL"/>
        </w:rPr>
        <w:t xml:space="preserve"> </w:t>
      </w:r>
      <w:r w:rsidRPr="007C2147">
        <w:rPr>
          <w:sz w:val="24"/>
          <w:szCs w:val="24"/>
          <w:lang w:eastAsia="nl-NL"/>
        </w:rPr>
        <w:t xml:space="preserve">medicinerede vand, have adgang til ikke-medicineret drikkevand. </w:t>
      </w:r>
    </w:p>
    <w:p w:rsidR="00B54138" w:rsidRPr="007C2147" w:rsidRDefault="00B54138" w:rsidP="004570C4">
      <w:pPr>
        <w:ind w:left="851"/>
        <w:rPr>
          <w:sz w:val="24"/>
          <w:szCs w:val="24"/>
          <w:lang w:eastAsia="nl-NL"/>
        </w:rPr>
      </w:pPr>
    </w:p>
    <w:p w:rsidR="005B0036" w:rsidRPr="007C2147" w:rsidRDefault="00B54138" w:rsidP="00B77D52">
      <w:pPr>
        <w:ind w:left="851"/>
        <w:rPr>
          <w:sz w:val="24"/>
          <w:szCs w:val="24"/>
          <w:lang w:eastAsia="nl-NL"/>
        </w:rPr>
      </w:pPr>
      <w:proofErr w:type="spellStart"/>
      <w:r w:rsidRPr="007C2147">
        <w:rPr>
          <w:sz w:val="24"/>
          <w:szCs w:val="24"/>
          <w:lang w:eastAsia="nl-NL"/>
        </w:rPr>
        <w:t>Kontrollér</w:t>
      </w:r>
      <w:proofErr w:type="spellEnd"/>
      <w:r w:rsidRPr="007C2147">
        <w:rPr>
          <w:sz w:val="24"/>
          <w:szCs w:val="24"/>
          <w:lang w:eastAsia="nl-NL"/>
        </w:rPr>
        <w:t>, at a</w:t>
      </w:r>
      <w:r w:rsidR="00B77D52" w:rsidRPr="007C2147">
        <w:rPr>
          <w:sz w:val="24"/>
          <w:szCs w:val="24"/>
          <w:lang w:eastAsia="nl-NL"/>
        </w:rPr>
        <w:t>lt medicineret vand er drukket.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4.10</w:t>
      </w:r>
      <w:r w:rsidRPr="007C2147">
        <w:rPr>
          <w:b/>
          <w:sz w:val="24"/>
          <w:szCs w:val="24"/>
        </w:rPr>
        <w:tab/>
        <w:t>Overdosering</w:t>
      </w:r>
    </w:p>
    <w:p w:rsidR="00D4613B" w:rsidRPr="007C2147" w:rsidRDefault="00D4613B" w:rsidP="00D4613B">
      <w:pPr>
        <w:tabs>
          <w:tab w:val="left" w:pos="-589"/>
          <w:tab w:val="left" w:pos="0"/>
          <w:tab w:val="left" w:pos="510"/>
          <w:tab w:val="left" w:pos="851"/>
          <w:tab w:val="left" w:pos="993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Der er ikke observeret bivirkninger hos slagtekyllinger (ca. 8 uger gamle), der har fået op til 5 gange den anbefalede dosis eller hos fasaner (ca. 3 uger gamle), der har fået op til 40 gange den anbefalede dosis. Der er ikke observeret bivirkninger hos æglæggende høns og avlsfugle, der har fået op til 3 gange den anbefalede dosis.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4.11</w:t>
      </w:r>
      <w:r w:rsidRPr="007C2147">
        <w:rPr>
          <w:b/>
          <w:sz w:val="24"/>
          <w:szCs w:val="24"/>
        </w:rPr>
        <w:tab/>
        <w:t>Tilbageholdelsestid</w:t>
      </w:r>
    </w:p>
    <w:p w:rsidR="00D4613B" w:rsidRPr="007C2147" w:rsidRDefault="00B54138" w:rsidP="00D4613B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Slagtning: </w:t>
      </w:r>
      <w:r w:rsidR="00EF7142" w:rsidRPr="007C2147">
        <w:rPr>
          <w:sz w:val="24"/>
          <w:szCs w:val="24"/>
        </w:rPr>
        <w:t>6</w:t>
      </w:r>
      <w:r w:rsidRPr="007C2147">
        <w:rPr>
          <w:sz w:val="24"/>
          <w:szCs w:val="24"/>
        </w:rPr>
        <w:t xml:space="preserve"> dage.</w:t>
      </w:r>
      <w:r w:rsidR="00D4613B" w:rsidRPr="007C2147">
        <w:rPr>
          <w:sz w:val="24"/>
          <w:szCs w:val="24"/>
        </w:rPr>
        <w:t xml:space="preserve"> Vent med at udsætte fasaner til jagt til mindst 6 dage efter afsluttet medicinering. </w:t>
      </w:r>
    </w:p>
    <w:p w:rsidR="005B0036" w:rsidRPr="007C2147" w:rsidRDefault="005B0036" w:rsidP="001F3E29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</w:p>
    <w:p w:rsidR="00EF7142" w:rsidRPr="007C2147" w:rsidRDefault="00EF7142" w:rsidP="001F3E29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Æg: 0 dage.</w:t>
      </w:r>
    </w:p>
    <w:p w:rsidR="005B0036" w:rsidRPr="007C2147" w:rsidRDefault="005B0036" w:rsidP="005B0036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5.</w:t>
      </w:r>
      <w:r w:rsidRPr="007C2147">
        <w:rPr>
          <w:b/>
          <w:sz w:val="24"/>
          <w:szCs w:val="24"/>
        </w:rPr>
        <w:tab/>
        <w:t>FARMAKOLOGISKE EGENSKABER</w:t>
      </w:r>
    </w:p>
    <w:p w:rsidR="00B54138" w:rsidRPr="007C2147" w:rsidRDefault="00B54138" w:rsidP="00B54138">
      <w:pPr>
        <w:tabs>
          <w:tab w:val="left" w:pos="540"/>
          <w:tab w:val="left" w:pos="567"/>
        </w:tabs>
        <w:ind w:left="851"/>
        <w:rPr>
          <w:bCs/>
          <w:sz w:val="24"/>
          <w:szCs w:val="24"/>
        </w:rPr>
      </w:pPr>
      <w:proofErr w:type="spellStart"/>
      <w:r w:rsidRPr="007C2147">
        <w:rPr>
          <w:sz w:val="24"/>
          <w:szCs w:val="24"/>
        </w:rPr>
        <w:t>Farmakoterapeutisk</w:t>
      </w:r>
      <w:proofErr w:type="spellEnd"/>
      <w:r w:rsidRPr="007C2147">
        <w:rPr>
          <w:sz w:val="24"/>
          <w:szCs w:val="24"/>
        </w:rPr>
        <w:t xml:space="preserve"> gruppe: </w:t>
      </w:r>
      <w:proofErr w:type="spellStart"/>
      <w:r w:rsidRPr="007C2147">
        <w:rPr>
          <w:bCs/>
          <w:sz w:val="24"/>
          <w:szCs w:val="24"/>
        </w:rPr>
        <w:t>Anthelmintika</w:t>
      </w:r>
      <w:proofErr w:type="spellEnd"/>
      <w:r w:rsidRPr="007C2147">
        <w:rPr>
          <w:bCs/>
          <w:sz w:val="24"/>
          <w:szCs w:val="24"/>
        </w:rPr>
        <w:t xml:space="preserve">, </w:t>
      </w:r>
      <w:proofErr w:type="spellStart"/>
      <w:r w:rsidRPr="007C2147">
        <w:rPr>
          <w:bCs/>
          <w:sz w:val="24"/>
          <w:szCs w:val="24"/>
        </w:rPr>
        <w:t>benzimidazolderivater</w:t>
      </w:r>
      <w:proofErr w:type="spellEnd"/>
      <w:r w:rsidRPr="007C2147">
        <w:rPr>
          <w:bCs/>
          <w:sz w:val="24"/>
          <w:szCs w:val="24"/>
        </w:rPr>
        <w:t xml:space="preserve"> - </w:t>
      </w:r>
      <w:proofErr w:type="spellStart"/>
      <w:r w:rsidRPr="007C2147">
        <w:rPr>
          <w:bCs/>
          <w:sz w:val="24"/>
          <w:szCs w:val="24"/>
        </w:rPr>
        <w:t>fenbendazol</w:t>
      </w:r>
      <w:proofErr w:type="spellEnd"/>
      <w:r w:rsidRPr="007C2147">
        <w:rPr>
          <w:bCs/>
          <w:sz w:val="24"/>
          <w:szCs w:val="24"/>
        </w:rPr>
        <w:t>.</w:t>
      </w:r>
    </w:p>
    <w:p w:rsidR="005B0036" w:rsidRPr="007C2147" w:rsidRDefault="00B54138" w:rsidP="00FA185C">
      <w:pPr>
        <w:tabs>
          <w:tab w:val="left" w:pos="540"/>
        </w:tabs>
        <w:ind w:left="851"/>
        <w:rPr>
          <w:sz w:val="24"/>
          <w:szCs w:val="24"/>
        </w:rPr>
      </w:pPr>
      <w:proofErr w:type="spellStart"/>
      <w:r w:rsidRPr="007C2147">
        <w:rPr>
          <w:sz w:val="24"/>
          <w:szCs w:val="24"/>
        </w:rPr>
        <w:t>ATCvet</w:t>
      </w:r>
      <w:proofErr w:type="spellEnd"/>
      <w:r w:rsidRPr="007C2147">
        <w:rPr>
          <w:sz w:val="24"/>
          <w:szCs w:val="24"/>
        </w:rPr>
        <w:t>-kode: QP 52 AC 13.</w:t>
      </w:r>
    </w:p>
    <w:p w:rsidR="005B0036" w:rsidRPr="007C2147" w:rsidRDefault="005B0036" w:rsidP="005B0036">
      <w:pPr>
        <w:tabs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5.1</w:t>
      </w:r>
      <w:r w:rsidRPr="007C2147">
        <w:rPr>
          <w:b/>
          <w:sz w:val="24"/>
          <w:szCs w:val="24"/>
        </w:rPr>
        <w:tab/>
      </w:r>
      <w:proofErr w:type="spellStart"/>
      <w:r w:rsidRPr="007C2147">
        <w:rPr>
          <w:b/>
          <w:sz w:val="24"/>
          <w:szCs w:val="24"/>
        </w:rPr>
        <w:t>Farmakodynamiske</w:t>
      </w:r>
      <w:proofErr w:type="spellEnd"/>
      <w:r w:rsidRPr="007C2147">
        <w:rPr>
          <w:b/>
          <w:sz w:val="24"/>
          <w:szCs w:val="24"/>
        </w:rPr>
        <w:t xml:space="preserve"> egenskaber</w:t>
      </w:r>
    </w:p>
    <w:p w:rsidR="00B54138" w:rsidRPr="007C2147" w:rsidRDefault="00B54138" w:rsidP="00664508">
      <w:pPr>
        <w:tabs>
          <w:tab w:val="left" w:pos="-589"/>
          <w:tab w:val="left" w:pos="0"/>
          <w:tab w:val="left" w:pos="1440"/>
        </w:tabs>
        <w:ind w:left="851"/>
        <w:rPr>
          <w:bCs/>
          <w:sz w:val="24"/>
          <w:szCs w:val="24"/>
        </w:rPr>
      </w:pPr>
      <w:proofErr w:type="spellStart"/>
      <w:r w:rsidRPr="007C2147">
        <w:rPr>
          <w:bCs/>
          <w:sz w:val="24"/>
          <w:szCs w:val="24"/>
        </w:rPr>
        <w:t>Fenbendazol</w:t>
      </w:r>
      <w:proofErr w:type="spellEnd"/>
      <w:r w:rsidRPr="007C2147">
        <w:rPr>
          <w:bCs/>
          <w:sz w:val="24"/>
          <w:szCs w:val="24"/>
        </w:rPr>
        <w:t xml:space="preserve"> er et </w:t>
      </w:r>
      <w:proofErr w:type="spellStart"/>
      <w:r w:rsidRPr="007C2147">
        <w:rPr>
          <w:bCs/>
          <w:sz w:val="24"/>
          <w:szCs w:val="24"/>
        </w:rPr>
        <w:t>anthelmintikum</w:t>
      </w:r>
      <w:proofErr w:type="spellEnd"/>
      <w:r w:rsidRPr="007C2147">
        <w:rPr>
          <w:bCs/>
          <w:sz w:val="24"/>
          <w:szCs w:val="24"/>
        </w:rPr>
        <w:t xml:space="preserve">, som tilhører </w:t>
      </w:r>
      <w:proofErr w:type="spellStart"/>
      <w:r w:rsidRPr="007C2147">
        <w:rPr>
          <w:bCs/>
          <w:sz w:val="24"/>
          <w:szCs w:val="24"/>
        </w:rPr>
        <w:t>benzimidazol</w:t>
      </w:r>
      <w:proofErr w:type="spellEnd"/>
      <w:r w:rsidRPr="007C2147">
        <w:rPr>
          <w:bCs/>
          <w:sz w:val="24"/>
          <w:szCs w:val="24"/>
        </w:rPr>
        <w:t>-</w:t>
      </w:r>
      <w:proofErr w:type="spellStart"/>
      <w:r w:rsidRPr="007C2147">
        <w:rPr>
          <w:bCs/>
          <w:sz w:val="24"/>
          <w:szCs w:val="24"/>
        </w:rPr>
        <w:t>carbamat</w:t>
      </w:r>
      <w:proofErr w:type="spellEnd"/>
      <w:r w:rsidRPr="007C2147">
        <w:rPr>
          <w:bCs/>
          <w:sz w:val="24"/>
          <w:szCs w:val="24"/>
        </w:rPr>
        <w:t>-gruppen. Det virker</w:t>
      </w:r>
      <w:r w:rsidR="00664508" w:rsidRPr="007C2147">
        <w:rPr>
          <w:bCs/>
          <w:sz w:val="24"/>
          <w:szCs w:val="24"/>
        </w:rPr>
        <w:t xml:space="preserve"> </w:t>
      </w:r>
      <w:r w:rsidRPr="007C2147">
        <w:rPr>
          <w:bCs/>
          <w:sz w:val="24"/>
          <w:szCs w:val="24"/>
        </w:rPr>
        <w:t xml:space="preserve">ved at forstyrre </w:t>
      </w:r>
      <w:proofErr w:type="spellStart"/>
      <w:r w:rsidRPr="007C2147">
        <w:rPr>
          <w:bCs/>
          <w:sz w:val="24"/>
          <w:szCs w:val="24"/>
        </w:rPr>
        <w:t>nematodens</w:t>
      </w:r>
      <w:proofErr w:type="spellEnd"/>
      <w:r w:rsidRPr="007C2147">
        <w:rPr>
          <w:bCs/>
          <w:sz w:val="24"/>
          <w:szCs w:val="24"/>
        </w:rPr>
        <w:t xml:space="preserve"> energimetabolisme.</w:t>
      </w:r>
    </w:p>
    <w:p w:rsidR="00B54138" w:rsidRPr="007C2147" w:rsidRDefault="00B54138" w:rsidP="00664508">
      <w:pPr>
        <w:tabs>
          <w:tab w:val="left" w:pos="-589"/>
          <w:tab w:val="left" w:pos="0"/>
          <w:tab w:val="left" w:pos="1440"/>
        </w:tabs>
        <w:ind w:left="851"/>
        <w:rPr>
          <w:sz w:val="24"/>
          <w:szCs w:val="24"/>
        </w:rPr>
      </w:pPr>
    </w:p>
    <w:p w:rsidR="00701B7E" w:rsidRPr="007C2147" w:rsidRDefault="00B54138" w:rsidP="00701B7E">
      <w:pPr>
        <w:ind w:left="851"/>
        <w:rPr>
          <w:sz w:val="24"/>
          <w:szCs w:val="24"/>
        </w:rPr>
      </w:pPr>
      <w:proofErr w:type="spellStart"/>
      <w:r w:rsidRPr="007C2147">
        <w:rPr>
          <w:sz w:val="24"/>
          <w:szCs w:val="24"/>
          <w:lang w:eastAsia="nl-BE"/>
        </w:rPr>
        <w:t>Fenbendazol</w:t>
      </w:r>
      <w:proofErr w:type="spellEnd"/>
      <w:r w:rsidRPr="007C2147">
        <w:rPr>
          <w:sz w:val="24"/>
          <w:szCs w:val="24"/>
          <w:lang w:eastAsia="nl-BE"/>
        </w:rPr>
        <w:t xml:space="preserve"> </w:t>
      </w:r>
      <w:r w:rsidRPr="007C2147">
        <w:rPr>
          <w:sz w:val="24"/>
          <w:szCs w:val="24"/>
          <w:lang w:eastAsia="nl-NL"/>
        </w:rPr>
        <w:t xml:space="preserve">hæmmer polymeriseringen af </w:t>
      </w:r>
      <w:proofErr w:type="spellStart"/>
      <w:r w:rsidRPr="007C2147">
        <w:rPr>
          <w:sz w:val="24"/>
          <w:szCs w:val="24"/>
          <w:lang w:eastAsia="nl-NL"/>
        </w:rPr>
        <w:t>tubulin</w:t>
      </w:r>
      <w:proofErr w:type="spellEnd"/>
      <w:r w:rsidRPr="007C2147">
        <w:rPr>
          <w:sz w:val="24"/>
          <w:szCs w:val="24"/>
          <w:lang w:eastAsia="nl-NL"/>
        </w:rPr>
        <w:t xml:space="preserve"> til </w:t>
      </w:r>
      <w:proofErr w:type="spellStart"/>
      <w:r w:rsidRPr="007C2147">
        <w:rPr>
          <w:sz w:val="24"/>
          <w:szCs w:val="24"/>
          <w:lang w:eastAsia="nl-NL"/>
        </w:rPr>
        <w:t>mikrotu</w:t>
      </w:r>
      <w:r w:rsidR="00215329" w:rsidRPr="007C2147">
        <w:rPr>
          <w:sz w:val="24"/>
          <w:szCs w:val="24"/>
          <w:lang w:eastAsia="nl-NL"/>
        </w:rPr>
        <w:t>buli</w:t>
      </w:r>
      <w:proofErr w:type="spellEnd"/>
      <w:r w:rsidR="00215329" w:rsidRPr="007C2147">
        <w:rPr>
          <w:sz w:val="24"/>
          <w:szCs w:val="24"/>
          <w:lang w:eastAsia="nl-NL"/>
        </w:rPr>
        <w:t xml:space="preserve">. Dette forstyrrer vigtige </w:t>
      </w:r>
      <w:r w:rsidRPr="007C2147">
        <w:rPr>
          <w:sz w:val="24"/>
          <w:szCs w:val="24"/>
          <w:lang w:eastAsia="nl-NL"/>
        </w:rPr>
        <w:t xml:space="preserve">strukturelle og funktionelle egenskaber i cellerne hos indvoldsorme, </w:t>
      </w:r>
      <w:proofErr w:type="spellStart"/>
      <w:r w:rsidRPr="007C2147">
        <w:rPr>
          <w:sz w:val="24"/>
          <w:szCs w:val="24"/>
          <w:lang w:eastAsia="nl-NL"/>
        </w:rPr>
        <w:t>såsom</w:t>
      </w:r>
      <w:proofErr w:type="spellEnd"/>
      <w:r w:rsidRPr="007C2147">
        <w:rPr>
          <w:sz w:val="24"/>
          <w:szCs w:val="24"/>
          <w:lang w:eastAsia="nl-NL"/>
        </w:rPr>
        <w:t xml:space="preserve"> dannelse af</w:t>
      </w:r>
      <w:r w:rsidR="009F3057" w:rsidRPr="007C2147">
        <w:rPr>
          <w:sz w:val="24"/>
          <w:szCs w:val="24"/>
          <w:lang w:eastAsia="nl-NL"/>
        </w:rPr>
        <w:t xml:space="preserve"> </w:t>
      </w:r>
      <w:proofErr w:type="spellStart"/>
      <w:r w:rsidRPr="007C2147">
        <w:rPr>
          <w:sz w:val="24"/>
          <w:szCs w:val="24"/>
          <w:lang w:eastAsia="nl-NL"/>
        </w:rPr>
        <w:t>cytoskelettet</w:t>
      </w:r>
      <w:proofErr w:type="spellEnd"/>
      <w:r w:rsidRPr="007C2147">
        <w:rPr>
          <w:sz w:val="24"/>
          <w:szCs w:val="24"/>
          <w:lang w:eastAsia="nl-NL"/>
        </w:rPr>
        <w:t xml:space="preserve">, dannelse af det </w:t>
      </w:r>
      <w:proofErr w:type="spellStart"/>
      <w:r w:rsidRPr="007C2147">
        <w:rPr>
          <w:sz w:val="24"/>
          <w:szCs w:val="24"/>
          <w:lang w:eastAsia="nl-NL"/>
        </w:rPr>
        <w:t>mitotiske</w:t>
      </w:r>
      <w:proofErr w:type="spellEnd"/>
      <w:r w:rsidRPr="007C2147">
        <w:rPr>
          <w:sz w:val="24"/>
          <w:szCs w:val="24"/>
          <w:lang w:eastAsia="nl-NL"/>
        </w:rPr>
        <w:t xml:space="preserve"> spindel og optagels</w:t>
      </w:r>
      <w:r w:rsidR="00215329" w:rsidRPr="007C2147">
        <w:rPr>
          <w:sz w:val="24"/>
          <w:szCs w:val="24"/>
          <w:lang w:eastAsia="nl-NL"/>
        </w:rPr>
        <w:t xml:space="preserve">e og </w:t>
      </w:r>
      <w:proofErr w:type="spellStart"/>
      <w:r w:rsidR="00215329" w:rsidRPr="007C2147">
        <w:rPr>
          <w:sz w:val="24"/>
          <w:szCs w:val="24"/>
          <w:lang w:eastAsia="nl-NL"/>
        </w:rPr>
        <w:t>intracellulær</w:t>
      </w:r>
      <w:proofErr w:type="spellEnd"/>
      <w:r w:rsidR="00215329" w:rsidRPr="007C2147">
        <w:rPr>
          <w:sz w:val="24"/>
          <w:szCs w:val="24"/>
          <w:lang w:eastAsia="nl-NL"/>
        </w:rPr>
        <w:t xml:space="preserve"> transport af</w:t>
      </w:r>
      <w:r w:rsidR="009F3057" w:rsidRPr="007C2147">
        <w:rPr>
          <w:sz w:val="24"/>
          <w:szCs w:val="24"/>
          <w:lang w:eastAsia="nl-NL"/>
        </w:rPr>
        <w:t xml:space="preserve"> </w:t>
      </w:r>
      <w:r w:rsidRPr="007C2147">
        <w:rPr>
          <w:sz w:val="24"/>
          <w:szCs w:val="24"/>
          <w:lang w:eastAsia="nl-NL"/>
        </w:rPr>
        <w:t xml:space="preserve">næringsstoffer og metaboliske produkter. </w:t>
      </w:r>
      <w:proofErr w:type="spellStart"/>
      <w:r w:rsidRPr="007C2147">
        <w:rPr>
          <w:sz w:val="24"/>
          <w:szCs w:val="24"/>
          <w:lang w:eastAsia="nl-NL"/>
        </w:rPr>
        <w:t>Fenbendazol</w:t>
      </w:r>
      <w:proofErr w:type="spellEnd"/>
      <w:r w:rsidRPr="007C2147">
        <w:rPr>
          <w:sz w:val="24"/>
          <w:szCs w:val="24"/>
          <w:lang w:eastAsia="nl-NL"/>
        </w:rPr>
        <w:t xml:space="preserve"> er effektiv og har en dosisafhængig</w:t>
      </w:r>
      <w:r w:rsidR="009F3057" w:rsidRPr="007C2147">
        <w:rPr>
          <w:sz w:val="24"/>
          <w:szCs w:val="24"/>
        </w:rPr>
        <w:t xml:space="preserve"> </w:t>
      </w:r>
      <w:r w:rsidRPr="007C2147">
        <w:rPr>
          <w:sz w:val="24"/>
          <w:szCs w:val="24"/>
        </w:rPr>
        <w:t>effekt på voksne</w:t>
      </w:r>
      <w:r w:rsidR="007024AB" w:rsidRPr="007C2147">
        <w:rPr>
          <w:sz w:val="24"/>
          <w:szCs w:val="24"/>
        </w:rPr>
        <w:t xml:space="preserve"> </w:t>
      </w:r>
      <w:r w:rsidRPr="007C2147">
        <w:rPr>
          <w:sz w:val="24"/>
          <w:szCs w:val="24"/>
        </w:rPr>
        <w:t xml:space="preserve">stadier af </w:t>
      </w:r>
      <w:proofErr w:type="spellStart"/>
      <w:r w:rsidR="007024AB" w:rsidRPr="007C2147">
        <w:rPr>
          <w:i/>
          <w:iCs/>
          <w:sz w:val="24"/>
          <w:szCs w:val="24"/>
        </w:rPr>
        <w:t>Heterakis</w:t>
      </w:r>
      <w:proofErr w:type="spellEnd"/>
      <w:r w:rsidR="007024AB" w:rsidRPr="007C2147">
        <w:rPr>
          <w:i/>
          <w:iCs/>
          <w:sz w:val="24"/>
          <w:szCs w:val="24"/>
        </w:rPr>
        <w:t xml:space="preserve"> </w:t>
      </w:r>
      <w:proofErr w:type="spellStart"/>
      <w:r w:rsidR="007024AB" w:rsidRPr="007C2147">
        <w:rPr>
          <w:i/>
          <w:iCs/>
          <w:sz w:val="24"/>
          <w:szCs w:val="24"/>
        </w:rPr>
        <w:t>gallinarum</w:t>
      </w:r>
      <w:proofErr w:type="spellEnd"/>
      <w:r w:rsidR="007024AB" w:rsidRPr="007C2147">
        <w:rPr>
          <w:sz w:val="24"/>
          <w:szCs w:val="24"/>
        </w:rPr>
        <w:t xml:space="preserve"> og </w:t>
      </w:r>
      <w:proofErr w:type="spellStart"/>
      <w:r w:rsidR="00701B7E" w:rsidRPr="007C2147">
        <w:rPr>
          <w:i/>
          <w:sz w:val="24"/>
          <w:szCs w:val="24"/>
        </w:rPr>
        <w:t>Ascaridia</w:t>
      </w:r>
      <w:proofErr w:type="spellEnd"/>
      <w:r w:rsidR="00701B7E" w:rsidRPr="007C2147">
        <w:rPr>
          <w:i/>
          <w:sz w:val="24"/>
          <w:szCs w:val="24"/>
        </w:rPr>
        <w:t xml:space="preserve"> </w:t>
      </w:r>
      <w:proofErr w:type="spellStart"/>
      <w:r w:rsidR="00701B7E" w:rsidRPr="007C2147">
        <w:rPr>
          <w:i/>
          <w:sz w:val="24"/>
          <w:szCs w:val="24"/>
        </w:rPr>
        <w:t>galli</w:t>
      </w:r>
      <w:proofErr w:type="spellEnd"/>
      <w:r w:rsidR="00701B7E" w:rsidRPr="007C2147">
        <w:rPr>
          <w:i/>
          <w:sz w:val="24"/>
          <w:szCs w:val="24"/>
        </w:rPr>
        <w:t xml:space="preserve"> </w:t>
      </w:r>
      <w:r w:rsidR="00701B7E" w:rsidRPr="007C2147">
        <w:rPr>
          <w:sz w:val="24"/>
          <w:szCs w:val="24"/>
        </w:rPr>
        <w:t xml:space="preserve">i høns og </w:t>
      </w:r>
      <w:r w:rsidR="002E1903">
        <w:rPr>
          <w:sz w:val="24"/>
          <w:szCs w:val="24"/>
        </w:rPr>
        <w:t xml:space="preserve">har </w:t>
      </w:r>
      <w:r w:rsidR="00701B7E" w:rsidRPr="007C2147">
        <w:rPr>
          <w:sz w:val="24"/>
          <w:szCs w:val="24"/>
        </w:rPr>
        <w:t xml:space="preserve">effekt på voksne stadier af </w:t>
      </w:r>
      <w:proofErr w:type="spellStart"/>
      <w:r w:rsidR="00701B7E" w:rsidRPr="007C2147">
        <w:rPr>
          <w:i/>
          <w:iCs/>
          <w:sz w:val="24"/>
          <w:szCs w:val="24"/>
        </w:rPr>
        <w:t>Heterakis</w:t>
      </w:r>
      <w:proofErr w:type="spellEnd"/>
      <w:r w:rsidR="00701B7E" w:rsidRPr="007C2147">
        <w:rPr>
          <w:i/>
          <w:iCs/>
          <w:sz w:val="24"/>
          <w:szCs w:val="24"/>
        </w:rPr>
        <w:t xml:space="preserve"> </w:t>
      </w:r>
      <w:proofErr w:type="spellStart"/>
      <w:r w:rsidR="00701B7E" w:rsidRPr="007C2147">
        <w:rPr>
          <w:i/>
          <w:iCs/>
          <w:sz w:val="24"/>
          <w:szCs w:val="24"/>
        </w:rPr>
        <w:t>gallinarum</w:t>
      </w:r>
      <w:proofErr w:type="spellEnd"/>
      <w:r w:rsidR="00701B7E" w:rsidRPr="007C2147">
        <w:rPr>
          <w:i/>
          <w:iCs/>
          <w:sz w:val="24"/>
          <w:szCs w:val="24"/>
        </w:rPr>
        <w:t xml:space="preserve"> </w:t>
      </w:r>
      <w:r w:rsidR="00701B7E" w:rsidRPr="007C2147">
        <w:rPr>
          <w:iCs/>
          <w:sz w:val="24"/>
          <w:szCs w:val="24"/>
        </w:rPr>
        <w:t>i fasaner</w:t>
      </w:r>
      <w:r w:rsidR="00701B7E" w:rsidRPr="007C2147">
        <w:rPr>
          <w:sz w:val="24"/>
          <w:szCs w:val="24"/>
        </w:rPr>
        <w:t>.</w:t>
      </w:r>
    </w:p>
    <w:p w:rsidR="005B0036" w:rsidRPr="007C2147" w:rsidRDefault="005B0036" w:rsidP="00701B7E">
      <w:pPr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5.2</w:t>
      </w:r>
      <w:r w:rsidRPr="007C2147">
        <w:rPr>
          <w:b/>
          <w:sz w:val="24"/>
          <w:szCs w:val="24"/>
        </w:rPr>
        <w:tab/>
      </w:r>
      <w:proofErr w:type="spellStart"/>
      <w:r w:rsidRPr="007C2147">
        <w:rPr>
          <w:b/>
          <w:sz w:val="24"/>
          <w:szCs w:val="24"/>
        </w:rPr>
        <w:t>Farmakokinetiske</w:t>
      </w:r>
      <w:proofErr w:type="spellEnd"/>
      <w:r w:rsidRPr="007C2147">
        <w:rPr>
          <w:b/>
          <w:sz w:val="24"/>
          <w:szCs w:val="24"/>
        </w:rPr>
        <w:t xml:space="preserve"> egenskaber</w:t>
      </w:r>
    </w:p>
    <w:p w:rsidR="005B0036" w:rsidRPr="007C2147" w:rsidRDefault="00B54138" w:rsidP="0021532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7C2147">
        <w:rPr>
          <w:color w:val="000000"/>
          <w:sz w:val="24"/>
          <w:szCs w:val="24"/>
          <w:lang w:eastAsia="nl-BE"/>
        </w:rPr>
        <w:t xml:space="preserve">Efter oral administration absorberes </w:t>
      </w: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kun delvist. Efter absorption </w:t>
      </w:r>
      <w:proofErr w:type="spellStart"/>
      <w:r w:rsidRPr="007C2147">
        <w:rPr>
          <w:color w:val="000000"/>
          <w:sz w:val="24"/>
          <w:szCs w:val="24"/>
          <w:lang w:eastAsia="nl-BE"/>
        </w:rPr>
        <w:t>metaboliseres</w:t>
      </w:r>
      <w:proofErr w:type="spellEnd"/>
      <w:r w:rsidR="00215329" w:rsidRPr="007C2147">
        <w:rPr>
          <w:color w:val="000000"/>
          <w:sz w:val="24"/>
          <w:szCs w:val="24"/>
          <w:lang w:eastAsia="nl-BE"/>
        </w:rPr>
        <w:t xml:space="preserve"> </w:t>
      </w: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hurtigt i leveren, hovedsageligt til dets </w:t>
      </w:r>
      <w:proofErr w:type="spellStart"/>
      <w:r w:rsidRPr="007C2147">
        <w:rPr>
          <w:color w:val="000000"/>
          <w:sz w:val="24"/>
          <w:szCs w:val="24"/>
          <w:lang w:eastAsia="nl-BE"/>
        </w:rPr>
        <w:t>sulfoxid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(</w:t>
      </w:r>
      <w:proofErr w:type="spellStart"/>
      <w:r w:rsidRPr="007C2147">
        <w:rPr>
          <w:color w:val="000000"/>
          <w:sz w:val="24"/>
          <w:szCs w:val="24"/>
          <w:lang w:eastAsia="nl-BE"/>
        </w:rPr>
        <w:t>oxfendazol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) og derefter til dets </w:t>
      </w:r>
      <w:proofErr w:type="spellStart"/>
      <w:r w:rsidRPr="007C2147">
        <w:rPr>
          <w:color w:val="000000"/>
          <w:sz w:val="24"/>
          <w:szCs w:val="24"/>
          <w:lang w:eastAsia="nl-BE"/>
        </w:rPr>
        <w:t>sulfon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(</w:t>
      </w:r>
      <w:proofErr w:type="spellStart"/>
      <w:r w:rsidRPr="007C2147">
        <w:rPr>
          <w:color w:val="000000"/>
          <w:sz w:val="24"/>
          <w:szCs w:val="24"/>
          <w:lang w:eastAsia="nl-BE"/>
        </w:rPr>
        <w:t>oxfendazolsulfon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). Hos </w:t>
      </w:r>
      <w:r w:rsidR="009B64AA" w:rsidRPr="007C2147">
        <w:rPr>
          <w:color w:val="000000"/>
          <w:sz w:val="24"/>
          <w:szCs w:val="24"/>
          <w:lang w:eastAsia="nl-BE"/>
        </w:rPr>
        <w:t>høns</w:t>
      </w:r>
      <w:r w:rsidRPr="007C2147">
        <w:rPr>
          <w:color w:val="000000"/>
          <w:sz w:val="24"/>
          <w:szCs w:val="24"/>
          <w:lang w:eastAsia="nl-BE"/>
        </w:rPr>
        <w:t xml:space="preserve"> er </w:t>
      </w:r>
      <w:proofErr w:type="spellStart"/>
      <w:r w:rsidRPr="007C2147">
        <w:rPr>
          <w:color w:val="000000"/>
          <w:sz w:val="24"/>
          <w:szCs w:val="24"/>
          <w:lang w:eastAsia="nl-BE"/>
        </w:rPr>
        <w:t>oxfendazol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</w:t>
      </w:r>
      <w:proofErr w:type="spellStart"/>
      <w:r w:rsidRPr="007C2147">
        <w:rPr>
          <w:color w:val="000000"/>
          <w:sz w:val="24"/>
          <w:szCs w:val="24"/>
          <w:lang w:eastAsia="nl-BE"/>
        </w:rPr>
        <w:t>hovedmetabolitten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i plasma, </w:t>
      </w:r>
      <w:r w:rsidRPr="007C2147">
        <w:rPr>
          <w:sz w:val="24"/>
          <w:szCs w:val="24"/>
        </w:rPr>
        <w:t>idet det</w:t>
      </w:r>
      <w:r w:rsidR="00215329" w:rsidRPr="007C2147">
        <w:rPr>
          <w:sz w:val="24"/>
          <w:szCs w:val="24"/>
        </w:rPr>
        <w:t xml:space="preserve"> </w:t>
      </w:r>
      <w:r w:rsidR="009B64AA" w:rsidRPr="007C2147">
        <w:rPr>
          <w:sz w:val="24"/>
          <w:szCs w:val="24"/>
        </w:rPr>
        <w:t xml:space="preserve">udgør ca. </w:t>
      </w:r>
      <w:r w:rsidRPr="007C2147">
        <w:rPr>
          <w:sz w:val="24"/>
          <w:szCs w:val="24"/>
        </w:rPr>
        <w:t>3</w:t>
      </w:r>
      <w:r w:rsidR="009B64AA" w:rsidRPr="007C2147">
        <w:rPr>
          <w:sz w:val="24"/>
          <w:szCs w:val="24"/>
        </w:rPr>
        <w:t>/4</w:t>
      </w:r>
      <w:r w:rsidRPr="007C2147">
        <w:rPr>
          <w:sz w:val="24"/>
          <w:szCs w:val="24"/>
        </w:rPr>
        <w:t xml:space="preserve"> af det samlede AUC</w:t>
      </w:r>
      <w:r w:rsidRPr="007C2147">
        <w:rPr>
          <w:color w:val="000000"/>
          <w:sz w:val="24"/>
          <w:szCs w:val="24"/>
          <w:lang w:eastAsia="nl-BE"/>
        </w:rPr>
        <w:t xml:space="preserve"> (dvs. summen af AUC for </w:t>
      </w: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, </w:t>
      </w:r>
      <w:proofErr w:type="spellStart"/>
      <w:r w:rsidRPr="007C2147">
        <w:rPr>
          <w:color w:val="000000"/>
          <w:sz w:val="24"/>
          <w:szCs w:val="24"/>
          <w:lang w:eastAsia="nl-BE"/>
        </w:rPr>
        <w:t>oxfendazol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og</w:t>
      </w:r>
      <w:r w:rsidR="00215329" w:rsidRPr="007C2147">
        <w:rPr>
          <w:color w:val="000000"/>
          <w:sz w:val="24"/>
          <w:szCs w:val="24"/>
          <w:lang w:eastAsia="nl-BE"/>
        </w:rPr>
        <w:t xml:space="preserve"> </w:t>
      </w:r>
      <w:proofErr w:type="spellStart"/>
      <w:r w:rsidRPr="007C2147">
        <w:rPr>
          <w:color w:val="000000"/>
          <w:sz w:val="24"/>
          <w:szCs w:val="24"/>
          <w:lang w:eastAsia="nl-BE"/>
        </w:rPr>
        <w:t>oxfendazolsulfon</w:t>
      </w:r>
      <w:proofErr w:type="spellEnd"/>
      <w:r w:rsidR="009B64AA" w:rsidRPr="007C2147">
        <w:rPr>
          <w:color w:val="000000"/>
          <w:sz w:val="24"/>
          <w:szCs w:val="24"/>
          <w:lang w:eastAsia="nl-BE"/>
        </w:rPr>
        <w:t>)</w:t>
      </w:r>
      <w:r w:rsidRPr="007C2147">
        <w:rPr>
          <w:color w:val="000000"/>
          <w:sz w:val="24"/>
          <w:szCs w:val="24"/>
          <w:lang w:eastAsia="nl-BE"/>
        </w:rPr>
        <w:t xml:space="preserve">. </w:t>
      </w: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og dets </w:t>
      </w:r>
      <w:proofErr w:type="spellStart"/>
      <w:r w:rsidRPr="007C2147">
        <w:rPr>
          <w:color w:val="000000"/>
          <w:sz w:val="24"/>
          <w:szCs w:val="24"/>
          <w:lang w:eastAsia="nl-BE"/>
        </w:rPr>
        <w:t>metabolitter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fordeles til hele </w:t>
      </w:r>
      <w:r w:rsidRPr="007C2147">
        <w:rPr>
          <w:color w:val="000000"/>
          <w:sz w:val="24"/>
          <w:szCs w:val="24"/>
          <w:lang w:eastAsia="nl-BE"/>
        </w:rPr>
        <w:lastRenderedPageBreak/>
        <w:t>kroppen og opnår de</w:t>
      </w:r>
      <w:r w:rsidR="00215329" w:rsidRPr="007C2147">
        <w:rPr>
          <w:color w:val="000000"/>
          <w:sz w:val="24"/>
          <w:szCs w:val="24"/>
          <w:lang w:eastAsia="nl-BE"/>
        </w:rPr>
        <w:t xml:space="preserve"> </w:t>
      </w:r>
      <w:r w:rsidRPr="007C2147">
        <w:rPr>
          <w:color w:val="000000"/>
          <w:sz w:val="24"/>
          <w:szCs w:val="24"/>
          <w:lang w:eastAsia="nl-BE"/>
        </w:rPr>
        <w:t xml:space="preserve">højeste koncentrationer i leveren. Udskillelse af </w:t>
      </w:r>
      <w:proofErr w:type="spellStart"/>
      <w:r w:rsidRPr="007C2147">
        <w:rPr>
          <w:color w:val="000000"/>
          <w:sz w:val="24"/>
          <w:szCs w:val="24"/>
          <w:lang w:eastAsia="nl-BE"/>
        </w:rPr>
        <w:t>fenbendazol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og dets </w:t>
      </w:r>
      <w:proofErr w:type="spellStart"/>
      <w:r w:rsidRPr="007C2147">
        <w:rPr>
          <w:color w:val="000000"/>
          <w:sz w:val="24"/>
          <w:szCs w:val="24"/>
          <w:lang w:eastAsia="nl-BE"/>
        </w:rPr>
        <w:t>metabolitter</w:t>
      </w:r>
      <w:proofErr w:type="spellEnd"/>
      <w:r w:rsidRPr="007C2147">
        <w:rPr>
          <w:color w:val="000000"/>
          <w:sz w:val="24"/>
          <w:szCs w:val="24"/>
          <w:lang w:eastAsia="nl-BE"/>
        </w:rPr>
        <w:t xml:space="preserve"> sker</w:t>
      </w:r>
      <w:r w:rsidR="00215329" w:rsidRPr="007C2147">
        <w:rPr>
          <w:color w:val="000000"/>
          <w:sz w:val="24"/>
          <w:szCs w:val="24"/>
          <w:lang w:eastAsia="nl-BE"/>
        </w:rPr>
        <w:t xml:space="preserve"> </w:t>
      </w:r>
      <w:r w:rsidRPr="007C2147">
        <w:rPr>
          <w:color w:val="000000"/>
          <w:sz w:val="24"/>
          <w:szCs w:val="24"/>
          <w:lang w:eastAsia="nl-BE"/>
        </w:rPr>
        <w:t>primært via fæces</w:t>
      </w:r>
      <w:r w:rsidR="009A0F7C" w:rsidRPr="007C2147">
        <w:rPr>
          <w:color w:val="000000"/>
          <w:sz w:val="24"/>
          <w:szCs w:val="24"/>
          <w:lang w:eastAsia="nl-BE"/>
        </w:rPr>
        <w:t>.</w:t>
      </w:r>
    </w:p>
    <w:p w:rsidR="00215329" w:rsidRPr="007C2147" w:rsidRDefault="00215329" w:rsidP="00215329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</w:t>
      </w:r>
      <w:r w:rsidRPr="007C2147">
        <w:rPr>
          <w:b/>
          <w:sz w:val="24"/>
          <w:szCs w:val="24"/>
        </w:rPr>
        <w:tab/>
        <w:t>FARMACEUTISKE OPLYSNINGER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6.1</w:t>
      </w:r>
      <w:r w:rsidRPr="007C2147">
        <w:rPr>
          <w:b/>
          <w:sz w:val="24"/>
          <w:szCs w:val="24"/>
        </w:rPr>
        <w:tab/>
        <w:t>Hjælpestoffer</w:t>
      </w:r>
    </w:p>
    <w:p w:rsidR="00DD236C" w:rsidRPr="007C2147" w:rsidRDefault="00DD236C" w:rsidP="00DD236C">
      <w:pPr>
        <w:tabs>
          <w:tab w:val="left" w:pos="567"/>
        </w:tabs>
        <w:ind w:left="851"/>
        <w:rPr>
          <w:iCs/>
          <w:sz w:val="24"/>
          <w:szCs w:val="24"/>
        </w:rPr>
      </w:pPr>
      <w:r w:rsidRPr="007C2147">
        <w:rPr>
          <w:iCs/>
          <w:sz w:val="24"/>
          <w:szCs w:val="24"/>
        </w:rPr>
        <w:t>Natriumbenzoat (E211)</w:t>
      </w:r>
    </w:p>
    <w:p w:rsidR="00DD236C" w:rsidRPr="007C2147" w:rsidRDefault="00DD236C" w:rsidP="00DD236C">
      <w:pPr>
        <w:tabs>
          <w:tab w:val="left" w:pos="567"/>
        </w:tabs>
        <w:ind w:left="851"/>
        <w:rPr>
          <w:iCs/>
          <w:sz w:val="24"/>
          <w:szCs w:val="24"/>
        </w:rPr>
      </w:pPr>
      <w:proofErr w:type="spellStart"/>
      <w:r w:rsidRPr="007C2147">
        <w:rPr>
          <w:iCs/>
          <w:sz w:val="24"/>
          <w:szCs w:val="24"/>
        </w:rPr>
        <w:t>Docusatnatrium</w:t>
      </w:r>
      <w:proofErr w:type="spellEnd"/>
    </w:p>
    <w:p w:rsidR="00DD236C" w:rsidRPr="007C2147" w:rsidRDefault="00DD236C" w:rsidP="00DD236C">
      <w:pPr>
        <w:tabs>
          <w:tab w:val="left" w:pos="567"/>
        </w:tabs>
        <w:ind w:left="851"/>
        <w:rPr>
          <w:iCs/>
          <w:sz w:val="24"/>
          <w:szCs w:val="24"/>
        </w:rPr>
      </w:pPr>
      <w:proofErr w:type="spellStart"/>
      <w:r w:rsidRPr="007C2147">
        <w:rPr>
          <w:iCs/>
          <w:sz w:val="24"/>
          <w:szCs w:val="24"/>
        </w:rPr>
        <w:t>Povidon</w:t>
      </w:r>
      <w:proofErr w:type="spellEnd"/>
    </w:p>
    <w:p w:rsidR="00DD236C" w:rsidRPr="007C2147" w:rsidRDefault="00DD236C" w:rsidP="00DD236C">
      <w:pPr>
        <w:tabs>
          <w:tab w:val="left" w:pos="567"/>
        </w:tabs>
        <w:ind w:left="851"/>
        <w:rPr>
          <w:iCs/>
          <w:sz w:val="24"/>
          <w:szCs w:val="24"/>
        </w:rPr>
      </w:pPr>
      <w:r w:rsidRPr="007C2147">
        <w:rPr>
          <w:iCs/>
          <w:sz w:val="24"/>
          <w:szCs w:val="24"/>
        </w:rPr>
        <w:t>Saltsyre, koncentreret (til pH-justering)</w:t>
      </w:r>
    </w:p>
    <w:p w:rsidR="005B0036" w:rsidRPr="007C2147" w:rsidRDefault="00CD60B2" w:rsidP="00CD60B2">
      <w:pPr>
        <w:tabs>
          <w:tab w:val="left" w:pos="567"/>
        </w:tabs>
        <w:ind w:left="851"/>
        <w:rPr>
          <w:iCs/>
          <w:sz w:val="24"/>
          <w:szCs w:val="24"/>
        </w:rPr>
      </w:pPr>
      <w:r w:rsidRPr="007C2147">
        <w:rPr>
          <w:iCs/>
          <w:sz w:val="24"/>
          <w:szCs w:val="24"/>
        </w:rPr>
        <w:t>Vand til injektionsvæsker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6.2</w:t>
      </w:r>
      <w:r w:rsidRPr="007C2147">
        <w:rPr>
          <w:b/>
          <w:sz w:val="24"/>
          <w:szCs w:val="24"/>
        </w:rPr>
        <w:tab/>
        <w:t>Uforligeligheder</w:t>
      </w:r>
    </w:p>
    <w:p w:rsidR="005B0036" w:rsidRPr="007C2147" w:rsidRDefault="00DD236C" w:rsidP="00CD60B2">
      <w:pPr>
        <w:tabs>
          <w:tab w:val="left" w:pos="90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6.3</w:t>
      </w:r>
      <w:r w:rsidRPr="007C2147">
        <w:rPr>
          <w:b/>
          <w:sz w:val="24"/>
          <w:szCs w:val="24"/>
        </w:rPr>
        <w:tab/>
        <w:t>Opbevaringstid</w:t>
      </w:r>
    </w:p>
    <w:p w:rsidR="00DD236C" w:rsidRPr="007C2147" w:rsidRDefault="00CD60B2" w:rsidP="00DD236C">
      <w:pPr>
        <w:tabs>
          <w:tab w:val="left" w:pos="851"/>
          <w:tab w:val="left" w:pos="5954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7C2147">
        <w:rPr>
          <w:sz w:val="24"/>
          <w:szCs w:val="24"/>
        </w:rPr>
        <w:t>I</w:t>
      </w:r>
      <w:r w:rsidR="00DD236C" w:rsidRPr="007C2147">
        <w:rPr>
          <w:sz w:val="24"/>
          <w:szCs w:val="24"/>
        </w:rPr>
        <w:t xml:space="preserve"> salgspakning</w:t>
      </w:r>
      <w:r w:rsidRPr="007C2147">
        <w:rPr>
          <w:color w:val="000000"/>
          <w:sz w:val="24"/>
          <w:szCs w:val="24"/>
        </w:rPr>
        <w:t>: 30 måneder.</w:t>
      </w:r>
    </w:p>
    <w:p w:rsidR="00DD236C" w:rsidRPr="007C2147" w:rsidRDefault="00CD60B2" w:rsidP="00DD236C">
      <w:pPr>
        <w:tabs>
          <w:tab w:val="left" w:pos="851"/>
        </w:tabs>
        <w:autoSpaceDE w:val="0"/>
        <w:autoSpaceDN w:val="0"/>
        <w:adjustRightInd w:val="0"/>
        <w:ind w:left="851"/>
        <w:rPr>
          <w:color w:val="000000"/>
          <w:sz w:val="24"/>
          <w:szCs w:val="24"/>
        </w:rPr>
      </w:pPr>
      <w:r w:rsidRPr="007C2147">
        <w:rPr>
          <w:color w:val="000000"/>
          <w:sz w:val="24"/>
          <w:szCs w:val="24"/>
        </w:rPr>
        <w:t>E</w:t>
      </w:r>
      <w:r w:rsidR="00DD236C" w:rsidRPr="007C2147">
        <w:rPr>
          <w:color w:val="000000"/>
          <w:sz w:val="24"/>
          <w:szCs w:val="24"/>
        </w:rPr>
        <w:t xml:space="preserve">fter første åbning af </w:t>
      </w:r>
      <w:r w:rsidRPr="007C2147">
        <w:rPr>
          <w:color w:val="000000"/>
          <w:sz w:val="24"/>
          <w:szCs w:val="24"/>
        </w:rPr>
        <w:t>den indre emballage: 3 måneder.</w:t>
      </w:r>
    </w:p>
    <w:p w:rsidR="005B0036" w:rsidRPr="007C2147" w:rsidRDefault="00CD60B2" w:rsidP="00CD60B2">
      <w:pPr>
        <w:tabs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E</w:t>
      </w:r>
      <w:r w:rsidR="00DD236C" w:rsidRPr="007C2147">
        <w:rPr>
          <w:sz w:val="24"/>
          <w:szCs w:val="24"/>
        </w:rPr>
        <w:t xml:space="preserve">fter </w:t>
      </w:r>
      <w:proofErr w:type="spellStart"/>
      <w:r w:rsidR="00DD236C" w:rsidRPr="007C2147">
        <w:rPr>
          <w:sz w:val="24"/>
          <w:szCs w:val="24"/>
        </w:rPr>
        <w:t>rekonstituering</w:t>
      </w:r>
      <w:proofErr w:type="spellEnd"/>
      <w:r w:rsidR="00DD236C" w:rsidRPr="007C2147">
        <w:rPr>
          <w:sz w:val="24"/>
          <w:szCs w:val="24"/>
        </w:rPr>
        <w:t xml:space="preserve"> i drikkevand: 24 timer.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6.4</w:t>
      </w:r>
      <w:r w:rsidRPr="007C2147">
        <w:rPr>
          <w:b/>
          <w:sz w:val="24"/>
          <w:szCs w:val="24"/>
        </w:rPr>
        <w:tab/>
        <w:t>Særlige opbevaringsforhold</w:t>
      </w:r>
    </w:p>
    <w:p w:rsidR="00DD236C" w:rsidRPr="007C2147" w:rsidRDefault="00537E71" w:rsidP="00DD236C">
      <w:pPr>
        <w:ind w:left="851" w:right="-318"/>
        <w:rPr>
          <w:sz w:val="24"/>
          <w:szCs w:val="24"/>
        </w:rPr>
      </w:pPr>
      <w:r w:rsidRPr="007C2147">
        <w:rPr>
          <w:bCs/>
          <w:sz w:val="24"/>
          <w:szCs w:val="24"/>
        </w:rPr>
        <w:t>I</w:t>
      </w:r>
      <w:r w:rsidR="00DD236C" w:rsidRPr="007C2147">
        <w:rPr>
          <w:bCs/>
          <w:sz w:val="24"/>
          <w:szCs w:val="24"/>
        </w:rPr>
        <w:t xml:space="preserve"> salgspakning</w:t>
      </w:r>
      <w:r w:rsidR="00DD236C" w:rsidRPr="007C2147">
        <w:rPr>
          <w:sz w:val="24"/>
          <w:szCs w:val="24"/>
        </w:rPr>
        <w:t>: Må</w:t>
      </w:r>
      <w:r w:rsidRPr="007C2147">
        <w:rPr>
          <w:sz w:val="24"/>
          <w:szCs w:val="24"/>
        </w:rPr>
        <w:t xml:space="preserve"> ikke nedfryses. Beskyttes mod</w:t>
      </w:r>
      <w:r w:rsidR="009F3057" w:rsidRPr="007C2147">
        <w:rPr>
          <w:sz w:val="24"/>
          <w:szCs w:val="24"/>
        </w:rPr>
        <w:t xml:space="preserve"> </w:t>
      </w:r>
      <w:r w:rsidR="00DD236C" w:rsidRPr="007C2147">
        <w:rPr>
          <w:sz w:val="24"/>
          <w:szCs w:val="24"/>
        </w:rPr>
        <w:t>frost.</w:t>
      </w:r>
    </w:p>
    <w:p w:rsidR="003934A0" w:rsidRPr="007C2147" w:rsidRDefault="003934A0" w:rsidP="003934A0">
      <w:pPr>
        <w:ind w:left="851" w:right="-318"/>
        <w:rPr>
          <w:sz w:val="24"/>
          <w:szCs w:val="24"/>
        </w:rPr>
      </w:pPr>
      <w:r w:rsidRPr="007C2147">
        <w:rPr>
          <w:color w:val="000000"/>
          <w:sz w:val="24"/>
          <w:szCs w:val="24"/>
        </w:rPr>
        <w:t>Efter første åbning af den indre emballage</w:t>
      </w:r>
      <w:r w:rsidRPr="007C2147">
        <w:rPr>
          <w:sz w:val="24"/>
          <w:szCs w:val="24"/>
        </w:rPr>
        <w:t>: Må ikke nedfryses. Beskyttes mod frost.</w:t>
      </w:r>
    </w:p>
    <w:p w:rsidR="005B0036" w:rsidRPr="007C2147" w:rsidRDefault="00DD236C" w:rsidP="00537E71">
      <w:pPr>
        <w:ind w:left="851" w:right="-318"/>
        <w:rPr>
          <w:sz w:val="24"/>
          <w:szCs w:val="24"/>
        </w:rPr>
      </w:pPr>
      <w:r w:rsidRPr="007C2147">
        <w:rPr>
          <w:sz w:val="24"/>
          <w:szCs w:val="24"/>
        </w:rPr>
        <w:t xml:space="preserve">Efter </w:t>
      </w:r>
      <w:proofErr w:type="spellStart"/>
      <w:r w:rsidRPr="007C2147">
        <w:rPr>
          <w:sz w:val="24"/>
          <w:szCs w:val="24"/>
        </w:rPr>
        <w:t>rekonstituering</w:t>
      </w:r>
      <w:proofErr w:type="spellEnd"/>
      <w:r w:rsidRPr="007C2147">
        <w:rPr>
          <w:sz w:val="24"/>
          <w:szCs w:val="24"/>
        </w:rPr>
        <w:t xml:space="preserve"> i drikkevand: Må ikke nedfryses.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6.5</w:t>
      </w:r>
      <w:r w:rsidRPr="007C2147">
        <w:rPr>
          <w:b/>
          <w:sz w:val="24"/>
          <w:szCs w:val="24"/>
        </w:rPr>
        <w:tab/>
        <w:t>Emballage</w:t>
      </w:r>
    </w:p>
    <w:p w:rsidR="00CE4CAC" w:rsidRPr="007C2147" w:rsidRDefault="00DD236C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Hvid, cylind</w:t>
      </w:r>
      <w:r w:rsidR="003C3A90" w:rsidRPr="007C2147">
        <w:rPr>
          <w:sz w:val="24"/>
          <w:szCs w:val="24"/>
        </w:rPr>
        <w:t xml:space="preserve">risk, </w:t>
      </w:r>
      <w:proofErr w:type="spellStart"/>
      <w:r w:rsidR="003C3A90" w:rsidRPr="007C2147">
        <w:rPr>
          <w:sz w:val="24"/>
          <w:szCs w:val="24"/>
        </w:rPr>
        <w:t>high-density</w:t>
      </w:r>
      <w:proofErr w:type="spellEnd"/>
      <w:r w:rsidR="003C3A90" w:rsidRPr="007C2147">
        <w:rPr>
          <w:sz w:val="24"/>
          <w:szCs w:val="24"/>
        </w:rPr>
        <w:t xml:space="preserve"> </w:t>
      </w:r>
      <w:proofErr w:type="spellStart"/>
      <w:r w:rsidR="003C3A90" w:rsidRPr="007C2147">
        <w:rPr>
          <w:sz w:val="24"/>
          <w:szCs w:val="24"/>
        </w:rPr>
        <w:t>polyethylen</w:t>
      </w:r>
      <w:proofErr w:type="spellEnd"/>
      <w:r w:rsidR="003934A0" w:rsidRPr="007C2147">
        <w:rPr>
          <w:sz w:val="24"/>
          <w:szCs w:val="24"/>
        </w:rPr>
        <w:t xml:space="preserve"> </w:t>
      </w:r>
      <w:r w:rsidR="003C3A90" w:rsidRPr="007C2147">
        <w:rPr>
          <w:sz w:val="24"/>
          <w:szCs w:val="24"/>
        </w:rPr>
        <w:t>(HDPE</w:t>
      </w:r>
      <w:r w:rsidRPr="007C2147">
        <w:rPr>
          <w:sz w:val="24"/>
          <w:szCs w:val="24"/>
        </w:rPr>
        <w:t>)</w:t>
      </w:r>
      <w:r w:rsidR="003C3A90" w:rsidRPr="007C2147">
        <w:rPr>
          <w:sz w:val="24"/>
          <w:szCs w:val="24"/>
        </w:rPr>
        <w:t>-</w:t>
      </w:r>
      <w:r w:rsidRPr="007C2147">
        <w:rPr>
          <w:sz w:val="24"/>
          <w:szCs w:val="24"/>
        </w:rPr>
        <w:t>flaske</w:t>
      </w:r>
      <w:r w:rsidR="003C3A90" w:rsidRPr="007C2147">
        <w:rPr>
          <w:sz w:val="24"/>
          <w:szCs w:val="24"/>
        </w:rPr>
        <w:t xml:space="preserve"> forsynet med en hvid prop med </w:t>
      </w:r>
      <w:r w:rsidRPr="007C2147">
        <w:rPr>
          <w:sz w:val="24"/>
          <w:szCs w:val="24"/>
        </w:rPr>
        <w:t>''</w:t>
      </w:r>
      <w:proofErr w:type="spellStart"/>
      <w:r w:rsidRPr="007C2147">
        <w:rPr>
          <w:sz w:val="24"/>
          <w:szCs w:val="24"/>
        </w:rPr>
        <w:t>peel</w:t>
      </w:r>
      <w:proofErr w:type="spellEnd"/>
      <w:r w:rsidRPr="007C2147">
        <w:rPr>
          <w:sz w:val="24"/>
          <w:szCs w:val="24"/>
        </w:rPr>
        <w:t>-</w:t>
      </w:r>
      <w:proofErr w:type="spellStart"/>
      <w:r w:rsidRPr="007C2147">
        <w:rPr>
          <w:sz w:val="24"/>
          <w:szCs w:val="24"/>
        </w:rPr>
        <w:t>off</w:t>
      </w:r>
      <w:proofErr w:type="spellEnd"/>
      <w:r w:rsidRPr="007C2147">
        <w:rPr>
          <w:sz w:val="24"/>
          <w:szCs w:val="24"/>
        </w:rPr>
        <w:t xml:space="preserve">"-strip og </w:t>
      </w:r>
      <w:proofErr w:type="spellStart"/>
      <w:r w:rsidRPr="007C2147">
        <w:rPr>
          <w:sz w:val="24"/>
          <w:szCs w:val="24"/>
        </w:rPr>
        <w:t>påsvejset</w:t>
      </w:r>
      <w:proofErr w:type="spellEnd"/>
      <w:r w:rsidRPr="007C2147">
        <w:rPr>
          <w:sz w:val="24"/>
          <w:szCs w:val="24"/>
        </w:rPr>
        <w:t xml:space="preserve"> forseglingsfolie fremstillet af</w:t>
      </w:r>
      <w:r w:rsidR="00CE4CAC" w:rsidRPr="007C2147">
        <w:rPr>
          <w:sz w:val="24"/>
          <w:szCs w:val="24"/>
        </w:rPr>
        <w:t xml:space="preserve"> </w:t>
      </w:r>
      <w:proofErr w:type="spellStart"/>
      <w:r w:rsidR="00CE4CAC" w:rsidRPr="007C2147">
        <w:rPr>
          <w:sz w:val="24"/>
          <w:szCs w:val="24"/>
        </w:rPr>
        <w:t>polypropylen</w:t>
      </w:r>
      <w:proofErr w:type="spellEnd"/>
      <w:r w:rsidR="00CE4CAC" w:rsidRPr="007C2147">
        <w:rPr>
          <w:sz w:val="24"/>
          <w:szCs w:val="24"/>
        </w:rPr>
        <w:t xml:space="preserve"> (PP).</w:t>
      </w:r>
    </w:p>
    <w:p w:rsidR="003C3A90" w:rsidRPr="007C2147" w:rsidRDefault="00CB7296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 xml:space="preserve">Pakningsstørrelser: </w:t>
      </w:r>
      <w:r w:rsidR="003C3A90" w:rsidRPr="007C2147">
        <w:rPr>
          <w:sz w:val="24"/>
          <w:szCs w:val="24"/>
        </w:rPr>
        <w:t xml:space="preserve">125 ml </w:t>
      </w:r>
      <w:r w:rsidRPr="007C2147">
        <w:rPr>
          <w:sz w:val="24"/>
          <w:szCs w:val="24"/>
        </w:rPr>
        <w:t>og</w:t>
      </w:r>
      <w:r w:rsidR="003C3A90" w:rsidRPr="007C2147">
        <w:rPr>
          <w:sz w:val="24"/>
          <w:szCs w:val="24"/>
        </w:rPr>
        <w:t xml:space="preserve"> 1 liter</w:t>
      </w:r>
      <w:r w:rsidR="004720E7" w:rsidRPr="007C2147">
        <w:rPr>
          <w:sz w:val="24"/>
          <w:szCs w:val="24"/>
        </w:rPr>
        <w:t>.</w:t>
      </w:r>
    </w:p>
    <w:p w:rsidR="003C3A90" w:rsidRPr="007C2147" w:rsidRDefault="003C3A90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</w:p>
    <w:p w:rsidR="00CB7296" w:rsidRPr="007C2147" w:rsidRDefault="00CE4CAC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H</w:t>
      </w:r>
      <w:r w:rsidR="00DD236C" w:rsidRPr="007C2147">
        <w:rPr>
          <w:sz w:val="24"/>
          <w:szCs w:val="24"/>
        </w:rPr>
        <w:t>vid, rektangulær, HDPE-flaske med en vertikal,</w:t>
      </w:r>
      <w:r w:rsidR="00CB7296" w:rsidRPr="007C2147">
        <w:rPr>
          <w:sz w:val="24"/>
          <w:szCs w:val="24"/>
        </w:rPr>
        <w:t xml:space="preserve"> </w:t>
      </w:r>
      <w:r w:rsidR="00DD236C" w:rsidRPr="007C2147">
        <w:rPr>
          <w:sz w:val="24"/>
          <w:szCs w:val="24"/>
        </w:rPr>
        <w:t>klar aflæsningsrude, forsynet med en prop af LPDE lukket med hvidt børnesikret skruelåg fremstillet af PP og forsegling fremstillet af LPDE.</w:t>
      </w:r>
    </w:p>
    <w:p w:rsidR="00CB7296" w:rsidRPr="007C2147" w:rsidRDefault="00CE4CAC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Pakningsstørrelser: 1 liter.</w:t>
      </w:r>
    </w:p>
    <w:p w:rsidR="00CE4CAC" w:rsidRPr="007C2147" w:rsidRDefault="00CE4CAC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</w:p>
    <w:p w:rsidR="00DD236C" w:rsidRPr="007C2147" w:rsidRDefault="00DD236C" w:rsidP="00DD236C">
      <w:pPr>
        <w:tabs>
          <w:tab w:val="left" w:pos="-589"/>
          <w:tab w:val="left" w:pos="0"/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Hvid beholder af HDPE med hvidt, riflet, børnesikret skruelåg af HDPE</w:t>
      </w:r>
      <w:r w:rsidR="009D24C2" w:rsidRPr="007C2147">
        <w:rPr>
          <w:sz w:val="24"/>
          <w:szCs w:val="24"/>
        </w:rPr>
        <w:t>.</w:t>
      </w:r>
    </w:p>
    <w:p w:rsidR="00DD236C" w:rsidRPr="007C2147" w:rsidRDefault="00CE4CAC" w:rsidP="00DD236C">
      <w:pPr>
        <w:tabs>
          <w:tab w:val="left" w:pos="851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Pakningsstørrelser: 2,5 liter og 5 liter.</w:t>
      </w:r>
    </w:p>
    <w:p w:rsidR="00CE4CAC" w:rsidRPr="007C2147" w:rsidRDefault="00CE4CAC" w:rsidP="00DD236C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5B0036" w:rsidRPr="007C2147" w:rsidRDefault="00DD236C" w:rsidP="00CE4CAC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Ikke alle pakningsstørrelser er nødvendigvis markedsført.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6.6</w:t>
      </w:r>
      <w:r w:rsidRPr="007C2147">
        <w:rPr>
          <w:b/>
          <w:sz w:val="24"/>
          <w:szCs w:val="24"/>
        </w:rPr>
        <w:tab/>
        <w:t>Særlige forholdsregler ved bortskaffelse af rester af lægemidlet eller affald</w:t>
      </w:r>
    </w:p>
    <w:p w:rsidR="00DD236C" w:rsidRPr="007C2147" w:rsidRDefault="00DD236C" w:rsidP="009D24C2">
      <w:pPr>
        <w:ind w:left="851" w:right="-318"/>
        <w:rPr>
          <w:sz w:val="24"/>
          <w:szCs w:val="24"/>
        </w:rPr>
      </w:pPr>
      <w:r w:rsidRPr="007C2147">
        <w:rPr>
          <w:sz w:val="24"/>
          <w:szCs w:val="24"/>
        </w:rPr>
        <w:t>Ik</w:t>
      </w:r>
      <w:r w:rsidR="004D5A0C" w:rsidRPr="007C2147">
        <w:rPr>
          <w:sz w:val="24"/>
          <w:szCs w:val="24"/>
        </w:rPr>
        <w:t>ke anvendte veterinærlægemidler</w:t>
      </w:r>
      <w:r w:rsidRPr="007C2147">
        <w:rPr>
          <w:sz w:val="24"/>
          <w:szCs w:val="24"/>
        </w:rPr>
        <w:t xml:space="preserve"> samt affald heraf bør destrueres i henhold til lokale</w:t>
      </w:r>
      <w:r w:rsidR="009F3057" w:rsidRPr="007C2147">
        <w:rPr>
          <w:sz w:val="24"/>
          <w:szCs w:val="24"/>
        </w:rPr>
        <w:t xml:space="preserve"> </w:t>
      </w:r>
      <w:r w:rsidRPr="007C2147">
        <w:rPr>
          <w:sz w:val="24"/>
          <w:szCs w:val="24"/>
        </w:rPr>
        <w:t>retningslinjer. Produktet må ikke udledes i vandløb, da dette kan være farligt for fisk og andre</w:t>
      </w:r>
      <w:r w:rsidR="009D24C2" w:rsidRPr="007C2147">
        <w:rPr>
          <w:sz w:val="24"/>
          <w:szCs w:val="24"/>
        </w:rPr>
        <w:t xml:space="preserve"> </w:t>
      </w:r>
      <w:r w:rsidRPr="007C2147">
        <w:rPr>
          <w:sz w:val="24"/>
          <w:szCs w:val="24"/>
        </w:rPr>
        <w:t>organismer i vandet.</w:t>
      </w:r>
    </w:p>
    <w:p w:rsidR="00C8724C" w:rsidRPr="007C2147" w:rsidRDefault="00C8724C">
      <w:pPr>
        <w:rPr>
          <w:sz w:val="24"/>
          <w:szCs w:val="24"/>
        </w:rPr>
      </w:pPr>
      <w:r w:rsidRPr="007C2147">
        <w:rPr>
          <w:sz w:val="24"/>
          <w:szCs w:val="24"/>
        </w:rPr>
        <w:br w:type="page"/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7.</w:t>
      </w:r>
      <w:r w:rsidRPr="007C2147">
        <w:rPr>
          <w:b/>
          <w:sz w:val="24"/>
          <w:szCs w:val="24"/>
        </w:rPr>
        <w:tab/>
        <w:t>INDEHAVER AF MARKEDSFØRINGSTILLADELSEN</w:t>
      </w:r>
    </w:p>
    <w:p w:rsidR="00DD236C" w:rsidRPr="007C2147" w:rsidRDefault="00DD236C" w:rsidP="00DD236C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proofErr w:type="spellStart"/>
      <w:r w:rsidRPr="007C2147">
        <w:rPr>
          <w:sz w:val="24"/>
          <w:szCs w:val="24"/>
        </w:rPr>
        <w:t>Huvepharma</w:t>
      </w:r>
      <w:proofErr w:type="spellEnd"/>
      <w:r w:rsidRPr="007C2147">
        <w:rPr>
          <w:sz w:val="24"/>
          <w:szCs w:val="24"/>
        </w:rPr>
        <w:t xml:space="preserve"> NV</w:t>
      </w:r>
    </w:p>
    <w:p w:rsidR="00DD236C" w:rsidRPr="007C2147" w:rsidRDefault="00DD236C" w:rsidP="00DD236C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proofErr w:type="spellStart"/>
      <w:r w:rsidRPr="007C2147">
        <w:rPr>
          <w:sz w:val="24"/>
          <w:szCs w:val="24"/>
        </w:rPr>
        <w:t>Uitbreidingstraat</w:t>
      </w:r>
      <w:proofErr w:type="spellEnd"/>
      <w:r w:rsidRPr="007C2147">
        <w:rPr>
          <w:sz w:val="24"/>
          <w:szCs w:val="24"/>
        </w:rPr>
        <w:t xml:space="preserve"> 80</w:t>
      </w:r>
    </w:p>
    <w:p w:rsidR="00DD236C" w:rsidRPr="007C2147" w:rsidRDefault="00DD236C" w:rsidP="00DD236C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BE-2600 Antwerpen</w:t>
      </w:r>
    </w:p>
    <w:p w:rsidR="00DD236C" w:rsidRPr="007C2147" w:rsidRDefault="00DD236C" w:rsidP="00DD236C">
      <w:pPr>
        <w:tabs>
          <w:tab w:val="left" w:pos="-589"/>
          <w:tab w:val="left" w:pos="0"/>
          <w:tab w:val="left" w:pos="851"/>
          <w:tab w:val="left" w:pos="1440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Belgien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8.</w:t>
      </w:r>
      <w:r w:rsidRPr="007C2147">
        <w:rPr>
          <w:b/>
          <w:sz w:val="24"/>
          <w:szCs w:val="24"/>
        </w:rPr>
        <w:tab/>
        <w:t>MARKEDSFØRINGSTILLADELSESNUMMER (NUMRE)</w:t>
      </w:r>
    </w:p>
    <w:p w:rsidR="005B0036" w:rsidRPr="007C2147" w:rsidRDefault="009D24C2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58</w:t>
      </w:r>
      <w:r w:rsidR="00577CAA" w:rsidRPr="007C2147">
        <w:rPr>
          <w:sz w:val="24"/>
          <w:szCs w:val="24"/>
        </w:rPr>
        <w:t>688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9.</w:t>
      </w:r>
      <w:r w:rsidRPr="007C2147">
        <w:rPr>
          <w:b/>
          <w:sz w:val="24"/>
          <w:szCs w:val="24"/>
        </w:rPr>
        <w:tab/>
        <w:t>DATO FOR FØRSTE MARKEDSFØRINGSTILLADELSE</w:t>
      </w:r>
    </w:p>
    <w:p w:rsidR="005B0036" w:rsidRPr="007C2147" w:rsidRDefault="00CB38D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15. juni 2018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10.</w:t>
      </w:r>
      <w:r w:rsidRPr="007C2147">
        <w:rPr>
          <w:b/>
          <w:sz w:val="24"/>
          <w:szCs w:val="24"/>
        </w:rPr>
        <w:tab/>
        <w:t>DATO FOR ÆNDRING AF TEKSTEN</w:t>
      </w:r>
    </w:p>
    <w:p w:rsidR="005B0036" w:rsidRPr="007C2147" w:rsidRDefault="00BF3C69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7C2147">
        <w:rPr>
          <w:sz w:val="24"/>
          <w:szCs w:val="24"/>
        </w:rPr>
        <w:t>5. februar 2019</w:t>
      </w:r>
    </w:p>
    <w:p w:rsidR="005B0036" w:rsidRPr="007C2147" w:rsidRDefault="005B0036" w:rsidP="005B0036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5B0036" w:rsidRPr="007C2147" w:rsidRDefault="005B0036" w:rsidP="005B0036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7C2147">
        <w:rPr>
          <w:b/>
          <w:sz w:val="24"/>
          <w:szCs w:val="24"/>
        </w:rPr>
        <w:t>11.</w:t>
      </w:r>
      <w:r w:rsidRPr="007C2147">
        <w:rPr>
          <w:b/>
          <w:sz w:val="24"/>
          <w:szCs w:val="24"/>
        </w:rPr>
        <w:tab/>
        <w:t>UDLEVERINGSBESTEMMELSE</w:t>
      </w:r>
    </w:p>
    <w:p w:rsidR="0003527F" w:rsidRPr="007C2147" w:rsidRDefault="00D05BC0" w:rsidP="00D05BC0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7C2147">
        <w:rPr>
          <w:szCs w:val="24"/>
        </w:rPr>
        <w:t>BP</w:t>
      </w:r>
    </w:p>
    <w:sectPr w:rsidR="0003527F" w:rsidRPr="007C2147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345" w:rsidRDefault="00342345">
      <w:r>
        <w:separator/>
      </w:r>
    </w:p>
  </w:endnote>
  <w:endnote w:type="continuationSeparator" w:id="0">
    <w:p w:rsidR="00342345" w:rsidRDefault="0034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6D06">
      <w:rPr>
        <w:i/>
        <w:noProof/>
        <w:snapToGrid w:val="0"/>
        <w:sz w:val="18"/>
      </w:rPr>
      <w:t>Gallifen, suspension til anvendelse i drikkevand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7664E">
      <w:rPr>
        <w:i/>
        <w:noProof/>
        <w:snapToGrid w:val="0"/>
        <w:sz w:val="18"/>
      </w:rPr>
      <w:t>2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7664E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66D06">
      <w:rPr>
        <w:i/>
        <w:noProof/>
        <w:snapToGrid w:val="0"/>
        <w:sz w:val="18"/>
      </w:rPr>
      <w:t>Gallifen, suspension til anvendelse i drikkevand 200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6719CA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66D0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345" w:rsidRDefault="00342345">
      <w:r>
        <w:separator/>
      </w:r>
    </w:p>
  </w:footnote>
  <w:footnote w:type="continuationSeparator" w:id="0">
    <w:p w:rsidR="00342345" w:rsidRDefault="00342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A7304"/>
    <w:multiLevelType w:val="hybridMultilevel"/>
    <w:tmpl w:val="4E4A0366"/>
    <w:lvl w:ilvl="0" w:tplc="F78079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7DF"/>
    <w:multiLevelType w:val="hybridMultilevel"/>
    <w:tmpl w:val="0ED2D156"/>
    <w:lvl w:ilvl="0" w:tplc="08090001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45"/>
    <w:rsid w:val="00024282"/>
    <w:rsid w:val="0003527F"/>
    <w:rsid w:val="00065C7D"/>
    <w:rsid w:val="000C6CD4"/>
    <w:rsid w:val="000C70B4"/>
    <w:rsid w:val="000D41AC"/>
    <w:rsid w:val="00141AC7"/>
    <w:rsid w:val="001577E4"/>
    <w:rsid w:val="001858CA"/>
    <w:rsid w:val="001C4AEF"/>
    <w:rsid w:val="001D3CC5"/>
    <w:rsid w:val="001F16AA"/>
    <w:rsid w:val="001F3E29"/>
    <w:rsid w:val="00215329"/>
    <w:rsid w:val="00261BAB"/>
    <w:rsid w:val="00271BA1"/>
    <w:rsid w:val="00282AC2"/>
    <w:rsid w:val="00283BF3"/>
    <w:rsid w:val="002A5FBE"/>
    <w:rsid w:val="002A635F"/>
    <w:rsid w:val="002E1903"/>
    <w:rsid w:val="00322BDE"/>
    <w:rsid w:val="00342345"/>
    <w:rsid w:val="00392242"/>
    <w:rsid w:val="003934A0"/>
    <w:rsid w:val="00393BDD"/>
    <w:rsid w:val="003C3A90"/>
    <w:rsid w:val="00406EE7"/>
    <w:rsid w:val="00407013"/>
    <w:rsid w:val="00452964"/>
    <w:rsid w:val="004570C4"/>
    <w:rsid w:val="004720E7"/>
    <w:rsid w:val="004A62CC"/>
    <w:rsid w:val="004B1907"/>
    <w:rsid w:val="004D5A0C"/>
    <w:rsid w:val="005243F4"/>
    <w:rsid w:val="00537E71"/>
    <w:rsid w:val="00565A74"/>
    <w:rsid w:val="00575712"/>
    <w:rsid w:val="00577CAA"/>
    <w:rsid w:val="005B0036"/>
    <w:rsid w:val="005E4646"/>
    <w:rsid w:val="005F0ACF"/>
    <w:rsid w:val="005F5831"/>
    <w:rsid w:val="006030E6"/>
    <w:rsid w:val="0060527F"/>
    <w:rsid w:val="0061441C"/>
    <w:rsid w:val="006540BE"/>
    <w:rsid w:val="00662012"/>
    <w:rsid w:val="00664508"/>
    <w:rsid w:val="00666B01"/>
    <w:rsid w:val="006719CA"/>
    <w:rsid w:val="00675DF3"/>
    <w:rsid w:val="006B1539"/>
    <w:rsid w:val="006C15A3"/>
    <w:rsid w:val="006F5621"/>
    <w:rsid w:val="00701B7E"/>
    <w:rsid w:val="007024AB"/>
    <w:rsid w:val="00725ABA"/>
    <w:rsid w:val="007C2147"/>
    <w:rsid w:val="007E2A00"/>
    <w:rsid w:val="008010F2"/>
    <w:rsid w:val="00866D06"/>
    <w:rsid w:val="0087664E"/>
    <w:rsid w:val="008B5DF7"/>
    <w:rsid w:val="008F1523"/>
    <w:rsid w:val="009202AE"/>
    <w:rsid w:val="00923E15"/>
    <w:rsid w:val="00930E98"/>
    <w:rsid w:val="009A0F7C"/>
    <w:rsid w:val="009B0F97"/>
    <w:rsid w:val="009B64AA"/>
    <w:rsid w:val="009D24C2"/>
    <w:rsid w:val="009D66C6"/>
    <w:rsid w:val="009F3057"/>
    <w:rsid w:val="00A9394F"/>
    <w:rsid w:val="00A96525"/>
    <w:rsid w:val="00AB05DC"/>
    <w:rsid w:val="00AB32C8"/>
    <w:rsid w:val="00AE1F7F"/>
    <w:rsid w:val="00AE29E5"/>
    <w:rsid w:val="00AE5757"/>
    <w:rsid w:val="00B01C3B"/>
    <w:rsid w:val="00B1554C"/>
    <w:rsid w:val="00B25EB8"/>
    <w:rsid w:val="00B54138"/>
    <w:rsid w:val="00B77D52"/>
    <w:rsid w:val="00BC634B"/>
    <w:rsid w:val="00BF2AE0"/>
    <w:rsid w:val="00BF3C69"/>
    <w:rsid w:val="00C11C6E"/>
    <w:rsid w:val="00C479BF"/>
    <w:rsid w:val="00C8724C"/>
    <w:rsid w:val="00CB38D9"/>
    <w:rsid w:val="00CB7296"/>
    <w:rsid w:val="00CD60B2"/>
    <w:rsid w:val="00CE4CAC"/>
    <w:rsid w:val="00D05BC0"/>
    <w:rsid w:val="00D16E3E"/>
    <w:rsid w:val="00D2726C"/>
    <w:rsid w:val="00D4613B"/>
    <w:rsid w:val="00D5234A"/>
    <w:rsid w:val="00DD236C"/>
    <w:rsid w:val="00DD6D71"/>
    <w:rsid w:val="00DF32BE"/>
    <w:rsid w:val="00E14F0A"/>
    <w:rsid w:val="00E81CC4"/>
    <w:rsid w:val="00EB17AE"/>
    <w:rsid w:val="00EB5778"/>
    <w:rsid w:val="00EC1EBE"/>
    <w:rsid w:val="00EE5253"/>
    <w:rsid w:val="00EF7142"/>
    <w:rsid w:val="00F07B51"/>
    <w:rsid w:val="00F15895"/>
    <w:rsid w:val="00F25F1D"/>
    <w:rsid w:val="00FA185C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41D69-61B0-4C23-9D42-8F998791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Default">
    <w:name w:val="Default"/>
    <w:rsid w:val="00B54138"/>
    <w:pPr>
      <w:autoSpaceDE w:val="0"/>
      <w:autoSpaceDN w:val="0"/>
      <w:adjustRightInd w:val="0"/>
    </w:pPr>
    <w:rPr>
      <w:rFonts w:ascii="EUAlbertina" w:eastAsia="EUAlbertina" w:cs="EUAlbertina"/>
      <w:color w:val="000000"/>
      <w:sz w:val="24"/>
      <w:szCs w:val="24"/>
      <w:lang w:val="it-IT" w:eastAsia="it-IT"/>
    </w:rPr>
  </w:style>
  <w:style w:type="paragraph" w:styleId="NormalWeb">
    <w:name w:val="Normal (Web)"/>
    <w:basedOn w:val="Normal"/>
    <w:uiPriority w:val="99"/>
    <w:rsid w:val="00B54138"/>
    <w:pPr>
      <w:spacing w:beforeLines="1" w:afterLines="1"/>
    </w:pPr>
    <w:rPr>
      <w:rFonts w:ascii="Times" w:hAnsi="Times"/>
      <w:sz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31</TotalTime>
  <Pages>6</Pages>
  <Words>1377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2018021625, ny dyreart - kalkun</dc:description>
  <cp:lastModifiedBy>Gitte Jørgensen</cp:lastModifiedBy>
  <cp:revision>8</cp:revision>
  <cp:lastPrinted>2019-02-05T11:56:00Z</cp:lastPrinted>
  <dcterms:created xsi:type="dcterms:W3CDTF">2019-02-05T08:04:00Z</dcterms:created>
  <dcterms:modified xsi:type="dcterms:W3CDTF">2019-02-05T12:03:00Z</dcterms:modified>
</cp:coreProperties>
</file>