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6E4" w:rsidRPr="00246DD2" w:rsidRDefault="00857CD6" w:rsidP="00FA66E4">
      <w:pPr>
        <w:tabs>
          <w:tab w:val="left" w:pos="6804"/>
        </w:tabs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a-DK"/>
        </w:rPr>
        <w:drawing>
          <wp:inline distT="0" distB="0" distL="0" distR="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ADC" w:rsidRPr="00246DD2" w:rsidRDefault="007D4ADC" w:rsidP="00FA66E4">
      <w:pPr>
        <w:tabs>
          <w:tab w:val="left" w:pos="6804"/>
        </w:tabs>
        <w:rPr>
          <w:b/>
          <w:sz w:val="24"/>
          <w:szCs w:val="24"/>
        </w:rPr>
      </w:pPr>
    </w:p>
    <w:p w:rsidR="00FA66E4" w:rsidRPr="00246DD2" w:rsidRDefault="00913E8A" w:rsidP="00FA66E4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857CD6">
        <w:rPr>
          <w:b/>
          <w:sz w:val="24"/>
          <w:szCs w:val="24"/>
        </w:rPr>
        <w:t>februar</w:t>
      </w:r>
      <w:r>
        <w:rPr>
          <w:b/>
          <w:sz w:val="24"/>
          <w:szCs w:val="24"/>
        </w:rPr>
        <w:t xml:space="preserve"> 201</w:t>
      </w:r>
      <w:r w:rsidR="00857CD6">
        <w:rPr>
          <w:b/>
          <w:sz w:val="24"/>
          <w:szCs w:val="24"/>
        </w:rPr>
        <w:t>6</w:t>
      </w:r>
    </w:p>
    <w:p w:rsidR="00FA66E4" w:rsidRPr="00246DD2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FA66E4" w:rsidRPr="00246DD2" w:rsidRDefault="00FA66E4" w:rsidP="00FA66E4">
      <w:pPr>
        <w:tabs>
          <w:tab w:val="left" w:pos="8222"/>
        </w:tabs>
        <w:rPr>
          <w:sz w:val="24"/>
          <w:szCs w:val="24"/>
        </w:rPr>
      </w:pPr>
    </w:p>
    <w:p w:rsidR="00FA66E4" w:rsidRPr="00246DD2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bookmarkStart w:id="0" w:name="_GoBack"/>
      <w:bookmarkEnd w:id="0"/>
      <w:r w:rsidRPr="00246DD2">
        <w:rPr>
          <w:b/>
          <w:sz w:val="24"/>
          <w:szCs w:val="24"/>
        </w:rPr>
        <w:t>PRODUKTRESUMÉ</w:t>
      </w:r>
    </w:p>
    <w:p w:rsidR="00FA66E4" w:rsidRPr="00246DD2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246DD2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gramStart"/>
      <w:r w:rsidRPr="00246DD2">
        <w:rPr>
          <w:b/>
          <w:sz w:val="24"/>
          <w:szCs w:val="24"/>
        </w:rPr>
        <w:t>for</w:t>
      </w:r>
      <w:proofErr w:type="gramEnd"/>
    </w:p>
    <w:p w:rsidR="00FA66E4" w:rsidRPr="00246DD2" w:rsidRDefault="00FA66E4" w:rsidP="00FA66E4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A66E4" w:rsidRPr="00246DD2" w:rsidRDefault="00146E82" w:rsidP="00FA66E4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246DD2">
        <w:rPr>
          <w:b/>
          <w:sz w:val="24"/>
          <w:szCs w:val="24"/>
        </w:rPr>
        <w:t>Genta-Equine</w:t>
      </w:r>
      <w:proofErr w:type="spellEnd"/>
      <w:r w:rsidRPr="00246DD2">
        <w:rPr>
          <w:b/>
          <w:sz w:val="24"/>
          <w:szCs w:val="24"/>
        </w:rPr>
        <w:t>, injektionsvæske, opløsning 100 mg/ml</w:t>
      </w:r>
    </w:p>
    <w:p w:rsidR="00FA66E4" w:rsidRPr="00246DD2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:rsidR="00FA66E4" w:rsidRPr="00246DD2" w:rsidRDefault="00FA66E4" w:rsidP="00FA66E4">
      <w:pPr>
        <w:tabs>
          <w:tab w:val="left" w:pos="8222"/>
        </w:tabs>
        <w:jc w:val="both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0.</w:t>
      </w:r>
      <w:r w:rsidRPr="00246DD2">
        <w:rPr>
          <w:b/>
          <w:sz w:val="24"/>
          <w:szCs w:val="24"/>
        </w:rPr>
        <w:tab/>
        <w:t>D.SP.NR</w:t>
      </w:r>
      <w:r w:rsidR="00406EE7" w:rsidRPr="00246DD2">
        <w:rPr>
          <w:b/>
          <w:sz w:val="24"/>
          <w:szCs w:val="24"/>
        </w:rPr>
        <w:t>.</w:t>
      </w:r>
    </w:p>
    <w:p w:rsidR="00FA66E4" w:rsidRPr="00246DD2" w:rsidRDefault="002E1A6E" w:rsidP="00406EE7">
      <w:pPr>
        <w:tabs>
          <w:tab w:val="left" w:pos="8222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28926</w:t>
      </w:r>
    </w:p>
    <w:p w:rsidR="00FA66E4" w:rsidRPr="00246DD2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1.</w:t>
      </w:r>
      <w:r w:rsidRPr="00246DD2">
        <w:rPr>
          <w:b/>
          <w:sz w:val="24"/>
          <w:szCs w:val="24"/>
        </w:rPr>
        <w:tab/>
        <w:t>VETERINÆRLÆGEMIDLETS NAVN</w:t>
      </w:r>
    </w:p>
    <w:p w:rsidR="00FA66E4" w:rsidRPr="00246DD2" w:rsidRDefault="002E1A6E" w:rsidP="00406EE7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246DD2">
        <w:rPr>
          <w:sz w:val="24"/>
          <w:szCs w:val="24"/>
        </w:rPr>
        <w:t>Genta-Equine</w:t>
      </w:r>
      <w:proofErr w:type="spellEnd"/>
    </w:p>
    <w:p w:rsidR="00FA66E4" w:rsidRPr="00246DD2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2.</w:t>
      </w:r>
      <w:r w:rsidRPr="00246DD2">
        <w:rPr>
          <w:b/>
          <w:sz w:val="24"/>
          <w:szCs w:val="24"/>
        </w:rPr>
        <w:tab/>
        <w:t>KVALITATIV OG KVANTITATIV SAMMENSÆTNING</w:t>
      </w:r>
    </w:p>
    <w:p w:rsidR="0058468D" w:rsidRPr="00246DD2" w:rsidRDefault="0058468D" w:rsidP="0058468D">
      <w:pPr>
        <w:tabs>
          <w:tab w:val="left" w:pos="600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En ml indeholder:</w:t>
      </w:r>
    </w:p>
    <w:p w:rsidR="0058468D" w:rsidRPr="00246DD2" w:rsidRDefault="0058468D" w:rsidP="0058468D">
      <w:pPr>
        <w:ind w:left="851"/>
        <w:rPr>
          <w:sz w:val="24"/>
          <w:szCs w:val="24"/>
        </w:rPr>
      </w:pPr>
    </w:p>
    <w:p w:rsidR="0058468D" w:rsidRPr="00246DD2" w:rsidRDefault="005E20E9" w:rsidP="005E20E9">
      <w:pPr>
        <w:ind w:left="851"/>
        <w:rPr>
          <w:bCs/>
          <w:sz w:val="24"/>
          <w:szCs w:val="24"/>
          <w:u w:val="single"/>
        </w:rPr>
      </w:pPr>
      <w:r w:rsidRPr="00246DD2">
        <w:rPr>
          <w:bCs/>
          <w:sz w:val="24"/>
          <w:szCs w:val="24"/>
          <w:u w:val="single"/>
        </w:rPr>
        <w:t>Aktivt stof</w:t>
      </w:r>
    </w:p>
    <w:p w:rsidR="0058468D" w:rsidRPr="00246DD2" w:rsidRDefault="0058468D" w:rsidP="005E20E9">
      <w:pPr>
        <w:tabs>
          <w:tab w:val="left" w:pos="1701"/>
          <w:tab w:val="left" w:pos="5245"/>
        </w:tabs>
        <w:ind w:left="851"/>
        <w:rPr>
          <w:sz w:val="24"/>
          <w:szCs w:val="24"/>
        </w:rPr>
      </w:pP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(som </w:t>
      </w:r>
      <w:proofErr w:type="spellStart"/>
      <w:proofErr w:type="gramStart"/>
      <w:r w:rsidRPr="00246DD2">
        <w:rPr>
          <w:sz w:val="24"/>
          <w:szCs w:val="24"/>
        </w:rPr>
        <w:t>gentamicinsulfat</w:t>
      </w:r>
      <w:proofErr w:type="spellEnd"/>
      <w:r w:rsidRPr="00246DD2">
        <w:rPr>
          <w:sz w:val="24"/>
          <w:szCs w:val="24"/>
        </w:rPr>
        <w:t>)</w:t>
      </w:r>
      <w:r w:rsidRPr="00246DD2">
        <w:rPr>
          <w:sz w:val="24"/>
          <w:szCs w:val="24"/>
        </w:rPr>
        <w:tab/>
      </w:r>
      <w:proofErr w:type="gramEnd"/>
      <w:r w:rsidRPr="00246DD2">
        <w:rPr>
          <w:sz w:val="24"/>
          <w:szCs w:val="24"/>
        </w:rPr>
        <w:t>100 mg</w:t>
      </w:r>
    </w:p>
    <w:p w:rsidR="0058468D" w:rsidRPr="00246DD2" w:rsidRDefault="0058468D" w:rsidP="005E20E9">
      <w:pPr>
        <w:tabs>
          <w:tab w:val="left" w:pos="1701"/>
          <w:tab w:val="left" w:pos="5245"/>
        </w:tabs>
        <w:ind w:left="851"/>
        <w:rPr>
          <w:sz w:val="24"/>
          <w:szCs w:val="24"/>
        </w:rPr>
      </w:pPr>
    </w:p>
    <w:p w:rsidR="0058468D" w:rsidRPr="00246DD2" w:rsidRDefault="0058468D" w:rsidP="005E20E9">
      <w:pPr>
        <w:tabs>
          <w:tab w:val="left" w:pos="5245"/>
        </w:tabs>
        <w:ind w:left="851"/>
        <w:rPr>
          <w:sz w:val="24"/>
          <w:szCs w:val="24"/>
          <w:u w:val="single"/>
        </w:rPr>
      </w:pPr>
      <w:r w:rsidRPr="00246DD2">
        <w:rPr>
          <w:bCs/>
          <w:sz w:val="24"/>
          <w:szCs w:val="24"/>
          <w:u w:val="single"/>
        </w:rPr>
        <w:t>Hjælpestoffer</w:t>
      </w:r>
    </w:p>
    <w:p w:rsidR="0058468D" w:rsidRPr="00246DD2" w:rsidRDefault="0058468D" w:rsidP="005E20E9">
      <w:pPr>
        <w:tabs>
          <w:tab w:val="left" w:pos="5245"/>
        </w:tabs>
        <w:ind w:left="851"/>
        <w:rPr>
          <w:sz w:val="24"/>
          <w:szCs w:val="24"/>
        </w:rPr>
      </w:pPr>
      <w:proofErr w:type="spellStart"/>
      <w:r w:rsidRPr="00246DD2">
        <w:rPr>
          <w:sz w:val="24"/>
          <w:szCs w:val="24"/>
        </w:rPr>
        <w:t>Natriummetabisulfit</w:t>
      </w:r>
      <w:proofErr w:type="spellEnd"/>
      <w:r w:rsidR="005E20E9" w:rsidRPr="00246DD2">
        <w:rPr>
          <w:sz w:val="24"/>
          <w:szCs w:val="24"/>
        </w:rPr>
        <w:tab/>
      </w:r>
      <w:r w:rsidRPr="00246DD2">
        <w:rPr>
          <w:sz w:val="24"/>
          <w:szCs w:val="24"/>
        </w:rPr>
        <w:t>1,0 mg</w:t>
      </w:r>
    </w:p>
    <w:p w:rsidR="0058468D" w:rsidRPr="00246DD2" w:rsidRDefault="0058468D" w:rsidP="005E20E9">
      <w:pPr>
        <w:tabs>
          <w:tab w:val="left" w:pos="5245"/>
        </w:tabs>
        <w:ind w:left="851"/>
        <w:rPr>
          <w:sz w:val="24"/>
          <w:szCs w:val="24"/>
          <w:lang w:val="de-DE"/>
        </w:rPr>
      </w:pPr>
      <w:proofErr w:type="spellStart"/>
      <w:r w:rsidRPr="00246DD2">
        <w:rPr>
          <w:sz w:val="24"/>
          <w:szCs w:val="24"/>
          <w:lang w:val="de-DE"/>
        </w:rPr>
        <w:t>Natriummetylparahydroxybenzoat</w:t>
      </w:r>
      <w:proofErr w:type="spellEnd"/>
      <w:r w:rsidRPr="00246DD2">
        <w:rPr>
          <w:sz w:val="24"/>
          <w:szCs w:val="24"/>
          <w:lang w:val="de-DE"/>
        </w:rPr>
        <w:t xml:space="preserve"> (E219)</w:t>
      </w:r>
      <w:r w:rsidR="005E20E9" w:rsidRPr="00246DD2">
        <w:rPr>
          <w:sz w:val="24"/>
          <w:szCs w:val="24"/>
          <w:lang w:val="de-DE"/>
        </w:rPr>
        <w:tab/>
      </w:r>
      <w:r w:rsidRPr="00246DD2">
        <w:rPr>
          <w:sz w:val="24"/>
          <w:szCs w:val="24"/>
          <w:lang w:val="de-DE"/>
        </w:rPr>
        <w:t>0,9 mg</w:t>
      </w:r>
    </w:p>
    <w:p w:rsidR="0058468D" w:rsidRPr="00246DD2" w:rsidRDefault="0058468D" w:rsidP="005E20E9">
      <w:pPr>
        <w:tabs>
          <w:tab w:val="left" w:pos="5245"/>
        </w:tabs>
        <w:ind w:left="851"/>
        <w:rPr>
          <w:sz w:val="24"/>
          <w:szCs w:val="24"/>
        </w:rPr>
      </w:pPr>
      <w:proofErr w:type="spellStart"/>
      <w:r w:rsidRPr="00246DD2">
        <w:rPr>
          <w:sz w:val="24"/>
          <w:szCs w:val="24"/>
        </w:rPr>
        <w:t>Natriumpropylparahydroxybenzoat</w:t>
      </w:r>
      <w:proofErr w:type="spellEnd"/>
      <w:r w:rsidRPr="00246DD2">
        <w:rPr>
          <w:sz w:val="24"/>
          <w:szCs w:val="24"/>
        </w:rPr>
        <w:t xml:space="preserve"> (E</w:t>
      </w:r>
      <w:proofErr w:type="gramStart"/>
      <w:r w:rsidRPr="00246DD2">
        <w:rPr>
          <w:sz w:val="24"/>
          <w:szCs w:val="24"/>
        </w:rPr>
        <w:t>217)</w:t>
      </w:r>
      <w:r w:rsidR="005E20E9" w:rsidRPr="00246DD2">
        <w:rPr>
          <w:sz w:val="24"/>
          <w:szCs w:val="24"/>
        </w:rPr>
        <w:tab/>
      </w:r>
      <w:proofErr w:type="gramEnd"/>
      <w:r w:rsidRPr="00246DD2">
        <w:rPr>
          <w:sz w:val="24"/>
          <w:szCs w:val="24"/>
        </w:rPr>
        <w:t>0,1 mg</w:t>
      </w:r>
    </w:p>
    <w:p w:rsidR="0058468D" w:rsidRPr="00246DD2" w:rsidRDefault="0058468D" w:rsidP="005E20E9">
      <w:pPr>
        <w:tabs>
          <w:tab w:val="left" w:pos="5245"/>
        </w:tabs>
        <w:ind w:left="851"/>
        <w:rPr>
          <w:sz w:val="24"/>
          <w:szCs w:val="24"/>
        </w:rPr>
      </w:pPr>
    </w:p>
    <w:p w:rsidR="00FA66E4" w:rsidRPr="00246DD2" w:rsidRDefault="0058468D" w:rsidP="005E20E9">
      <w:pPr>
        <w:tabs>
          <w:tab w:val="left" w:pos="5245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Alle hjælpestoffer er anført under pkt. 6.</w:t>
      </w:r>
      <w:r w:rsidR="005E20E9" w:rsidRPr="00246DD2">
        <w:rPr>
          <w:sz w:val="24"/>
          <w:szCs w:val="24"/>
        </w:rPr>
        <w:t>1.</w:t>
      </w:r>
    </w:p>
    <w:p w:rsidR="00FA66E4" w:rsidRPr="00246DD2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3.</w:t>
      </w:r>
      <w:r w:rsidRPr="00246DD2">
        <w:rPr>
          <w:b/>
          <w:sz w:val="24"/>
          <w:szCs w:val="24"/>
        </w:rPr>
        <w:tab/>
        <w:t>LÆGEMIDDELFORM</w:t>
      </w:r>
    </w:p>
    <w:p w:rsidR="005E20E9" w:rsidRPr="00246DD2" w:rsidRDefault="005E20E9" w:rsidP="005E20E9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Injektionsvæske, opløsning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</w:t>
      </w:r>
      <w:r w:rsidRPr="00246DD2">
        <w:rPr>
          <w:b/>
          <w:sz w:val="24"/>
          <w:szCs w:val="24"/>
        </w:rPr>
        <w:tab/>
        <w:t>KLINISKE OPLYSNINGER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246DD2">
        <w:rPr>
          <w:b/>
          <w:sz w:val="24"/>
          <w:szCs w:val="24"/>
        </w:rPr>
        <w:t>4.1</w:t>
      </w:r>
      <w:r w:rsidRPr="00246DD2">
        <w:rPr>
          <w:b/>
          <w:sz w:val="24"/>
          <w:szCs w:val="24"/>
        </w:rPr>
        <w:tab/>
        <w:t>Dyrearter</w:t>
      </w:r>
    </w:p>
    <w:p w:rsidR="00FA66E4" w:rsidRPr="00246DD2" w:rsidRDefault="005E20E9" w:rsidP="00406EE7">
      <w:pPr>
        <w:tabs>
          <w:tab w:val="left" w:pos="8222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Hest (ikke til konsum)</w:t>
      </w:r>
    </w:p>
    <w:p w:rsidR="00FA66E4" w:rsidRPr="00246DD2" w:rsidRDefault="00FA66E4" w:rsidP="00406EE7">
      <w:pPr>
        <w:tabs>
          <w:tab w:val="left" w:pos="8222"/>
        </w:tabs>
        <w:ind w:left="851"/>
        <w:rPr>
          <w:sz w:val="24"/>
          <w:szCs w:val="24"/>
        </w:rPr>
      </w:pPr>
    </w:p>
    <w:p w:rsidR="00FA66E4" w:rsidRPr="00246DD2" w:rsidRDefault="00FA66E4" w:rsidP="00406EE7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246DD2">
        <w:rPr>
          <w:b/>
          <w:szCs w:val="24"/>
        </w:rPr>
        <w:t>4.2</w:t>
      </w:r>
      <w:r w:rsidRPr="00246DD2">
        <w:rPr>
          <w:b/>
          <w:szCs w:val="24"/>
        </w:rPr>
        <w:tab/>
        <w:t>Terapeutiske indikationer</w:t>
      </w:r>
    </w:p>
    <w:p w:rsidR="00F015A0" w:rsidRPr="00246DD2" w:rsidRDefault="00F015A0" w:rsidP="00F015A0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Behandling af nedre luftvejsinfektioner hos heste forårsaget af </w:t>
      </w:r>
      <w:proofErr w:type="spellStart"/>
      <w:r w:rsidRPr="00246DD2">
        <w:rPr>
          <w:sz w:val="24"/>
          <w:szCs w:val="24"/>
        </w:rPr>
        <w:t>gentamicinfølsomme</w:t>
      </w:r>
      <w:proofErr w:type="spellEnd"/>
      <w:r w:rsidRPr="00246DD2">
        <w:rPr>
          <w:sz w:val="24"/>
          <w:szCs w:val="24"/>
        </w:rPr>
        <w:t>, aerobe gramnegative bakterier.</w:t>
      </w:r>
      <w:r w:rsidRPr="00246DD2">
        <w:rPr>
          <w:sz w:val="24"/>
          <w:szCs w:val="24"/>
        </w:rPr>
        <w:tab/>
      </w:r>
    </w:p>
    <w:p w:rsidR="00FA66E4" w:rsidRPr="00246DD2" w:rsidRDefault="00FA66E4" w:rsidP="00406EE7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A66E4" w:rsidRPr="00246DD2" w:rsidRDefault="00FA66E4" w:rsidP="00406EE7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246DD2">
        <w:rPr>
          <w:b/>
          <w:szCs w:val="24"/>
        </w:rPr>
        <w:t>4.3</w:t>
      </w:r>
      <w:r w:rsidRPr="00246DD2">
        <w:rPr>
          <w:b/>
          <w:szCs w:val="24"/>
        </w:rPr>
        <w:tab/>
        <w:t>Kontraindikationer</w:t>
      </w:r>
    </w:p>
    <w:p w:rsidR="00F015A0" w:rsidRPr="00246DD2" w:rsidRDefault="00F015A0" w:rsidP="008747F3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Må ikke anvendes ved kendt </w:t>
      </w:r>
      <w:proofErr w:type="spellStart"/>
      <w:r w:rsidRPr="00246DD2">
        <w:rPr>
          <w:sz w:val="24"/>
          <w:szCs w:val="24"/>
        </w:rPr>
        <w:t>renal</w:t>
      </w:r>
      <w:proofErr w:type="spellEnd"/>
      <w:r w:rsidRPr="00246DD2">
        <w:rPr>
          <w:sz w:val="24"/>
          <w:szCs w:val="24"/>
        </w:rPr>
        <w:t xml:space="preserve"> dysfunktion.</w:t>
      </w:r>
    </w:p>
    <w:p w:rsidR="00F015A0" w:rsidRPr="00246DD2" w:rsidRDefault="00F015A0" w:rsidP="008747F3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Må ikke anvendes ved kendt overfølsomhed over for det aktive stof eller et eller flere af hjælpestofferne.</w:t>
      </w:r>
    </w:p>
    <w:p w:rsidR="00FA66E4" w:rsidRPr="00246DD2" w:rsidRDefault="00F015A0" w:rsidP="008747F3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Overskrid ikke det angivne dosisregime.</w:t>
      </w:r>
    </w:p>
    <w:p w:rsidR="00FA66E4" w:rsidRPr="00246DD2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4.4</w:t>
      </w:r>
      <w:r w:rsidRPr="00246DD2">
        <w:rPr>
          <w:b/>
          <w:sz w:val="24"/>
          <w:szCs w:val="24"/>
        </w:rPr>
        <w:tab/>
        <w:t>Særlige advarsler</w:t>
      </w:r>
    </w:p>
    <w:p w:rsidR="00FA66E4" w:rsidRPr="00246DD2" w:rsidRDefault="00F015A0" w:rsidP="008747F3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Må ikke anvendes til heste, der er beregnet til at</w:t>
      </w:r>
      <w:r w:rsidR="008747F3" w:rsidRPr="00246DD2">
        <w:rPr>
          <w:sz w:val="24"/>
          <w:szCs w:val="24"/>
        </w:rPr>
        <w:t xml:space="preserve"> producere kød eller mælk til </w:t>
      </w:r>
      <w:r w:rsidRPr="00246DD2">
        <w:rPr>
          <w:sz w:val="24"/>
          <w:szCs w:val="24"/>
        </w:rPr>
        <w:t>menneskeføde.</w:t>
      </w:r>
    </w:p>
    <w:p w:rsidR="00FA66E4" w:rsidRPr="00246DD2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4.5</w:t>
      </w:r>
      <w:r w:rsidRPr="00246DD2">
        <w:rPr>
          <w:b/>
          <w:sz w:val="24"/>
          <w:szCs w:val="24"/>
        </w:rPr>
        <w:tab/>
        <w:t>Særlige forsigtighedsregler vedrørende brugen</w:t>
      </w:r>
    </w:p>
    <w:p w:rsidR="00FA66E4" w:rsidRPr="00246DD2" w:rsidRDefault="00FA66E4" w:rsidP="00AA2D5E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</w:p>
    <w:p w:rsidR="00B84DBB" w:rsidRPr="00246DD2" w:rsidRDefault="00FA66E4" w:rsidP="00AA2D5E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Særlige forsigtighedsregler for dyret</w:t>
      </w:r>
    </w:p>
    <w:p w:rsidR="00913E8A" w:rsidRDefault="00B84DBB" w:rsidP="00913E8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Det er velkendt, at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inducerer </w:t>
      </w:r>
      <w:proofErr w:type="spellStart"/>
      <w:r w:rsidRPr="00246DD2">
        <w:rPr>
          <w:sz w:val="24"/>
          <w:szCs w:val="24"/>
        </w:rPr>
        <w:t>nefrotoksicitet</w:t>
      </w:r>
      <w:proofErr w:type="spellEnd"/>
      <w:r w:rsidRPr="00246DD2">
        <w:rPr>
          <w:sz w:val="24"/>
          <w:szCs w:val="24"/>
        </w:rPr>
        <w:t xml:space="preserve"> selv i terapeutiske doser. Der er desuden enkeltstående beskrivelser af </w:t>
      </w:r>
      <w:proofErr w:type="spellStart"/>
      <w:r w:rsidRPr="00246DD2">
        <w:rPr>
          <w:sz w:val="24"/>
          <w:szCs w:val="24"/>
        </w:rPr>
        <w:t>ototoksicitet</w:t>
      </w:r>
      <w:proofErr w:type="spellEnd"/>
      <w:r w:rsidRPr="00246DD2">
        <w:rPr>
          <w:sz w:val="24"/>
          <w:szCs w:val="24"/>
        </w:rPr>
        <w:t xml:space="preserve"> med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. Der er ikke fastlagt en sikkerhedsmargin ved det godkendte doseringsregime.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har som sådant en snæver sikkerhedsmargin. Lægemidlet bør derfor kun anvendes på grundlag af den ansvarlige dyrlæges </w:t>
      </w:r>
      <w:proofErr w:type="spellStart"/>
      <w:r w:rsidRPr="00246DD2">
        <w:rPr>
          <w:sz w:val="24"/>
          <w:szCs w:val="24"/>
        </w:rPr>
        <w:t>benefit</w:t>
      </w:r>
      <w:proofErr w:type="spellEnd"/>
      <w:r w:rsidRPr="00246DD2">
        <w:rPr>
          <w:sz w:val="24"/>
          <w:szCs w:val="24"/>
        </w:rPr>
        <w:t>/</w:t>
      </w:r>
      <w:proofErr w:type="spellStart"/>
      <w:r w:rsidRPr="00246DD2">
        <w:rPr>
          <w:sz w:val="24"/>
          <w:szCs w:val="24"/>
        </w:rPr>
        <w:t>risk</w:t>
      </w:r>
      <w:proofErr w:type="spellEnd"/>
      <w:r w:rsidRPr="00246DD2">
        <w:rPr>
          <w:sz w:val="24"/>
          <w:szCs w:val="24"/>
        </w:rPr>
        <w:t>-vurdering for den enkelte hest under hensyntagen til foreliggende behandlingsalternativer.</w:t>
      </w:r>
    </w:p>
    <w:p w:rsidR="00913E8A" w:rsidRDefault="00913E8A" w:rsidP="00913E8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913E8A" w:rsidRDefault="00B84DBB" w:rsidP="00913E8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For at mindske risikoen for </w:t>
      </w:r>
      <w:proofErr w:type="spellStart"/>
      <w:r w:rsidRPr="00246DD2">
        <w:rPr>
          <w:sz w:val="24"/>
          <w:szCs w:val="24"/>
        </w:rPr>
        <w:t>nefrotoksicitet</w:t>
      </w:r>
      <w:proofErr w:type="spellEnd"/>
      <w:r w:rsidRPr="00246DD2">
        <w:rPr>
          <w:sz w:val="24"/>
          <w:szCs w:val="24"/>
        </w:rPr>
        <w:t xml:space="preserve"> bør der sikres tilstrækkelig hydrering af dyrene under behandlingen, og om nødvendigt bør væsketerapi institueres.</w:t>
      </w:r>
    </w:p>
    <w:p w:rsidR="00913E8A" w:rsidRDefault="00913E8A" w:rsidP="00913E8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A66E4" w:rsidRPr="00246DD2" w:rsidRDefault="00B84DBB" w:rsidP="00913E8A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Tæt overvågning af heste i behandling med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anbefales kraftigt. Til overvågningen hører bestemmelse af relevante nyreparametre i blodet (f.eks. </w:t>
      </w:r>
      <w:proofErr w:type="spellStart"/>
      <w:r w:rsidRPr="00246DD2">
        <w:rPr>
          <w:sz w:val="24"/>
          <w:szCs w:val="24"/>
        </w:rPr>
        <w:t>kreatinin</w:t>
      </w:r>
      <w:proofErr w:type="spellEnd"/>
      <w:r w:rsidRPr="00246DD2">
        <w:rPr>
          <w:sz w:val="24"/>
          <w:szCs w:val="24"/>
        </w:rPr>
        <w:t xml:space="preserve"> og urinstof) og urinanalyse (f.eks. forholdet </w:t>
      </w:r>
      <w:proofErr w:type="spellStart"/>
      <w:r w:rsidRPr="00246DD2">
        <w:rPr>
          <w:sz w:val="24"/>
          <w:szCs w:val="24"/>
        </w:rPr>
        <w:t>gammaglutamyltransferase</w:t>
      </w:r>
      <w:proofErr w:type="spellEnd"/>
      <w:r w:rsidRPr="00246DD2">
        <w:rPr>
          <w:sz w:val="24"/>
          <w:szCs w:val="24"/>
        </w:rPr>
        <w:t>/</w:t>
      </w:r>
      <w:proofErr w:type="spellStart"/>
      <w:r w:rsidRPr="00246DD2">
        <w:rPr>
          <w:sz w:val="24"/>
          <w:szCs w:val="24"/>
        </w:rPr>
        <w:t>kreatinin</w:t>
      </w:r>
      <w:proofErr w:type="spellEnd"/>
      <w:r w:rsidRPr="00246DD2">
        <w:rPr>
          <w:sz w:val="24"/>
          <w:szCs w:val="24"/>
        </w:rPr>
        <w:t xml:space="preserve">). Terapeutisk overvågning af blodkoncentrationen af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anbefales ligeledes pga. de kendte individuelle variationer i maksimum- og minimumværdierne af plasmakoncentrationen af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. Når overvågning af blodværdier er mulig, bør maksimalkoncentrationerne af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i plasma være 16-20 </w:t>
      </w:r>
      <w:proofErr w:type="spellStart"/>
      <w:r w:rsidRPr="00246DD2">
        <w:rPr>
          <w:sz w:val="24"/>
          <w:szCs w:val="24"/>
        </w:rPr>
        <w:t>μg</w:t>
      </w:r>
      <w:proofErr w:type="spellEnd"/>
      <w:r w:rsidRPr="00246DD2">
        <w:rPr>
          <w:sz w:val="24"/>
          <w:szCs w:val="24"/>
        </w:rPr>
        <w:t>/ml.</w:t>
      </w:r>
    </w:p>
    <w:p w:rsidR="00C86524" w:rsidRPr="00246DD2" w:rsidRDefault="00C86524" w:rsidP="00872E3D">
      <w:pPr>
        <w:tabs>
          <w:tab w:val="left" w:pos="567"/>
        </w:tabs>
        <w:spacing w:before="240"/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Særlig forsigtighed bør udvises ved administration af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sammen med andre potentielt </w:t>
      </w:r>
      <w:proofErr w:type="spellStart"/>
      <w:r w:rsidRPr="00246DD2">
        <w:rPr>
          <w:sz w:val="24"/>
          <w:szCs w:val="24"/>
        </w:rPr>
        <w:t>nefrotoksiske</w:t>
      </w:r>
      <w:proofErr w:type="spellEnd"/>
      <w:r w:rsidRPr="00246DD2">
        <w:rPr>
          <w:sz w:val="24"/>
          <w:szCs w:val="24"/>
        </w:rPr>
        <w:t xml:space="preserve"> lægemidler (f.eks. NSAID, </w:t>
      </w:r>
      <w:proofErr w:type="spellStart"/>
      <w:r w:rsidRPr="00246DD2">
        <w:rPr>
          <w:sz w:val="24"/>
          <w:szCs w:val="24"/>
        </w:rPr>
        <w:t>furosemid</w:t>
      </w:r>
      <w:proofErr w:type="spellEnd"/>
      <w:r w:rsidRPr="00246DD2">
        <w:rPr>
          <w:sz w:val="24"/>
          <w:szCs w:val="24"/>
        </w:rPr>
        <w:t xml:space="preserve"> samt andre aminoglykosider).</w:t>
      </w:r>
    </w:p>
    <w:p w:rsidR="00C86524" w:rsidRPr="00246DD2" w:rsidRDefault="00C86524" w:rsidP="00872E3D">
      <w:pPr>
        <w:tabs>
          <w:tab w:val="left" w:pos="567"/>
        </w:tabs>
        <w:spacing w:before="240"/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Sikkerheden af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er ikke fastlagt hos føl, og der savnes viden om de ekstra virkninger af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på nyrerne hos føl, navnlig hos nyfødte dyr. Den nuværende viden tyder på, at føl, navnlig nyfødte dyr, har større risiko for </w:t>
      </w:r>
      <w:proofErr w:type="spellStart"/>
      <w:r w:rsidRPr="00246DD2">
        <w:rPr>
          <w:sz w:val="24"/>
          <w:szCs w:val="24"/>
        </w:rPr>
        <w:t>gentamicininduceret</w:t>
      </w:r>
      <w:proofErr w:type="spellEnd"/>
      <w:r w:rsidRPr="00246DD2">
        <w:rPr>
          <w:sz w:val="24"/>
          <w:szCs w:val="24"/>
        </w:rPr>
        <w:t xml:space="preserve"> </w:t>
      </w:r>
      <w:proofErr w:type="spellStart"/>
      <w:r w:rsidRPr="00246DD2">
        <w:rPr>
          <w:sz w:val="24"/>
          <w:szCs w:val="24"/>
        </w:rPr>
        <w:t>nefrotoksicitet</w:t>
      </w:r>
      <w:proofErr w:type="spellEnd"/>
      <w:r w:rsidRPr="00246DD2">
        <w:rPr>
          <w:sz w:val="24"/>
          <w:szCs w:val="24"/>
        </w:rPr>
        <w:t xml:space="preserve"> end voksne dyr. Hos nyfødte føl adskiller nyrerne sig fra nyrerne hos voksne dyr bl.a. ved langsommere </w:t>
      </w:r>
      <w:proofErr w:type="spellStart"/>
      <w:r w:rsidRPr="00246DD2">
        <w:rPr>
          <w:sz w:val="24"/>
          <w:szCs w:val="24"/>
        </w:rPr>
        <w:t>clearance</w:t>
      </w:r>
      <w:proofErr w:type="spellEnd"/>
      <w:r w:rsidRPr="00246DD2">
        <w:rPr>
          <w:sz w:val="24"/>
          <w:szCs w:val="24"/>
        </w:rPr>
        <w:t xml:space="preserve"> af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>. Som sådan er der ikke fastlagt en sikkerhedsmargin hos nyfødte føl. Det frarådes derfor at anvende lægemidlet hos føl.</w:t>
      </w:r>
    </w:p>
    <w:p w:rsidR="00C86524" w:rsidRPr="00246DD2" w:rsidRDefault="00C86524" w:rsidP="00872E3D">
      <w:pPr>
        <w:tabs>
          <w:tab w:val="left" w:pos="567"/>
        </w:tabs>
        <w:spacing w:before="240"/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Når det er muligt, bør lægemidlets anvendelse baseres på følsomhedsbestemmelse af bakterier isoleret fra dyret. </w:t>
      </w:r>
      <w:proofErr w:type="spellStart"/>
      <w:r w:rsidR="002D6541">
        <w:rPr>
          <w:sz w:val="24"/>
          <w:szCs w:val="24"/>
        </w:rPr>
        <w:t>G</w:t>
      </w:r>
      <w:r w:rsidRPr="00246DD2">
        <w:rPr>
          <w:sz w:val="24"/>
          <w:szCs w:val="24"/>
        </w:rPr>
        <w:t>entamicin</w:t>
      </w:r>
      <w:proofErr w:type="spellEnd"/>
      <w:r w:rsidRPr="00246DD2">
        <w:rPr>
          <w:sz w:val="24"/>
          <w:szCs w:val="24"/>
        </w:rPr>
        <w:t xml:space="preserve"> er et smalspektret antimikrobielt middel med baktericid virkning på gramnegative bakterier og uden virkning på </w:t>
      </w:r>
      <w:proofErr w:type="spellStart"/>
      <w:r w:rsidRPr="00246DD2">
        <w:rPr>
          <w:sz w:val="24"/>
          <w:szCs w:val="24"/>
        </w:rPr>
        <w:t>anaerobe</w:t>
      </w:r>
      <w:proofErr w:type="spellEnd"/>
      <w:r w:rsidRPr="00246DD2">
        <w:rPr>
          <w:sz w:val="24"/>
          <w:szCs w:val="24"/>
        </w:rPr>
        <w:t xml:space="preserve"> bakterier og </w:t>
      </w:r>
      <w:proofErr w:type="spellStart"/>
      <w:r w:rsidRPr="00246DD2">
        <w:rPr>
          <w:sz w:val="24"/>
          <w:szCs w:val="24"/>
        </w:rPr>
        <w:t>Mycoplasma</w:t>
      </w:r>
      <w:proofErr w:type="spellEnd"/>
      <w:r w:rsidRPr="00246DD2">
        <w:rPr>
          <w:sz w:val="24"/>
          <w:szCs w:val="24"/>
        </w:rPr>
        <w:t xml:space="preserve">.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trænger ikke ind i cellerne eller i abscesser. </w:t>
      </w:r>
      <w:proofErr w:type="spellStart"/>
      <w:r w:rsidR="002D6541">
        <w:rPr>
          <w:sz w:val="24"/>
          <w:szCs w:val="24"/>
        </w:rPr>
        <w:t>G</w:t>
      </w:r>
      <w:r w:rsidRPr="00246DD2">
        <w:rPr>
          <w:sz w:val="24"/>
          <w:szCs w:val="24"/>
        </w:rPr>
        <w:t>entamicin</w:t>
      </w:r>
      <w:proofErr w:type="spellEnd"/>
      <w:r w:rsidRPr="00246DD2">
        <w:rPr>
          <w:sz w:val="24"/>
          <w:szCs w:val="24"/>
        </w:rPr>
        <w:t xml:space="preserve"> </w:t>
      </w:r>
      <w:proofErr w:type="spellStart"/>
      <w:r w:rsidRPr="00246DD2">
        <w:rPr>
          <w:sz w:val="24"/>
          <w:szCs w:val="24"/>
        </w:rPr>
        <w:t>deaktiveres</w:t>
      </w:r>
      <w:proofErr w:type="spellEnd"/>
      <w:r w:rsidRPr="00246DD2">
        <w:rPr>
          <w:sz w:val="24"/>
          <w:szCs w:val="24"/>
        </w:rPr>
        <w:t xml:space="preserve"> ved tilstedeværelse af inflammatorisk </w:t>
      </w:r>
      <w:proofErr w:type="spellStart"/>
      <w:r w:rsidRPr="00246DD2">
        <w:rPr>
          <w:sz w:val="24"/>
          <w:szCs w:val="24"/>
        </w:rPr>
        <w:t>debris</w:t>
      </w:r>
      <w:proofErr w:type="spellEnd"/>
      <w:r w:rsidRPr="00246DD2">
        <w:rPr>
          <w:sz w:val="24"/>
          <w:szCs w:val="24"/>
        </w:rPr>
        <w:t>, lav iltkoncentration og lavt pH.</w:t>
      </w:r>
    </w:p>
    <w:p w:rsidR="00C86524" w:rsidRPr="00246DD2" w:rsidRDefault="00C86524" w:rsidP="00872E3D">
      <w:pPr>
        <w:tabs>
          <w:tab w:val="left" w:pos="567"/>
        </w:tabs>
        <w:spacing w:before="240"/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Doseringsregimet må ikke overskrides. Hvis anvendelsen af lægemidlet ikke følger vejledningen i produktresuméet, kan det øge risikoen for </w:t>
      </w:r>
      <w:proofErr w:type="spellStart"/>
      <w:r w:rsidRPr="00246DD2">
        <w:rPr>
          <w:sz w:val="24"/>
          <w:szCs w:val="24"/>
        </w:rPr>
        <w:t>nefrotoksicitet</w:t>
      </w:r>
      <w:proofErr w:type="spellEnd"/>
      <w:r w:rsidRPr="00246DD2">
        <w:rPr>
          <w:sz w:val="24"/>
          <w:szCs w:val="24"/>
        </w:rPr>
        <w:t xml:space="preserve"> og forekomst af </w:t>
      </w:r>
      <w:proofErr w:type="spellStart"/>
      <w:r w:rsidRPr="00246DD2">
        <w:rPr>
          <w:sz w:val="24"/>
          <w:szCs w:val="24"/>
        </w:rPr>
        <w:t>gentamicinresistente</w:t>
      </w:r>
      <w:proofErr w:type="spellEnd"/>
      <w:r w:rsidRPr="00246DD2">
        <w:rPr>
          <w:sz w:val="24"/>
          <w:szCs w:val="24"/>
        </w:rPr>
        <w:t xml:space="preserve"> bakterier.</w:t>
      </w:r>
    </w:p>
    <w:p w:rsidR="00C86524" w:rsidRPr="00246DD2" w:rsidRDefault="00C86524" w:rsidP="00872E3D">
      <w:pPr>
        <w:tabs>
          <w:tab w:val="left" w:pos="567"/>
        </w:tabs>
        <w:spacing w:before="240"/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Særlig forsigtighed anbefales ved brug af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hos heste, der er gamle eller har feber, </w:t>
      </w:r>
      <w:proofErr w:type="spellStart"/>
      <w:r w:rsidRPr="00246DD2">
        <w:rPr>
          <w:sz w:val="24"/>
          <w:szCs w:val="24"/>
        </w:rPr>
        <w:t>endotoksæmi</w:t>
      </w:r>
      <w:proofErr w:type="spellEnd"/>
      <w:r w:rsidRPr="00246DD2">
        <w:rPr>
          <w:sz w:val="24"/>
          <w:szCs w:val="24"/>
        </w:rPr>
        <w:t>, sepsis eller dehydrering.</w:t>
      </w:r>
    </w:p>
    <w:p w:rsidR="00872E3D" w:rsidRPr="00246DD2" w:rsidRDefault="00872E3D">
      <w:pPr>
        <w:rPr>
          <w:sz w:val="24"/>
          <w:szCs w:val="24"/>
        </w:rPr>
      </w:pPr>
      <w:r w:rsidRPr="00246DD2">
        <w:rPr>
          <w:sz w:val="24"/>
          <w:szCs w:val="24"/>
        </w:rPr>
        <w:br w:type="page"/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AA2D5E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Særlige forsigtighedsregler for personer, der administrerer lægemidlet</w:t>
      </w:r>
    </w:p>
    <w:p w:rsidR="00F4276C" w:rsidRPr="00246DD2" w:rsidRDefault="00F4276C" w:rsidP="00F4276C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Mennesker med kendt overfølsomhed over for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bør kontakt med veterinærlægemidlet undgås. Veterinærlægemidlet skal administreres med forsigtighed.</w:t>
      </w:r>
    </w:p>
    <w:p w:rsidR="00F4276C" w:rsidRPr="00246DD2" w:rsidRDefault="00F4276C" w:rsidP="00F4276C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/>
        <w:rPr>
          <w:sz w:val="24"/>
          <w:szCs w:val="24"/>
        </w:rPr>
      </w:pPr>
    </w:p>
    <w:p w:rsidR="00FA66E4" w:rsidRPr="00246DD2" w:rsidRDefault="00F4276C" w:rsidP="00F4276C">
      <w:pPr>
        <w:tabs>
          <w:tab w:val="left" w:pos="-1152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I tilfælde af selv-injektion ved hændeligt uheld skal der straks søges lægehjælp, og indlægssedlen eller etiketten skal vises til lægen.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5C15E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Andre forsigtighedsregler</w:t>
      </w:r>
    </w:p>
    <w:p w:rsidR="00FA66E4" w:rsidRPr="00246DD2" w:rsidRDefault="00C86524" w:rsidP="00AA2D5E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-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4.6</w:t>
      </w:r>
      <w:r w:rsidRPr="00246DD2">
        <w:rPr>
          <w:b/>
          <w:sz w:val="24"/>
          <w:szCs w:val="24"/>
        </w:rPr>
        <w:tab/>
        <w:t>Bivirkninger</w:t>
      </w:r>
    </w:p>
    <w:p w:rsidR="00290104" w:rsidRPr="00246DD2" w:rsidRDefault="00290104" w:rsidP="0029010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Der kan forekomme en lokal reaktion på injektionsstedet, især i tilfælde af gentagne injektioner nær hinanden.</w:t>
      </w:r>
    </w:p>
    <w:p w:rsidR="00290104" w:rsidRPr="00246DD2" w:rsidRDefault="00290104" w:rsidP="0029010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Se pkt. 4.5.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4.7</w:t>
      </w:r>
      <w:r w:rsidRPr="00246DD2">
        <w:rPr>
          <w:b/>
          <w:sz w:val="24"/>
          <w:szCs w:val="24"/>
        </w:rPr>
        <w:tab/>
        <w:t>Drægtighed, diegivning eller æglægning</w:t>
      </w:r>
    </w:p>
    <w:p w:rsidR="00290104" w:rsidRPr="00246DD2" w:rsidRDefault="00290104" w:rsidP="00290104">
      <w:pPr>
        <w:tabs>
          <w:tab w:val="left" w:pos="567"/>
          <w:tab w:val="left" w:pos="1140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Sikkerheden hos drægtige heste er ukendt.</w:t>
      </w:r>
    </w:p>
    <w:p w:rsidR="00304C10" w:rsidRPr="00246DD2" w:rsidRDefault="00290104" w:rsidP="00290104">
      <w:pPr>
        <w:tabs>
          <w:tab w:val="left" w:pos="567"/>
          <w:tab w:val="left" w:pos="1140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>Undersøgelser hos laboratoriedyr har imidler</w:t>
      </w:r>
      <w:r w:rsidR="00304C10" w:rsidRPr="00246DD2">
        <w:rPr>
          <w:sz w:val="24"/>
          <w:szCs w:val="24"/>
        </w:rPr>
        <w:t xml:space="preserve">tid vist </w:t>
      </w:r>
      <w:proofErr w:type="spellStart"/>
      <w:r w:rsidR="00304C10" w:rsidRPr="00246DD2">
        <w:rPr>
          <w:sz w:val="24"/>
          <w:szCs w:val="24"/>
        </w:rPr>
        <w:t>føtal</w:t>
      </w:r>
      <w:proofErr w:type="spellEnd"/>
      <w:r w:rsidR="00304C10" w:rsidRPr="00246DD2">
        <w:rPr>
          <w:sz w:val="24"/>
          <w:szCs w:val="24"/>
        </w:rPr>
        <w:t xml:space="preserve"> </w:t>
      </w:r>
      <w:proofErr w:type="spellStart"/>
      <w:r w:rsidR="00304C10" w:rsidRPr="00246DD2">
        <w:rPr>
          <w:sz w:val="24"/>
          <w:szCs w:val="24"/>
        </w:rPr>
        <w:t>nefrotoksicitet</w:t>
      </w:r>
      <w:proofErr w:type="spellEnd"/>
      <w:r w:rsidR="00304C10" w:rsidRPr="00246DD2">
        <w:rPr>
          <w:sz w:val="24"/>
          <w:szCs w:val="24"/>
        </w:rPr>
        <w:t>.</w:t>
      </w:r>
    </w:p>
    <w:p w:rsidR="00FA66E4" w:rsidRPr="00246DD2" w:rsidRDefault="00290104" w:rsidP="00290104">
      <w:pPr>
        <w:tabs>
          <w:tab w:val="left" w:pos="567"/>
          <w:tab w:val="left" w:pos="1140"/>
        </w:tabs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Lægemidlet bør kun anvendes på grundlag af den ansvarlige dyrlæges </w:t>
      </w:r>
      <w:proofErr w:type="spellStart"/>
      <w:r w:rsidRPr="00246DD2">
        <w:rPr>
          <w:sz w:val="24"/>
          <w:szCs w:val="24"/>
        </w:rPr>
        <w:t>benefit</w:t>
      </w:r>
      <w:proofErr w:type="spellEnd"/>
      <w:r w:rsidRPr="00246DD2">
        <w:rPr>
          <w:sz w:val="24"/>
          <w:szCs w:val="24"/>
        </w:rPr>
        <w:t>/</w:t>
      </w:r>
      <w:proofErr w:type="spellStart"/>
      <w:r w:rsidRPr="00246DD2">
        <w:rPr>
          <w:sz w:val="24"/>
          <w:szCs w:val="24"/>
        </w:rPr>
        <w:t>risk</w:t>
      </w:r>
      <w:proofErr w:type="spellEnd"/>
      <w:r w:rsidRPr="00246DD2">
        <w:rPr>
          <w:sz w:val="24"/>
          <w:szCs w:val="24"/>
        </w:rPr>
        <w:t>-vurdering.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4.8</w:t>
      </w:r>
      <w:r w:rsidRPr="00246DD2">
        <w:rPr>
          <w:b/>
          <w:sz w:val="24"/>
          <w:szCs w:val="24"/>
        </w:rPr>
        <w:tab/>
        <w:t>Interaktion med andre lægemidler og andre former for interaktion</w:t>
      </w:r>
    </w:p>
    <w:p w:rsidR="00FA66E4" w:rsidRPr="00246DD2" w:rsidRDefault="00304C10" w:rsidP="00304C10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Dette lægemiddel bør ikke anvendes i forbindelse med andre antibiotika af </w:t>
      </w:r>
      <w:proofErr w:type="spellStart"/>
      <w:r w:rsidRPr="00246DD2">
        <w:rPr>
          <w:sz w:val="24"/>
          <w:szCs w:val="24"/>
        </w:rPr>
        <w:t>aminoglycosidgruppen</w:t>
      </w:r>
      <w:proofErr w:type="spellEnd"/>
      <w:r w:rsidRPr="00246DD2">
        <w:rPr>
          <w:sz w:val="24"/>
          <w:szCs w:val="24"/>
        </w:rPr>
        <w:t xml:space="preserve"> eller med andre lægemidler, der vides at inducere </w:t>
      </w:r>
      <w:proofErr w:type="spellStart"/>
      <w:r w:rsidRPr="00246DD2">
        <w:rPr>
          <w:sz w:val="24"/>
          <w:szCs w:val="24"/>
        </w:rPr>
        <w:t>ototoksicitet</w:t>
      </w:r>
      <w:proofErr w:type="spellEnd"/>
      <w:r w:rsidRPr="00246DD2">
        <w:rPr>
          <w:sz w:val="24"/>
          <w:szCs w:val="24"/>
        </w:rPr>
        <w:t xml:space="preserve"> eller </w:t>
      </w:r>
      <w:proofErr w:type="spellStart"/>
      <w:r w:rsidRPr="00246DD2">
        <w:rPr>
          <w:sz w:val="24"/>
          <w:szCs w:val="24"/>
        </w:rPr>
        <w:t>nefrotoksicitet</w:t>
      </w:r>
      <w:proofErr w:type="spellEnd"/>
      <w:r w:rsidRPr="00246DD2">
        <w:rPr>
          <w:sz w:val="24"/>
          <w:szCs w:val="24"/>
        </w:rPr>
        <w:t>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4.9</w:t>
      </w:r>
      <w:r w:rsidRPr="00246DD2">
        <w:rPr>
          <w:b/>
          <w:sz w:val="24"/>
          <w:szCs w:val="24"/>
        </w:rPr>
        <w:tab/>
        <w:t>Dosering og indgivelsesmåde</w:t>
      </w:r>
    </w:p>
    <w:p w:rsidR="00EB1DC0" w:rsidRPr="00246DD2" w:rsidRDefault="00EB1DC0" w:rsidP="00EB1DC0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Til intravenøs anvendelse.</w:t>
      </w:r>
    </w:p>
    <w:p w:rsidR="00EB1DC0" w:rsidRPr="00246DD2" w:rsidRDefault="00EB1DC0" w:rsidP="00EB1DC0">
      <w:pPr>
        <w:ind w:left="851"/>
        <w:rPr>
          <w:sz w:val="24"/>
          <w:szCs w:val="24"/>
        </w:rPr>
      </w:pPr>
    </w:p>
    <w:p w:rsidR="00EB1DC0" w:rsidRPr="00246DD2" w:rsidRDefault="00EB1DC0" w:rsidP="00EB1DC0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En enkeltdosis på 6,6 mg/kg kropsvægt intravenøst en gang daglig i 3-5 på hinanden følgende dage.</w:t>
      </w:r>
    </w:p>
    <w:p w:rsidR="00EB1DC0" w:rsidRPr="00246DD2" w:rsidRDefault="00EB1DC0" w:rsidP="00EB1DC0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For at sikre korrekt dosis bør kropsvægten bestemmes så nøjagtigt som muligt, så under- eller overdosering undgås. Doseringsregimet må ikke overskrides.</w:t>
      </w:r>
    </w:p>
    <w:p w:rsidR="00EB1DC0" w:rsidRPr="00246DD2" w:rsidRDefault="00EB1DC0" w:rsidP="00850E66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 xml:space="preserve">Det frarådes at anvende </w:t>
      </w:r>
      <w:proofErr w:type="spellStart"/>
      <w:r w:rsidRPr="00246DD2">
        <w:rPr>
          <w:sz w:val="24"/>
          <w:szCs w:val="24"/>
        </w:rPr>
        <w:t>gentamicin</w:t>
      </w:r>
      <w:proofErr w:type="spellEnd"/>
      <w:r w:rsidRPr="00246DD2">
        <w:rPr>
          <w:sz w:val="24"/>
          <w:szCs w:val="24"/>
        </w:rPr>
        <w:t xml:space="preserve"> til føl og nyfødte dyr.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4.10</w:t>
      </w:r>
      <w:r w:rsidRPr="00246DD2">
        <w:rPr>
          <w:b/>
          <w:sz w:val="24"/>
          <w:szCs w:val="24"/>
        </w:rPr>
        <w:tab/>
        <w:t>Overdosering</w:t>
      </w:r>
    </w:p>
    <w:p w:rsidR="00FA66E4" w:rsidRPr="00246DD2" w:rsidRDefault="00E85EA9" w:rsidP="00E85EA9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Lægemidlet blev ikke specifikt testet ved overdoseringsforsøg, og der er derfor ikke blevet fastlagt nogen sikkerhedsmargin.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4.11</w:t>
      </w:r>
      <w:r w:rsidRPr="00246DD2">
        <w:rPr>
          <w:b/>
          <w:sz w:val="24"/>
          <w:szCs w:val="24"/>
        </w:rPr>
        <w:tab/>
        <w:t>Tilbageholdelsestid</w:t>
      </w:r>
    </w:p>
    <w:p w:rsidR="00FA66E4" w:rsidRPr="00246DD2" w:rsidRDefault="00E85EA9" w:rsidP="0096156C">
      <w:pPr>
        <w:ind w:left="851"/>
        <w:rPr>
          <w:sz w:val="24"/>
          <w:szCs w:val="24"/>
        </w:rPr>
      </w:pPr>
      <w:r w:rsidRPr="00246DD2">
        <w:rPr>
          <w:sz w:val="24"/>
          <w:szCs w:val="24"/>
        </w:rPr>
        <w:t>Ikke til anvendelse hos heste, der producerer kød eller mælk til menneskeligt konsum.</w:t>
      </w:r>
    </w:p>
    <w:p w:rsidR="00FA66E4" w:rsidRPr="00246DD2" w:rsidRDefault="00FA66E4" w:rsidP="00406EE7">
      <w:pPr>
        <w:pStyle w:val="Sidehoved"/>
        <w:tabs>
          <w:tab w:val="clear" w:pos="4819"/>
          <w:tab w:val="left" w:pos="8222"/>
        </w:tabs>
        <w:rPr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5.</w:t>
      </w:r>
      <w:r w:rsidRPr="00246DD2">
        <w:rPr>
          <w:b/>
          <w:sz w:val="24"/>
          <w:szCs w:val="24"/>
        </w:rPr>
        <w:tab/>
        <w:t>FARMAKOLOGISKE EGENSKABER</w:t>
      </w:r>
    </w:p>
    <w:p w:rsidR="00246DD2" w:rsidRDefault="00246DD2" w:rsidP="00246DD2">
      <w:pPr>
        <w:ind w:left="851" w:right="-29"/>
        <w:rPr>
          <w:b/>
          <w:bCs/>
          <w:sz w:val="24"/>
          <w:szCs w:val="24"/>
        </w:rPr>
      </w:pPr>
    </w:p>
    <w:p w:rsidR="0016096E" w:rsidRPr="0016096E" w:rsidRDefault="004F66FB" w:rsidP="004F66FB">
      <w:pPr>
        <w:tabs>
          <w:tab w:val="left" w:pos="567"/>
        </w:tabs>
        <w:ind w:left="851"/>
        <w:rPr>
          <w:bCs/>
          <w:sz w:val="24"/>
          <w:szCs w:val="24"/>
          <w:lang w:eastAsia="es-ES"/>
        </w:rPr>
      </w:pPr>
      <w:proofErr w:type="spellStart"/>
      <w:r w:rsidRPr="0016096E">
        <w:rPr>
          <w:bCs/>
          <w:sz w:val="24"/>
          <w:szCs w:val="24"/>
          <w:lang w:eastAsia="es-ES"/>
        </w:rPr>
        <w:t>Farmakoterapeutisk</w:t>
      </w:r>
      <w:proofErr w:type="spellEnd"/>
      <w:r w:rsidRPr="0016096E">
        <w:rPr>
          <w:bCs/>
          <w:sz w:val="24"/>
          <w:szCs w:val="24"/>
          <w:lang w:eastAsia="es-ES"/>
        </w:rPr>
        <w:t xml:space="preserve"> </w:t>
      </w:r>
      <w:r w:rsidRPr="0016096E">
        <w:rPr>
          <w:bCs/>
          <w:lang w:eastAsia="es-ES"/>
        </w:rPr>
        <w:t>gruppe</w:t>
      </w:r>
      <w:r w:rsidRPr="0016096E">
        <w:rPr>
          <w:bCs/>
          <w:sz w:val="24"/>
          <w:szCs w:val="24"/>
          <w:lang w:eastAsia="es-ES"/>
        </w:rPr>
        <w:t xml:space="preserve">: Antibakterielle midler til systemisk brug, </w:t>
      </w:r>
      <w:proofErr w:type="spellStart"/>
      <w:r w:rsidRPr="0016096E">
        <w:rPr>
          <w:bCs/>
          <w:sz w:val="24"/>
          <w:szCs w:val="24"/>
          <w:lang w:eastAsia="es-ES"/>
        </w:rPr>
        <w:t>gentamicin</w:t>
      </w:r>
      <w:proofErr w:type="spellEnd"/>
      <w:r w:rsidRPr="0016096E">
        <w:rPr>
          <w:bCs/>
          <w:sz w:val="24"/>
          <w:szCs w:val="24"/>
          <w:lang w:eastAsia="es-ES"/>
        </w:rPr>
        <w:t>.</w:t>
      </w:r>
    </w:p>
    <w:p w:rsidR="00246DD2" w:rsidRPr="00246DD2" w:rsidRDefault="00246DD2" w:rsidP="00246DD2">
      <w:pPr>
        <w:ind w:left="851" w:right="-29"/>
        <w:rPr>
          <w:bCs/>
          <w:sz w:val="24"/>
          <w:szCs w:val="24"/>
        </w:rPr>
      </w:pPr>
      <w:proofErr w:type="spellStart"/>
      <w:r w:rsidRPr="00246DD2">
        <w:rPr>
          <w:bCs/>
          <w:sz w:val="24"/>
          <w:szCs w:val="24"/>
        </w:rPr>
        <w:t>ATCvet</w:t>
      </w:r>
      <w:proofErr w:type="spellEnd"/>
      <w:r w:rsidRPr="00246DD2">
        <w:rPr>
          <w:bCs/>
          <w:sz w:val="24"/>
          <w:szCs w:val="24"/>
        </w:rPr>
        <w:t>-kode: QJ</w:t>
      </w:r>
      <w:r>
        <w:rPr>
          <w:bCs/>
          <w:sz w:val="24"/>
          <w:szCs w:val="24"/>
        </w:rPr>
        <w:t xml:space="preserve"> </w:t>
      </w:r>
      <w:r w:rsidRPr="00246DD2">
        <w:rPr>
          <w:bCs/>
          <w:sz w:val="24"/>
          <w:szCs w:val="24"/>
        </w:rPr>
        <w:t>01</w:t>
      </w:r>
      <w:r>
        <w:rPr>
          <w:bCs/>
          <w:sz w:val="24"/>
          <w:szCs w:val="24"/>
        </w:rPr>
        <w:t xml:space="preserve"> </w:t>
      </w:r>
      <w:r w:rsidRPr="00246DD2">
        <w:rPr>
          <w:bCs/>
          <w:sz w:val="24"/>
          <w:szCs w:val="24"/>
        </w:rPr>
        <w:t>GB</w:t>
      </w:r>
      <w:r>
        <w:rPr>
          <w:bCs/>
          <w:sz w:val="24"/>
          <w:szCs w:val="24"/>
        </w:rPr>
        <w:t xml:space="preserve"> </w:t>
      </w:r>
      <w:r w:rsidRPr="00246DD2">
        <w:rPr>
          <w:bCs/>
          <w:sz w:val="24"/>
          <w:szCs w:val="24"/>
        </w:rPr>
        <w:t>03</w:t>
      </w:r>
      <w:r>
        <w:rPr>
          <w:bCs/>
          <w:sz w:val="24"/>
          <w:szCs w:val="24"/>
        </w:rPr>
        <w:t>.</w:t>
      </w:r>
    </w:p>
    <w:p w:rsidR="0016096E" w:rsidRDefault="0016096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A66E4" w:rsidRPr="00246DD2" w:rsidRDefault="00FA66E4" w:rsidP="00406EE7">
      <w:pPr>
        <w:tabs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5.1</w:t>
      </w:r>
      <w:r w:rsidRPr="00246DD2">
        <w:rPr>
          <w:b/>
          <w:sz w:val="24"/>
          <w:szCs w:val="24"/>
        </w:rPr>
        <w:tab/>
      </w:r>
      <w:proofErr w:type="spellStart"/>
      <w:r w:rsidRPr="00246DD2">
        <w:rPr>
          <w:b/>
          <w:sz w:val="24"/>
          <w:szCs w:val="24"/>
        </w:rPr>
        <w:t>Farmakodynamiske</w:t>
      </w:r>
      <w:proofErr w:type="spellEnd"/>
      <w:r w:rsidRPr="00246DD2">
        <w:rPr>
          <w:b/>
          <w:sz w:val="24"/>
          <w:szCs w:val="24"/>
        </w:rPr>
        <w:t xml:space="preserve"> egenskaber</w:t>
      </w:r>
    </w:p>
    <w:p w:rsidR="0016096E" w:rsidRPr="00845E91" w:rsidRDefault="0016096E" w:rsidP="0016096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845E91">
        <w:rPr>
          <w:sz w:val="24"/>
          <w:szCs w:val="24"/>
        </w:rPr>
        <w:t>Gentamicinsulfat</w:t>
      </w:r>
      <w:proofErr w:type="spellEnd"/>
      <w:r w:rsidRPr="00845E91">
        <w:rPr>
          <w:sz w:val="24"/>
          <w:szCs w:val="24"/>
        </w:rPr>
        <w:t xml:space="preserve"> har koncentrationsafhængige baktericide egenskaber. Den baktericide virkning forstærkes, når koncentrationen af </w:t>
      </w:r>
      <w:proofErr w:type="spellStart"/>
      <w:r w:rsidRPr="00845E91">
        <w:rPr>
          <w:sz w:val="24"/>
          <w:szCs w:val="24"/>
        </w:rPr>
        <w:t>gentamicin</w:t>
      </w:r>
      <w:proofErr w:type="spellEnd"/>
      <w:r w:rsidRPr="00845E91">
        <w:rPr>
          <w:sz w:val="24"/>
          <w:szCs w:val="24"/>
        </w:rPr>
        <w:t xml:space="preserve"> øges ud over MIC (mindste hæmmende koncentration) for en given gramnegativ patogen. Det optimale forhold mellem den maksimale serumkoncentration (</w:t>
      </w:r>
      <w:proofErr w:type="spellStart"/>
      <w:r w:rsidRPr="00845E91">
        <w:rPr>
          <w:sz w:val="24"/>
          <w:szCs w:val="24"/>
        </w:rPr>
        <w:t>Cmax</w:t>
      </w:r>
      <w:proofErr w:type="spellEnd"/>
      <w:r w:rsidRPr="00845E91">
        <w:rPr>
          <w:sz w:val="24"/>
          <w:szCs w:val="24"/>
        </w:rPr>
        <w:t>) og MIC er 8-10.</w:t>
      </w:r>
    </w:p>
    <w:p w:rsidR="0016096E" w:rsidRDefault="0016096E" w:rsidP="0016096E">
      <w:pPr>
        <w:tabs>
          <w:tab w:val="left" w:pos="851"/>
        </w:tabs>
        <w:ind w:left="851"/>
        <w:rPr>
          <w:sz w:val="24"/>
          <w:szCs w:val="24"/>
        </w:rPr>
      </w:pPr>
    </w:p>
    <w:p w:rsidR="0016096E" w:rsidRPr="00845E91" w:rsidRDefault="0016096E" w:rsidP="0016096E">
      <w:pPr>
        <w:tabs>
          <w:tab w:val="left" w:pos="851"/>
        </w:tabs>
        <w:ind w:left="851"/>
        <w:rPr>
          <w:sz w:val="24"/>
          <w:szCs w:val="24"/>
        </w:rPr>
      </w:pPr>
      <w:r w:rsidRPr="00845E91">
        <w:rPr>
          <w:sz w:val="24"/>
          <w:szCs w:val="24"/>
        </w:rPr>
        <w:t xml:space="preserve">Den baktericide virkning af </w:t>
      </w:r>
      <w:proofErr w:type="spellStart"/>
      <w:r w:rsidRPr="00845E91">
        <w:rPr>
          <w:sz w:val="24"/>
          <w:szCs w:val="24"/>
        </w:rPr>
        <w:t>gentamicinsulfat</w:t>
      </w:r>
      <w:proofErr w:type="spellEnd"/>
      <w:r w:rsidRPr="00845E91">
        <w:rPr>
          <w:sz w:val="24"/>
          <w:szCs w:val="24"/>
        </w:rPr>
        <w:t xml:space="preserve"> skyldes irreversibel binding til </w:t>
      </w:r>
      <w:proofErr w:type="spellStart"/>
      <w:r w:rsidRPr="00845E91">
        <w:rPr>
          <w:sz w:val="24"/>
          <w:szCs w:val="24"/>
        </w:rPr>
        <w:t>ribosomale</w:t>
      </w:r>
      <w:proofErr w:type="spellEnd"/>
      <w:r w:rsidRPr="00845E91">
        <w:rPr>
          <w:sz w:val="24"/>
          <w:szCs w:val="24"/>
        </w:rPr>
        <w:t xml:space="preserve"> 30S-subunits og virker ved to forskellige mekanismer. Ved den ene kan </w:t>
      </w:r>
      <w:proofErr w:type="spellStart"/>
      <w:r w:rsidRPr="00845E91">
        <w:rPr>
          <w:sz w:val="24"/>
          <w:szCs w:val="24"/>
        </w:rPr>
        <w:t>gentamicin</w:t>
      </w:r>
      <w:proofErr w:type="spellEnd"/>
      <w:r w:rsidRPr="00845E91">
        <w:rPr>
          <w:sz w:val="24"/>
          <w:szCs w:val="24"/>
        </w:rPr>
        <w:t xml:space="preserve"> interferere med aminosyrernes korrekte polymerisering og forlængelsen af kæden. Denne mekanisme optræder ved høje koncentrationer. Ved lave koncentrationer dominerer en anden mekanisme, hvor </w:t>
      </w:r>
      <w:proofErr w:type="spellStart"/>
      <w:r w:rsidRPr="00845E91">
        <w:rPr>
          <w:sz w:val="24"/>
          <w:szCs w:val="24"/>
        </w:rPr>
        <w:t>codonerne</w:t>
      </w:r>
      <w:proofErr w:type="spellEnd"/>
      <w:r w:rsidRPr="00845E91">
        <w:rPr>
          <w:sz w:val="24"/>
          <w:szCs w:val="24"/>
        </w:rPr>
        <w:t xml:space="preserve"> for aminosyrerne læses forkert af </w:t>
      </w:r>
      <w:proofErr w:type="spellStart"/>
      <w:r w:rsidRPr="00845E91">
        <w:rPr>
          <w:sz w:val="24"/>
          <w:szCs w:val="24"/>
        </w:rPr>
        <w:t>tRNA</w:t>
      </w:r>
      <w:proofErr w:type="spellEnd"/>
      <w:r w:rsidRPr="00845E91">
        <w:rPr>
          <w:sz w:val="24"/>
          <w:szCs w:val="24"/>
        </w:rPr>
        <w:t>, og kontrollen af kodningen er hæmmet. Dette fører til ukorrekt aminosyresekvens og nonsensproteiner.</w:t>
      </w:r>
    </w:p>
    <w:p w:rsidR="0016096E" w:rsidRDefault="0016096E" w:rsidP="0016096E">
      <w:pPr>
        <w:tabs>
          <w:tab w:val="left" w:pos="851"/>
        </w:tabs>
        <w:ind w:left="851"/>
        <w:rPr>
          <w:sz w:val="24"/>
          <w:szCs w:val="24"/>
        </w:rPr>
      </w:pPr>
    </w:p>
    <w:p w:rsidR="0016096E" w:rsidRDefault="0016096E" w:rsidP="0016096E">
      <w:pPr>
        <w:tabs>
          <w:tab w:val="left" w:pos="851"/>
        </w:tabs>
        <w:ind w:left="851"/>
        <w:rPr>
          <w:sz w:val="24"/>
          <w:szCs w:val="24"/>
        </w:rPr>
      </w:pPr>
      <w:r w:rsidRPr="00845E91">
        <w:rPr>
          <w:sz w:val="24"/>
          <w:szCs w:val="24"/>
        </w:rPr>
        <w:t xml:space="preserve">Stoffet er stærkt polært og hydrofilt og synes at transporteres ved en aktiv proces, som er tæt koblet til elektrontransport, </w:t>
      </w:r>
      <w:proofErr w:type="spellStart"/>
      <w:r w:rsidRPr="00845E91">
        <w:rPr>
          <w:sz w:val="24"/>
          <w:szCs w:val="24"/>
        </w:rPr>
        <w:t>oxidativ</w:t>
      </w:r>
      <w:proofErr w:type="spellEnd"/>
      <w:r w:rsidRPr="00845E91">
        <w:rPr>
          <w:sz w:val="24"/>
          <w:szCs w:val="24"/>
        </w:rPr>
        <w:t xml:space="preserve"> </w:t>
      </w:r>
      <w:proofErr w:type="spellStart"/>
      <w:r w:rsidRPr="00845E91">
        <w:rPr>
          <w:sz w:val="24"/>
          <w:szCs w:val="24"/>
        </w:rPr>
        <w:t>fosforylering</w:t>
      </w:r>
      <w:proofErr w:type="spellEnd"/>
      <w:r w:rsidRPr="00845E91">
        <w:rPr>
          <w:sz w:val="24"/>
          <w:szCs w:val="24"/>
        </w:rPr>
        <w:t xml:space="preserve"> og de respiratoriske </w:t>
      </w:r>
      <w:proofErr w:type="spellStart"/>
      <w:r w:rsidRPr="00845E91">
        <w:rPr>
          <w:sz w:val="24"/>
          <w:szCs w:val="24"/>
        </w:rPr>
        <w:t>quinoner</w:t>
      </w:r>
      <w:proofErr w:type="spellEnd"/>
      <w:r w:rsidRPr="00845E91">
        <w:rPr>
          <w:sz w:val="24"/>
          <w:szCs w:val="24"/>
        </w:rPr>
        <w:t xml:space="preserve"> i cellemembranen. </w:t>
      </w:r>
      <w:proofErr w:type="spellStart"/>
      <w:r w:rsidRPr="00845E91">
        <w:rPr>
          <w:sz w:val="24"/>
          <w:szCs w:val="24"/>
        </w:rPr>
        <w:t>Gentamicin</w:t>
      </w:r>
      <w:proofErr w:type="spellEnd"/>
      <w:r w:rsidRPr="00845E91">
        <w:rPr>
          <w:sz w:val="24"/>
          <w:szCs w:val="24"/>
        </w:rPr>
        <w:t xml:space="preserve"> fordeles primært i ekstracellulærvæsken. </w:t>
      </w:r>
      <w:proofErr w:type="spellStart"/>
      <w:r w:rsidRPr="00845E91">
        <w:rPr>
          <w:sz w:val="24"/>
          <w:szCs w:val="24"/>
        </w:rPr>
        <w:t>Gentamicin</w:t>
      </w:r>
      <w:proofErr w:type="spellEnd"/>
      <w:r w:rsidRPr="00845E91">
        <w:rPr>
          <w:sz w:val="24"/>
          <w:szCs w:val="24"/>
        </w:rPr>
        <w:t xml:space="preserve"> går ikke over i </w:t>
      </w:r>
      <w:proofErr w:type="spellStart"/>
      <w:r w:rsidRPr="00845E91">
        <w:rPr>
          <w:sz w:val="24"/>
          <w:szCs w:val="24"/>
        </w:rPr>
        <w:t>cerebrospinalvæsken</w:t>
      </w:r>
      <w:proofErr w:type="spellEnd"/>
      <w:r w:rsidRPr="00845E91">
        <w:rPr>
          <w:sz w:val="24"/>
          <w:szCs w:val="24"/>
        </w:rPr>
        <w:t>.</w:t>
      </w:r>
    </w:p>
    <w:p w:rsidR="00EA6FC0" w:rsidRPr="00845E91" w:rsidRDefault="00EA6FC0" w:rsidP="0016096E">
      <w:pPr>
        <w:tabs>
          <w:tab w:val="left" w:pos="851"/>
        </w:tabs>
        <w:ind w:left="851"/>
        <w:rPr>
          <w:sz w:val="24"/>
          <w:szCs w:val="24"/>
        </w:rPr>
      </w:pPr>
    </w:p>
    <w:p w:rsidR="0016096E" w:rsidRDefault="00EA6FC0" w:rsidP="0016096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G</w:t>
      </w:r>
      <w:r w:rsidR="0016096E" w:rsidRPr="00845E91">
        <w:rPr>
          <w:sz w:val="24"/>
          <w:szCs w:val="24"/>
        </w:rPr>
        <w:t>entamicin</w:t>
      </w:r>
      <w:proofErr w:type="spellEnd"/>
      <w:r w:rsidR="0016096E" w:rsidRPr="00845E91">
        <w:rPr>
          <w:sz w:val="24"/>
          <w:szCs w:val="24"/>
        </w:rPr>
        <w:t xml:space="preserve"> kan bedst betragtes som et smalspektret antibiotikum med baktericid virkning på gramnegative bakterier (f.eks. </w:t>
      </w:r>
      <w:r w:rsidR="0016096E" w:rsidRPr="00EA6FC0">
        <w:rPr>
          <w:i/>
          <w:sz w:val="24"/>
          <w:szCs w:val="24"/>
        </w:rPr>
        <w:t xml:space="preserve">E. </w:t>
      </w:r>
      <w:proofErr w:type="spellStart"/>
      <w:r w:rsidR="0016096E" w:rsidRPr="00EA6FC0">
        <w:rPr>
          <w:i/>
          <w:sz w:val="24"/>
          <w:szCs w:val="24"/>
        </w:rPr>
        <w:t>coli</w:t>
      </w:r>
      <w:proofErr w:type="spellEnd"/>
      <w:r w:rsidR="0016096E" w:rsidRPr="00EA6FC0">
        <w:rPr>
          <w:i/>
          <w:sz w:val="24"/>
          <w:szCs w:val="24"/>
        </w:rPr>
        <w:t xml:space="preserve">, Proteus, </w:t>
      </w:r>
      <w:proofErr w:type="spellStart"/>
      <w:r w:rsidR="0016096E" w:rsidRPr="00EA6FC0">
        <w:rPr>
          <w:i/>
          <w:sz w:val="24"/>
          <w:szCs w:val="24"/>
        </w:rPr>
        <w:t>Pseudomonas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G</w:t>
      </w:r>
      <w:r w:rsidR="0016096E" w:rsidRPr="00845E91">
        <w:rPr>
          <w:sz w:val="24"/>
          <w:szCs w:val="24"/>
        </w:rPr>
        <w:t>entamicin</w:t>
      </w:r>
      <w:proofErr w:type="spellEnd"/>
      <w:r w:rsidR="0016096E" w:rsidRPr="00845E91">
        <w:rPr>
          <w:sz w:val="24"/>
          <w:szCs w:val="24"/>
        </w:rPr>
        <w:t xml:space="preserve"> har ingen virkning på </w:t>
      </w:r>
      <w:proofErr w:type="spellStart"/>
      <w:r w:rsidR="0016096E" w:rsidRPr="00845E91">
        <w:rPr>
          <w:sz w:val="24"/>
          <w:szCs w:val="24"/>
        </w:rPr>
        <w:t>anaerobe</w:t>
      </w:r>
      <w:proofErr w:type="spellEnd"/>
      <w:r w:rsidR="0016096E" w:rsidRPr="00845E91">
        <w:rPr>
          <w:sz w:val="24"/>
          <w:szCs w:val="24"/>
        </w:rPr>
        <w:t xml:space="preserve"> bakterier eller </w:t>
      </w:r>
      <w:proofErr w:type="spellStart"/>
      <w:r w:rsidR="0016096E" w:rsidRPr="00845E91">
        <w:rPr>
          <w:sz w:val="24"/>
          <w:szCs w:val="24"/>
        </w:rPr>
        <w:t>Mycoplasma</w:t>
      </w:r>
      <w:proofErr w:type="spellEnd"/>
      <w:r w:rsidR="0016096E" w:rsidRPr="00845E91">
        <w:rPr>
          <w:sz w:val="24"/>
          <w:szCs w:val="24"/>
        </w:rPr>
        <w:t xml:space="preserve">. </w:t>
      </w:r>
      <w:proofErr w:type="spellStart"/>
      <w:r w:rsidR="0016096E" w:rsidRPr="00845E91">
        <w:rPr>
          <w:sz w:val="24"/>
          <w:szCs w:val="24"/>
        </w:rPr>
        <w:t>Gentamicin</w:t>
      </w:r>
      <w:proofErr w:type="spellEnd"/>
      <w:r w:rsidR="0016096E" w:rsidRPr="00845E91">
        <w:rPr>
          <w:sz w:val="24"/>
          <w:szCs w:val="24"/>
        </w:rPr>
        <w:t xml:space="preserve"> trænger ikke ind i cellerne eller i abscesser. </w:t>
      </w:r>
      <w:proofErr w:type="spellStart"/>
      <w:r>
        <w:rPr>
          <w:sz w:val="24"/>
          <w:szCs w:val="24"/>
        </w:rPr>
        <w:t>G</w:t>
      </w:r>
      <w:r w:rsidR="0016096E" w:rsidRPr="00845E91">
        <w:rPr>
          <w:sz w:val="24"/>
          <w:szCs w:val="24"/>
        </w:rPr>
        <w:t>entamicin</w:t>
      </w:r>
      <w:proofErr w:type="spellEnd"/>
      <w:r w:rsidR="0016096E" w:rsidRPr="00845E91">
        <w:rPr>
          <w:sz w:val="24"/>
          <w:szCs w:val="24"/>
        </w:rPr>
        <w:t xml:space="preserve"> </w:t>
      </w:r>
      <w:proofErr w:type="spellStart"/>
      <w:r w:rsidR="0016096E" w:rsidRPr="00845E91">
        <w:rPr>
          <w:sz w:val="24"/>
          <w:szCs w:val="24"/>
        </w:rPr>
        <w:t>deaktiveres</w:t>
      </w:r>
      <w:proofErr w:type="spellEnd"/>
      <w:r w:rsidR="0016096E" w:rsidRPr="00845E91">
        <w:rPr>
          <w:sz w:val="24"/>
          <w:szCs w:val="24"/>
        </w:rPr>
        <w:t xml:space="preserve"> ved tilstedeværelse af inflammatorisk </w:t>
      </w:r>
      <w:proofErr w:type="spellStart"/>
      <w:r w:rsidR="0016096E" w:rsidRPr="00845E91">
        <w:rPr>
          <w:sz w:val="24"/>
          <w:szCs w:val="24"/>
        </w:rPr>
        <w:t>debris</w:t>
      </w:r>
      <w:proofErr w:type="spellEnd"/>
      <w:r w:rsidR="0016096E" w:rsidRPr="00845E91">
        <w:rPr>
          <w:sz w:val="24"/>
          <w:szCs w:val="24"/>
        </w:rPr>
        <w:t xml:space="preserve">, lav iltkoncentration og lavt pH. </w:t>
      </w:r>
      <w:proofErr w:type="spellStart"/>
      <w:r w:rsidR="0016096E" w:rsidRPr="00845E91">
        <w:rPr>
          <w:sz w:val="24"/>
          <w:szCs w:val="24"/>
        </w:rPr>
        <w:t>gentamicin</w:t>
      </w:r>
      <w:proofErr w:type="spellEnd"/>
      <w:r w:rsidR="0016096E" w:rsidRPr="00845E91">
        <w:rPr>
          <w:sz w:val="24"/>
          <w:szCs w:val="24"/>
        </w:rPr>
        <w:t xml:space="preserve"> udskilles uændret i nyrerne ved </w:t>
      </w:r>
      <w:proofErr w:type="spellStart"/>
      <w:r w:rsidR="0016096E" w:rsidRPr="00845E91">
        <w:rPr>
          <w:sz w:val="24"/>
          <w:szCs w:val="24"/>
        </w:rPr>
        <w:t>glomerulær</w:t>
      </w:r>
      <w:proofErr w:type="spellEnd"/>
      <w:r w:rsidR="0016096E" w:rsidRPr="00845E91">
        <w:rPr>
          <w:sz w:val="24"/>
          <w:szCs w:val="24"/>
        </w:rPr>
        <w:t xml:space="preserve"> filtration, hvilket gælder 85-95 % af dosis.</w:t>
      </w:r>
    </w:p>
    <w:p w:rsidR="00EA6FC0" w:rsidRDefault="00EA6FC0" w:rsidP="0016096E">
      <w:pPr>
        <w:tabs>
          <w:tab w:val="left" w:pos="851"/>
        </w:tabs>
        <w:ind w:left="851"/>
        <w:rPr>
          <w:sz w:val="24"/>
          <w:szCs w:val="24"/>
        </w:rPr>
      </w:pPr>
    </w:p>
    <w:p w:rsidR="0016096E" w:rsidRDefault="0016096E" w:rsidP="0016096E">
      <w:pPr>
        <w:tabs>
          <w:tab w:val="left" w:pos="851"/>
        </w:tabs>
        <w:ind w:left="851"/>
        <w:rPr>
          <w:sz w:val="24"/>
          <w:szCs w:val="24"/>
        </w:rPr>
      </w:pPr>
      <w:r w:rsidRPr="00845E91">
        <w:rPr>
          <w:sz w:val="24"/>
          <w:szCs w:val="24"/>
        </w:rPr>
        <w:t xml:space="preserve">Der er flere mekanismer, ved hvilke forskellige bakteriestammer har udviklet resistens mod aminoglykosider som </w:t>
      </w:r>
      <w:proofErr w:type="spellStart"/>
      <w:r w:rsidRPr="00845E91">
        <w:rPr>
          <w:sz w:val="24"/>
          <w:szCs w:val="24"/>
        </w:rPr>
        <w:t>gentamicin</w:t>
      </w:r>
      <w:proofErr w:type="spellEnd"/>
      <w:r w:rsidRPr="00845E91">
        <w:rPr>
          <w:sz w:val="24"/>
          <w:szCs w:val="24"/>
        </w:rPr>
        <w:t xml:space="preserve">. Enzymatisk modifikation er den almindeligste form for resistens mod aminoglykosider Der er identificeret over 50 forskellige enzymer. Enzymatisk modifikation resulterer i høj resistens. De gener, der koder for </w:t>
      </w:r>
      <w:proofErr w:type="spellStart"/>
      <w:r w:rsidRPr="00845E91">
        <w:rPr>
          <w:sz w:val="24"/>
          <w:szCs w:val="24"/>
        </w:rPr>
        <w:t>aminoglykosidmodificerende</w:t>
      </w:r>
      <w:proofErr w:type="spellEnd"/>
      <w:r w:rsidRPr="00845E91">
        <w:rPr>
          <w:sz w:val="24"/>
          <w:szCs w:val="24"/>
        </w:rPr>
        <w:t xml:space="preserve"> enzymer, findes sædvanligvis på </w:t>
      </w:r>
      <w:proofErr w:type="spellStart"/>
      <w:r w:rsidRPr="00845E91">
        <w:rPr>
          <w:sz w:val="24"/>
          <w:szCs w:val="24"/>
        </w:rPr>
        <w:t>plasmider</w:t>
      </w:r>
      <w:proofErr w:type="spellEnd"/>
      <w:r w:rsidRPr="00845E91">
        <w:rPr>
          <w:sz w:val="24"/>
          <w:szCs w:val="24"/>
        </w:rPr>
        <w:t xml:space="preserve"> og </w:t>
      </w:r>
      <w:proofErr w:type="spellStart"/>
      <w:r w:rsidRPr="00845E91">
        <w:rPr>
          <w:sz w:val="24"/>
          <w:szCs w:val="24"/>
        </w:rPr>
        <w:t>transposoner</w:t>
      </w:r>
      <w:proofErr w:type="spellEnd"/>
      <w:r w:rsidRPr="00845E91">
        <w:rPr>
          <w:sz w:val="24"/>
          <w:szCs w:val="24"/>
        </w:rPr>
        <w:t>.</w:t>
      </w:r>
    </w:p>
    <w:p w:rsidR="00D566D6" w:rsidRPr="00845E91" w:rsidRDefault="00D566D6" w:rsidP="0016096E">
      <w:pPr>
        <w:tabs>
          <w:tab w:val="left" w:pos="851"/>
        </w:tabs>
        <w:ind w:left="851"/>
        <w:rPr>
          <w:sz w:val="24"/>
          <w:szCs w:val="24"/>
        </w:rPr>
      </w:pPr>
    </w:p>
    <w:p w:rsidR="0016096E" w:rsidRPr="00845E91" w:rsidRDefault="0016096E" w:rsidP="0016096E">
      <w:pPr>
        <w:tabs>
          <w:tab w:val="left" w:pos="851"/>
        </w:tabs>
        <w:ind w:left="851"/>
        <w:rPr>
          <w:sz w:val="24"/>
          <w:szCs w:val="24"/>
        </w:rPr>
      </w:pPr>
      <w:r w:rsidRPr="00845E91">
        <w:rPr>
          <w:sz w:val="24"/>
          <w:szCs w:val="24"/>
        </w:rPr>
        <w:t xml:space="preserve">Der er tre typer </w:t>
      </w:r>
      <w:proofErr w:type="spellStart"/>
      <w:r w:rsidRPr="00845E91">
        <w:rPr>
          <w:sz w:val="24"/>
          <w:szCs w:val="24"/>
        </w:rPr>
        <w:t>aminoglykosidmodificerende</w:t>
      </w:r>
      <w:proofErr w:type="spellEnd"/>
      <w:r w:rsidRPr="00845E91">
        <w:rPr>
          <w:sz w:val="24"/>
          <w:szCs w:val="24"/>
        </w:rPr>
        <w:t xml:space="preserve"> enzymer:</w:t>
      </w:r>
    </w:p>
    <w:p w:rsidR="0016096E" w:rsidRPr="00845E91" w:rsidRDefault="0016096E" w:rsidP="00D566D6">
      <w:pPr>
        <w:tabs>
          <w:tab w:val="left" w:pos="1134"/>
        </w:tabs>
        <w:ind w:left="1134" w:hanging="283"/>
        <w:rPr>
          <w:sz w:val="24"/>
          <w:szCs w:val="24"/>
        </w:rPr>
      </w:pPr>
      <w:r w:rsidRPr="00845E91">
        <w:rPr>
          <w:sz w:val="24"/>
          <w:szCs w:val="24"/>
        </w:rPr>
        <w:t>1. N-acetyltransferaser (AAC) – katalyserer acetyl-</w:t>
      </w:r>
      <w:proofErr w:type="spellStart"/>
      <w:r w:rsidRPr="00845E91">
        <w:rPr>
          <w:sz w:val="24"/>
          <w:szCs w:val="24"/>
        </w:rPr>
        <w:t>CoA</w:t>
      </w:r>
      <w:proofErr w:type="spellEnd"/>
      <w:r w:rsidRPr="00845E91">
        <w:rPr>
          <w:sz w:val="24"/>
          <w:szCs w:val="24"/>
        </w:rPr>
        <w:t xml:space="preserve">-afhængig </w:t>
      </w:r>
      <w:proofErr w:type="spellStart"/>
      <w:r w:rsidRPr="00845E91">
        <w:rPr>
          <w:sz w:val="24"/>
          <w:szCs w:val="24"/>
        </w:rPr>
        <w:t>acetylering</w:t>
      </w:r>
      <w:proofErr w:type="spellEnd"/>
      <w:r w:rsidRPr="00845E91">
        <w:rPr>
          <w:sz w:val="24"/>
          <w:szCs w:val="24"/>
        </w:rPr>
        <w:t xml:space="preserve"> af en aminogruppe</w:t>
      </w:r>
    </w:p>
    <w:p w:rsidR="0016096E" w:rsidRPr="00845E91" w:rsidRDefault="0016096E" w:rsidP="00D566D6">
      <w:pPr>
        <w:tabs>
          <w:tab w:val="left" w:pos="1134"/>
        </w:tabs>
        <w:ind w:left="1134" w:hanging="283"/>
        <w:rPr>
          <w:sz w:val="24"/>
          <w:szCs w:val="24"/>
        </w:rPr>
      </w:pPr>
      <w:r w:rsidRPr="00845E91">
        <w:rPr>
          <w:sz w:val="24"/>
          <w:szCs w:val="24"/>
        </w:rPr>
        <w:t>2. O-</w:t>
      </w:r>
      <w:proofErr w:type="spellStart"/>
      <w:r w:rsidRPr="00845E91">
        <w:rPr>
          <w:sz w:val="24"/>
          <w:szCs w:val="24"/>
        </w:rPr>
        <w:t>adenyltransferaser</w:t>
      </w:r>
      <w:proofErr w:type="spellEnd"/>
      <w:r w:rsidRPr="00845E91">
        <w:rPr>
          <w:sz w:val="24"/>
          <w:szCs w:val="24"/>
        </w:rPr>
        <w:t xml:space="preserve"> (ANT) – katalyserer ATP-afhængig </w:t>
      </w:r>
      <w:proofErr w:type="spellStart"/>
      <w:r w:rsidRPr="00845E91">
        <w:rPr>
          <w:sz w:val="24"/>
          <w:szCs w:val="24"/>
        </w:rPr>
        <w:t>adenylering</w:t>
      </w:r>
      <w:proofErr w:type="spellEnd"/>
      <w:r w:rsidRPr="00845E91">
        <w:rPr>
          <w:sz w:val="24"/>
          <w:szCs w:val="24"/>
        </w:rPr>
        <w:t xml:space="preserve"> af en hydroxylgruppe</w:t>
      </w:r>
    </w:p>
    <w:p w:rsidR="0016096E" w:rsidRPr="00845E91" w:rsidRDefault="0016096E" w:rsidP="00D566D6">
      <w:pPr>
        <w:tabs>
          <w:tab w:val="left" w:pos="1134"/>
        </w:tabs>
        <w:ind w:left="1134" w:hanging="283"/>
        <w:rPr>
          <w:sz w:val="24"/>
          <w:szCs w:val="24"/>
        </w:rPr>
      </w:pPr>
      <w:r w:rsidRPr="00845E91">
        <w:rPr>
          <w:sz w:val="24"/>
          <w:szCs w:val="24"/>
        </w:rPr>
        <w:t>3. O-</w:t>
      </w:r>
      <w:proofErr w:type="spellStart"/>
      <w:r w:rsidRPr="00845E91">
        <w:rPr>
          <w:sz w:val="24"/>
          <w:szCs w:val="24"/>
        </w:rPr>
        <w:t>fosfotransferaser</w:t>
      </w:r>
      <w:proofErr w:type="spellEnd"/>
      <w:r w:rsidRPr="00845E91">
        <w:rPr>
          <w:sz w:val="24"/>
          <w:szCs w:val="24"/>
        </w:rPr>
        <w:t xml:space="preserve"> (APH) – katalyserer ATP-afhængig </w:t>
      </w:r>
      <w:proofErr w:type="spellStart"/>
      <w:r w:rsidRPr="00845E91">
        <w:rPr>
          <w:sz w:val="24"/>
          <w:szCs w:val="24"/>
        </w:rPr>
        <w:t>fosforylering</w:t>
      </w:r>
      <w:proofErr w:type="spellEnd"/>
      <w:r w:rsidRPr="00845E91">
        <w:rPr>
          <w:sz w:val="24"/>
          <w:szCs w:val="24"/>
        </w:rPr>
        <w:t xml:space="preserve"> af en hydroxylgruppe</w:t>
      </w:r>
    </w:p>
    <w:p w:rsidR="00D566D6" w:rsidRDefault="00D566D6" w:rsidP="0016096E">
      <w:pPr>
        <w:tabs>
          <w:tab w:val="left" w:pos="851"/>
        </w:tabs>
        <w:ind w:left="851"/>
        <w:rPr>
          <w:sz w:val="24"/>
          <w:szCs w:val="24"/>
        </w:rPr>
      </w:pPr>
    </w:p>
    <w:p w:rsidR="00FA66E4" w:rsidRPr="00246DD2" w:rsidRDefault="0016096E" w:rsidP="00D566D6">
      <w:pPr>
        <w:tabs>
          <w:tab w:val="left" w:pos="851"/>
        </w:tabs>
        <w:ind w:left="851"/>
        <w:rPr>
          <w:sz w:val="24"/>
          <w:szCs w:val="24"/>
        </w:rPr>
      </w:pPr>
      <w:r w:rsidRPr="00845E91">
        <w:rPr>
          <w:sz w:val="24"/>
          <w:szCs w:val="24"/>
        </w:rPr>
        <w:t xml:space="preserve">To andre resistensmekanismer omfatter </w:t>
      </w:r>
      <w:proofErr w:type="spellStart"/>
      <w:r w:rsidRPr="00845E91">
        <w:rPr>
          <w:sz w:val="24"/>
          <w:szCs w:val="24"/>
        </w:rPr>
        <w:t>ribosomale</w:t>
      </w:r>
      <w:proofErr w:type="spellEnd"/>
      <w:r w:rsidRPr="00845E91">
        <w:rPr>
          <w:sz w:val="24"/>
          <w:szCs w:val="24"/>
        </w:rPr>
        <w:t xml:space="preserve"> mutationer på aminoglykosidernes bindingssted, 30S-subunit’en, og nedsat </w:t>
      </w:r>
      <w:proofErr w:type="spellStart"/>
      <w:r w:rsidRPr="00845E91">
        <w:rPr>
          <w:sz w:val="24"/>
          <w:szCs w:val="24"/>
        </w:rPr>
        <w:t>permeabilitet</w:t>
      </w:r>
      <w:proofErr w:type="spellEnd"/>
      <w:r w:rsidRPr="00845E91">
        <w:rPr>
          <w:sz w:val="24"/>
          <w:szCs w:val="24"/>
        </w:rPr>
        <w:t xml:space="preserve"> af bakterierne for aminoglykosider.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5.2</w:t>
      </w:r>
      <w:r w:rsidRPr="00246DD2">
        <w:rPr>
          <w:b/>
          <w:sz w:val="24"/>
          <w:szCs w:val="24"/>
        </w:rPr>
        <w:tab/>
      </w:r>
      <w:proofErr w:type="spellStart"/>
      <w:r w:rsidRPr="00246DD2">
        <w:rPr>
          <w:b/>
          <w:sz w:val="24"/>
          <w:szCs w:val="24"/>
        </w:rPr>
        <w:t>Farmakokinetiske</w:t>
      </w:r>
      <w:proofErr w:type="spellEnd"/>
      <w:r w:rsidRPr="00246DD2">
        <w:rPr>
          <w:b/>
          <w:sz w:val="24"/>
          <w:szCs w:val="24"/>
        </w:rPr>
        <w:t xml:space="preserve"> egenskaber</w:t>
      </w:r>
    </w:p>
    <w:p w:rsidR="009A20AB" w:rsidRPr="00845E91" w:rsidRDefault="009A20AB" w:rsidP="009A20AB">
      <w:pPr>
        <w:ind w:left="851"/>
        <w:rPr>
          <w:sz w:val="24"/>
          <w:szCs w:val="24"/>
        </w:rPr>
      </w:pPr>
      <w:proofErr w:type="spellStart"/>
      <w:r w:rsidRPr="00845E91">
        <w:rPr>
          <w:sz w:val="24"/>
          <w:szCs w:val="24"/>
        </w:rPr>
        <w:t>Gentamicinsulfat</w:t>
      </w:r>
      <w:proofErr w:type="spellEnd"/>
      <w:r w:rsidRPr="00845E91">
        <w:rPr>
          <w:sz w:val="24"/>
          <w:szCs w:val="24"/>
        </w:rPr>
        <w:t xml:space="preserve"> absorbers dårligt fra </w:t>
      </w:r>
      <w:proofErr w:type="spellStart"/>
      <w:r w:rsidRPr="00845E91">
        <w:rPr>
          <w:sz w:val="24"/>
          <w:szCs w:val="24"/>
        </w:rPr>
        <w:t>gastrointestinalkanalen</w:t>
      </w:r>
      <w:proofErr w:type="spellEnd"/>
      <w:r w:rsidRPr="00845E91">
        <w:rPr>
          <w:sz w:val="24"/>
          <w:szCs w:val="24"/>
        </w:rPr>
        <w:t xml:space="preserve">, hvorfor </w:t>
      </w:r>
      <w:r w:rsidR="00BE3D0B">
        <w:rPr>
          <w:sz w:val="24"/>
          <w:szCs w:val="24"/>
        </w:rPr>
        <w:t>lægemidlet</w:t>
      </w:r>
      <w:r w:rsidRPr="00845E91">
        <w:rPr>
          <w:sz w:val="24"/>
          <w:szCs w:val="24"/>
        </w:rPr>
        <w:t xml:space="preserve"> skal administreres </w:t>
      </w:r>
      <w:proofErr w:type="spellStart"/>
      <w:r w:rsidRPr="00845E91">
        <w:rPr>
          <w:sz w:val="24"/>
          <w:szCs w:val="24"/>
        </w:rPr>
        <w:t>parenteralt</w:t>
      </w:r>
      <w:proofErr w:type="spellEnd"/>
      <w:r w:rsidRPr="00845E91">
        <w:rPr>
          <w:sz w:val="24"/>
          <w:szCs w:val="24"/>
        </w:rPr>
        <w:t xml:space="preserve"> for systemisk virkning. Det forekommer i </w:t>
      </w:r>
      <w:proofErr w:type="spellStart"/>
      <w:r w:rsidRPr="00845E91">
        <w:rPr>
          <w:sz w:val="24"/>
          <w:szCs w:val="24"/>
        </w:rPr>
        <w:t>synovialis</w:t>
      </w:r>
      <w:proofErr w:type="spellEnd"/>
      <w:r w:rsidRPr="00845E91">
        <w:rPr>
          <w:sz w:val="24"/>
          <w:szCs w:val="24"/>
        </w:rPr>
        <w:t xml:space="preserve">- og </w:t>
      </w:r>
      <w:proofErr w:type="spellStart"/>
      <w:r w:rsidRPr="00845E91">
        <w:rPr>
          <w:sz w:val="24"/>
          <w:szCs w:val="24"/>
        </w:rPr>
        <w:t>peritonealvæskerne</w:t>
      </w:r>
      <w:proofErr w:type="spellEnd"/>
      <w:r w:rsidRPr="00845E91">
        <w:rPr>
          <w:sz w:val="24"/>
          <w:szCs w:val="24"/>
        </w:rPr>
        <w:t xml:space="preserve">, men effektive niveauer nås ikke i CSF, </w:t>
      </w:r>
      <w:proofErr w:type="spellStart"/>
      <w:r w:rsidRPr="00845E91">
        <w:rPr>
          <w:sz w:val="24"/>
          <w:szCs w:val="24"/>
        </w:rPr>
        <w:t>bronchialsekreter</w:t>
      </w:r>
      <w:proofErr w:type="spellEnd"/>
      <w:r w:rsidRPr="00845E91">
        <w:rPr>
          <w:sz w:val="24"/>
          <w:szCs w:val="24"/>
        </w:rPr>
        <w:t xml:space="preserve">, </w:t>
      </w:r>
      <w:proofErr w:type="spellStart"/>
      <w:r w:rsidRPr="00845E91">
        <w:rPr>
          <w:sz w:val="24"/>
          <w:szCs w:val="24"/>
        </w:rPr>
        <w:t>ocularvæsker</w:t>
      </w:r>
      <w:proofErr w:type="spellEnd"/>
      <w:r w:rsidRPr="00845E91">
        <w:rPr>
          <w:sz w:val="24"/>
          <w:szCs w:val="24"/>
        </w:rPr>
        <w:t xml:space="preserve"> eller mælk. Elimination foregår hovedsagelig ved </w:t>
      </w:r>
      <w:proofErr w:type="spellStart"/>
      <w:r w:rsidRPr="00845E91">
        <w:rPr>
          <w:sz w:val="24"/>
          <w:szCs w:val="24"/>
        </w:rPr>
        <w:t>glomerulær</w:t>
      </w:r>
      <w:proofErr w:type="spellEnd"/>
      <w:r w:rsidRPr="00845E91">
        <w:rPr>
          <w:sz w:val="24"/>
          <w:szCs w:val="24"/>
        </w:rPr>
        <w:t xml:space="preserve"> filtration og ses hurtigt i urinen.</w:t>
      </w:r>
    </w:p>
    <w:p w:rsidR="009A20AB" w:rsidRPr="00845E91" w:rsidRDefault="009A20AB" w:rsidP="009A20AB">
      <w:pPr>
        <w:ind w:left="851"/>
        <w:rPr>
          <w:sz w:val="24"/>
          <w:szCs w:val="24"/>
        </w:rPr>
      </w:pPr>
    </w:p>
    <w:p w:rsidR="00FA66E4" w:rsidRPr="00246DD2" w:rsidRDefault="009A20AB" w:rsidP="00BE3D0B">
      <w:pPr>
        <w:ind w:left="851"/>
        <w:rPr>
          <w:sz w:val="24"/>
          <w:szCs w:val="24"/>
        </w:rPr>
      </w:pPr>
      <w:proofErr w:type="spellStart"/>
      <w:r w:rsidRPr="00845E91">
        <w:rPr>
          <w:sz w:val="24"/>
          <w:szCs w:val="24"/>
        </w:rPr>
        <w:t>Gentamicin</w:t>
      </w:r>
      <w:proofErr w:type="spellEnd"/>
      <w:r w:rsidRPr="00845E91">
        <w:rPr>
          <w:sz w:val="24"/>
          <w:szCs w:val="24"/>
        </w:rPr>
        <w:t xml:space="preserve"> er et yderst polært lægemiddel med ringe vævspenetration; det fordeles hovedsagelig i ekstracellulærvæsker.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5.3</w:t>
      </w:r>
      <w:r w:rsidRPr="00246DD2">
        <w:rPr>
          <w:b/>
          <w:sz w:val="24"/>
          <w:szCs w:val="24"/>
        </w:rPr>
        <w:tab/>
        <w:t>Miljømæssige forhold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46DD2">
        <w:rPr>
          <w:sz w:val="24"/>
          <w:szCs w:val="24"/>
        </w:rPr>
        <w:tab/>
      </w:r>
      <w:r w:rsidR="00FB6AD4">
        <w:rPr>
          <w:sz w:val="24"/>
          <w:szCs w:val="24"/>
        </w:rPr>
        <w:t>-</w:t>
      </w:r>
    </w:p>
    <w:p w:rsidR="00FA66E4" w:rsidRPr="00246DD2" w:rsidRDefault="00FA66E4" w:rsidP="00406EE7">
      <w:pPr>
        <w:tabs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6.</w:t>
      </w:r>
      <w:r w:rsidRPr="00246DD2">
        <w:rPr>
          <w:b/>
          <w:sz w:val="24"/>
          <w:szCs w:val="24"/>
        </w:rPr>
        <w:tab/>
        <w:t>FARMACEUTISKE OPLYSNINGER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6.1</w:t>
      </w:r>
      <w:r w:rsidRPr="00246DD2">
        <w:rPr>
          <w:b/>
          <w:sz w:val="24"/>
          <w:szCs w:val="24"/>
        </w:rPr>
        <w:tab/>
        <w:t>Hjælpestoffer</w:t>
      </w:r>
    </w:p>
    <w:p w:rsidR="005C15EF" w:rsidRPr="00845E91" w:rsidRDefault="005C15EF" w:rsidP="005C15EF">
      <w:pPr>
        <w:ind w:left="851"/>
        <w:rPr>
          <w:sz w:val="24"/>
          <w:szCs w:val="24"/>
          <w:lang w:val="de-DE"/>
        </w:rPr>
      </w:pPr>
      <w:r w:rsidRPr="00845E91">
        <w:rPr>
          <w:sz w:val="24"/>
          <w:szCs w:val="24"/>
        </w:rPr>
        <w:t>Natriummetyl</w:t>
      </w:r>
      <w:proofErr w:type="spellStart"/>
      <w:r w:rsidRPr="00845E91">
        <w:rPr>
          <w:sz w:val="24"/>
          <w:szCs w:val="24"/>
          <w:lang w:val="de-DE"/>
        </w:rPr>
        <w:t>parahydroxybenzoat</w:t>
      </w:r>
      <w:proofErr w:type="spellEnd"/>
      <w:r w:rsidRPr="00845E91">
        <w:rPr>
          <w:sz w:val="24"/>
          <w:szCs w:val="24"/>
          <w:lang w:val="de-DE"/>
        </w:rPr>
        <w:t xml:space="preserve"> (E219)</w:t>
      </w:r>
    </w:p>
    <w:p w:rsidR="005C15EF" w:rsidRPr="00845E91" w:rsidRDefault="005C15EF" w:rsidP="005C15EF">
      <w:pPr>
        <w:ind w:left="851"/>
        <w:rPr>
          <w:sz w:val="24"/>
          <w:szCs w:val="24"/>
          <w:lang w:val="de-DE"/>
        </w:rPr>
      </w:pPr>
      <w:proofErr w:type="spellStart"/>
      <w:r w:rsidRPr="00845E91">
        <w:rPr>
          <w:sz w:val="24"/>
          <w:szCs w:val="24"/>
          <w:lang w:val="de-DE"/>
        </w:rPr>
        <w:t>Natriumpropylparahydroxybenzoat</w:t>
      </w:r>
      <w:proofErr w:type="spellEnd"/>
      <w:r w:rsidRPr="00845E91">
        <w:rPr>
          <w:sz w:val="24"/>
          <w:szCs w:val="24"/>
          <w:lang w:val="de-DE"/>
        </w:rPr>
        <w:t xml:space="preserve"> (E217)</w:t>
      </w:r>
    </w:p>
    <w:p w:rsidR="005C15EF" w:rsidRPr="00845E91" w:rsidRDefault="005C15EF" w:rsidP="005C15EF">
      <w:pPr>
        <w:ind w:left="851"/>
        <w:rPr>
          <w:sz w:val="24"/>
          <w:szCs w:val="24"/>
          <w:lang w:val="de-DE"/>
        </w:rPr>
      </w:pPr>
      <w:proofErr w:type="spellStart"/>
      <w:r w:rsidRPr="00845E91">
        <w:rPr>
          <w:sz w:val="24"/>
          <w:szCs w:val="24"/>
          <w:lang w:val="de-DE"/>
        </w:rPr>
        <w:t>Natriummetabisulfit</w:t>
      </w:r>
      <w:proofErr w:type="spellEnd"/>
    </w:p>
    <w:p w:rsidR="005C15EF" w:rsidRPr="00845E91" w:rsidRDefault="005C15EF" w:rsidP="005C15EF">
      <w:pPr>
        <w:ind w:left="851"/>
        <w:rPr>
          <w:sz w:val="24"/>
          <w:szCs w:val="24"/>
          <w:lang w:val="de-DE"/>
        </w:rPr>
      </w:pPr>
      <w:r w:rsidRPr="00845E91">
        <w:rPr>
          <w:sz w:val="24"/>
          <w:szCs w:val="24"/>
          <w:lang w:val="de-DE"/>
        </w:rPr>
        <w:t>Natriumcitrat</w:t>
      </w:r>
    </w:p>
    <w:p w:rsidR="005C15EF" w:rsidRPr="00845E91" w:rsidRDefault="005C15EF" w:rsidP="005C15EF">
      <w:pPr>
        <w:ind w:left="851"/>
        <w:rPr>
          <w:sz w:val="24"/>
          <w:szCs w:val="24"/>
          <w:lang w:val="de-DE"/>
        </w:rPr>
      </w:pPr>
      <w:proofErr w:type="spellStart"/>
      <w:r w:rsidRPr="00845E91">
        <w:rPr>
          <w:sz w:val="24"/>
          <w:szCs w:val="24"/>
          <w:lang w:val="de-DE"/>
        </w:rPr>
        <w:t>Eddikesyre</w:t>
      </w:r>
      <w:proofErr w:type="spellEnd"/>
    </w:p>
    <w:p w:rsidR="005C15EF" w:rsidRPr="00845E91" w:rsidRDefault="005C15EF" w:rsidP="005C15EF">
      <w:pPr>
        <w:ind w:left="851"/>
        <w:rPr>
          <w:sz w:val="24"/>
          <w:szCs w:val="24"/>
          <w:lang w:val="de-DE"/>
        </w:rPr>
      </w:pPr>
      <w:proofErr w:type="spellStart"/>
      <w:r>
        <w:rPr>
          <w:sz w:val="24"/>
          <w:szCs w:val="24"/>
          <w:lang w:val="de-DE"/>
        </w:rPr>
        <w:t>Citronsyre</w:t>
      </w:r>
      <w:r w:rsidRPr="00845E91">
        <w:rPr>
          <w:sz w:val="24"/>
          <w:szCs w:val="24"/>
          <w:lang w:val="de-DE"/>
        </w:rPr>
        <w:t>monohydrat</w:t>
      </w:r>
      <w:proofErr w:type="spellEnd"/>
    </w:p>
    <w:p w:rsidR="00FA66E4" w:rsidRPr="00246DD2" w:rsidRDefault="005C15EF" w:rsidP="005C15EF">
      <w:pPr>
        <w:ind w:left="851"/>
        <w:rPr>
          <w:sz w:val="24"/>
          <w:szCs w:val="24"/>
        </w:rPr>
      </w:pPr>
      <w:r w:rsidRPr="00845E91">
        <w:rPr>
          <w:sz w:val="24"/>
          <w:szCs w:val="24"/>
        </w:rPr>
        <w:t>Vand til injektion</w:t>
      </w:r>
      <w:r>
        <w:rPr>
          <w:sz w:val="24"/>
          <w:szCs w:val="24"/>
        </w:rPr>
        <w:t>svæsker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6.2</w:t>
      </w:r>
      <w:r w:rsidRPr="00246DD2">
        <w:rPr>
          <w:b/>
          <w:sz w:val="24"/>
          <w:szCs w:val="24"/>
        </w:rPr>
        <w:tab/>
        <w:t>Uforligeligheder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46DD2">
        <w:rPr>
          <w:sz w:val="24"/>
          <w:szCs w:val="24"/>
        </w:rPr>
        <w:tab/>
      </w:r>
      <w:r w:rsidR="00AA2D5E">
        <w:rPr>
          <w:sz w:val="24"/>
          <w:szCs w:val="24"/>
        </w:rPr>
        <w:t>Ingen kendte.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6.3</w:t>
      </w:r>
      <w:r w:rsidRPr="00246DD2">
        <w:rPr>
          <w:b/>
          <w:sz w:val="24"/>
          <w:szCs w:val="24"/>
        </w:rPr>
        <w:tab/>
        <w:t>Opbevaringstid</w:t>
      </w:r>
    </w:p>
    <w:p w:rsidR="00532739" w:rsidRPr="00845E91" w:rsidRDefault="00532739" w:rsidP="0053273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845E91">
        <w:rPr>
          <w:sz w:val="24"/>
          <w:szCs w:val="24"/>
        </w:rPr>
        <w:t xml:space="preserve"> salgspakning: 2 år.</w:t>
      </w:r>
    </w:p>
    <w:p w:rsidR="00FA66E4" w:rsidRPr="00246DD2" w:rsidRDefault="00532739" w:rsidP="00532739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E</w:t>
      </w:r>
      <w:r w:rsidRPr="00845E91">
        <w:rPr>
          <w:sz w:val="24"/>
          <w:szCs w:val="24"/>
        </w:rPr>
        <w:t>fter første åbning af den indre emballage: 28 dage.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6.4</w:t>
      </w:r>
      <w:r w:rsidRPr="00246DD2">
        <w:rPr>
          <w:b/>
          <w:sz w:val="24"/>
          <w:szCs w:val="24"/>
        </w:rPr>
        <w:tab/>
        <w:t>Særlige opbevaringsforhold</w:t>
      </w:r>
    </w:p>
    <w:p w:rsidR="00FA66E4" w:rsidRPr="00246DD2" w:rsidRDefault="00AD46A8" w:rsidP="00AD46A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Beskyttes mod lys.</w:t>
      </w:r>
    </w:p>
    <w:p w:rsidR="00FA66E4" w:rsidRPr="00246DD2" w:rsidRDefault="00FA66E4" w:rsidP="00406EE7">
      <w:pPr>
        <w:tabs>
          <w:tab w:val="left" w:pos="851"/>
          <w:tab w:val="left" w:pos="8222"/>
        </w:tabs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6.5</w:t>
      </w:r>
      <w:r w:rsidRPr="00246DD2">
        <w:rPr>
          <w:b/>
          <w:sz w:val="24"/>
          <w:szCs w:val="24"/>
        </w:rPr>
        <w:tab/>
        <w:t>Emballage</w:t>
      </w:r>
    </w:p>
    <w:p w:rsidR="00FA66E4" w:rsidRPr="00246DD2" w:rsidRDefault="00AD46A8" w:rsidP="00AD46A8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845E91">
        <w:rPr>
          <w:sz w:val="24"/>
          <w:szCs w:val="24"/>
        </w:rPr>
        <w:t xml:space="preserve">100 ml klart, Type II hætteglas forseglet med Type I </w:t>
      </w:r>
      <w:r w:rsidR="008263CD">
        <w:rPr>
          <w:sz w:val="24"/>
          <w:szCs w:val="24"/>
        </w:rPr>
        <w:t>stopper</w:t>
      </w:r>
      <w:r w:rsidRPr="00845E91">
        <w:rPr>
          <w:sz w:val="24"/>
          <w:szCs w:val="24"/>
        </w:rPr>
        <w:t xml:space="preserve"> af </w:t>
      </w:r>
      <w:proofErr w:type="spellStart"/>
      <w:r w:rsidRPr="00845E91">
        <w:rPr>
          <w:sz w:val="24"/>
          <w:szCs w:val="24"/>
        </w:rPr>
        <w:t>bromobutyl</w:t>
      </w:r>
      <w:proofErr w:type="spellEnd"/>
      <w:r w:rsidRPr="00845E91">
        <w:rPr>
          <w:sz w:val="24"/>
          <w:szCs w:val="24"/>
        </w:rPr>
        <w:t xml:space="preserve"> og topforsegling af aluminium.</w:t>
      </w:r>
      <w:r w:rsidR="008263CD" w:rsidRPr="00246DD2">
        <w:rPr>
          <w:sz w:val="24"/>
          <w:szCs w:val="24"/>
        </w:rPr>
        <w:t xml:space="preserve"> 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6.6</w:t>
      </w:r>
      <w:r w:rsidRPr="00246DD2">
        <w:rPr>
          <w:b/>
          <w:sz w:val="24"/>
          <w:szCs w:val="24"/>
        </w:rPr>
        <w:tab/>
        <w:t>Særlige forholdsregler ved bortskaffelse af rester af lægemidlet eller affald</w:t>
      </w:r>
    </w:p>
    <w:p w:rsidR="00FA66E4" w:rsidRPr="00246DD2" w:rsidRDefault="003F69E2" w:rsidP="003F69E2">
      <w:pPr>
        <w:ind w:left="851"/>
        <w:rPr>
          <w:sz w:val="24"/>
          <w:szCs w:val="24"/>
        </w:rPr>
      </w:pPr>
      <w:r w:rsidRPr="00845E91">
        <w:rPr>
          <w:sz w:val="24"/>
          <w:szCs w:val="24"/>
        </w:rPr>
        <w:t xml:space="preserve">Ikke anvendte veterinærlægemidler samt affald heraf bør destrueres i henhold til lokale </w:t>
      </w:r>
      <w:proofErr w:type="spellStart"/>
      <w:r w:rsidRPr="00845E91">
        <w:rPr>
          <w:sz w:val="24"/>
          <w:szCs w:val="24"/>
        </w:rPr>
        <w:t>retningslinier</w:t>
      </w:r>
      <w:proofErr w:type="spellEnd"/>
      <w:r w:rsidRPr="00845E91">
        <w:rPr>
          <w:sz w:val="24"/>
          <w:szCs w:val="24"/>
        </w:rPr>
        <w:t>.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7.</w:t>
      </w:r>
      <w:r w:rsidRPr="00246DD2">
        <w:rPr>
          <w:b/>
          <w:sz w:val="24"/>
          <w:szCs w:val="24"/>
        </w:rPr>
        <w:tab/>
        <w:t>INDEHAVER AF MARKEDSFØRINGSTILLADELSEN</w:t>
      </w:r>
    </w:p>
    <w:p w:rsidR="003F69E2" w:rsidRPr="00845E91" w:rsidRDefault="003F69E2" w:rsidP="003F69E2">
      <w:pPr>
        <w:ind w:left="851" w:right="-318"/>
        <w:rPr>
          <w:sz w:val="24"/>
          <w:szCs w:val="24"/>
        </w:rPr>
      </w:pPr>
      <w:r w:rsidRPr="00845E91">
        <w:rPr>
          <w:sz w:val="24"/>
          <w:szCs w:val="24"/>
        </w:rPr>
        <w:t>Franklin Pharmaceuticals Limited</w:t>
      </w:r>
    </w:p>
    <w:p w:rsidR="003F69E2" w:rsidRPr="003F69E2" w:rsidRDefault="003F69E2" w:rsidP="003F69E2">
      <w:pPr>
        <w:ind w:left="851" w:right="-318"/>
        <w:rPr>
          <w:sz w:val="24"/>
          <w:szCs w:val="24"/>
          <w:lang w:val="en-US"/>
        </w:rPr>
      </w:pPr>
      <w:proofErr w:type="spellStart"/>
      <w:r w:rsidRPr="003F69E2">
        <w:rPr>
          <w:sz w:val="24"/>
          <w:szCs w:val="24"/>
          <w:lang w:val="en-US"/>
        </w:rPr>
        <w:t>Athboy</w:t>
      </w:r>
      <w:proofErr w:type="spellEnd"/>
      <w:r w:rsidRPr="003F69E2">
        <w:rPr>
          <w:sz w:val="24"/>
          <w:szCs w:val="24"/>
          <w:lang w:val="en-US"/>
        </w:rPr>
        <w:t xml:space="preserve"> Road</w:t>
      </w:r>
    </w:p>
    <w:p w:rsidR="003F69E2" w:rsidRPr="003F69E2" w:rsidRDefault="003F69E2" w:rsidP="003F69E2">
      <w:pPr>
        <w:ind w:left="851" w:right="-318"/>
        <w:rPr>
          <w:sz w:val="24"/>
          <w:szCs w:val="24"/>
          <w:lang w:val="en-US"/>
        </w:rPr>
      </w:pPr>
      <w:r w:rsidRPr="003F69E2">
        <w:rPr>
          <w:sz w:val="24"/>
          <w:szCs w:val="24"/>
          <w:lang w:val="en-US"/>
        </w:rPr>
        <w:t>Trim</w:t>
      </w:r>
      <w:r>
        <w:rPr>
          <w:sz w:val="24"/>
          <w:szCs w:val="24"/>
          <w:lang w:val="en-US"/>
        </w:rPr>
        <w:t xml:space="preserve">, </w:t>
      </w:r>
      <w:r w:rsidRPr="003F69E2">
        <w:rPr>
          <w:sz w:val="24"/>
          <w:szCs w:val="24"/>
          <w:lang w:val="en-US"/>
        </w:rPr>
        <w:t xml:space="preserve">Co. </w:t>
      </w:r>
      <w:proofErr w:type="spellStart"/>
      <w:r w:rsidRPr="003F69E2">
        <w:rPr>
          <w:sz w:val="24"/>
          <w:szCs w:val="24"/>
          <w:lang w:val="en-US"/>
        </w:rPr>
        <w:t>Meath</w:t>
      </w:r>
      <w:proofErr w:type="spellEnd"/>
    </w:p>
    <w:p w:rsidR="003F69E2" w:rsidRDefault="003F69E2" w:rsidP="003F69E2">
      <w:pPr>
        <w:ind w:left="851" w:right="-318"/>
        <w:rPr>
          <w:sz w:val="24"/>
          <w:szCs w:val="24"/>
          <w:lang w:val="en-US"/>
        </w:rPr>
      </w:pPr>
      <w:proofErr w:type="spellStart"/>
      <w:r w:rsidRPr="00913E8A">
        <w:rPr>
          <w:sz w:val="24"/>
          <w:szCs w:val="24"/>
          <w:lang w:val="en-US"/>
        </w:rPr>
        <w:t>Irland</w:t>
      </w:r>
      <w:proofErr w:type="spellEnd"/>
    </w:p>
    <w:p w:rsidR="00857CD6" w:rsidRDefault="00857CD6" w:rsidP="003F69E2">
      <w:pPr>
        <w:ind w:left="851" w:right="-318"/>
        <w:rPr>
          <w:sz w:val="24"/>
          <w:szCs w:val="24"/>
          <w:lang w:val="en-US"/>
        </w:rPr>
      </w:pPr>
    </w:p>
    <w:p w:rsidR="00857CD6" w:rsidRDefault="00857CD6" w:rsidP="003F69E2">
      <w:pPr>
        <w:ind w:left="851" w:right="-318"/>
        <w:rPr>
          <w:b/>
          <w:sz w:val="24"/>
          <w:szCs w:val="24"/>
          <w:lang w:val="en-US"/>
        </w:rPr>
      </w:pPr>
      <w:proofErr w:type="spellStart"/>
      <w:r>
        <w:rPr>
          <w:b/>
          <w:sz w:val="24"/>
          <w:szCs w:val="24"/>
          <w:lang w:val="en-US"/>
        </w:rPr>
        <w:t>Repræsentant</w:t>
      </w:r>
      <w:proofErr w:type="spellEnd"/>
    </w:p>
    <w:p w:rsidR="00857CD6" w:rsidRDefault="00857CD6" w:rsidP="003F69E2">
      <w:pPr>
        <w:ind w:left="851" w:right="-31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Dechra</w:t>
      </w:r>
      <w:proofErr w:type="spellEnd"/>
      <w:r>
        <w:rPr>
          <w:sz w:val="24"/>
          <w:szCs w:val="24"/>
          <w:lang w:val="en-US"/>
        </w:rPr>
        <w:t xml:space="preserve"> Veterinary Products A/S</w:t>
      </w:r>
    </w:p>
    <w:p w:rsidR="00857CD6" w:rsidRDefault="00857CD6" w:rsidP="003F69E2">
      <w:pPr>
        <w:ind w:left="851" w:right="-318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Mekuvej</w:t>
      </w:r>
      <w:proofErr w:type="spellEnd"/>
      <w:r>
        <w:rPr>
          <w:sz w:val="24"/>
          <w:szCs w:val="24"/>
          <w:lang w:val="en-US"/>
        </w:rPr>
        <w:t xml:space="preserve"> 9</w:t>
      </w:r>
    </w:p>
    <w:p w:rsidR="00857CD6" w:rsidRPr="00857CD6" w:rsidRDefault="00857CD6" w:rsidP="003F69E2">
      <w:pPr>
        <w:ind w:left="851" w:right="-318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7171 </w:t>
      </w:r>
      <w:proofErr w:type="spellStart"/>
      <w:r>
        <w:rPr>
          <w:sz w:val="24"/>
          <w:szCs w:val="24"/>
          <w:lang w:val="en-US"/>
        </w:rPr>
        <w:t>Uldum</w:t>
      </w:r>
      <w:proofErr w:type="spellEnd"/>
    </w:p>
    <w:p w:rsidR="00FA66E4" w:rsidRPr="00913E8A" w:rsidRDefault="00FA66E4" w:rsidP="003F69E2">
      <w:pPr>
        <w:tabs>
          <w:tab w:val="left" w:pos="851"/>
          <w:tab w:val="left" w:pos="8222"/>
        </w:tabs>
        <w:rPr>
          <w:sz w:val="24"/>
          <w:szCs w:val="24"/>
          <w:lang w:val="en-US"/>
        </w:rPr>
      </w:pPr>
      <w:r w:rsidRPr="00913E8A">
        <w:rPr>
          <w:sz w:val="24"/>
          <w:szCs w:val="24"/>
          <w:lang w:val="en-US"/>
        </w:rPr>
        <w:tab/>
      </w:r>
    </w:p>
    <w:p w:rsidR="00FA66E4" w:rsidRPr="00246DD2" w:rsidRDefault="00FA66E4" w:rsidP="00406EE7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8.</w:t>
      </w:r>
      <w:r w:rsidRPr="00246DD2">
        <w:rPr>
          <w:b/>
          <w:sz w:val="24"/>
          <w:szCs w:val="24"/>
        </w:rPr>
        <w:tab/>
        <w:t>MARKEDSFØRINGSTILLADELSESNUMMER (NUMRE)</w:t>
      </w:r>
    </w:p>
    <w:p w:rsidR="00FA66E4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46DD2">
        <w:rPr>
          <w:sz w:val="24"/>
          <w:szCs w:val="24"/>
        </w:rPr>
        <w:tab/>
      </w:r>
      <w:r w:rsidR="003F69E2">
        <w:rPr>
          <w:sz w:val="24"/>
          <w:szCs w:val="24"/>
        </w:rPr>
        <w:t>52955</w:t>
      </w:r>
    </w:p>
    <w:p w:rsidR="00857CD6" w:rsidRPr="00246DD2" w:rsidRDefault="00857CD6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9.</w:t>
      </w:r>
      <w:r w:rsidRPr="00246DD2">
        <w:rPr>
          <w:b/>
          <w:sz w:val="24"/>
          <w:szCs w:val="24"/>
        </w:rPr>
        <w:tab/>
        <w:t>DATO FOR FØRSTE MARKEDSFØRINGSTILLADELSE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46DD2">
        <w:rPr>
          <w:sz w:val="24"/>
          <w:szCs w:val="24"/>
        </w:rPr>
        <w:tab/>
      </w:r>
      <w:r w:rsidR="00FC1A7A">
        <w:rPr>
          <w:sz w:val="24"/>
          <w:szCs w:val="24"/>
        </w:rPr>
        <w:t>10. august 2015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10.</w:t>
      </w:r>
      <w:r w:rsidRPr="00246DD2">
        <w:rPr>
          <w:b/>
          <w:sz w:val="24"/>
          <w:szCs w:val="24"/>
        </w:rPr>
        <w:tab/>
        <w:t>DATO FOR ÆNDRING AF TEKSTEN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246DD2">
        <w:rPr>
          <w:sz w:val="24"/>
          <w:szCs w:val="24"/>
        </w:rPr>
        <w:tab/>
      </w:r>
      <w:r w:rsidR="00857CD6">
        <w:rPr>
          <w:sz w:val="24"/>
          <w:szCs w:val="24"/>
        </w:rPr>
        <w:t>1. februar 2016</w:t>
      </w:r>
    </w:p>
    <w:p w:rsidR="00FA66E4" w:rsidRPr="00246DD2" w:rsidRDefault="00FA66E4" w:rsidP="00406EE7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FA66E4" w:rsidRPr="00246DD2" w:rsidRDefault="00FA66E4" w:rsidP="00406EE7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246DD2">
        <w:rPr>
          <w:b/>
          <w:sz w:val="24"/>
          <w:szCs w:val="24"/>
        </w:rPr>
        <w:t>11.</w:t>
      </w:r>
      <w:r w:rsidRPr="00246DD2">
        <w:rPr>
          <w:b/>
          <w:sz w:val="24"/>
          <w:szCs w:val="24"/>
        </w:rPr>
        <w:tab/>
        <w:t>UDLEVERINGSBESTEMMELSE</w:t>
      </w:r>
    </w:p>
    <w:p w:rsidR="0003527F" w:rsidRPr="00406EE7" w:rsidRDefault="00FA66E4" w:rsidP="00FC1A7A">
      <w:pPr>
        <w:pStyle w:val="Sidehoved"/>
        <w:tabs>
          <w:tab w:val="clear" w:pos="4819"/>
          <w:tab w:val="left" w:pos="851"/>
          <w:tab w:val="left" w:pos="8222"/>
        </w:tabs>
        <w:ind w:left="851" w:hanging="851"/>
        <w:rPr>
          <w:szCs w:val="24"/>
        </w:rPr>
      </w:pPr>
      <w:r w:rsidRPr="00246DD2">
        <w:rPr>
          <w:szCs w:val="24"/>
        </w:rPr>
        <w:tab/>
      </w:r>
      <w:r w:rsidR="00FC1A7A">
        <w:rPr>
          <w:szCs w:val="24"/>
        </w:rPr>
        <w:t>B</w:t>
      </w:r>
    </w:p>
    <w:sectPr w:rsidR="0003527F" w:rsidRPr="00406EE7" w:rsidSect="00913E8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82" w:rsidRDefault="00146E82">
      <w:r>
        <w:separator/>
      </w:r>
    </w:p>
  </w:endnote>
  <w:endnote w:type="continuationSeparator" w:id="0">
    <w:p w:rsidR="00146E82" w:rsidRDefault="00146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57CD6">
      <w:rPr>
        <w:i/>
        <w:noProof/>
        <w:snapToGrid w:val="0"/>
        <w:sz w:val="18"/>
      </w:rPr>
      <w:t>Genta-Equine, injektionsvæske, opløsning 100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857CD6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857CD6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857CD6">
      <w:rPr>
        <w:i/>
        <w:noProof/>
        <w:snapToGrid w:val="0"/>
        <w:sz w:val="18"/>
      </w:rPr>
      <w:t>Genta-Equine, injektionsvæske, opløsning 100 mg-ml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857CD6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857CD6">
      <w:rPr>
        <w:i/>
        <w:noProof/>
        <w:snapToGrid w:val="0"/>
        <w:sz w:val="18"/>
      </w:rPr>
      <w:t>6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82" w:rsidRDefault="00146E82">
      <w:r>
        <w:separator/>
      </w:r>
    </w:p>
  </w:footnote>
  <w:footnote w:type="continuationSeparator" w:id="0">
    <w:p w:rsidR="00146E82" w:rsidRDefault="00146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82"/>
    <w:rsid w:val="0003527F"/>
    <w:rsid w:val="000C6CD4"/>
    <w:rsid w:val="00146E82"/>
    <w:rsid w:val="001577E4"/>
    <w:rsid w:val="0016096E"/>
    <w:rsid w:val="001858CA"/>
    <w:rsid w:val="001C4AEF"/>
    <w:rsid w:val="001D3CC5"/>
    <w:rsid w:val="00246DD2"/>
    <w:rsid w:val="00290104"/>
    <w:rsid w:val="002D6541"/>
    <w:rsid w:val="002E1A6E"/>
    <w:rsid w:val="00304C10"/>
    <w:rsid w:val="00322BDE"/>
    <w:rsid w:val="003F69E2"/>
    <w:rsid w:val="00406EE7"/>
    <w:rsid w:val="00407013"/>
    <w:rsid w:val="004A62CC"/>
    <w:rsid w:val="004F66FB"/>
    <w:rsid w:val="00532739"/>
    <w:rsid w:val="0058468D"/>
    <w:rsid w:val="005C15EF"/>
    <w:rsid w:val="005E20E9"/>
    <w:rsid w:val="00662012"/>
    <w:rsid w:val="00666B01"/>
    <w:rsid w:val="006B1539"/>
    <w:rsid w:val="006F5621"/>
    <w:rsid w:val="007D4ADC"/>
    <w:rsid w:val="007E2A00"/>
    <w:rsid w:val="008263CD"/>
    <w:rsid w:val="00850E66"/>
    <w:rsid w:val="00857CD6"/>
    <w:rsid w:val="00872E3D"/>
    <w:rsid w:val="008747F3"/>
    <w:rsid w:val="00893B3D"/>
    <w:rsid w:val="00913E8A"/>
    <w:rsid w:val="009202AE"/>
    <w:rsid w:val="0096156C"/>
    <w:rsid w:val="009A20AB"/>
    <w:rsid w:val="009D66C6"/>
    <w:rsid w:val="00A96525"/>
    <w:rsid w:val="00AA2D5E"/>
    <w:rsid w:val="00AD46A8"/>
    <w:rsid w:val="00AE29E5"/>
    <w:rsid w:val="00AE5757"/>
    <w:rsid w:val="00B84DBB"/>
    <w:rsid w:val="00BC634B"/>
    <w:rsid w:val="00BE3D0B"/>
    <w:rsid w:val="00BF2AE0"/>
    <w:rsid w:val="00C86524"/>
    <w:rsid w:val="00CB5C51"/>
    <w:rsid w:val="00D566D6"/>
    <w:rsid w:val="00DD6D71"/>
    <w:rsid w:val="00DF32BE"/>
    <w:rsid w:val="00E14F0A"/>
    <w:rsid w:val="00E63D0B"/>
    <w:rsid w:val="00E85EA9"/>
    <w:rsid w:val="00EA6FC0"/>
    <w:rsid w:val="00EB1DC0"/>
    <w:rsid w:val="00EE5253"/>
    <w:rsid w:val="00F015A0"/>
    <w:rsid w:val="00F4276C"/>
    <w:rsid w:val="00FA66E4"/>
    <w:rsid w:val="00FB6AD4"/>
    <w:rsid w:val="00FC1A7A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221EE-9FE0-4646-8304-3E977A94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basedOn w:val="Standardskrifttypeiafsnit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basedOn w:val="Standardskrifttypeiafsnit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857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1215</Words>
  <Characters>8542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2016011348 - tilføjelse af dansk repræsentant. </dc:description>
  <cp:lastModifiedBy>MARIANNE OTT JENSEN - 9728</cp:lastModifiedBy>
  <cp:revision>4</cp:revision>
  <cp:lastPrinted>2016-01-27T12:43:00Z</cp:lastPrinted>
  <dcterms:created xsi:type="dcterms:W3CDTF">2016-01-27T12:41:00Z</dcterms:created>
  <dcterms:modified xsi:type="dcterms:W3CDTF">2016-01-27T12:43:00Z</dcterms:modified>
</cp:coreProperties>
</file>