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88B98" w14:textId="77777777" w:rsidR="008203A8" w:rsidRPr="008F49E1" w:rsidRDefault="008203A8" w:rsidP="008203A8">
      <w:pPr>
        <w:rPr>
          <w:sz w:val="24"/>
          <w:szCs w:val="24"/>
        </w:rPr>
      </w:pPr>
      <w:r w:rsidRPr="005B0036">
        <w:rPr>
          <w:noProof/>
          <w:sz w:val="24"/>
          <w:szCs w:val="24"/>
          <w:lang w:eastAsia="da-DK"/>
        </w:rPr>
        <w:drawing>
          <wp:inline distT="0" distB="0" distL="0" distR="0" wp14:anchorId="6ECEBC38" wp14:editId="0C17B1A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95016FE" w14:textId="77777777" w:rsidR="008203A8" w:rsidRDefault="008203A8" w:rsidP="008203A8">
      <w:pPr>
        <w:rPr>
          <w:sz w:val="24"/>
          <w:szCs w:val="24"/>
        </w:rPr>
      </w:pPr>
    </w:p>
    <w:p w14:paraId="008EE0C6" w14:textId="1436C7D4" w:rsidR="008203A8" w:rsidRPr="00406EE7" w:rsidRDefault="008203A8" w:rsidP="008203A8">
      <w:pPr>
        <w:tabs>
          <w:tab w:val="right" w:pos="9356"/>
        </w:tabs>
        <w:rPr>
          <w:b/>
          <w:sz w:val="24"/>
          <w:szCs w:val="24"/>
        </w:rPr>
      </w:pPr>
      <w:r>
        <w:rPr>
          <w:b/>
          <w:sz w:val="24"/>
          <w:szCs w:val="24"/>
        </w:rPr>
        <w:tab/>
      </w:r>
      <w:r w:rsidR="00D425C2">
        <w:rPr>
          <w:b/>
          <w:sz w:val="24"/>
          <w:szCs w:val="24"/>
        </w:rPr>
        <w:t>2</w:t>
      </w:r>
      <w:r w:rsidR="00D06646">
        <w:rPr>
          <w:b/>
          <w:sz w:val="24"/>
          <w:szCs w:val="24"/>
        </w:rPr>
        <w:t>. oktober</w:t>
      </w:r>
      <w:r w:rsidR="00D425C2">
        <w:rPr>
          <w:b/>
          <w:sz w:val="24"/>
          <w:szCs w:val="24"/>
        </w:rPr>
        <w:t xml:space="preserve"> 2023</w:t>
      </w:r>
    </w:p>
    <w:p w14:paraId="0451BEE3" w14:textId="77777777" w:rsidR="008203A8" w:rsidRDefault="008203A8" w:rsidP="008203A8">
      <w:pPr>
        <w:rPr>
          <w:sz w:val="24"/>
          <w:szCs w:val="24"/>
        </w:rPr>
      </w:pPr>
    </w:p>
    <w:p w14:paraId="6E271F61" w14:textId="77777777" w:rsidR="00D06646" w:rsidRDefault="00D06646" w:rsidP="008203A8">
      <w:pPr>
        <w:jc w:val="center"/>
        <w:rPr>
          <w:b/>
          <w:sz w:val="24"/>
          <w:szCs w:val="24"/>
        </w:rPr>
      </w:pPr>
    </w:p>
    <w:p w14:paraId="66FEC3CA" w14:textId="7F90B971" w:rsidR="008203A8" w:rsidRPr="00406EE7" w:rsidRDefault="008203A8" w:rsidP="008203A8">
      <w:pPr>
        <w:jc w:val="center"/>
        <w:rPr>
          <w:b/>
          <w:sz w:val="24"/>
          <w:szCs w:val="24"/>
        </w:rPr>
      </w:pPr>
      <w:r w:rsidRPr="00406EE7">
        <w:rPr>
          <w:b/>
          <w:sz w:val="24"/>
          <w:szCs w:val="24"/>
        </w:rPr>
        <w:t>PRODUKTRESUMÉ</w:t>
      </w:r>
    </w:p>
    <w:p w14:paraId="56AA1564" w14:textId="77777777" w:rsidR="008203A8" w:rsidRPr="00406EE7" w:rsidRDefault="008203A8" w:rsidP="008203A8">
      <w:pPr>
        <w:jc w:val="center"/>
        <w:rPr>
          <w:b/>
          <w:sz w:val="24"/>
          <w:szCs w:val="24"/>
        </w:rPr>
      </w:pPr>
    </w:p>
    <w:p w14:paraId="56038494" w14:textId="77777777" w:rsidR="008203A8" w:rsidRPr="00406EE7" w:rsidRDefault="008203A8" w:rsidP="008203A8">
      <w:pPr>
        <w:jc w:val="center"/>
        <w:rPr>
          <w:b/>
          <w:sz w:val="24"/>
          <w:szCs w:val="24"/>
        </w:rPr>
      </w:pPr>
      <w:r w:rsidRPr="00406EE7">
        <w:rPr>
          <w:b/>
          <w:sz w:val="24"/>
          <w:szCs w:val="24"/>
        </w:rPr>
        <w:t>for</w:t>
      </w:r>
    </w:p>
    <w:p w14:paraId="60020724" w14:textId="77777777" w:rsidR="008203A8" w:rsidRPr="00406EE7" w:rsidRDefault="008203A8" w:rsidP="008203A8">
      <w:pPr>
        <w:jc w:val="center"/>
        <w:rPr>
          <w:b/>
          <w:sz w:val="24"/>
          <w:szCs w:val="24"/>
        </w:rPr>
      </w:pPr>
    </w:p>
    <w:p w14:paraId="48D8E710" w14:textId="41BD8952" w:rsidR="008203A8" w:rsidRPr="00565A74" w:rsidRDefault="00EC03AD" w:rsidP="008203A8">
      <w:pPr>
        <w:jc w:val="center"/>
        <w:rPr>
          <w:b/>
          <w:sz w:val="24"/>
          <w:szCs w:val="24"/>
        </w:rPr>
      </w:pPr>
      <w:r>
        <w:rPr>
          <w:b/>
          <w:sz w:val="24"/>
          <w:szCs w:val="24"/>
        </w:rPr>
        <w:t>Hydrotrim</w:t>
      </w:r>
      <w:r w:rsidR="00F61057">
        <w:rPr>
          <w:b/>
          <w:sz w:val="24"/>
          <w:szCs w:val="24"/>
        </w:rPr>
        <w:t>, pulver til anvendelse i drikkevand/mælk</w:t>
      </w:r>
    </w:p>
    <w:p w14:paraId="44253BBC" w14:textId="77777777" w:rsidR="008203A8" w:rsidRPr="00406EE7" w:rsidRDefault="008203A8" w:rsidP="008203A8">
      <w:pPr>
        <w:jc w:val="both"/>
        <w:rPr>
          <w:sz w:val="24"/>
          <w:szCs w:val="24"/>
        </w:rPr>
      </w:pPr>
    </w:p>
    <w:p w14:paraId="63717CDA" w14:textId="77777777" w:rsidR="008203A8" w:rsidRDefault="008203A8" w:rsidP="008203A8">
      <w:pPr>
        <w:jc w:val="both"/>
        <w:rPr>
          <w:sz w:val="24"/>
          <w:szCs w:val="24"/>
        </w:rPr>
      </w:pPr>
    </w:p>
    <w:p w14:paraId="13CFA412" w14:textId="77777777" w:rsidR="008203A8" w:rsidRPr="00406EE7" w:rsidRDefault="008203A8" w:rsidP="008203A8">
      <w:pPr>
        <w:jc w:val="both"/>
        <w:rPr>
          <w:sz w:val="24"/>
          <w:szCs w:val="24"/>
        </w:rPr>
      </w:pPr>
    </w:p>
    <w:p w14:paraId="1FD5F718"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6E75222B" w14:textId="2190F665" w:rsidR="008203A8" w:rsidRPr="00406EE7" w:rsidRDefault="00F61057" w:rsidP="008203A8">
      <w:pPr>
        <w:ind w:left="851"/>
        <w:rPr>
          <w:sz w:val="24"/>
          <w:szCs w:val="24"/>
        </w:rPr>
      </w:pPr>
      <w:r>
        <w:rPr>
          <w:sz w:val="24"/>
          <w:szCs w:val="24"/>
        </w:rPr>
        <w:t>33009</w:t>
      </w:r>
    </w:p>
    <w:p w14:paraId="1EACAC48" w14:textId="77777777" w:rsidR="008203A8" w:rsidRPr="00406EE7" w:rsidRDefault="008203A8" w:rsidP="008203A8">
      <w:pPr>
        <w:ind w:left="851"/>
        <w:rPr>
          <w:sz w:val="24"/>
          <w:szCs w:val="24"/>
        </w:rPr>
      </w:pPr>
    </w:p>
    <w:p w14:paraId="615A05EB"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0CF2EDF1" w14:textId="77777777" w:rsidR="00F61057" w:rsidRPr="00F61057" w:rsidRDefault="00F61057" w:rsidP="00F61057">
      <w:pPr>
        <w:ind w:left="851"/>
        <w:rPr>
          <w:sz w:val="24"/>
          <w:szCs w:val="24"/>
        </w:rPr>
      </w:pPr>
      <w:r w:rsidRPr="00F61057">
        <w:rPr>
          <w:sz w:val="24"/>
          <w:szCs w:val="24"/>
        </w:rPr>
        <w:t xml:space="preserve">Hydrotrim </w:t>
      </w:r>
    </w:p>
    <w:p w14:paraId="5E9EDD23" w14:textId="77777777" w:rsidR="00F61057" w:rsidRPr="00F61057" w:rsidRDefault="00F61057" w:rsidP="00F61057">
      <w:pPr>
        <w:ind w:left="851"/>
        <w:rPr>
          <w:sz w:val="24"/>
          <w:szCs w:val="24"/>
        </w:rPr>
      </w:pPr>
    </w:p>
    <w:p w14:paraId="0F967676" w14:textId="77777777" w:rsidR="00F61057" w:rsidRPr="00F61057" w:rsidRDefault="00F61057" w:rsidP="00F61057">
      <w:pPr>
        <w:ind w:left="851"/>
        <w:rPr>
          <w:sz w:val="24"/>
          <w:szCs w:val="24"/>
        </w:rPr>
      </w:pPr>
      <w:r w:rsidRPr="00F61057">
        <w:rPr>
          <w:sz w:val="24"/>
          <w:szCs w:val="24"/>
        </w:rPr>
        <w:t>Lægemiddelform: pulver til anvendelse i drikkevand/mælk</w:t>
      </w:r>
    </w:p>
    <w:p w14:paraId="1A4B522E" w14:textId="77777777" w:rsidR="00F61057" w:rsidRPr="00F61057" w:rsidRDefault="00F61057" w:rsidP="00F61057">
      <w:pPr>
        <w:ind w:left="851"/>
        <w:rPr>
          <w:sz w:val="24"/>
          <w:szCs w:val="24"/>
        </w:rPr>
      </w:pPr>
      <w:r w:rsidRPr="00F61057">
        <w:rPr>
          <w:sz w:val="24"/>
          <w:szCs w:val="24"/>
        </w:rPr>
        <w:t>Styrke: 500 mg/g + 100 mg/g</w:t>
      </w:r>
    </w:p>
    <w:p w14:paraId="4099E4B6" w14:textId="77777777" w:rsidR="008203A8" w:rsidRPr="00406EE7" w:rsidRDefault="008203A8" w:rsidP="008203A8">
      <w:pPr>
        <w:ind w:left="851"/>
        <w:rPr>
          <w:sz w:val="24"/>
          <w:szCs w:val="24"/>
        </w:rPr>
      </w:pPr>
    </w:p>
    <w:p w14:paraId="6AE8024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4762A68F" w14:textId="77777777" w:rsidR="00C966E1" w:rsidRPr="00C966E1" w:rsidRDefault="00C966E1" w:rsidP="00C966E1">
      <w:pPr>
        <w:ind w:left="851"/>
        <w:rPr>
          <w:sz w:val="24"/>
          <w:szCs w:val="24"/>
        </w:rPr>
      </w:pPr>
      <w:r w:rsidRPr="00C966E1">
        <w:rPr>
          <w:sz w:val="24"/>
          <w:szCs w:val="24"/>
        </w:rPr>
        <w:t>Hvert gram indeholder:</w:t>
      </w:r>
    </w:p>
    <w:p w14:paraId="2E9C9783" w14:textId="77777777" w:rsidR="00C966E1" w:rsidRPr="00C966E1" w:rsidRDefault="00C966E1" w:rsidP="00C966E1">
      <w:pPr>
        <w:ind w:left="851"/>
        <w:rPr>
          <w:sz w:val="24"/>
          <w:szCs w:val="24"/>
          <w:lang w:val="fr-FR"/>
        </w:rPr>
      </w:pPr>
    </w:p>
    <w:p w14:paraId="486D5514" w14:textId="77777777" w:rsidR="00C966E1" w:rsidRPr="00C966E1" w:rsidRDefault="00C966E1" w:rsidP="00C966E1">
      <w:pPr>
        <w:ind w:left="851"/>
        <w:rPr>
          <w:b/>
          <w:sz w:val="24"/>
          <w:szCs w:val="24"/>
        </w:rPr>
      </w:pPr>
      <w:r w:rsidRPr="00C966E1">
        <w:rPr>
          <w:b/>
          <w:sz w:val="24"/>
          <w:szCs w:val="24"/>
        </w:rPr>
        <w:t>Aktive stoffer:</w:t>
      </w:r>
    </w:p>
    <w:p w14:paraId="4D9B2D35" w14:textId="77777777" w:rsidR="00C966E1" w:rsidRPr="00C966E1" w:rsidRDefault="00C966E1" w:rsidP="00C966E1">
      <w:pPr>
        <w:ind w:left="851"/>
        <w:rPr>
          <w:sz w:val="24"/>
          <w:szCs w:val="24"/>
        </w:rPr>
      </w:pPr>
      <w:r w:rsidRPr="00C966E1">
        <w:rPr>
          <w:sz w:val="24"/>
          <w:szCs w:val="24"/>
        </w:rPr>
        <w:t>500 mg sulfadiazin svarende til 543,9 mg sulfadiazinnatrium</w:t>
      </w:r>
    </w:p>
    <w:p w14:paraId="55223819" w14:textId="77777777" w:rsidR="00C966E1" w:rsidRPr="00C966E1" w:rsidRDefault="00C966E1" w:rsidP="00C966E1">
      <w:pPr>
        <w:ind w:left="851"/>
        <w:rPr>
          <w:sz w:val="24"/>
          <w:szCs w:val="24"/>
        </w:rPr>
      </w:pPr>
      <w:r w:rsidRPr="00C966E1">
        <w:rPr>
          <w:sz w:val="24"/>
          <w:szCs w:val="24"/>
        </w:rPr>
        <w:t>100 mg trimethoprim</w:t>
      </w:r>
    </w:p>
    <w:p w14:paraId="1CCEFBDD" w14:textId="77777777" w:rsidR="00C966E1" w:rsidRPr="00C966E1" w:rsidRDefault="00C966E1" w:rsidP="00C966E1">
      <w:pPr>
        <w:ind w:left="851"/>
        <w:rPr>
          <w:iCs/>
          <w:sz w:val="24"/>
          <w:szCs w:val="24"/>
        </w:rPr>
      </w:pPr>
    </w:p>
    <w:p w14:paraId="4BA10C86" w14:textId="77777777" w:rsidR="00C966E1" w:rsidRPr="00C966E1" w:rsidRDefault="00C966E1" w:rsidP="00C966E1">
      <w:pPr>
        <w:ind w:left="851"/>
        <w:rPr>
          <w:b/>
          <w:sz w:val="24"/>
          <w:szCs w:val="24"/>
        </w:rPr>
      </w:pPr>
      <w:r w:rsidRPr="00C966E1">
        <w:rPr>
          <w:b/>
          <w:sz w:val="24"/>
          <w:szCs w:val="24"/>
        </w:rPr>
        <w:t>Hjælpestoffer:</w:t>
      </w:r>
    </w:p>
    <w:p w14:paraId="7C6A5634" w14:textId="77777777" w:rsidR="00C966E1" w:rsidRPr="00C966E1" w:rsidRDefault="00C966E1" w:rsidP="00C966E1">
      <w:pPr>
        <w:ind w:left="851"/>
        <w:rPr>
          <w:sz w:val="24"/>
          <w:szCs w:val="24"/>
        </w:rPr>
      </w:pPr>
    </w:p>
    <w:tbl>
      <w:tblPr>
        <w:tblW w:w="355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7"/>
      </w:tblGrid>
      <w:tr w:rsidR="00C966E1" w:rsidRPr="00C966E1" w14:paraId="6370C764" w14:textId="77777777" w:rsidTr="001C6D01">
        <w:trPr>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167A0DD1" w14:textId="77777777" w:rsidR="00C966E1" w:rsidRPr="00C966E1" w:rsidRDefault="00C966E1" w:rsidP="001C6D01">
            <w:pPr>
              <w:rPr>
                <w:b/>
                <w:sz w:val="24"/>
                <w:szCs w:val="24"/>
              </w:rPr>
            </w:pPr>
            <w:r w:rsidRPr="00C966E1">
              <w:rPr>
                <w:b/>
                <w:sz w:val="24"/>
                <w:szCs w:val="24"/>
              </w:rPr>
              <w:t>Kvalitativ sammensætning af hjælpestoffer og andre bestanddele</w:t>
            </w:r>
          </w:p>
        </w:tc>
      </w:tr>
      <w:tr w:rsidR="00C966E1" w:rsidRPr="00C966E1" w14:paraId="68C6B99F" w14:textId="77777777" w:rsidTr="001C6D01">
        <w:trPr>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789E3791" w14:textId="77777777" w:rsidR="00C966E1" w:rsidRPr="00C966E1" w:rsidRDefault="00C966E1" w:rsidP="001C6D01">
            <w:pPr>
              <w:rPr>
                <w:sz w:val="24"/>
                <w:szCs w:val="24"/>
              </w:rPr>
            </w:pPr>
            <w:r w:rsidRPr="00C966E1">
              <w:rPr>
                <w:sz w:val="24"/>
                <w:szCs w:val="24"/>
              </w:rPr>
              <w:t>Polysorbat 80</w:t>
            </w:r>
          </w:p>
        </w:tc>
      </w:tr>
      <w:tr w:rsidR="00C966E1" w:rsidRPr="00C966E1" w14:paraId="6FC305EF" w14:textId="77777777" w:rsidTr="001C6D01">
        <w:trPr>
          <w:trHeight w:val="20"/>
        </w:trPr>
        <w:tc>
          <w:tcPr>
            <w:tcW w:w="5000" w:type="pct"/>
            <w:tcBorders>
              <w:top w:val="single" w:sz="4" w:space="0" w:color="auto"/>
              <w:left w:val="single" w:sz="4" w:space="0" w:color="auto"/>
              <w:bottom w:val="single" w:sz="4" w:space="0" w:color="auto"/>
              <w:right w:val="single" w:sz="4" w:space="0" w:color="auto"/>
            </w:tcBorders>
            <w:vAlign w:val="center"/>
            <w:hideMark/>
          </w:tcPr>
          <w:p w14:paraId="2ACC0405" w14:textId="77777777" w:rsidR="00C966E1" w:rsidRPr="00C966E1" w:rsidRDefault="00C966E1" w:rsidP="001C6D01">
            <w:pPr>
              <w:rPr>
                <w:sz w:val="24"/>
                <w:szCs w:val="24"/>
              </w:rPr>
            </w:pPr>
            <w:r w:rsidRPr="00C966E1">
              <w:rPr>
                <w:sz w:val="24"/>
                <w:szCs w:val="24"/>
              </w:rPr>
              <w:t>Maltodextrin</w:t>
            </w:r>
          </w:p>
        </w:tc>
      </w:tr>
    </w:tbl>
    <w:p w14:paraId="27C7A507" w14:textId="77777777" w:rsidR="00C966E1" w:rsidRPr="00C966E1" w:rsidRDefault="00C966E1" w:rsidP="00C966E1">
      <w:pPr>
        <w:ind w:left="851"/>
        <w:rPr>
          <w:sz w:val="24"/>
          <w:szCs w:val="24"/>
        </w:rPr>
      </w:pPr>
    </w:p>
    <w:p w14:paraId="3112B31E" w14:textId="77777777" w:rsidR="00C966E1" w:rsidRPr="00C966E1" w:rsidRDefault="00C966E1" w:rsidP="00C966E1">
      <w:pPr>
        <w:ind w:left="851"/>
        <w:rPr>
          <w:iCs/>
          <w:sz w:val="24"/>
          <w:szCs w:val="24"/>
        </w:rPr>
      </w:pPr>
      <w:r w:rsidRPr="00C966E1">
        <w:rPr>
          <w:sz w:val="24"/>
          <w:szCs w:val="24"/>
        </w:rPr>
        <w:t>Råhvidt til lyst beige pulver.</w:t>
      </w:r>
    </w:p>
    <w:p w14:paraId="1862FA6E" w14:textId="77777777" w:rsidR="008203A8" w:rsidRDefault="008203A8" w:rsidP="00C966E1">
      <w:pPr>
        <w:rPr>
          <w:sz w:val="24"/>
          <w:szCs w:val="24"/>
        </w:rPr>
      </w:pPr>
    </w:p>
    <w:p w14:paraId="282E1DFC" w14:textId="77777777" w:rsidR="008203A8" w:rsidRPr="008509BB" w:rsidRDefault="008203A8" w:rsidP="008203A8">
      <w:pPr>
        <w:ind w:left="851"/>
        <w:rPr>
          <w:sz w:val="24"/>
          <w:szCs w:val="24"/>
        </w:rPr>
      </w:pPr>
    </w:p>
    <w:p w14:paraId="0C412617"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3A5EF628" w14:textId="77777777" w:rsidR="008203A8" w:rsidRPr="00406EE7" w:rsidRDefault="008203A8" w:rsidP="008203A8">
      <w:pPr>
        <w:tabs>
          <w:tab w:val="left" w:pos="851"/>
        </w:tabs>
        <w:ind w:left="851"/>
        <w:rPr>
          <w:sz w:val="24"/>
          <w:szCs w:val="24"/>
        </w:rPr>
      </w:pPr>
    </w:p>
    <w:p w14:paraId="6816200A"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454B7771" w14:textId="77777777" w:rsidR="00D066C7" w:rsidRDefault="001C6D01" w:rsidP="001C6D01">
      <w:pPr>
        <w:ind w:left="851"/>
        <w:rPr>
          <w:sz w:val="24"/>
          <w:szCs w:val="24"/>
        </w:rPr>
      </w:pPr>
      <w:r w:rsidRPr="001C6D01">
        <w:rPr>
          <w:sz w:val="24"/>
          <w:szCs w:val="24"/>
        </w:rPr>
        <w:t>Kvæg (præruminante kalve)</w:t>
      </w:r>
    </w:p>
    <w:p w14:paraId="74829726" w14:textId="77777777" w:rsidR="00D066C7" w:rsidRDefault="00D066C7" w:rsidP="001C6D01">
      <w:pPr>
        <w:ind w:left="851"/>
        <w:rPr>
          <w:sz w:val="24"/>
          <w:szCs w:val="24"/>
        </w:rPr>
      </w:pPr>
      <w:r>
        <w:rPr>
          <w:sz w:val="24"/>
          <w:szCs w:val="24"/>
        </w:rPr>
        <w:t>Få</w:t>
      </w:r>
      <w:r w:rsidR="001C6D01" w:rsidRPr="001C6D01">
        <w:rPr>
          <w:sz w:val="24"/>
          <w:szCs w:val="24"/>
        </w:rPr>
        <w:t>r (præruminante lam)</w:t>
      </w:r>
    </w:p>
    <w:p w14:paraId="2186C12A" w14:textId="77777777" w:rsidR="00D066C7" w:rsidRDefault="00D066C7" w:rsidP="001C6D01">
      <w:pPr>
        <w:ind w:left="851"/>
        <w:rPr>
          <w:sz w:val="24"/>
          <w:szCs w:val="24"/>
        </w:rPr>
      </w:pPr>
      <w:r>
        <w:rPr>
          <w:sz w:val="24"/>
          <w:szCs w:val="24"/>
        </w:rPr>
        <w:t>S</w:t>
      </w:r>
      <w:r w:rsidR="001C6D01" w:rsidRPr="001C6D01">
        <w:rPr>
          <w:sz w:val="24"/>
          <w:szCs w:val="24"/>
        </w:rPr>
        <w:t>vin</w:t>
      </w:r>
    </w:p>
    <w:p w14:paraId="64CE6D08" w14:textId="7326BFEB" w:rsidR="001C6D01" w:rsidRPr="001C6D01" w:rsidRDefault="00D066C7" w:rsidP="001C6D01">
      <w:pPr>
        <w:ind w:left="851"/>
        <w:rPr>
          <w:sz w:val="24"/>
          <w:szCs w:val="24"/>
        </w:rPr>
      </w:pPr>
      <w:r>
        <w:rPr>
          <w:sz w:val="24"/>
          <w:szCs w:val="24"/>
        </w:rPr>
        <w:t>H</w:t>
      </w:r>
      <w:r w:rsidR="001C6D01" w:rsidRPr="001C6D01">
        <w:rPr>
          <w:sz w:val="24"/>
          <w:szCs w:val="24"/>
        </w:rPr>
        <w:t>øns</w:t>
      </w:r>
    </w:p>
    <w:p w14:paraId="03531D0D" w14:textId="553C7673" w:rsidR="00285A6A" w:rsidRDefault="00285A6A">
      <w:pPr>
        <w:rPr>
          <w:sz w:val="24"/>
          <w:szCs w:val="24"/>
        </w:rPr>
      </w:pPr>
      <w:r>
        <w:rPr>
          <w:sz w:val="24"/>
          <w:szCs w:val="24"/>
        </w:rPr>
        <w:br w:type="page"/>
      </w:r>
    </w:p>
    <w:p w14:paraId="0B98F797" w14:textId="77777777" w:rsidR="008203A8" w:rsidRPr="00406EE7" w:rsidRDefault="008203A8" w:rsidP="008203A8">
      <w:pPr>
        <w:ind w:left="851"/>
        <w:rPr>
          <w:sz w:val="24"/>
          <w:szCs w:val="24"/>
        </w:rPr>
      </w:pPr>
    </w:p>
    <w:p w14:paraId="268E2708"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0A3D6623" w14:textId="77777777" w:rsidR="00285A6A" w:rsidRDefault="00285A6A" w:rsidP="00D066C7">
      <w:pPr>
        <w:pStyle w:val="Sidehoved"/>
        <w:ind w:left="851"/>
        <w:rPr>
          <w:szCs w:val="24"/>
          <w:u w:val="single"/>
        </w:rPr>
      </w:pPr>
    </w:p>
    <w:p w14:paraId="73115A52" w14:textId="065F1F38" w:rsidR="00D066C7" w:rsidRPr="00D066C7" w:rsidRDefault="00D066C7" w:rsidP="00D066C7">
      <w:pPr>
        <w:pStyle w:val="Sidehoved"/>
        <w:ind w:left="851"/>
        <w:rPr>
          <w:szCs w:val="24"/>
          <w:u w:val="single"/>
        </w:rPr>
      </w:pPr>
      <w:r w:rsidRPr="00D066C7">
        <w:rPr>
          <w:szCs w:val="24"/>
          <w:u w:val="single"/>
        </w:rPr>
        <w:t>Kvæg (præruminante kalve) og får (præruminante lam)</w:t>
      </w:r>
    </w:p>
    <w:p w14:paraId="7BC2FA90" w14:textId="77777777" w:rsidR="00D066C7" w:rsidRPr="00D066C7" w:rsidRDefault="00D066C7" w:rsidP="00D066C7">
      <w:pPr>
        <w:pStyle w:val="Sidehoved"/>
        <w:ind w:left="851"/>
        <w:rPr>
          <w:szCs w:val="24"/>
        </w:rPr>
      </w:pPr>
      <w:r w:rsidRPr="00D066C7">
        <w:rPr>
          <w:szCs w:val="24"/>
        </w:rPr>
        <w:t xml:space="preserve">Behandling og metafylakse af luftvejsinfektioner forårsaget af </w:t>
      </w:r>
      <w:r w:rsidRPr="00D066C7">
        <w:rPr>
          <w:i/>
          <w:szCs w:val="24"/>
        </w:rPr>
        <w:t xml:space="preserve">Mannheimia haemolytica </w:t>
      </w:r>
      <w:r w:rsidRPr="00D066C7">
        <w:rPr>
          <w:szCs w:val="24"/>
        </w:rPr>
        <w:t xml:space="preserve">eller </w:t>
      </w:r>
      <w:r w:rsidRPr="00D066C7">
        <w:rPr>
          <w:i/>
          <w:szCs w:val="24"/>
        </w:rPr>
        <w:t xml:space="preserve">Pasteurella multocida </w:t>
      </w:r>
      <w:r w:rsidRPr="00D066C7">
        <w:rPr>
          <w:szCs w:val="24"/>
        </w:rPr>
        <w:t xml:space="preserve">samt infektioner forårsaget af </w:t>
      </w:r>
      <w:r w:rsidRPr="00D066C7">
        <w:rPr>
          <w:i/>
          <w:szCs w:val="24"/>
        </w:rPr>
        <w:t>Escherichia coli</w:t>
      </w:r>
      <w:r w:rsidRPr="00D066C7">
        <w:rPr>
          <w:szCs w:val="24"/>
        </w:rPr>
        <w:t>.</w:t>
      </w:r>
    </w:p>
    <w:p w14:paraId="02137368" w14:textId="77777777" w:rsidR="00D066C7" w:rsidRPr="00D066C7" w:rsidRDefault="00D066C7" w:rsidP="00D066C7">
      <w:pPr>
        <w:pStyle w:val="Sidehoved"/>
        <w:ind w:left="851"/>
        <w:rPr>
          <w:szCs w:val="24"/>
        </w:rPr>
      </w:pPr>
    </w:p>
    <w:p w14:paraId="3F3F1175" w14:textId="77777777" w:rsidR="00D066C7" w:rsidRPr="00D066C7" w:rsidRDefault="00D066C7" w:rsidP="00D066C7">
      <w:pPr>
        <w:pStyle w:val="Sidehoved"/>
        <w:ind w:left="851"/>
        <w:rPr>
          <w:szCs w:val="24"/>
        </w:rPr>
      </w:pPr>
      <w:r w:rsidRPr="00D066C7">
        <w:rPr>
          <w:szCs w:val="24"/>
        </w:rPr>
        <w:t>Tilstedeværelse af sygdom i flokken skal fastlægges inden brug af veterinærlægemidlet.</w:t>
      </w:r>
    </w:p>
    <w:p w14:paraId="718D8394" w14:textId="77777777" w:rsidR="00D066C7" w:rsidRPr="00D066C7" w:rsidRDefault="00D066C7" w:rsidP="00D066C7">
      <w:pPr>
        <w:pStyle w:val="Sidehoved"/>
        <w:ind w:left="851"/>
        <w:rPr>
          <w:szCs w:val="24"/>
        </w:rPr>
      </w:pPr>
    </w:p>
    <w:p w14:paraId="5CFDBFF2" w14:textId="77777777" w:rsidR="00D066C7" w:rsidRPr="00D066C7" w:rsidRDefault="00D066C7" w:rsidP="00D066C7">
      <w:pPr>
        <w:pStyle w:val="Sidehoved"/>
        <w:ind w:left="851"/>
        <w:rPr>
          <w:szCs w:val="24"/>
          <w:u w:val="single"/>
        </w:rPr>
      </w:pPr>
      <w:r w:rsidRPr="00D066C7">
        <w:rPr>
          <w:szCs w:val="24"/>
          <w:u w:val="single"/>
        </w:rPr>
        <w:t>Svin</w:t>
      </w:r>
    </w:p>
    <w:p w14:paraId="0DB9986F" w14:textId="77777777" w:rsidR="00D066C7" w:rsidRPr="00D066C7" w:rsidRDefault="00D066C7" w:rsidP="00D066C7">
      <w:pPr>
        <w:pStyle w:val="Sidehoved"/>
        <w:ind w:left="851"/>
        <w:rPr>
          <w:szCs w:val="24"/>
        </w:rPr>
      </w:pPr>
      <w:r w:rsidRPr="00D066C7">
        <w:rPr>
          <w:szCs w:val="24"/>
        </w:rPr>
        <w:t xml:space="preserve">Behandling og metafylakse af luftvejsinfektioner forårsaget af </w:t>
      </w:r>
      <w:r w:rsidRPr="00D066C7">
        <w:rPr>
          <w:i/>
          <w:szCs w:val="24"/>
        </w:rPr>
        <w:t xml:space="preserve">Actinobacillus pleuropneumoniae </w:t>
      </w:r>
      <w:r w:rsidRPr="00D066C7">
        <w:rPr>
          <w:szCs w:val="24"/>
        </w:rPr>
        <w:t xml:space="preserve">eller </w:t>
      </w:r>
      <w:r w:rsidRPr="00D066C7">
        <w:rPr>
          <w:i/>
          <w:szCs w:val="24"/>
        </w:rPr>
        <w:t xml:space="preserve">Pasteurella multocida </w:t>
      </w:r>
      <w:r w:rsidRPr="00D066C7">
        <w:rPr>
          <w:szCs w:val="24"/>
        </w:rPr>
        <w:t xml:space="preserve">samt infektioner forårsaget af </w:t>
      </w:r>
      <w:r w:rsidRPr="00D066C7">
        <w:rPr>
          <w:i/>
          <w:szCs w:val="24"/>
        </w:rPr>
        <w:t xml:space="preserve">Streptococcus suis </w:t>
      </w:r>
      <w:r w:rsidRPr="00D066C7">
        <w:rPr>
          <w:szCs w:val="24"/>
        </w:rPr>
        <w:t xml:space="preserve">eller </w:t>
      </w:r>
      <w:r w:rsidRPr="00D066C7">
        <w:rPr>
          <w:i/>
          <w:szCs w:val="24"/>
        </w:rPr>
        <w:t>Escherichia coli</w:t>
      </w:r>
      <w:r w:rsidRPr="00D066C7">
        <w:rPr>
          <w:szCs w:val="24"/>
        </w:rPr>
        <w:t>.</w:t>
      </w:r>
    </w:p>
    <w:p w14:paraId="241994EC" w14:textId="77777777" w:rsidR="00D066C7" w:rsidRPr="00D066C7" w:rsidRDefault="00D066C7" w:rsidP="00D066C7">
      <w:pPr>
        <w:pStyle w:val="Sidehoved"/>
        <w:ind w:left="851"/>
        <w:rPr>
          <w:szCs w:val="24"/>
        </w:rPr>
      </w:pPr>
    </w:p>
    <w:p w14:paraId="0472D6DD" w14:textId="77777777" w:rsidR="00D066C7" w:rsidRPr="00D066C7" w:rsidRDefault="00D066C7" w:rsidP="00D066C7">
      <w:pPr>
        <w:pStyle w:val="Sidehoved"/>
        <w:ind w:left="851"/>
        <w:rPr>
          <w:szCs w:val="24"/>
        </w:rPr>
      </w:pPr>
      <w:r w:rsidRPr="00D066C7">
        <w:rPr>
          <w:szCs w:val="24"/>
        </w:rPr>
        <w:t>Tilstedeværelse af sygdom i flokken skal fastlægges inden brug af veterinærlægemidlet.</w:t>
      </w:r>
    </w:p>
    <w:p w14:paraId="44A98772" w14:textId="77777777" w:rsidR="00D066C7" w:rsidRPr="00D066C7" w:rsidRDefault="00D066C7" w:rsidP="00D066C7">
      <w:pPr>
        <w:pStyle w:val="Sidehoved"/>
        <w:ind w:left="851"/>
        <w:rPr>
          <w:szCs w:val="24"/>
          <w:u w:val="single"/>
        </w:rPr>
      </w:pPr>
    </w:p>
    <w:p w14:paraId="36BDEBDE" w14:textId="77777777" w:rsidR="00D066C7" w:rsidRPr="00D066C7" w:rsidRDefault="00D066C7" w:rsidP="00D066C7">
      <w:pPr>
        <w:pStyle w:val="Sidehoved"/>
        <w:ind w:left="851"/>
        <w:rPr>
          <w:szCs w:val="24"/>
          <w:u w:val="single"/>
        </w:rPr>
      </w:pPr>
      <w:r w:rsidRPr="00D066C7">
        <w:rPr>
          <w:szCs w:val="24"/>
          <w:u w:val="single"/>
        </w:rPr>
        <w:t>Høns</w:t>
      </w:r>
    </w:p>
    <w:p w14:paraId="2F0E7A1E" w14:textId="77777777" w:rsidR="00D066C7" w:rsidRPr="00D066C7" w:rsidRDefault="00D066C7" w:rsidP="00D066C7">
      <w:pPr>
        <w:pStyle w:val="Sidehoved"/>
        <w:ind w:left="851"/>
        <w:rPr>
          <w:szCs w:val="24"/>
        </w:rPr>
      </w:pPr>
      <w:r w:rsidRPr="00D066C7">
        <w:rPr>
          <w:szCs w:val="24"/>
        </w:rPr>
        <w:t xml:space="preserve">Behandling og metafylakse af colibacillose forårsaget af </w:t>
      </w:r>
      <w:r w:rsidRPr="00D066C7">
        <w:rPr>
          <w:i/>
          <w:szCs w:val="24"/>
        </w:rPr>
        <w:t>Escherichia coli</w:t>
      </w:r>
      <w:r w:rsidRPr="00D066C7">
        <w:rPr>
          <w:szCs w:val="24"/>
        </w:rPr>
        <w:t>.</w:t>
      </w:r>
    </w:p>
    <w:p w14:paraId="596F9BE7" w14:textId="77777777" w:rsidR="00D066C7" w:rsidRPr="00D066C7" w:rsidRDefault="00D066C7" w:rsidP="00D066C7">
      <w:pPr>
        <w:pStyle w:val="Sidehoved"/>
        <w:ind w:left="851"/>
        <w:rPr>
          <w:szCs w:val="24"/>
        </w:rPr>
      </w:pPr>
    </w:p>
    <w:p w14:paraId="29BCBFF1" w14:textId="77777777" w:rsidR="00D066C7" w:rsidRPr="00D066C7" w:rsidRDefault="00D066C7" w:rsidP="00D066C7">
      <w:pPr>
        <w:pStyle w:val="Sidehoved"/>
        <w:ind w:left="851"/>
        <w:rPr>
          <w:szCs w:val="24"/>
        </w:rPr>
      </w:pPr>
      <w:r w:rsidRPr="00D066C7">
        <w:rPr>
          <w:szCs w:val="24"/>
        </w:rPr>
        <w:t>Tilstedeværelsen af sygdom i flokken skal fastlægges inden brug af veterinærlægemidlet.</w:t>
      </w:r>
    </w:p>
    <w:p w14:paraId="566243D6" w14:textId="77777777" w:rsidR="008203A8" w:rsidRDefault="008203A8" w:rsidP="00D066C7">
      <w:pPr>
        <w:pStyle w:val="Sidehoved"/>
        <w:rPr>
          <w:szCs w:val="24"/>
        </w:rPr>
      </w:pPr>
    </w:p>
    <w:p w14:paraId="12D151CB"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62626E35" w14:textId="77777777" w:rsidR="00285A6A" w:rsidRPr="00285A6A" w:rsidRDefault="00285A6A" w:rsidP="00285A6A">
      <w:pPr>
        <w:pStyle w:val="Sidehoved"/>
        <w:ind w:left="851"/>
        <w:rPr>
          <w:szCs w:val="24"/>
        </w:rPr>
      </w:pPr>
      <w:r w:rsidRPr="00285A6A">
        <w:rPr>
          <w:szCs w:val="24"/>
        </w:rPr>
        <w:t>Må ikke anvendes til drøvtyggende dyr.</w:t>
      </w:r>
    </w:p>
    <w:p w14:paraId="752AC5BC" w14:textId="77777777" w:rsidR="00285A6A" w:rsidRPr="00285A6A" w:rsidRDefault="00285A6A" w:rsidP="00285A6A">
      <w:pPr>
        <w:pStyle w:val="Sidehoved"/>
        <w:ind w:left="851"/>
        <w:rPr>
          <w:szCs w:val="24"/>
        </w:rPr>
      </w:pPr>
      <w:r w:rsidRPr="00285A6A">
        <w:rPr>
          <w:szCs w:val="24"/>
        </w:rPr>
        <w:t>Må ikke anvendes til dyr, der lider af svær lever- eller nyresygdom, oliguri eller anuri.</w:t>
      </w:r>
    </w:p>
    <w:p w14:paraId="04F0BF60" w14:textId="77777777" w:rsidR="00285A6A" w:rsidRPr="00285A6A" w:rsidRDefault="00285A6A" w:rsidP="00285A6A">
      <w:pPr>
        <w:pStyle w:val="Sidehoved"/>
        <w:ind w:left="851"/>
        <w:rPr>
          <w:szCs w:val="24"/>
        </w:rPr>
      </w:pPr>
      <w:r w:rsidRPr="00285A6A">
        <w:rPr>
          <w:szCs w:val="24"/>
        </w:rPr>
        <w:t>Må ikke anvendes i tilfælde af overfølsomhed over for det aktive stof eller over for et eller flere af hjælpestofferne.</w:t>
      </w:r>
    </w:p>
    <w:p w14:paraId="224ACCAB" w14:textId="77777777" w:rsidR="008203A8" w:rsidRPr="00406EE7" w:rsidRDefault="008203A8" w:rsidP="008203A8">
      <w:pPr>
        <w:pStyle w:val="Sidehoved"/>
        <w:tabs>
          <w:tab w:val="clear" w:pos="4819"/>
        </w:tabs>
        <w:ind w:left="851"/>
        <w:rPr>
          <w:szCs w:val="24"/>
        </w:rPr>
      </w:pPr>
    </w:p>
    <w:p w14:paraId="2A9A89A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089E7FEB" w14:textId="77777777" w:rsidR="00285A6A" w:rsidRPr="00285A6A" w:rsidRDefault="00285A6A" w:rsidP="00285A6A">
      <w:pPr>
        <w:pStyle w:val="Sidehoved"/>
        <w:ind w:left="851"/>
        <w:rPr>
          <w:szCs w:val="24"/>
        </w:rPr>
      </w:pPr>
      <w:r w:rsidRPr="00285A6A">
        <w:rPr>
          <w:szCs w:val="24"/>
        </w:rPr>
        <w:t>Alvorligt syge dyr kan have nedsat appetit og lavere vandindtag. Om nødvendigt skal koncentrationen af veterinærlægemidlet i drikkevandet justeres for at sikre, at den anbefalede dosis indtages.</w:t>
      </w:r>
    </w:p>
    <w:p w14:paraId="439E0C20" w14:textId="77777777" w:rsidR="00285A6A" w:rsidRPr="00285A6A" w:rsidRDefault="00285A6A" w:rsidP="00285A6A">
      <w:pPr>
        <w:pStyle w:val="Sidehoved"/>
        <w:ind w:left="851"/>
        <w:rPr>
          <w:szCs w:val="24"/>
        </w:rPr>
      </w:pPr>
    </w:p>
    <w:p w14:paraId="2143F27B" w14:textId="77777777" w:rsidR="00285A6A" w:rsidRPr="00285A6A" w:rsidRDefault="00285A6A" w:rsidP="00285A6A">
      <w:pPr>
        <w:pStyle w:val="Sidehoved"/>
        <w:ind w:left="851"/>
        <w:rPr>
          <w:szCs w:val="24"/>
        </w:rPr>
      </w:pPr>
      <w:r w:rsidRPr="00285A6A">
        <w:rPr>
          <w:szCs w:val="24"/>
        </w:rPr>
        <w:t>Svin, kvæg (præruminante kalve) og får (præruminante lam): Optagelse af lægemiddel hos dyr kan være ændret som følge af sygdom. Hvis vandindtaget er utilstrækkeligt, skal dyrene i stedet behandles parenteralt ved brug af et egnet injicerbart veterinærlægemiddel, der ordineres af dyrlægen.</w:t>
      </w:r>
    </w:p>
    <w:p w14:paraId="78CB8B3F" w14:textId="77777777" w:rsidR="008203A8" w:rsidRPr="00406EE7" w:rsidRDefault="008203A8" w:rsidP="008203A8">
      <w:pPr>
        <w:pStyle w:val="Sidehoved"/>
        <w:tabs>
          <w:tab w:val="clear" w:pos="4819"/>
        </w:tabs>
        <w:ind w:left="851"/>
        <w:rPr>
          <w:szCs w:val="24"/>
        </w:rPr>
      </w:pPr>
    </w:p>
    <w:p w14:paraId="33A9F49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A18EC58" w14:textId="77777777" w:rsidR="008203A8" w:rsidRPr="002374DA" w:rsidRDefault="008203A8" w:rsidP="008203A8">
      <w:pPr>
        <w:tabs>
          <w:tab w:val="left" w:pos="851"/>
        </w:tabs>
        <w:ind w:left="851"/>
        <w:rPr>
          <w:sz w:val="24"/>
          <w:szCs w:val="24"/>
        </w:rPr>
      </w:pPr>
    </w:p>
    <w:p w14:paraId="492FBB3E"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03EB6AEA" w14:textId="77777777" w:rsidR="005F258D" w:rsidRPr="005F258D" w:rsidRDefault="005F258D" w:rsidP="005F258D">
      <w:pPr>
        <w:tabs>
          <w:tab w:val="left" w:pos="851"/>
        </w:tabs>
        <w:ind w:left="851"/>
        <w:rPr>
          <w:sz w:val="24"/>
          <w:szCs w:val="24"/>
        </w:rPr>
      </w:pPr>
      <w:r w:rsidRPr="005F258D">
        <w:rPr>
          <w:sz w:val="24"/>
          <w:szCs w:val="24"/>
        </w:rPr>
        <w:t xml:space="preserve">På grund af den sandsynlige variabilitet (tidsmæssig, geografisk) i bakteriers følsomhed for potenserede sulfonamider kan forekomsten af bakterieresistens variere fra land til land og endda fra landbrug til landbrug, hvorfor bakteriologisk prøvetagning og følsomhedstest anbefales. Det er især vigtigt ved </w:t>
      </w:r>
      <w:r w:rsidRPr="005F258D">
        <w:rPr>
          <w:i/>
          <w:sz w:val="24"/>
          <w:szCs w:val="24"/>
        </w:rPr>
        <w:t>E. coli</w:t>
      </w:r>
      <w:r w:rsidRPr="005F258D">
        <w:rPr>
          <w:sz w:val="24"/>
          <w:szCs w:val="24"/>
        </w:rPr>
        <w:t>-infektioner, hvor der observeres høj procentvis resistens (se pkt. 4.2).</w:t>
      </w:r>
    </w:p>
    <w:p w14:paraId="7971401D" w14:textId="77777777" w:rsidR="005F258D" w:rsidRPr="005F258D" w:rsidRDefault="005F258D" w:rsidP="005F258D">
      <w:pPr>
        <w:tabs>
          <w:tab w:val="left" w:pos="851"/>
        </w:tabs>
        <w:ind w:left="851"/>
        <w:rPr>
          <w:sz w:val="24"/>
          <w:szCs w:val="24"/>
        </w:rPr>
      </w:pPr>
    </w:p>
    <w:p w14:paraId="08B57FB7" w14:textId="77777777" w:rsidR="005F258D" w:rsidRPr="005F258D" w:rsidRDefault="005F258D" w:rsidP="005F258D">
      <w:pPr>
        <w:tabs>
          <w:tab w:val="left" w:pos="851"/>
        </w:tabs>
        <w:ind w:left="851"/>
        <w:rPr>
          <w:sz w:val="24"/>
          <w:szCs w:val="24"/>
        </w:rPr>
      </w:pPr>
      <w:r w:rsidRPr="005F258D">
        <w:rPr>
          <w:sz w:val="24"/>
          <w:szCs w:val="24"/>
        </w:rPr>
        <w:t>Brug af veterinærlægemidlet bør baseres på identifikation og følsomhedstest af målpatogen(er). Hvis dette ikke er muligt, skal behandlingen baseres på epidemiologisk information og viden om målpatogenernes følsomhed på det enkelte landbrug eller på lokalt/regionalt plan.</w:t>
      </w:r>
    </w:p>
    <w:p w14:paraId="35F1479A" w14:textId="77777777" w:rsidR="005F258D" w:rsidRPr="005F258D" w:rsidRDefault="005F258D" w:rsidP="005F258D">
      <w:pPr>
        <w:tabs>
          <w:tab w:val="left" w:pos="851"/>
        </w:tabs>
        <w:ind w:left="851"/>
        <w:rPr>
          <w:sz w:val="24"/>
          <w:szCs w:val="24"/>
        </w:rPr>
      </w:pPr>
    </w:p>
    <w:p w14:paraId="0454BAA9" w14:textId="77777777" w:rsidR="005F258D" w:rsidRPr="005F258D" w:rsidRDefault="005F258D" w:rsidP="005F258D">
      <w:pPr>
        <w:tabs>
          <w:tab w:val="left" w:pos="851"/>
        </w:tabs>
        <w:ind w:left="851"/>
        <w:rPr>
          <w:sz w:val="24"/>
          <w:szCs w:val="24"/>
        </w:rPr>
      </w:pPr>
      <w:r w:rsidRPr="005F258D">
        <w:rPr>
          <w:sz w:val="24"/>
          <w:szCs w:val="24"/>
        </w:rPr>
        <w:t xml:space="preserve">Såfremt veterinærlægemidlet bruges på andre måder end som anvist i produktresuméet, kan det øge forekomsten af bakterieresistens over for sulfadiazin og trimethoprim og kan også mindske effektiviteten af kombinationer af trimethoprim med andre sulfonamider på grund af potentialet for krydsresistens. </w:t>
      </w:r>
    </w:p>
    <w:p w14:paraId="4189A575" w14:textId="77777777" w:rsidR="005F258D" w:rsidRPr="005F258D" w:rsidRDefault="005F258D" w:rsidP="005F258D">
      <w:pPr>
        <w:tabs>
          <w:tab w:val="left" w:pos="851"/>
        </w:tabs>
        <w:ind w:left="851"/>
        <w:rPr>
          <w:sz w:val="24"/>
          <w:szCs w:val="24"/>
        </w:rPr>
      </w:pPr>
    </w:p>
    <w:p w14:paraId="589D5EF5" w14:textId="77777777" w:rsidR="005F258D" w:rsidRPr="005F258D" w:rsidRDefault="005F258D" w:rsidP="005F258D">
      <w:pPr>
        <w:tabs>
          <w:tab w:val="left" w:pos="851"/>
        </w:tabs>
        <w:ind w:left="851"/>
        <w:rPr>
          <w:sz w:val="24"/>
          <w:szCs w:val="24"/>
        </w:rPr>
      </w:pPr>
      <w:r w:rsidRPr="005F258D">
        <w:rPr>
          <w:sz w:val="24"/>
          <w:szCs w:val="24"/>
        </w:rPr>
        <w:t>Veterinærlægemidlet skal altid bruges i overensstemmelse med officielle, nationale og regionale forordninger angående antimikrobielle stoffer.</w:t>
      </w:r>
    </w:p>
    <w:p w14:paraId="2850B499" w14:textId="77777777" w:rsidR="005F258D" w:rsidRPr="005F258D" w:rsidRDefault="005F258D" w:rsidP="005F258D">
      <w:pPr>
        <w:tabs>
          <w:tab w:val="left" w:pos="851"/>
        </w:tabs>
        <w:ind w:left="851"/>
        <w:rPr>
          <w:sz w:val="24"/>
          <w:szCs w:val="24"/>
        </w:rPr>
      </w:pPr>
    </w:p>
    <w:p w14:paraId="3B2D1205" w14:textId="77777777" w:rsidR="005F258D" w:rsidRPr="005F258D" w:rsidRDefault="005F258D" w:rsidP="005F258D">
      <w:pPr>
        <w:tabs>
          <w:tab w:val="left" w:pos="851"/>
        </w:tabs>
        <w:ind w:left="851"/>
        <w:rPr>
          <w:sz w:val="24"/>
          <w:szCs w:val="24"/>
        </w:rPr>
      </w:pPr>
      <w:r w:rsidRPr="005F258D">
        <w:rPr>
          <w:sz w:val="24"/>
          <w:szCs w:val="24"/>
        </w:rPr>
        <w:t>For at undgå forringelse af nyrefunktionen på grund af krystaller i urinen under behandlingen, skal det sikres, at dyret får tilstrækkelige mængder af drikkevand.</w:t>
      </w:r>
    </w:p>
    <w:p w14:paraId="4B192BBF" w14:textId="77777777" w:rsidR="005F258D" w:rsidRPr="005F258D" w:rsidRDefault="005F258D" w:rsidP="005F258D">
      <w:pPr>
        <w:tabs>
          <w:tab w:val="left" w:pos="851"/>
        </w:tabs>
        <w:ind w:left="851"/>
        <w:rPr>
          <w:sz w:val="24"/>
          <w:szCs w:val="24"/>
        </w:rPr>
      </w:pPr>
    </w:p>
    <w:p w14:paraId="1FB027BD" w14:textId="77777777" w:rsidR="005F258D" w:rsidRPr="005F258D" w:rsidRDefault="005F258D" w:rsidP="005F258D">
      <w:pPr>
        <w:tabs>
          <w:tab w:val="left" w:pos="851"/>
        </w:tabs>
        <w:ind w:left="851"/>
        <w:rPr>
          <w:iCs/>
          <w:sz w:val="24"/>
          <w:szCs w:val="24"/>
        </w:rPr>
      </w:pPr>
      <w:r w:rsidRPr="005F258D">
        <w:rPr>
          <w:sz w:val="24"/>
          <w:szCs w:val="24"/>
        </w:rPr>
        <w:t>Denne kombination af antimikrobielle stoffer bør kun bruges, hvis diagnostisk testning indikerer behov for samtidig administration af hvert af de aktive stoffer.</w:t>
      </w:r>
    </w:p>
    <w:p w14:paraId="75095CD1" w14:textId="77777777" w:rsidR="008203A8" w:rsidRPr="00406EE7" w:rsidRDefault="008203A8" w:rsidP="008203A8">
      <w:pPr>
        <w:tabs>
          <w:tab w:val="left" w:pos="851"/>
        </w:tabs>
        <w:ind w:left="851"/>
        <w:rPr>
          <w:sz w:val="24"/>
          <w:szCs w:val="24"/>
        </w:rPr>
      </w:pPr>
    </w:p>
    <w:p w14:paraId="033AA40F"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72A6EE39" w14:textId="77777777" w:rsidR="005F258D" w:rsidRPr="005F258D" w:rsidRDefault="005F258D" w:rsidP="005F258D">
      <w:pPr>
        <w:tabs>
          <w:tab w:val="left" w:pos="851"/>
        </w:tabs>
        <w:ind w:left="851"/>
        <w:rPr>
          <w:sz w:val="24"/>
          <w:szCs w:val="24"/>
        </w:rPr>
      </w:pPr>
      <w:r w:rsidRPr="005F258D">
        <w:rPr>
          <w:sz w:val="24"/>
          <w:szCs w:val="24"/>
        </w:rPr>
        <w:t>Dette veterinærlægemiddel indeholder sulfadiazin, trimethoprim og polysorbat 80, hvilket kan forårsage allergiske reaktioner hos nogle personer. Overfølsomhed over for sulfonamider kan føre til krydsreaktioner med andre antibiotika. Allergiske reaktioner over for disse stoffer kan i enkelte tilfælde være alvorlige.</w:t>
      </w:r>
    </w:p>
    <w:p w14:paraId="090DFA8B" w14:textId="77777777" w:rsidR="005F258D" w:rsidRPr="005F258D" w:rsidRDefault="005F258D" w:rsidP="005F258D">
      <w:pPr>
        <w:tabs>
          <w:tab w:val="left" w:pos="851"/>
        </w:tabs>
        <w:ind w:left="851"/>
        <w:rPr>
          <w:sz w:val="24"/>
          <w:szCs w:val="24"/>
        </w:rPr>
      </w:pPr>
      <w:r w:rsidRPr="005F258D">
        <w:rPr>
          <w:sz w:val="24"/>
          <w:szCs w:val="24"/>
        </w:rPr>
        <w:t>Ved overfølsomhed (allergi) over for sulfonamider, trimethoprim eller polysorbat skal kontakt med veterinærlægemidlet undgås.</w:t>
      </w:r>
    </w:p>
    <w:p w14:paraId="78516775" w14:textId="77777777" w:rsidR="005F258D" w:rsidRPr="005F258D" w:rsidRDefault="005F258D" w:rsidP="005F258D">
      <w:pPr>
        <w:tabs>
          <w:tab w:val="left" w:pos="851"/>
        </w:tabs>
        <w:ind w:left="851"/>
        <w:rPr>
          <w:sz w:val="24"/>
          <w:szCs w:val="24"/>
        </w:rPr>
      </w:pPr>
    </w:p>
    <w:p w14:paraId="65FADFD9" w14:textId="77777777" w:rsidR="005F258D" w:rsidRPr="005F258D" w:rsidRDefault="005F258D" w:rsidP="005F258D">
      <w:pPr>
        <w:tabs>
          <w:tab w:val="left" w:pos="851"/>
        </w:tabs>
        <w:ind w:left="851"/>
        <w:rPr>
          <w:sz w:val="24"/>
          <w:szCs w:val="24"/>
        </w:rPr>
      </w:pPr>
      <w:r w:rsidRPr="005F258D">
        <w:rPr>
          <w:sz w:val="24"/>
          <w:szCs w:val="24"/>
        </w:rPr>
        <w:t>Undgå hud- og øjenkontakt under forberedelse og administration. Anvend personligt beskyttelsesudstyr i form af uigennemtrængelige (latex eller nitril) handsker (i overensstemmelse med normerne i Rådets direktiv 89/686/EØF og EN374), beskyttelsesmaske, øjenværn og egnet beskyttelsestøj. I tilfælde af utilsigtet kontakt med øjnene eller huden vaskes det berørte område med rigelige mængder vand, og hvis der forekommer hududslæt, skal der straks søges lægehjælp, og indlægssedlen eller etiketten bør vises til lægen.</w:t>
      </w:r>
    </w:p>
    <w:p w14:paraId="646A7AD8" w14:textId="77777777" w:rsidR="005F258D" w:rsidRPr="005F258D" w:rsidRDefault="005F258D" w:rsidP="005F258D">
      <w:pPr>
        <w:tabs>
          <w:tab w:val="left" w:pos="851"/>
        </w:tabs>
        <w:ind w:left="851"/>
        <w:rPr>
          <w:sz w:val="24"/>
          <w:szCs w:val="24"/>
        </w:rPr>
      </w:pPr>
    </w:p>
    <w:p w14:paraId="63F7A9B3" w14:textId="77777777" w:rsidR="005F258D" w:rsidRPr="005F258D" w:rsidRDefault="005F258D" w:rsidP="005F258D">
      <w:pPr>
        <w:tabs>
          <w:tab w:val="left" w:pos="851"/>
        </w:tabs>
        <w:ind w:left="851"/>
        <w:rPr>
          <w:sz w:val="24"/>
          <w:szCs w:val="24"/>
        </w:rPr>
      </w:pPr>
      <w:r w:rsidRPr="005F258D">
        <w:rPr>
          <w:sz w:val="24"/>
          <w:szCs w:val="24"/>
        </w:rPr>
        <w:t>Dette veterinærlægemiddel kan være skadeligt, hvis det indtages. I tilfælde af utilsigtet indtagelse skal der straks søges lægehjælp, og indlægssedlen eller etiketten bør vises til lægen.</w:t>
      </w:r>
    </w:p>
    <w:p w14:paraId="2F36342F" w14:textId="77777777" w:rsidR="005F258D" w:rsidRPr="005F258D" w:rsidRDefault="005F258D" w:rsidP="005F258D">
      <w:pPr>
        <w:tabs>
          <w:tab w:val="left" w:pos="851"/>
        </w:tabs>
        <w:ind w:left="851"/>
        <w:rPr>
          <w:sz w:val="24"/>
          <w:szCs w:val="24"/>
        </w:rPr>
      </w:pPr>
    </w:p>
    <w:p w14:paraId="4D7CC817" w14:textId="77777777" w:rsidR="005F258D" w:rsidRPr="005F258D" w:rsidRDefault="005F258D" w:rsidP="005F258D">
      <w:pPr>
        <w:tabs>
          <w:tab w:val="left" w:pos="851"/>
        </w:tabs>
        <w:ind w:left="851"/>
        <w:rPr>
          <w:sz w:val="24"/>
          <w:szCs w:val="24"/>
        </w:rPr>
      </w:pPr>
      <w:r w:rsidRPr="005F258D">
        <w:rPr>
          <w:sz w:val="24"/>
          <w:szCs w:val="24"/>
        </w:rPr>
        <w:t>Vask hænder efter brug.</w:t>
      </w:r>
    </w:p>
    <w:p w14:paraId="553C1FB5" w14:textId="77777777" w:rsidR="008203A8" w:rsidRDefault="008203A8" w:rsidP="008203A8">
      <w:pPr>
        <w:tabs>
          <w:tab w:val="left" w:pos="851"/>
        </w:tabs>
        <w:ind w:left="851"/>
        <w:rPr>
          <w:sz w:val="24"/>
          <w:szCs w:val="24"/>
        </w:rPr>
      </w:pPr>
    </w:p>
    <w:p w14:paraId="7E9934A6"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5685B299" w14:textId="013A7CAE" w:rsidR="008203A8" w:rsidRPr="002E304C" w:rsidRDefault="009B5D10" w:rsidP="008203A8">
      <w:pPr>
        <w:tabs>
          <w:tab w:val="left" w:pos="851"/>
        </w:tabs>
        <w:ind w:left="851"/>
        <w:rPr>
          <w:sz w:val="24"/>
          <w:szCs w:val="24"/>
        </w:rPr>
      </w:pPr>
      <w:r>
        <w:rPr>
          <w:sz w:val="24"/>
          <w:szCs w:val="24"/>
        </w:rPr>
        <w:t>Ikke relevant.</w:t>
      </w:r>
    </w:p>
    <w:p w14:paraId="62217FCE" w14:textId="77777777" w:rsidR="008203A8" w:rsidRPr="00406EE7" w:rsidRDefault="008203A8" w:rsidP="008203A8">
      <w:pPr>
        <w:tabs>
          <w:tab w:val="left" w:pos="851"/>
        </w:tabs>
        <w:ind w:left="851"/>
        <w:rPr>
          <w:sz w:val="24"/>
          <w:szCs w:val="24"/>
        </w:rPr>
      </w:pPr>
    </w:p>
    <w:p w14:paraId="2E65E2B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6F1C5560" w14:textId="77777777" w:rsidR="004C4645" w:rsidRDefault="004C4645" w:rsidP="004C4645">
      <w:pPr>
        <w:tabs>
          <w:tab w:val="left" w:pos="1304"/>
        </w:tabs>
        <w:rPr>
          <w:sz w:val="22"/>
          <w:szCs w:val="22"/>
        </w:rPr>
      </w:pPr>
    </w:p>
    <w:p w14:paraId="2D043624" w14:textId="77777777" w:rsidR="004C4645" w:rsidRDefault="004C4645" w:rsidP="00BA62DC">
      <w:pPr>
        <w:pStyle w:val="Brdtekst"/>
        <w:ind w:left="851"/>
        <w:jc w:val="left"/>
        <w:rPr>
          <w:spacing w:val="-1"/>
        </w:rPr>
      </w:pPr>
      <w:r>
        <w:t>Høns:</w:t>
      </w:r>
    </w:p>
    <w:tbl>
      <w:tblPr>
        <w:tblW w:w="92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4C4645" w14:paraId="21C2542B" w14:textId="77777777" w:rsidTr="00BA62DC">
        <w:tc>
          <w:tcPr>
            <w:tcW w:w="4643" w:type="dxa"/>
            <w:tcBorders>
              <w:top w:val="single" w:sz="4" w:space="0" w:color="000000"/>
              <w:left w:val="single" w:sz="4" w:space="0" w:color="000000"/>
              <w:bottom w:val="single" w:sz="4" w:space="0" w:color="000000"/>
              <w:right w:val="single" w:sz="4" w:space="0" w:color="000000"/>
            </w:tcBorders>
            <w:hideMark/>
          </w:tcPr>
          <w:p w14:paraId="159DDD12" w14:textId="77777777" w:rsidR="004C4645" w:rsidRDefault="004C4645">
            <w:pPr>
              <w:pStyle w:val="Brdtekst"/>
              <w:jc w:val="left"/>
            </w:pPr>
            <w:r>
              <w:t>Meget sjælden (&lt; 1 dyr ud af 10.000 behandlede dyr, herunder enkeltstående indberetninger):</w:t>
            </w:r>
          </w:p>
        </w:tc>
        <w:tc>
          <w:tcPr>
            <w:tcW w:w="4644" w:type="dxa"/>
            <w:tcBorders>
              <w:top w:val="single" w:sz="4" w:space="0" w:color="000000"/>
              <w:left w:val="single" w:sz="4" w:space="0" w:color="000000"/>
              <w:bottom w:val="single" w:sz="4" w:space="0" w:color="000000"/>
              <w:right w:val="single" w:sz="4" w:space="0" w:color="000000"/>
            </w:tcBorders>
            <w:hideMark/>
          </w:tcPr>
          <w:p w14:paraId="6436B4C8" w14:textId="77777777" w:rsidR="004C4645" w:rsidRDefault="004C4645">
            <w:pPr>
              <w:pStyle w:val="Brdtekst"/>
              <w:jc w:val="left"/>
            </w:pPr>
            <w:r>
              <w:t>Nedsat væskeindtag</w:t>
            </w:r>
          </w:p>
        </w:tc>
      </w:tr>
      <w:tr w:rsidR="004C4645" w14:paraId="32449461" w14:textId="77777777" w:rsidTr="00BA62DC">
        <w:tc>
          <w:tcPr>
            <w:tcW w:w="4643" w:type="dxa"/>
            <w:tcBorders>
              <w:top w:val="single" w:sz="4" w:space="0" w:color="000000"/>
              <w:left w:val="single" w:sz="4" w:space="0" w:color="000000"/>
              <w:bottom w:val="single" w:sz="4" w:space="0" w:color="000000"/>
              <w:right w:val="single" w:sz="4" w:space="0" w:color="000000"/>
            </w:tcBorders>
            <w:hideMark/>
          </w:tcPr>
          <w:p w14:paraId="3723C499" w14:textId="77777777" w:rsidR="004C4645" w:rsidRDefault="004C4645">
            <w:pPr>
              <w:pStyle w:val="Brdtekst"/>
              <w:jc w:val="left"/>
            </w:pPr>
            <w:r>
              <w:t>Ikke kendt hyppighed (kan ikke estimeres ud fra forhåndenværende data)</w:t>
            </w:r>
          </w:p>
        </w:tc>
        <w:tc>
          <w:tcPr>
            <w:tcW w:w="4644" w:type="dxa"/>
            <w:tcBorders>
              <w:top w:val="single" w:sz="4" w:space="0" w:color="000000"/>
              <w:left w:val="single" w:sz="4" w:space="0" w:color="000000"/>
              <w:bottom w:val="single" w:sz="4" w:space="0" w:color="000000"/>
              <w:right w:val="single" w:sz="4" w:space="0" w:color="000000"/>
            </w:tcBorders>
            <w:hideMark/>
          </w:tcPr>
          <w:p w14:paraId="7239E64A" w14:textId="77777777" w:rsidR="004C4645" w:rsidRDefault="004C4645">
            <w:pPr>
              <w:pStyle w:val="Brdtekst"/>
              <w:jc w:val="left"/>
            </w:pPr>
            <w:r>
              <w:t>Overfølsomhedsreaktioner</w:t>
            </w:r>
          </w:p>
        </w:tc>
      </w:tr>
    </w:tbl>
    <w:p w14:paraId="0BFD0B82" w14:textId="77777777" w:rsidR="004C4645" w:rsidRDefault="004C4645" w:rsidP="004C4645">
      <w:pPr>
        <w:pStyle w:val="Brdtekst"/>
        <w:jc w:val="left"/>
        <w:rPr>
          <w:vertAlign w:val="superscript"/>
        </w:rPr>
      </w:pPr>
    </w:p>
    <w:p w14:paraId="05AF2B89" w14:textId="77777777" w:rsidR="004C4645" w:rsidRDefault="004C4645" w:rsidP="00BA62DC">
      <w:pPr>
        <w:pStyle w:val="Brdtekst"/>
        <w:ind w:left="851"/>
        <w:jc w:val="left"/>
      </w:pPr>
      <w:r>
        <w:t>Kvæg (præruminante kalve), får (præruminante lam) og svin:</w:t>
      </w:r>
    </w:p>
    <w:tbl>
      <w:tblPr>
        <w:tblW w:w="92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4C4645" w14:paraId="0A04AA3D" w14:textId="77777777" w:rsidTr="00BA62DC">
        <w:tc>
          <w:tcPr>
            <w:tcW w:w="4643" w:type="dxa"/>
            <w:tcBorders>
              <w:top w:val="single" w:sz="4" w:space="0" w:color="000000"/>
              <w:left w:val="single" w:sz="4" w:space="0" w:color="000000"/>
              <w:bottom w:val="single" w:sz="4" w:space="0" w:color="000000"/>
              <w:right w:val="single" w:sz="4" w:space="0" w:color="000000"/>
            </w:tcBorders>
            <w:hideMark/>
          </w:tcPr>
          <w:p w14:paraId="2C25C7D0" w14:textId="77777777" w:rsidR="004C4645" w:rsidRDefault="004C4645">
            <w:pPr>
              <w:pStyle w:val="Brdtekst"/>
              <w:jc w:val="left"/>
            </w:pPr>
            <w:r>
              <w:t>Ikke kendt hyppighed (kan ikke estimeres ud fra forhåndenværende data)</w:t>
            </w:r>
          </w:p>
        </w:tc>
        <w:tc>
          <w:tcPr>
            <w:tcW w:w="4644" w:type="dxa"/>
            <w:tcBorders>
              <w:top w:val="single" w:sz="4" w:space="0" w:color="000000"/>
              <w:left w:val="single" w:sz="4" w:space="0" w:color="000000"/>
              <w:bottom w:val="single" w:sz="4" w:space="0" w:color="000000"/>
              <w:right w:val="single" w:sz="4" w:space="0" w:color="000000"/>
            </w:tcBorders>
            <w:hideMark/>
          </w:tcPr>
          <w:p w14:paraId="406F545F" w14:textId="77777777" w:rsidR="004C4645" w:rsidRDefault="004C4645">
            <w:pPr>
              <w:pStyle w:val="Brdtekst"/>
              <w:jc w:val="left"/>
              <w:rPr>
                <w:vertAlign w:val="superscript"/>
              </w:rPr>
            </w:pPr>
            <w:r>
              <w:t>Overfølsomhedsreaktioner</w:t>
            </w:r>
          </w:p>
        </w:tc>
      </w:tr>
    </w:tbl>
    <w:p w14:paraId="7003A4F3" w14:textId="77777777" w:rsidR="004C4645" w:rsidRPr="004C4645" w:rsidRDefault="004C4645" w:rsidP="004C4645">
      <w:pPr>
        <w:ind w:left="851"/>
        <w:rPr>
          <w:sz w:val="24"/>
          <w:szCs w:val="24"/>
        </w:rPr>
      </w:pPr>
      <w:bookmarkStart w:id="0" w:name="_Hlk66891708"/>
    </w:p>
    <w:p w14:paraId="56DBE05B" w14:textId="77777777" w:rsidR="004C4645" w:rsidRPr="004C4645" w:rsidRDefault="004C4645" w:rsidP="004C4645">
      <w:pPr>
        <w:ind w:left="851"/>
        <w:rPr>
          <w:sz w:val="24"/>
          <w:szCs w:val="24"/>
        </w:rPr>
      </w:pPr>
      <w:r w:rsidRPr="004C464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0"/>
    </w:p>
    <w:p w14:paraId="3D5D71BF" w14:textId="77777777" w:rsidR="008203A8" w:rsidRPr="004C4645" w:rsidRDefault="008203A8" w:rsidP="004C4645">
      <w:pPr>
        <w:tabs>
          <w:tab w:val="left" w:pos="851"/>
        </w:tabs>
        <w:ind w:left="851"/>
        <w:rPr>
          <w:sz w:val="24"/>
          <w:szCs w:val="24"/>
        </w:rPr>
      </w:pPr>
    </w:p>
    <w:p w14:paraId="44E17CE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2CDA09A1" w14:textId="77777777" w:rsidR="00BA62DC" w:rsidRPr="00BA62DC" w:rsidRDefault="00BA62DC" w:rsidP="00BA62DC">
      <w:pPr>
        <w:tabs>
          <w:tab w:val="left" w:pos="851"/>
        </w:tabs>
        <w:ind w:left="851"/>
        <w:rPr>
          <w:sz w:val="24"/>
          <w:szCs w:val="24"/>
        </w:rPr>
      </w:pPr>
      <w:r w:rsidRPr="00BA62DC">
        <w:rPr>
          <w:sz w:val="24"/>
          <w:szCs w:val="24"/>
        </w:rPr>
        <w:t>Må ikke anvendes under drægtighed, laktation eller æglægning.</w:t>
      </w:r>
    </w:p>
    <w:p w14:paraId="43B01DE9" w14:textId="77777777" w:rsidR="00BA62DC" w:rsidRPr="00BA62DC" w:rsidRDefault="00BA62DC" w:rsidP="00BA62DC">
      <w:pPr>
        <w:tabs>
          <w:tab w:val="left" w:pos="851"/>
        </w:tabs>
        <w:ind w:left="851"/>
        <w:rPr>
          <w:sz w:val="24"/>
          <w:szCs w:val="24"/>
        </w:rPr>
      </w:pPr>
      <w:r w:rsidRPr="00BA62DC">
        <w:rPr>
          <w:sz w:val="24"/>
          <w:szCs w:val="24"/>
        </w:rPr>
        <w:t>Laboratorieundersøgelser af rotter og kaniner har påvist teratogene eller føtotoksiske effekter.</w:t>
      </w:r>
    </w:p>
    <w:p w14:paraId="482A77F8" w14:textId="77777777" w:rsidR="008203A8" w:rsidRPr="00406EE7" w:rsidRDefault="008203A8" w:rsidP="008203A8">
      <w:pPr>
        <w:tabs>
          <w:tab w:val="left" w:pos="851"/>
        </w:tabs>
        <w:ind w:left="851"/>
        <w:rPr>
          <w:sz w:val="24"/>
          <w:szCs w:val="24"/>
        </w:rPr>
      </w:pPr>
    </w:p>
    <w:p w14:paraId="2049519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7751F4E6" w14:textId="77777777" w:rsidR="00BA62DC" w:rsidRPr="00BA62DC" w:rsidRDefault="00BA62DC" w:rsidP="00BA62DC">
      <w:pPr>
        <w:tabs>
          <w:tab w:val="left" w:pos="851"/>
        </w:tabs>
        <w:ind w:left="851"/>
        <w:rPr>
          <w:sz w:val="24"/>
          <w:szCs w:val="24"/>
        </w:rPr>
      </w:pPr>
      <w:r w:rsidRPr="00BA62DC">
        <w:rPr>
          <w:sz w:val="24"/>
          <w:szCs w:val="24"/>
        </w:rPr>
        <w:t>Må ikke administreres samtidigt med coccidiostatika eller veterinærlægemidler, der indeholder sulfonamider.</w:t>
      </w:r>
    </w:p>
    <w:p w14:paraId="1E2D1A7C" w14:textId="77777777" w:rsidR="00BA62DC" w:rsidRPr="00BA62DC" w:rsidRDefault="00BA62DC" w:rsidP="00BA62DC">
      <w:pPr>
        <w:tabs>
          <w:tab w:val="left" w:pos="851"/>
        </w:tabs>
        <w:ind w:left="851"/>
        <w:rPr>
          <w:sz w:val="24"/>
          <w:szCs w:val="24"/>
        </w:rPr>
      </w:pPr>
    </w:p>
    <w:p w14:paraId="435DD57F" w14:textId="77777777" w:rsidR="00BA62DC" w:rsidRPr="00BA62DC" w:rsidRDefault="00BA62DC" w:rsidP="00BA62DC">
      <w:pPr>
        <w:tabs>
          <w:tab w:val="left" w:pos="851"/>
        </w:tabs>
        <w:ind w:left="851"/>
        <w:rPr>
          <w:sz w:val="24"/>
          <w:szCs w:val="24"/>
        </w:rPr>
      </w:pPr>
      <w:r w:rsidRPr="00BA62DC">
        <w:rPr>
          <w:sz w:val="24"/>
          <w:szCs w:val="24"/>
        </w:rPr>
        <w:t>Må ikke forbindes med PABA (para-aminobenzoesyre).</w:t>
      </w:r>
    </w:p>
    <w:p w14:paraId="01D449CC" w14:textId="77777777" w:rsidR="00BA62DC" w:rsidRPr="00BA62DC" w:rsidRDefault="00BA62DC" w:rsidP="00BA62DC">
      <w:pPr>
        <w:tabs>
          <w:tab w:val="left" w:pos="851"/>
        </w:tabs>
        <w:ind w:left="851"/>
        <w:rPr>
          <w:sz w:val="24"/>
          <w:szCs w:val="24"/>
        </w:rPr>
      </w:pPr>
    </w:p>
    <w:p w14:paraId="481FD6B9" w14:textId="77777777" w:rsidR="00BA62DC" w:rsidRPr="00BA62DC" w:rsidRDefault="00BA62DC" w:rsidP="00BA62DC">
      <w:pPr>
        <w:tabs>
          <w:tab w:val="left" w:pos="851"/>
        </w:tabs>
        <w:ind w:left="851"/>
        <w:rPr>
          <w:sz w:val="24"/>
          <w:szCs w:val="24"/>
        </w:rPr>
      </w:pPr>
      <w:r w:rsidRPr="00BA62DC">
        <w:rPr>
          <w:sz w:val="24"/>
          <w:szCs w:val="24"/>
        </w:rPr>
        <w:t>Sulfonamider forstærker virkningen af antikoagulantia.</w:t>
      </w:r>
    </w:p>
    <w:p w14:paraId="087D5938" w14:textId="77777777" w:rsidR="00BA62DC" w:rsidRPr="00BA62DC" w:rsidRDefault="00BA62DC" w:rsidP="00BA62DC">
      <w:pPr>
        <w:tabs>
          <w:tab w:val="left" w:pos="851"/>
        </w:tabs>
        <w:ind w:left="851"/>
        <w:rPr>
          <w:sz w:val="24"/>
          <w:szCs w:val="24"/>
        </w:rPr>
      </w:pPr>
    </w:p>
    <w:p w14:paraId="78FD30C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290777BA" w14:textId="77777777" w:rsidR="00524601" w:rsidRPr="00524601" w:rsidRDefault="00524601" w:rsidP="00524601">
      <w:pPr>
        <w:tabs>
          <w:tab w:val="left" w:pos="1304"/>
        </w:tabs>
        <w:autoSpaceDE w:val="0"/>
        <w:autoSpaceDN w:val="0"/>
        <w:adjustRightInd w:val="0"/>
        <w:ind w:left="851"/>
        <w:rPr>
          <w:color w:val="000000"/>
          <w:sz w:val="24"/>
          <w:szCs w:val="24"/>
        </w:rPr>
      </w:pPr>
      <w:r w:rsidRPr="00524601">
        <w:rPr>
          <w:color w:val="000000"/>
          <w:sz w:val="24"/>
          <w:szCs w:val="24"/>
        </w:rPr>
        <w:t>Til brug i drikkevand/mælk (mælkeerstatning) (se oplysninger nedenfor for hver dyreart).</w:t>
      </w:r>
    </w:p>
    <w:p w14:paraId="1E88DDDC" w14:textId="77777777" w:rsidR="00524601" w:rsidRPr="00524601" w:rsidRDefault="00524601" w:rsidP="00524601">
      <w:pPr>
        <w:tabs>
          <w:tab w:val="left" w:pos="1304"/>
        </w:tabs>
        <w:autoSpaceDE w:val="0"/>
        <w:autoSpaceDN w:val="0"/>
        <w:adjustRightInd w:val="0"/>
        <w:ind w:left="851"/>
        <w:rPr>
          <w:color w:val="000000"/>
          <w:sz w:val="24"/>
          <w:szCs w:val="24"/>
          <w:lang w:eastAsia="en-GB"/>
        </w:rPr>
      </w:pPr>
    </w:p>
    <w:p w14:paraId="03B3F8BF" w14:textId="36315717" w:rsidR="00524601" w:rsidRPr="00524601" w:rsidRDefault="00524601" w:rsidP="00524601">
      <w:pPr>
        <w:tabs>
          <w:tab w:val="left" w:pos="1304"/>
        </w:tabs>
        <w:autoSpaceDE w:val="0"/>
        <w:autoSpaceDN w:val="0"/>
        <w:adjustRightInd w:val="0"/>
        <w:ind w:left="851"/>
        <w:rPr>
          <w:color w:val="000000"/>
          <w:sz w:val="24"/>
          <w:szCs w:val="24"/>
          <w:u w:val="single"/>
        </w:rPr>
      </w:pPr>
      <w:r w:rsidRPr="00524601">
        <w:rPr>
          <w:color w:val="000000"/>
          <w:sz w:val="24"/>
          <w:szCs w:val="24"/>
          <w:u w:val="single"/>
        </w:rPr>
        <w:t>Kvæg (præruminante kalve) og får (præruminante lam)</w:t>
      </w:r>
    </w:p>
    <w:p w14:paraId="6B9CBC9E" w14:textId="77777777" w:rsidR="00524601" w:rsidRPr="00524601" w:rsidRDefault="00524601" w:rsidP="00524601">
      <w:pPr>
        <w:tabs>
          <w:tab w:val="left" w:pos="1304"/>
        </w:tabs>
        <w:autoSpaceDE w:val="0"/>
        <w:autoSpaceDN w:val="0"/>
        <w:adjustRightInd w:val="0"/>
        <w:ind w:left="851"/>
        <w:rPr>
          <w:color w:val="000000"/>
          <w:sz w:val="24"/>
          <w:szCs w:val="24"/>
        </w:rPr>
      </w:pPr>
      <w:r w:rsidRPr="00524601">
        <w:rPr>
          <w:color w:val="000000"/>
          <w:sz w:val="24"/>
          <w:szCs w:val="24"/>
        </w:rPr>
        <w:t>12,5 mg sulfadiazin og 2,5 mg trimethoprim pr. kg legemsvægt (svarende til 25 mg af veterinærlægemidlet pr. kg legemsvægt), hver 12. time i 4 til 7 dage i træk, skal opløses i mælkeerstatning.</w:t>
      </w:r>
    </w:p>
    <w:p w14:paraId="76FCDD5A" w14:textId="77777777" w:rsidR="00524601" w:rsidRPr="00524601" w:rsidRDefault="00524601" w:rsidP="00524601">
      <w:pPr>
        <w:tabs>
          <w:tab w:val="left" w:pos="1304"/>
        </w:tabs>
        <w:autoSpaceDE w:val="0"/>
        <w:autoSpaceDN w:val="0"/>
        <w:adjustRightInd w:val="0"/>
        <w:ind w:left="851"/>
        <w:rPr>
          <w:color w:val="000000"/>
          <w:sz w:val="24"/>
          <w:szCs w:val="24"/>
          <w:lang w:eastAsia="en-GB"/>
        </w:rPr>
      </w:pPr>
    </w:p>
    <w:p w14:paraId="5CF507D3" w14:textId="3DA7ED28" w:rsidR="00524601" w:rsidRPr="00524601" w:rsidRDefault="00524601" w:rsidP="00524601">
      <w:pPr>
        <w:tabs>
          <w:tab w:val="left" w:pos="1304"/>
        </w:tabs>
        <w:autoSpaceDE w:val="0"/>
        <w:autoSpaceDN w:val="0"/>
        <w:adjustRightInd w:val="0"/>
        <w:ind w:left="851"/>
        <w:rPr>
          <w:color w:val="000000"/>
          <w:sz w:val="24"/>
          <w:szCs w:val="24"/>
          <w:u w:val="single"/>
        </w:rPr>
      </w:pPr>
      <w:r w:rsidRPr="00524601">
        <w:rPr>
          <w:color w:val="000000"/>
          <w:sz w:val="24"/>
          <w:szCs w:val="24"/>
          <w:u w:val="single"/>
        </w:rPr>
        <w:t>Svin</w:t>
      </w:r>
    </w:p>
    <w:p w14:paraId="3F3A02D1" w14:textId="77777777" w:rsidR="00524601" w:rsidRPr="00524601" w:rsidRDefault="00524601" w:rsidP="00524601">
      <w:pPr>
        <w:tabs>
          <w:tab w:val="left" w:pos="1304"/>
        </w:tabs>
        <w:autoSpaceDE w:val="0"/>
        <w:autoSpaceDN w:val="0"/>
        <w:adjustRightInd w:val="0"/>
        <w:ind w:left="851"/>
        <w:rPr>
          <w:color w:val="000000"/>
          <w:sz w:val="24"/>
          <w:szCs w:val="24"/>
        </w:rPr>
      </w:pPr>
      <w:r w:rsidRPr="00524601">
        <w:rPr>
          <w:color w:val="000000"/>
          <w:sz w:val="24"/>
          <w:szCs w:val="24"/>
        </w:rPr>
        <w:t>25 mg sulfadiazin og 5 mg trimethoprim pr. kg legemsvægt pr. dag (svarende til 50 mg af veterinærlægemidlet pr. kg legemsvægt pr. dag) i 4 til 7 dage i træk, skal opløses i drikkevand.</w:t>
      </w:r>
    </w:p>
    <w:p w14:paraId="2F8AEB9C" w14:textId="77777777" w:rsidR="00524601" w:rsidRPr="00524601" w:rsidRDefault="00524601" w:rsidP="00524601">
      <w:pPr>
        <w:tabs>
          <w:tab w:val="left" w:pos="1304"/>
        </w:tabs>
        <w:autoSpaceDE w:val="0"/>
        <w:autoSpaceDN w:val="0"/>
        <w:adjustRightInd w:val="0"/>
        <w:ind w:left="851"/>
        <w:rPr>
          <w:color w:val="000000"/>
          <w:sz w:val="24"/>
          <w:szCs w:val="24"/>
          <w:lang w:eastAsia="en-GB"/>
        </w:rPr>
      </w:pPr>
    </w:p>
    <w:p w14:paraId="1034EB3D" w14:textId="6FCD7E19" w:rsidR="00524601" w:rsidRPr="00524601" w:rsidRDefault="00524601" w:rsidP="00524601">
      <w:pPr>
        <w:tabs>
          <w:tab w:val="left" w:pos="1304"/>
        </w:tabs>
        <w:autoSpaceDE w:val="0"/>
        <w:autoSpaceDN w:val="0"/>
        <w:adjustRightInd w:val="0"/>
        <w:ind w:left="851"/>
        <w:rPr>
          <w:color w:val="000000"/>
          <w:sz w:val="24"/>
          <w:szCs w:val="24"/>
          <w:u w:val="single"/>
        </w:rPr>
      </w:pPr>
      <w:r w:rsidRPr="00524601">
        <w:rPr>
          <w:color w:val="000000"/>
          <w:sz w:val="24"/>
          <w:szCs w:val="24"/>
          <w:u w:val="single"/>
        </w:rPr>
        <w:t>Høns</w:t>
      </w:r>
    </w:p>
    <w:p w14:paraId="59314851" w14:textId="77777777" w:rsidR="00524601" w:rsidRPr="00524601" w:rsidRDefault="00524601" w:rsidP="00524601">
      <w:pPr>
        <w:tabs>
          <w:tab w:val="left" w:pos="1304"/>
        </w:tabs>
        <w:autoSpaceDE w:val="0"/>
        <w:autoSpaceDN w:val="0"/>
        <w:adjustRightInd w:val="0"/>
        <w:ind w:left="851"/>
        <w:rPr>
          <w:color w:val="000000"/>
          <w:sz w:val="24"/>
          <w:szCs w:val="24"/>
        </w:rPr>
      </w:pPr>
      <w:r w:rsidRPr="00524601">
        <w:rPr>
          <w:color w:val="000000"/>
          <w:sz w:val="24"/>
          <w:szCs w:val="24"/>
        </w:rPr>
        <w:t>25 mg sulfadiazin og 5 mg trimethoprim pr. kg legemsvægt pr. dag (svarende til 50 mg af veterinærlægemidlet pr. kg legemsvægt pr. dag) i 4 til 7 dage i træk, skal opløses i drikkevand.</w:t>
      </w:r>
    </w:p>
    <w:p w14:paraId="52B03E5D" w14:textId="77777777" w:rsidR="00524601" w:rsidRPr="00524601" w:rsidRDefault="00524601" w:rsidP="00524601">
      <w:pPr>
        <w:tabs>
          <w:tab w:val="left" w:pos="1304"/>
        </w:tabs>
        <w:autoSpaceDE w:val="0"/>
        <w:autoSpaceDN w:val="0"/>
        <w:adjustRightInd w:val="0"/>
        <w:ind w:left="851"/>
        <w:rPr>
          <w:color w:val="000000"/>
          <w:sz w:val="24"/>
          <w:szCs w:val="24"/>
          <w:lang w:eastAsia="en-GB"/>
        </w:rPr>
      </w:pPr>
    </w:p>
    <w:p w14:paraId="4E55680D" w14:textId="77777777" w:rsidR="00524601" w:rsidRPr="00524601" w:rsidRDefault="00524601" w:rsidP="00524601">
      <w:pPr>
        <w:tabs>
          <w:tab w:val="left" w:pos="1304"/>
        </w:tabs>
        <w:autoSpaceDE w:val="0"/>
        <w:autoSpaceDN w:val="0"/>
        <w:adjustRightInd w:val="0"/>
        <w:ind w:left="851"/>
        <w:rPr>
          <w:sz w:val="24"/>
          <w:szCs w:val="24"/>
        </w:rPr>
      </w:pPr>
      <w:r w:rsidRPr="00524601">
        <w:rPr>
          <w:sz w:val="24"/>
          <w:szCs w:val="24"/>
        </w:rPr>
        <w:t xml:space="preserve">Vejledning i forberedelse af opløsninger med </w:t>
      </w:r>
      <w:r w:rsidRPr="00524601">
        <w:rPr>
          <w:color w:val="000000"/>
          <w:sz w:val="24"/>
          <w:szCs w:val="24"/>
        </w:rPr>
        <w:t>veterinærlægemidlet</w:t>
      </w:r>
      <w:r w:rsidRPr="00524601">
        <w:rPr>
          <w:sz w:val="24"/>
          <w:szCs w:val="24"/>
        </w:rPr>
        <w:t>:</w:t>
      </w:r>
    </w:p>
    <w:p w14:paraId="3D8594A3" w14:textId="77777777" w:rsidR="00524601" w:rsidRPr="00524601" w:rsidRDefault="00524601" w:rsidP="00524601">
      <w:pPr>
        <w:tabs>
          <w:tab w:val="left" w:pos="1304"/>
        </w:tabs>
        <w:autoSpaceDE w:val="0"/>
        <w:autoSpaceDN w:val="0"/>
        <w:adjustRightInd w:val="0"/>
        <w:ind w:left="851"/>
        <w:rPr>
          <w:color w:val="000000"/>
          <w:sz w:val="24"/>
          <w:szCs w:val="24"/>
        </w:rPr>
      </w:pPr>
      <w:r w:rsidRPr="00524601">
        <w:rPr>
          <w:color w:val="000000"/>
          <w:sz w:val="24"/>
          <w:szCs w:val="24"/>
        </w:rPr>
        <w:t>For at sikre korrekt dosering bør legemsvægten beregnes så nøjagtigt som muligt.</w:t>
      </w:r>
    </w:p>
    <w:p w14:paraId="48A409DB" w14:textId="77777777" w:rsidR="00524601" w:rsidRPr="00524601" w:rsidRDefault="00524601" w:rsidP="00524601">
      <w:pPr>
        <w:tabs>
          <w:tab w:val="left" w:pos="1304"/>
        </w:tabs>
        <w:autoSpaceDE w:val="0"/>
        <w:autoSpaceDN w:val="0"/>
        <w:adjustRightInd w:val="0"/>
        <w:ind w:left="851"/>
        <w:rPr>
          <w:color w:val="000000"/>
          <w:sz w:val="24"/>
          <w:szCs w:val="24"/>
          <w:lang w:eastAsia="en-GB"/>
        </w:rPr>
      </w:pPr>
    </w:p>
    <w:p w14:paraId="581AEBD3" w14:textId="77777777" w:rsidR="00524601" w:rsidRPr="00524601" w:rsidRDefault="00524601" w:rsidP="00524601">
      <w:pPr>
        <w:tabs>
          <w:tab w:val="left" w:pos="1304"/>
        </w:tabs>
        <w:autoSpaceDE w:val="0"/>
        <w:autoSpaceDN w:val="0"/>
        <w:adjustRightInd w:val="0"/>
        <w:ind w:left="851"/>
        <w:rPr>
          <w:color w:val="000000"/>
          <w:sz w:val="24"/>
          <w:szCs w:val="24"/>
        </w:rPr>
      </w:pPr>
      <w:r w:rsidRPr="00524601">
        <w:rPr>
          <w:color w:val="000000"/>
          <w:sz w:val="24"/>
          <w:szCs w:val="24"/>
        </w:rPr>
        <w:t>Indtagelsen af medicineret vand afhænger af dyrenes kliniske tilstand. For at opnå den korrekte dosering kan det være nødvendigt at justere koncentrationen af sulfadiazin og trimethoprim i overensstemmelse hermed.</w:t>
      </w:r>
    </w:p>
    <w:p w14:paraId="1BD5F29E" w14:textId="77777777" w:rsidR="00524601" w:rsidRPr="00524601" w:rsidRDefault="00524601" w:rsidP="00524601">
      <w:pPr>
        <w:tabs>
          <w:tab w:val="left" w:pos="1304"/>
        </w:tabs>
        <w:autoSpaceDE w:val="0"/>
        <w:autoSpaceDN w:val="0"/>
        <w:adjustRightInd w:val="0"/>
        <w:ind w:left="851"/>
        <w:rPr>
          <w:color w:val="000000"/>
          <w:sz w:val="24"/>
          <w:szCs w:val="24"/>
          <w:lang w:eastAsia="en-GB"/>
        </w:rPr>
      </w:pPr>
    </w:p>
    <w:p w14:paraId="79C95FA0" w14:textId="77777777" w:rsidR="00524601" w:rsidRPr="00524601" w:rsidRDefault="00524601" w:rsidP="00524601">
      <w:pPr>
        <w:tabs>
          <w:tab w:val="left" w:pos="1304"/>
        </w:tabs>
        <w:autoSpaceDE w:val="0"/>
        <w:autoSpaceDN w:val="0"/>
        <w:adjustRightInd w:val="0"/>
        <w:ind w:left="851"/>
        <w:rPr>
          <w:sz w:val="24"/>
          <w:szCs w:val="24"/>
        </w:rPr>
      </w:pPr>
      <w:r w:rsidRPr="00524601">
        <w:rPr>
          <w:sz w:val="24"/>
          <w:szCs w:val="24"/>
        </w:rPr>
        <w:t>Det anbefales at anvende hensigtsmæssigt kalibreret måleudstyr.</w:t>
      </w:r>
    </w:p>
    <w:p w14:paraId="3D668139" w14:textId="25A79221" w:rsidR="005A59F4" w:rsidRDefault="005A59F4">
      <w:pPr>
        <w:rPr>
          <w:sz w:val="24"/>
          <w:szCs w:val="24"/>
        </w:rPr>
      </w:pPr>
      <w:r>
        <w:rPr>
          <w:sz w:val="24"/>
          <w:szCs w:val="24"/>
        </w:rPr>
        <w:br w:type="page"/>
      </w:r>
    </w:p>
    <w:p w14:paraId="289DC293" w14:textId="77777777" w:rsidR="00524601" w:rsidRPr="00524601" w:rsidRDefault="00524601" w:rsidP="00524601">
      <w:pPr>
        <w:tabs>
          <w:tab w:val="left" w:pos="1304"/>
        </w:tabs>
        <w:autoSpaceDE w:val="0"/>
        <w:autoSpaceDN w:val="0"/>
        <w:adjustRightInd w:val="0"/>
        <w:ind w:left="851"/>
        <w:rPr>
          <w:sz w:val="24"/>
          <w:szCs w:val="24"/>
        </w:rPr>
      </w:pPr>
    </w:p>
    <w:p w14:paraId="20784A8A" w14:textId="77777777" w:rsidR="00524601" w:rsidRPr="00524601" w:rsidRDefault="00524601" w:rsidP="00524601">
      <w:pPr>
        <w:tabs>
          <w:tab w:val="left" w:pos="1304"/>
        </w:tabs>
        <w:autoSpaceDE w:val="0"/>
        <w:autoSpaceDN w:val="0"/>
        <w:adjustRightInd w:val="0"/>
        <w:ind w:left="851"/>
        <w:rPr>
          <w:sz w:val="24"/>
          <w:szCs w:val="24"/>
        </w:rPr>
      </w:pPr>
      <w:r w:rsidRPr="00524601">
        <w:rPr>
          <w:sz w:val="24"/>
          <w:szCs w:val="24"/>
        </w:rPr>
        <w:t>Baseret på den anbefalede dosis, antallet af dyr, der skal behandles, samt disses legemsvægt bør den nøjagtige daglige koncentration af veterinærlægemidlet beregnes efter følgende formel:</w:t>
      </w:r>
    </w:p>
    <w:p w14:paraId="41D05A03" w14:textId="77777777" w:rsidR="00524601" w:rsidRPr="00524601" w:rsidRDefault="00524601" w:rsidP="00524601">
      <w:pPr>
        <w:tabs>
          <w:tab w:val="left" w:pos="1304"/>
        </w:tabs>
        <w:autoSpaceDE w:val="0"/>
        <w:autoSpaceDN w:val="0"/>
        <w:adjustRightInd w:val="0"/>
        <w:ind w:left="851"/>
        <w:rPr>
          <w:sz w:val="24"/>
          <w:szCs w:val="24"/>
        </w:rPr>
      </w:pPr>
    </w:p>
    <w:tbl>
      <w:tblPr>
        <w:tblW w:w="0" w:type="auto"/>
        <w:tblLook w:val="04A0" w:firstRow="1" w:lastRow="0" w:firstColumn="1" w:lastColumn="0" w:noHBand="0" w:noVBand="1"/>
      </w:tblPr>
      <w:tblGrid>
        <w:gridCol w:w="2452"/>
        <w:gridCol w:w="1413"/>
        <w:gridCol w:w="2046"/>
        <w:gridCol w:w="620"/>
        <w:gridCol w:w="3107"/>
      </w:tblGrid>
      <w:tr w:rsidR="00524601" w14:paraId="0160D0AB" w14:textId="77777777" w:rsidTr="00524601">
        <w:trPr>
          <w:trHeight w:val="552"/>
        </w:trPr>
        <w:tc>
          <w:tcPr>
            <w:tcW w:w="2093" w:type="dxa"/>
            <w:vMerge w:val="restart"/>
            <w:tcBorders>
              <w:top w:val="nil"/>
              <w:left w:val="nil"/>
              <w:bottom w:val="single" w:sz="4" w:space="0" w:color="auto"/>
              <w:right w:val="nil"/>
            </w:tcBorders>
            <w:vAlign w:val="center"/>
            <w:hideMark/>
          </w:tcPr>
          <w:p w14:paraId="711A02AC" w14:textId="77777777" w:rsidR="00524601" w:rsidRDefault="00524601">
            <w:pPr>
              <w:tabs>
                <w:tab w:val="left" w:pos="1304"/>
              </w:tabs>
              <w:jc w:val="center"/>
              <w:rPr>
                <w:rFonts w:eastAsia="Calibri"/>
                <w:szCs w:val="22"/>
              </w:rPr>
            </w:pPr>
            <w:r>
              <w:t>mg veterinærlægemiddel/kg legemsvægt/dag</w:t>
            </w:r>
          </w:p>
        </w:tc>
        <w:tc>
          <w:tcPr>
            <w:tcW w:w="1417" w:type="dxa"/>
            <w:vMerge w:val="restart"/>
            <w:tcBorders>
              <w:top w:val="nil"/>
              <w:left w:val="nil"/>
              <w:bottom w:val="single" w:sz="4" w:space="0" w:color="auto"/>
              <w:right w:val="nil"/>
            </w:tcBorders>
            <w:vAlign w:val="center"/>
            <w:hideMark/>
          </w:tcPr>
          <w:p w14:paraId="0DE57BAB" w14:textId="77777777" w:rsidR="00524601" w:rsidRDefault="00524601">
            <w:pPr>
              <w:tabs>
                <w:tab w:val="left" w:pos="1304"/>
              </w:tabs>
              <w:jc w:val="center"/>
              <w:rPr>
                <w:rFonts w:eastAsia="Calibri"/>
                <w:szCs w:val="22"/>
              </w:rPr>
            </w:pPr>
            <w:r>
              <w:t>X</w:t>
            </w:r>
          </w:p>
        </w:tc>
        <w:tc>
          <w:tcPr>
            <w:tcW w:w="2048" w:type="dxa"/>
            <w:vMerge w:val="restart"/>
            <w:tcBorders>
              <w:top w:val="nil"/>
              <w:left w:val="nil"/>
              <w:bottom w:val="single" w:sz="4" w:space="0" w:color="auto"/>
              <w:right w:val="nil"/>
            </w:tcBorders>
            <w:vAlign w:val="center"/>
            <w:hideMark/>
          </w:tcPr>
          <w:p w14:paraId="37C61A46" w14:textId="77777777" w:rsidR="00524601" w:rsidRDefault="00524601">
            <w:pPr>
              <w:tabs>
                <w:tab w:val="left" w:pos="1304"/>
              </w:tabs>
              <w:jc w:val="center"/>
              <w:rPr>
                <w:rFonts w:eastAsia="Calibri"/>
                <w:szCs w:val="22"/>
              </w:rPr>
            </w:pPr>
            <w:r>
              <w:t>gennemsnitlig legemsvægt (kg) for dyr, der skal behandles</w:t>
            </w:r>
          </w:p>
        </w:tc>
        <w:tc>
          <w:tcPr>
            <w:tcW w:w="3729" w:type="dxa"/>
            <w:gridSpan w:val="2"/>
            <w:vAlign w:val="center"/>
          </w:tcPr>
          <w:p w14:paraId="45EAD063" w14:textId="77777777" w:rsidR="00524601" w:rsidRDefault="00524601">
            <w:pPr>
              <w:tabs>
                <w:tab w:val="left" w:pos="1304"/>
              </w:tabs>
              <w:jc w:val="center"/>
              <w:rPr>
                <w:rFonts w:eastAsia="Calibri"/>
                <w:szCs w:val="22"/>
              </w:rPr>
            </w:pPr>
          </w:p>
          <w:p w14:paraId="5C494173" w14:textId="77777777" w:rsidR="00524601" w:rsidRDefault="00524601">
            <w:pPr>
              <w:tabs>
                <w:tab w:val="left" w:pos="1304"/>
              </w:tabs>
              <w:rPr>
                <w:rFonts w:eastAsia="Calibri"/>
                <w:szCs w:val="22"/>
              </w:rPr>
            </w:pPr>
          </w:p>
        </w:tc>
      </w:tr>
      <w:tr w:rsidR="00524601" w14:paraId="5AE416EA" w14:textId="77777777" w:rsidTr="00524601">
        <w:trPr>
          <w:trHeight w:val="382"/>
        </w:trPr>
        <w:tc>
          <w:tcPr>
            <w:tcW w:w="0" w:type="auto"/>
            <w:vMerge/>
            <w:tcBorders>
              <w:top w:val="nil"/>
              <w:left w:val="nil"/>
              <w:bottom w:val="single" w:sz="4" w:space="0" w:color="auto"/>
              <w:right w:val="nil"/>
            </w:tcBorders>
            <w:vAlign w:val="center"/>
            <w:hideMark/>
          </w:tcPr>
          <w:p w14:paraId="7A31D535" w14:textId="77777777" w:rsidR="00524601" w:rsidRDefault="00524601">
            <w:pPr>
              <w:rPr>
                <w:rFonts w:eastAsia="Calibri"/>
                <w:sz w:val="22"/>
                <w:szCs w:val="22"/>
              </w:rPr>
            </w:pPr>
          </w:p>
        </w:tc>
        <w:tc>
          <w:tcPr>
            <w:tcW w:w="0" w:type="auto"/>
            <w:vMerge/>
            <w:tcBorders>
              <w:top w:val="nil"/>
              <w:left w:val="nil"/>
              <w:bottom w:val="single" w:sz="4" w:space="0" w:color="auto"/>
              <w:right w:val="nil"/>
            </w:tcBorders>
            <w:vAlign w:val="center"/>
            <w:hideMark/>
          </w:tcPr>
          <w:p w14:paraId="64CD4F15" w14:textId="77777777" w:rsidR="00524601" w:rsidRDefault="00524601">
            <w:pPr>
              <w:rPr>
                <w:rFonts w:eastAsia="Calibri"/>
                <w:sz w:val="22"/>
                <w:szCs w:val="22"/>
              </w:rPr>
            </w:pPr>
          </w:p>
        </w:tc>
        <w:tc>
          <w:tcPr>
            <w:tcW w:w="0" w:type="auto"/>
            <w:vMerge/>
            <w:tcBorders>
              <w:top w:val="nil"/>
              <w:left w:val="nil"/>
              <w:bottom w:val="single" w:sz="4" w:space="0" w:color="auto"/>
              <w:right w:val="nil"/>
            </w:tcBorders>
            <w:vAlign w:val="center"/>
            <w:hideMark/>
          </w:tcPr>
          <w:p w14:paraId="335FD589" w14:textId="77777777" w:rsidR="00524601" w:rsidRDefault="00524601">
            <w:pPr>
              <w:rPr>
                <w:rFonts w:eastAsia="Calibri"/>
                <w:sz w:val="22"/>
                <w:szCs w:val="22"/>
              </w:rPr>
            </w:pPr>
          </w:p>
        </w:tc>
        <w:tc>
          <w:tcPr>
            <w:tcW w:w="621" w:type="dxa"/>
            <w:vMerge w:val="restart"/>
            <w:vAlign w:val="center"/>
            <w:hideMark/>
          </w:tcPr>
          <w:p w14:paraId="7E8FBABD" w14:textId="77777777" w:rsidR="00524601" w:rsidRDefault="00524601">
            <w:pPr>
              <w:jc w:val="center"/>
              <w:rPr>
                <w:rFonts w:eastAsia="Calibri"/>
                <w:szCs w:val="22"/>
              </w:rPr>
            </w:pPr>
            <w:r>
              <w:t>=</w:t>
            </w:r>
          </w:p>
        </w:tc>
        <w:tc>
          <w:tcPr>
            <w:tcW w:w="3108" w:type="dxa"/>
            <w:vMerge w:val="restart"/>
            <w:vAlign w:val="center"/>
            <w:hideMark/>
          </w:tcPr>
          <w:p w14:paraId="6AFBD9EC" w14:textId="77777777" w:rsidR="00524601" w:rsidRDefault="00524601">
            <w:pPr>
              <w:jc w:val="center"/>
              <w:rPr>
                <w:rFonts w:eastAsia="Calibri"/>
                <w:szCs w:val="22"/>
              </w:rPr>
            </w:pPr>
            <w:r>
              <w:t xml:space="preserve">mg </w:t>
            </w:r>
            <w:r>
              <w:rPr>
                <w:color w:val="000000"/>
              </w:rPr>
              <w:t>veterinærlægemiddel</w:t>
            </w:r>
            <w:r>
              <w:t xml:space="preserve"> pr. liter drikkevand/mælkeerstatning</w:t>
            </w:r>
          </w:p>
        </w:tc>
      </w:tr>
      <w:tr w:rsidR="00524601" w14:paraId="4F7220D5" w14:textId="77777777" w:rsidTr="00524601">
        <w:trPr>
          <w:trHeight w:val="253"/>
        </w:trPr>
        <w:tc>
          <w:tcPr>
            <w:tcW w:w="5558" w:type="dxa"/>
            <w:gridSpan w:val="3"/>
            <w:tcBorders>
              <w:top w:val="single" w:sz="4" w:space="0" w:color="auto"/>
              <w:left w:val="nil"/>
              <w:bottom w:val="nil"/>
              <w:right w:val="nil"/>
            </w:tcBorders>
            <w:vAlign w:val="center"/>
            <w:hideMark/>
          </w:tcPr>
          <w:p w14:paraId="7B4FE34D" w14:textId="77777777" w:rsidR="00524601" w:rsidRDefault="00524601">
            <w:pPr>
              <w:jc w:val="center"/>
              <w:rPr>
                <w:rFonts w:eastAsia="Calibri"/>
                <w:szCs w:val="22"/>
              </w:rPr>
            </w:pPr>
            <w:r>
              <w:t>gennemsnitligt dagligt vandindtag (l/dyr)</w:t>
            </w:r>
          </w:p>
        </w:tc>
        <w:tc>
          <w:tcPr>
            <w:tcW w:w="0" w:type="auto"/>
            <w:vMerge/>
            <w:vAlign w:val="center"/>
            <w:hideMark/>
          </w:tcPr>
          <w:p w14:paraId="42CFE813" w14:textId="77777777" w:rsidR="00524601" w:rsidRDefault="00524601">
            <w:pPr>
              <w:rPr>
                <w:rFonts w:eastAsia="Calibri"/>
                <w:sz w:val="22"/>
                <w:szCs w:val="22"/>
              </w:rPr>
            </w:pPr>
          </w:p>
        </w:tc>
        <w:tc>
          <w:tcPr>
            <w:tcW w:w="0" w:type="auto"/>
            <w:vMerge/>
            <w:vAlign w:val="center"/>
            <w:hideMark/>
          </w:tcPr>
          <w:p w14:paraId="3D06F858" w14:textId="77777777" w:rsidR="00524601" w:rsidRDefault="00524601">
            <w:pPr>
              <w:rPr>
                <w:rFonts w:eastAsia="Calibri"/>
                <w:sz w:val="22"/>
                <w:szCs w:val="22"/>
              </w:rPr>
            </w:pPr>
          </w:p>
        </w:tc>
      </w:tr>
    </w:tbl>
    <w:p w14:paraId="6862758D" w14:textId="77777777" w:rsidR="00524601" w:rsidRPr="00524601" w:rsidRDefault="00524601" w:rsidP="00524601">
      <w:pPr>
        <w:tabs>
          <w:tab w:val="left" w:pos="1304"/>
        </w:tabs>
        <w:ind w:left="851"/>
        <w:rPr>
          <w:sz w:val="24"/>
          <w:szCs w:val="24"/>
        </w:rPr>
      </w:pPr>
    </w:p>
    <w:p w14:paraId="24448AD3" w14:textId="77777777" w:rsidR="00524601" w:rsidRPr="00524601" w:rsidRDefault="00524601" w:rsidP="00524601">
      <w:pPr>
        <w:tabs>
          <w:tab w:val="left" w:pos="1304"/>
        </w:tabs>
        <w:autoSpaceDE w:val="0"/>
        <w:autoSpaceDN w:val="0"/>
        <w:adjustRightInd w:val="0"/>
        <w:ind w:left="851"/>
        <w:rPr>
          <w:rFonts w:eastAsia="Calibri"/>
          <w:sz w:val="24"/>
          <w:szCs w:val="24"/>
        </w:rPr>
      </w:pPr>
      <w:r w:rsidRPr="00524601">
        <w:rPr>
          <w:sz w:val="24"/>
          <w:szCs w:val="24"/>
        </w:rPr>
        <w:t xml:space="preserve">Tilbered opløsningen med friskt vand fra vandhanen (eller mælkeerstatning til kvæg (præruminante kalve)) umiddelbart før brug. Mælkeerstatningen skal tilberedes inden tilsætning af </w:t>
      </w:r>
      <w:r w:rsidRPr="00524601">
        <w:rPr>
          <w:color w:val="000000"/>
          <w:sz w:val="24"/>
          <w:szCs w:val="24"/>
        </w:rPr>
        <w:t>veterinærlægemidlet</w:t>
      </w:r>
      <w:r w:rsidRPr="00524601">
        <w:rPr>
          <w:sz w:val="24"/>
          <w:szCs w:val="24"/>
        </w:rPr>
        <w:t xml:space="preserve">. Opløsningen skal omrøres kraftigt i 5 minutter. Medicineret mælkeerstatning skal indtages straks efter tilberedning. Vandindtagelse skal overvåges hyppigt under medicineringen. </w:t>
      </w:r>
      <w:r w:rsidRPr="00524601">
        <w:rPr>
          <w:color w:val="000000"/>
          <w:sz w:val="24"/>
          <w:szCs w:val="24"/>
        </w:rPr>
        <w:t xml:space="preserve">Det medicinerede drikkevand skal være den eneste form for drikkevand under behandlingens varighed. Eventuelt medicineret drikkevand, der ikke indtages inden for 24 timer, skal kasseres. </w:t>
      </w:r>
      <w:r w:rsidRPr="00524601">
        <w:rPr>
          <w:sz w:val="24"/>
          <w:szCs w:val="24"/>
        </w:rPr>
        <w:t>Når medicineringsperioden er slut, skal vandtilførselssystemet renses på korrekt vis for at undgå indtagelse af subterapeutiske mængder af det aktive stof.</w:t>
      </w:r>
    </w:p>
    <w:p w14:paraId="748E8A01" w14:textId="77777777" w:rsidR="00524601" w:rsidRPr="00524601" w:rsidRDefault="00524601" w:rsidP="00524601">
      <w:pPr>
        <w:tabs>
          <w:tab w:val="left" w:pos="1304"/>
        </w:tabs>
        <w:autoSpaceDE w:val="0"/>
        <w:autoSpaceDN w:val="0"/>
        <w:adjustRightInd w:val="0"/>
        <w:ind w:left="851"/>
        <w:rPr>
          <w:rFonts w:eastAsia="Calibri"/>
          <w:sz w:val="24"/>
          <w:szCs w:val="24"/>
        </w:rPr>
      </w:pPr>
    </w:p>
    <w:p w14:paraId="1B5141E6" w14:textId="77777777" w:rsidR="00524601" w:rsidRPr="00524601" w:rsidRDefault="00524601" w:rsidP="00524601">
      <w:pPr>
        <w:tabs>
          <w:tab w:val="left" w:pos="1304"/>
        </w:tabs>
        <w:autoSpaceDE w:val="0"/>
        <w:autoSpaceDN w:val="0"/>
        <w:adjustRightInd w:val="0"/>
        <w:ind w:left="851"/>
        <w:rPr>
          <w:rFonts w:eastAsia="Calibri"/>
          <w:sz w:val="24"/>
          <w:szCs w:val="24"/>
        </w:rPr>
      </w:pPr>
      <w:r w:rsidRPr="00524601">
        <w:rPr>
          <w:sz w:val="24"/>
          <w:szCs w:val="24"/>
        </w:rPr>
        <w:t>Veterinærlægemidlets maksimale opløselighed er 1 g/l. Veterinærlægemidlet skal opløses under omrøring i mindst 2 minutter. Se efter, at alt pulver er opløst i opløsningen.</w:t>
      </w:r>
    </w:p>
    <w:p w14:paraId="1759E003" w14:textId="77777777" w:rsidR="00524601" w:rsidRPr="00524601" w:rsidRDefault="00524601" w:rsidP="00524601">
      <w:pPr>
        <w:tabs>
          <w:tab w:val="left" w:pos="1304"/>
        </w:tabs>
        <w:autoSpaceDE w:val="0"/>
        <w:autoSpaceDN w:val="0"/>
        <w:adjustRightInd w:val="0"/>
        <w:ind w:left="851"/>
        <w:rPr>
          <w:sz w:val="24"/>
          <w:szCs w:val="24"/>
        </w:rPr>
      </w:pPr>
      <w:r w:rsidRPr="00524601">
        <w:rPr>
          <w:sz w:val="24"/>
          <w:szCs w:val="24"/>
        </w:rPr>
        <w:t>Ved tilberedning af stamopløsninger og ved brug af doseringspumpe skal der udvises forsigtighed for ikke at overstige den maksimale opløselighed. Juster flowhastigheden på doseringspumpen i overensstemmelse med stamopløsningens koncentration og vandindtag for de dyr, der skal behandles.</w:t>
      </w:r>
    </w:p>
    <w:p w14:paraId="6C4BCFF8" w14:textId="77777777" w:rsidR="008203A8" w:rsidRPr="00524601" w:rsidRDefault="008203A8" w:rsidP="00524601">
      <w:pPr>
        <w:tabs>
          <w:tab w:val="left" w:pos="851"/>
        </w:tabs>
        <w:ind w:left="851"/>
        <w:rPr>
          <w:sz w:val="24"/>
          <w:szCs w:val="24"/>
        </w:rPr>
      </w:pPr>
    </w:p>
    <w:p w14:paraId="3376440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7E40664F" w14:textId="77777777" w:rsidR="007565B3" w:rsidRPr="007565B3" w:rsidRDefault="007565B3" w:rsidP="007565B3">
      <w:pPr>
        <w:tabs>
          <w:tab w:val="left" w:pos="851"/>
        </w:tabs>
        <w:ind w:left="851"/>
        <w:rPr>
          <w:sz w:val="24"/>
          <w:szCs w:val="24"/>
        </w:rPr>
      </w:pPr>
      <w:r w:rsidRPr="007565B3">
        <w:rPr>
          <w:sz w:val="24"/>
          <w:szCs w:val="24"/>
        </w:rPr>
        <w:t>Overdosering af sulfonamider forårsager nyretoksicitet. Hvis dette sker, skal administration af veterinærlægemidlet seponeres.</w:t>
      </w:r>
    </w:p>
    <w:p w14:paraId="0DAD4423" w14:textId="77777777" w:rsidR="008203A8" w:rsidRDefault="008203A8" w:rsidP="008203A8">
      <w:pPr>
        <w:tabs>
          <w:tab w:val="left" w:pos="851"/>
        </w:tabs>
        <w:ind w:left="851"/>
        <w:rPr>
          <w:sz w:val="24"/>
          <w:szCs w:val="24"/>
        </w:rPr>
      </w:pPr>
    </w:p>
    <w:p w14:paraId="4B1BAD89"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7FDD2ACC" w14:textId="0F108096" w:rsidR="008203A8" w:rsidRDefault="007565B3" w:rsidP="008203A8">
      <w:pPr>
        <w:tabs>
          <w:tab w:val="left" w:pos="851"/>
        </w:tabs>
        <w:ind w:left="851"/>
        <w:rPr>
          <w:sz w:val="24"/>
          <w:szCs w:val="24"/>
        </w:rPr>
      </w:pPr>
      <w:r>
        <w:rPr>
          <w:sz w:val="24"/>
          <w:szCs w:val="24"/>
        </w:rPr>
        <w:t>Ikke relevant.</w:t>
      </w:r>
    </w:p>
    <w:p w14:paraId="62BFBFA1" w14:textId="77777777" w:rsidR="008203A8" w:rsidRPr="00406EE7" w:rsidRDefault="008203A8" w:rsidP="008203A8">
      <w:pPr>
        <w:tabs>
          <w:tab w:val="left" w:pos="851"/>
        </w:tabs>
        <w:ind w:left="851"/>
        <w:rPr>
          <w:sz w:val="24"/>
          <w:szCs w:val="24"/>
        </w:rPr>
      </w:pPr>
    </w:p>
    <w:p w14:paraId="71277680"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0CF1893D" w14:textId="77777777" w:rsidR="007565B3" w:rsidRDefault="007565B3" w:rsidP="007565B3">
      <w:pPr>
        <w:pStyle w:val="Sidehoved"/>
        <w:ind w:left="851"/>
        <w:rPr>
          <w:szCs w:val="24"/>
          <w:u w:val="single"/>
        </w:rPr>
      </w:pPr>
    </w:p>
    <w:p w14:paraId="768255EF" w14:textId="5CE30988" w:rsidR="007565B3" w:rsidRPr="007565B3" w:rsidRDefault="007565B3" w:rsidP="007565B3">
      <w:pPr>
        <w:pStyle w:val="Sidehoved"/>
        <w:ind w:left="851"/>
        <w:rPr>
          <w:szCs w:val="24"/>
          <w:u w:val="single"/>
        </w:rPr>
      </w:pPr>
      <w:r w:rsidRPr="007565B3">
        <w:rPr>
          <w:szCs w:val="24"/>
          <w:u w:val="single"/>
        </w:rPr>
        <w:t>Kvæg (præruminante kalve)</w:t>
      </w:r>
    </w:p>
    <w:p w14:paraId="0127AB4A" w14:textId="77777777" w:rsidR="007565B3" w:rsidRPr="007565B3" w:rsidRDefault="007565B3" w:rsidP="007565B3">
      <w:pPr>
        <w:pStyle w:val="Sidehoved"/>
        <w:ind w:left="851"/>
        <w:rPr>
          <w:szCs w:val="24"/>
        </w:rPr>
      </w:pPr>
      <w:r w:rsidRPr="007565B3">
        <w:rPr>
          <w:szCs w:val="24"/>
        </w:rPr>
        <w:t>Slagtning: 12 dage.</w:t>
      </w:r>
    </w:p>
    <w:p w14:paraId="69E2D3ED" w14:textId="77777777" w:rsidR="007565B3" w:rsidRPr="007565B3" w:rsidRDefault="007565B3" w:rsidP="007565B3">
      <w:pPr>
        <w:pStyle w:val="Sidehoved"/>
        <w:ind w:left="851"/>
        <w:rPr>
          <w:szCs w:val="24"/>
        </w:rPr>
      </w:pPr>
    </w:p>
    <w:p w14:paraId="3DE92515" w14:textId="77777777" w:rsidR="007565B3" w:rsidRPr="007565B3" w:rsidRDefault="007565B3" w:rsidP="007565B3">
      <w:pPr>
        <w:pStyle w:val="Sidehoved"/>
        <w:ind w:left="851"/>
        <w:rPr>
          <w:szCs w:val="24"/>
        </w:rPr>
      </w:pPr>
      <w:r w:rsidRPr="007565B3">
        <w:rPr>
          <w:szCs w:val="24"/>
          <w:u w:val="single"/>
        </w:rPr>
        <w:t>Får (præruminante lam)</w:t>
      </w:r>
    </w:p>
    <w:p w14:paraId="344070D8" w14:textId="77777777" w:rsidR="007565B3" w:rsidRPr="007565B3" w:rsidRDefault="007565B3" w:rsidP="007565B3">
      <w:pPr>
        <w:pStyle w:val="Sidehoved"/>
        <w:ind w:left="851"/>
        <w:rPr>
          <w:szCs w:val="24"/>
        </w:rPr>
      </w:pPr>
      <w:r w:rsidRPr="007565B3">
        <w:rPr>
          <w:szCs w:val="24"/>
        </w:rPr>
        <w:t>Slagtning: 12 dage.</w:t>
      </w:r>
    </w:p>
    <w:p w14:paraId="2735DC9F" w14:textId="77777777" w:rsidR="007565B3" w:rsidRPr="007565B3" w:rsidRDefault="007565B3" w:rsidP="007565B3">
      <w:pPr>
        <w:pStyle w:val="Sidehoved"/>
        <w:ind w:left="851"/>
        <w:rPr>
          <w:szCs w:val="24"/>
        </w:rPr>
      </w:pPr>
    </w:p>
    <w:p w14:paraId="585D848B" w14:textId="77777777" w:rsidR="007565B3" w:rsidRPr="007565B3" w:rsidRDefault="007565B3" w:rsidP="007565B3">
      <w:pPr>
        <w:pStyle w:val="Sidehoved"/>
        <w:ind w:left="851"/>
        <w:rPr>
          <w:szCs w:val="24"/>
        </w:rPr>
      </w:pPr>
      <w:r w:rsidRPr="007565B3">
        <w:rPr>
          <w:szCs w:val="24"/>
          <w:u w:val="single"/>
        </w:rPr>
        <w:t>Svin</w:t>
      </w:r>
    </w:p>
    <w:p w14:paraId="16B2BEF6" w14:textId="77777777" w:rsidR="007565B3" w:rsidRPr="007565B3" w:rsidRDefault="007565B3" w:rsidP="007565B3">
      <w:pPr>
        <w:pStyle w:val="Sidehoved"/>
        <w:ind w:left="851"/>
        <w:rPr>
          <w:szCs w:val="24"/>
        </w:rPr>
      </w:pPr>
      <w:r w:rsidRPr="007565B3">
        <w:rPr>
          <w:szCs w:val="24"/>
        </w:rPr>
        <w:t>Slagtning: 12 dage.</w:t>
      </w:r>
    </w:p>
    <w:p w14:paraId="62549D83" w14:textId="77777777" w:rsidR="007565B3" w:rsidRPr="007565B3" w:rsidRDefault="007565B3" w:rsidP="007565B3">
      <w:pPr>
        <w:pStyle w:val="Sidehoved"/>
        <w:ind w:left="851"/>
        <w:rPr>
          <w:szCs w:val="24"/>
        </w:rPr>
      </w:pPr>
    </w:p>
    <w:p w14:paraId="632B82A1" w14:textId="77777777" w:rsidR="007565B3" w:rsidRPr="007565B3" w:rsidRDefault="007565B3" w:rsidP="007565B3">
      <w:pPr>
        <w:pStyle w:val="Sidehoved"/>
        <w:ind w:left="851"/>
        <w:rPr>
          <w:szCs w:val="24"/>
        </w:rPr>
      </w:pPr>
      <w:r w:rsidRPr="007565B3">
        <w:rPr>
          <w:szCs w:val="24"/>
          <w:u w:val="single"/>
        </w:rPr>
        <w:t>Høns</w:t>
      </w:r>
    </w:p>
    <w:p w14:paraId="173F44BD" w14:textId="77777777" w:rsidR="007565B3" w:rsidRPr="007565B3" w:rsidRDefault="007565B3" w:rsidP="007565B3">
      <w:pPr>
        <w:pStyle w:val="Sidehoved"/>
        <w:ind w:left="851"/>
        <w:rPr>
          <w:szCs w:val="24"/>
        </w:rPr>
      </w:pPr>
      <w:r w:rsidRPr="007565B3">
        <w:rPr>
          <w:szCs w:val="24"/>
        </w:rPr>
        <w:t>Slagtning: 12 dage.</w:t>
      </w:r>
    </w:p>
    <w:p w14:paraId="713CCFDD" w14:textId="77777777" w:rsidR="007565B3" w:rsidRPr="007565B3" w:rsidRDefault="007565B3" w:rsidP="007565B3">
      <w:pPr>
        <w:pStyle w:val="Sidehoved"/>
        <w:ind w:left="851"/>
        <w:rPr>
          <w:szCs w:val="24"/>
        </w:rPr>
      </w:pPr>
      <w:r w:rsidRPr="007565B3">
        <w:rPr>
          <w:szCs w:val="24"/>
        </w:rPr>
        <w:t>Må ikke anvendes til fugle, hvis æg er bestemt til menneskeføde.</w:t>
      </w:r>
    </w:p>
    <w:p w14:paraId="3FBAD33D" w14:textId="77777777" w:rsidR="008203A8" w:rsidRPr="00406EE7" w:rsidRDefault="008203A8" w:rsidP="008203A8">
      <w:pPr>
        <w:pStyle w:val="Sidehoved"/>
        <w:tabs>
          <w:tab w:val="clear" w:pos="4819"/>
        </w:tabs>
        <w:ind w:left="851"/>
        <w:rPr>
          <w:szCs w:val="24"/>
        </w:rPr>
      </w:pPr>
    </w:p>
    <w:p w14:paraId="3227BBC5" w14:textId="77777777" w:rsidR="008203A8" w:rsidRPr="00406EE7" w:rsidRDefault="008203A8" w:rsidP="008203A8">
      <w:pPr>
        <w:tabs>
          <w:tab w:val="left" w:pos="851"/>
        </w:tabs>
        <w:ind w:left="851"/>
        <w:rPr>
          <w:sz w:val="24"/>
          <w:szCs w:val="24"/>
        </w:rPr>
      </w:pPr>
    </w:p>
    <w:p w14:paraId="1C2BCC0B" w14:textId="76C88D29" w:rsidR="008203A8" w:rsidRPr="007E61DF" w:rsidRDefault="008203A8" w:rsidP="008203A8">
      <w:pPr>
        <w:ind w:left="851" w:hanging="851"/>
        <w:rPr>
          <w:b/>
          <w:sz w:val="24"/>
          <w:szCs w:val="24"/>
        </w:rPr>
      </w:pPr>
      <w:r w:rsidRPr="007E61DF">
        <w:rPr>
          <w:b/>
          <w:sz w:val="24"/>
          <w:szCs w:val="24"/>
        </w:rPr>
        <w:t>4.</w:t>
      </w:r>
      <w:r w:rsidRPr="007E61DF">
        <w:rPr>
          <w:b/>
          <w:sz w:val="24"/>
          <w:szCs w:val="24"/>
        </w:rPr>
        <w:tab/>
        <w:t>FARMAKOLOGISKE OPLYSNINGER</w:t>
      </w:r>
    </w:p>
    <w:p w14:paraId="573F7CD0" w14:textId="77777777" w:rsidR="008203A8" w:rsidRPr="007E61DF" w:rsidRDefault="008203A8" w:rsidP="008203A8">
      <w:pPr>
        <w:ind w:left="851"/>
        <w:rPr>
          <w:sz w:val="24"/>
          <w:szCs w:val="24"/>
        </w:rPr>
      </w:pPr>
    </w:p>
    <w:p w14:paraId="39A427F5" w14:textId="77777777" w:rsidR="008203A8" w:rsidRPr="007E61DF" w:rsidRDefault="008203A8" w:rsidP="008203A8">
      <w:pPr>
        <w:ind w:left="851" w:hanging="851"/>
        <w:rPr>
          <w:b/>
          <w:sz w:val="24"/>
          <w:szCs w:val="24"/>
        </w:rPr>
      </w:pPr>
      <w:r w:rsidRPr="007E61DF">
        <w:rPr>
          <w:b/>
          <w:sz w:val="24"/>
          <w:szCs w:val="24"/>
        </w:rPr>
        <w:t>4.1</w:t>
      </w:r>
      <w:r w:rsidRPr="007E61DF">
        <w:rPr>
          <w:b/>
          <w:sz w:val="24"/>
          <w:szCs w:val="24"/>
        </w:rPr>
        <w:tab/>
        <w:t>ATCvet-kode</w:t>
      </w:r>
    </w:p>
    <w:p w14:paraId="6022C2D5" w14:textId="6AACAE99" w:rsidR="008203A8" w:rsidRDefault="007E61DF" w:rsidP="008203A8">
      <w:pPr>
        <w:ind w:left="851"/>
        <w:rPr>
          <w:color w:val="000000"/>
        </w:rPr>
      </w:pPr>
      <w:r>
        <w:rPr>
          <w:color w:val="000000"/>
        </w:rPr>
        <w:t>QJ01EW10</w:t>
      </w:r>
    </w:p>
    <w:p w14:paraId="7DB312B2" w14:textId="77777777" w:rsidR="007E61DF" w:rsidRPr="007E61DF" w:rsidRDefault="007E61DF" w:rsidP="008203A8">
      <w:pPr>
        <w:ind w:left="851"/>
        <w:rPr>
          <w:sz w:val="24"/>
          <w:szCs w:val="24"/>
        </w:rPr>
      </w:pPr>
    </w:p>
    <w:p w14:paraId="309957A5" w14:textId="77777777" w:rsidR="008203A8" w:rsidRPr="007E61DF" w:rsidRDefault="008203A8" w:rsidP="008203A8">
      <w:pPr>
        <w:tabs>
          <w:tab w:val="left" w:pos="851"/>
        </w:tabs>
        <w:ind w:left="851" w:hanging="851"/>
        <w:rPr>
          <w:b/>
          <w:sz w:val="24"/>
          <w:szCs w:val="24"/>
        </w:rPr>
      </w:pPr>
      <w:r w:rsidRPr="007E61DF">
        <w:rPr>
          <w:b/>
          <w:sz w:val="24"/>
          <w:szCs w:val="24"/>
        </w:rPr>
        <w:t>4.2</w:t>
      </w:r>
      <w:r w:rsidRPr="007E61DF">
        <w:rPr>
          <w:b/>
          <w:sz w:val="24"/>
          <w:szCs w:val="24"/>
        </w:rPr>
        <w:tab/>
        <w:t>Farmakodynamiske oplysninger</w:t>
      </w:r>
    </w:p>
    <w:p w14:paraId="09E2E152" w14:textId="77777777" w:rsidR="007E61DF" w:rsidRPr="007E61DF" w:rsidRDefault="007E61DF" w:rsidP="007E61DF">
      <w:pPr>
        <w:tabs>
          <w:tab w:val="left" w:pos="851"/>
        </w:tabs>
        <w:ind w:left="851"/>
        <w:rPr>
          <w:sz w:val="24"/>
          <w:szCs w:val="24"/>
        </w:rPr>
      </w:pPr>
      <w:r w:rsidRPr="007E61DF">
        <w:rPr>
          <w:sz w:val="24"/>
          <w:szCs w:val="24"/>
        </w:rPr>
        <w:t xml:space="preserve">Trimethoprim og sulfadiazin har bredspektret aktivitet mod grampositive og gramnegative bakterier, inklusive </w:t>
      </w:r>
      <w:r w:rsidRPr="007E61DF">
        <w:rPr>
          <w:i/>
          <w:sz w:val="24"/>
          <w:szCs w:val="24"/>
        </w:rPr>
        <w:t xml:space="preserve">Streptococcus suis, Pasteurella multocida, Actinobacillus pleuropneumoniae, Mannheimia haemolytica </w:t>
      </w:r>
      <w:r w:rsidRPr="007E61DF">
        <w:rPr>
          <w:sz w:val="24"/>
          <w:szCs w:val="24"/>
        </w:rPr>
        <w:t xml:space="preserve">og </w:t>
      </w:r>
      <w:r w:rsidRPr="007E61DF">
        <w:rPr>
          <w:i/>
          <w:sz w:val="24"/>
          <w:szCs w:val="24"/>
        </w:rPr>
        <w:t>E. coli in vitro</w:t>
      </w:r>
      <w:r w:rsidRPr="007E61DF">
        <w:rPr>
          <w:sz w:val="24"/>
          <w:szCs w:val="24"/>
        </w:rPr>
        <w:t>. Sulfonamider blokerer omdannelse af para-aminobenzoesyre til dihydrofolsyre. Deres virkning er bakteriehæmmende.</w:t>
      </w:r>
    </w:p>
    <w:p w14:paraId="5FEAC700" w14:textId="77777777" w:rsidR="007E61DF" w:rsidRPr="007E61DF" w:rsidRDefault="007E61DF" w:rsidP="007E61DF">
      <w:pPr>
        <w:tabs>
          <w:tab w:val="left" w:pos="851"/>
        </w:tabs>
        <w:ind w:left="851"/>
        <w:rPr>
          <w:sz w:val="24"/>
          <w:szCs w:val="24"/>
        </w:rPr>
      </w:pPr>
    </w:p>
    <w:p w14:paraId="4CE13E64" w14:textId="77777777" w:rsidR="007E61DF" w:rsidRPr="007E61DF" w:rsidRDefault="007E61DF" w:rsidP="007E61DF">
      <w:pPr>
        <w:tabs>
          <w:tab w:val="left" w:pos="851"/>
        </w:tabs>
        <w:ind w:left="851"/>
        <w:rPr>
          <w:sz w:val="24"/>
          <w:szCs w:val="24"/>
        </w:rPr>
      </w:pPr>
      <w:r w:rsidRPr="007E61DF">
        <w:rPr>
          <w:sz w:val="24"/>
          <w:szCs w:val="24"/>
        </w:rPr>
        <w:t>Trimethoprim hæmmer dihydrofolsyrereduktase, som omdanner dihydrofolsyre til tetrahydrofolsyre.</w:t>
      </w:r>
    </w:p>
    <w:p w14:paraId="782351AD" w14:textId="77777777" w:rsidR="007E61DF" w:rsidRPr="007E61DF" w:rsidRDefault="007E61DF" w:rsidP="007E61DF">
      <w:pPr>
        <w:tabs>
          <w:tab w:val="left" w:pos="851"/>
        </w:tabs>
        <w:ind w:left="851"/>
        <w:rPr>
          <w:sz w:val="24"/>
          <w:szCs w:val="24"/>
        </w:rPr>
      </w:pPr>
    </w:p>
    <w:p w14:paraId="7E014165" w14:textId="77777777" w:rsidR="007E61DF" w:rsidRPr="007E61DF" w:rsidRDefault="007E61DF" w:rsidP="007E61DF">
      <w:pPr>
        <w:tabs>
          <w:tab w:val="left" w:pos="851"/>
        </w:tabs>
        <w:ind w:left="851"/>
        <w:rPr>
          <w:sz w:val="24"/>
          <w:szCs w:val="24"/>
        </w:rPr>
      </w:pPr>
      <w:r w:rsidRPr="007E61DF">
        <w:rPr>
          <w:sz w:val="24"/>
          <w:szCs w:val="24"/>
        </w:rPr>
        <w:t>Virkningen af trimethoprim i kombination med sulfonamider er bakteriedræbende. Sulfonamider og trimethoprim forårsager herved en successiv blokering af to enzymer, der spiller en vigtig rolle i bakteriers metabolisme. Deres virkning er synergistisk og tidsafhængig.</w:t>
      </w:r>
    </w:p>
    <w:p w14:paraId="1136C119" w14:textId="77777777" w:rsidR="007E61DF" w:rsidRPr="007E61DF" w:rsidRDefault="007E61DF" w:rsidP="007E61DF">
      <w:pPr>
        <w:tabs>
          <w:tab w:val="left" w:pos="851"/>
        </w:tabs>
        <w:ind w:left="851"/>
        <w:rPr>
          <w:sz w:val="24"/>
          <w:szCs w:val="24"/>
        </w:rPr>
      </w:pPr>
    </w:p>
    <w:p w14:paraId="7C9A83DE" w14:textId="77777777" w:rsidR="007E61DF" w:rsidRPr="007E61DF" w:rsidRDefault="007E61DF" w:rsidP="007E61DF">
      <w:pPr>
        <w:tabs>
          <w:tab w:val="left" w:pos="851"/>
        </w:tabs>
        <w:ind w:left="851"/>
        <w:rPr>
          <w:sz w:val="24"/>
          <w:szCs w:val="24"/>
        </w:rPr>
      </w:pPr>
      <w:r w:rsidRPr="007E61DF">
        <w:rPr>
          <w:sz w:val="24"/>
          <w:szCs w:val="24"/>
        </w:rPr>
        <w:t>Bakterieresistens over for trimethoprim og sulfonamider kan medieres via 5 hovedmekanismer: (1) ændringer i permeabilitetsbarrieren og/eller efflukspumper, (2) naturligt ikke følsomme målenzymer, (3) ændringer i målenzymer, (4) mutationsbetingede ændringer eller rekombinationsændringer i målenzymerne og (5) erhvervet resistens af lægemiddelresistente målenzymer.</w:t>
      </w:r>
    </w:p>
    <w:p w14:paraId="4EC1C6CC" w14:textId="77777777" w:rsidR="007E61DF" w:rsidRPr="007E61DF" w:rsidRDefault="007E61DF" w:rsidP="007E61DF">
      <w:pPr>
        <w:tabs>
          <w:tab w:val="left" w:pos="851"/>
        </w:tabs>
        <w:ind w:left="851"/>
        <w:rPr>
          <w:sz w:val="24"/>
          <w:szCs w:val="24"/>
        </w:rPr>
      </w:pPr>
    </w:p>
    <w:p w14:paraId="7AF4505B" w14:textId="77777777" w:rsidR="007E61DF" w:rsidRPr="007E61DF" w:rsidRDefault="007E61DF" w:rsidP="007E61DF">
      <w:pPr>
        <w:tabs>
          <w:tab w:val="left" w:pos="851"/>
        </w:tabs>
        <w:ind w:left="851"/>
        <w:rPr>
          <w:sz w:val="24"/>
          <w:szCs w:val="24"/>
        </w:rPr>
      </w:pPr>
      <w:r w:rsidRPr="007E61DF">
        <w:rPr>
          <w:sz w:val="24"/>
          <w:szCs w:val="24"/>
        </w:rPr>
        <w:t xml:space="preserve">Nedenfor vises en oversigt over tilgængelige data for følsomhed for </w:t>
      </w:r>
      <w:r w:rsidRPr="007E61DF">
        <w:rPr>
          <w:i/>
          <w:sz w:val="24"/>
          <w:szCs w:val="24"/>
        </w:rPr>
        <w:t xml:space="preserve">E. coli </w:t>
      </w:r>
      <w:r w:rsidRPr="007E61DF">
        <w:rPr>
          <w:sz w:val="24"/>
          <w:szCs w:val="24"/>
        </w:rPr>
        <w:t>fra Vetpath IV (år 2015 og 2016) og fra Resapath-programrapporten fra 2019.</w:t>
      </w:r>
    </w:p>
    <w:p w14:paraId="09BBA182" w14:textId="77777777" w:rsidR="007E61DF" w:rsidRPr="007E61DF" w:rsidRDefault="007E61DF" w:rsidP="007E61DF">
      <w:pPr>
        <w:tabs>
          <w:tab w:val="left" w:pos="851"/>
        </w:tabs>
        <w:ind w:left="851"/>
        <w:rPr>
          <w:sz w:val="24"/>
          <w:szCs w:val="24"/>
        </w:rPr>
      </w:pPr>
    </w:p>
    <w:p w14:paraId="7E2FA1CF" w14:textId="77777777" w:rsidR="007E61DF" w:rsidRPr="007E61DF" w:rsidRDefault="007E61DF" w:rsidP="007E61DF">
      <w:pPr>
        <w:tabs>
          <w:tab w:val="left" w:pos="851"/>
        </w:tabs>
        <w:ind w:left="851"/>
        <w:rPr>
          <w:sz w:val="24"/>
          <w:szCs w:val="24"/>
        </w:rPr>
      </w:pPr>
      <w:r w:rsidRPr="007E61DF">
        <w:rPr>
          <w:sz w:val="24"/>
          <w:szCs w:val="24"/>
        </w:rPr>
        <w:t xml:space="preserve">Data for følsomhed viste høje niveauer af resistens blandt </w:t>
      </w:r>
      <w:r w:rsidRPr="007E61DF">
        <w:rPr>
          <w:i/>
          <w:sz w:val="24"/>
          <w:szCs w:val="24"/>
        </w:rPr>
        <w:t xml:space="preserve">E. coli </w:t>
      </w:r>
      <w:r w:rsidRPr="007E61DF">
        <w:rPr>
          <w:sz w:val="24"/>
          <w:szCs w:val="24"/>
        </w:rPr>
        <w:t>isoleret fra svin (39 % blev klassificeret som følsomme i VetPath IV-dataene – n = 333 – og 51 % i Resapath-dataene – n = 1 834).</w:t>
      </w:r>
    </w:p>
    <w:p w14:paraId="045F7B23" w14:textId="77777777" w:rsidR="007E61DF" w:rsidRPr="007E61DF" w:rsidRDefault="007E61DF" w:rsidP="007E61DF">
      <w:pPr>
        <w:tabs>
          <w:tab w:val="left" w:pos="851"/>
        </w:tabs>
        <w:ind w:left="851"/>
        <w:rPr>
          <w:sz w:val="24"/>
          <w:szCs w:val="24"/>
        </w:rPr>
      </w:pPr>
    </w:p>
    <w:p w14:paraId="5E03A7C8" w14:textId="77777777" w:rsidR="007E61DF" w:rsidRPr="007E61DF" w:rsidRDefault="007E61DF" w:rsidP="007E61DF">
      <w:pPr>
        <w:tabs>
          <w:tab w:val="left" w:pos="851"/>
        </w:tabs>
        <w:ind w:left="851"/>
        <w:rPr>
          <w:sz w:val="24"/>
          <w:szCs w:val="24"/>
        </w:rPr>
      </w:pPr>
      <w:r w:rsidRPr="007E61DF">
        <w:rPr>
          <w:sz w:val="24"/>
          <w:szCs w:val="24"/>
        </w:rPr>
        <w:t>For kvæg (præruminante kalve) viste VetPath IV-dataene (n = 230) følsomhed på 70 %, mens procentdelen af følsomhed i Resapath-programmet for kvæg (præruminante kalve) (n = 4 148) og får (præruminante lam) (n = 334) var hhv. 60 % og 61 %.</w:t>
      </w:r>
    </w:p>
    <w:p w14:paraId="4D489B17" w14:textId="77777777" w:rsidR="007E61DF" w:rsidRPr="007E61DF" w:rsidRDefault="007E61DF" w:rsidP="007E61DF">
      <w:pPr>
        <w:tabs>
          <w:tab w:val="left" w:pos="851"/>
        </w:tabs>
        <w:ind w:left="851"/>
        <w:rPr>
          <w:sz w:val="24"/>
          <w:szCs w:val="24"/>
        </w:rPr>
      </w:pPr>
    </w:p>
    <w:p w14:paraId="7572AFB9" w14:textId="77777777" w:rsidR="007E61DF" w:rsidRPr="007E61DF" w:rsidRDefault="007E61DF" w:rsidP="007E61DF">
      <w:pPr>
        <w:tabs>
          <w:tab w:val="left" w:pos="851"/>
        </w:tabs>
        <w:ind w:left="851"/>
        <w:rPr>
          <w:sz w:val="24"/>
          <w:szCs w:val="24"/>
        </w:rPr>
      </w:pPr>
      <w:r w:rsidRPr="007E61DF">
        <w:rPr>
          <w:sz w:val="24"/>
          <w:szCs w:val="24"/>
        </w:rPr>
        <w:t xml:space="preserve">For kyllinger og kalkuner viste data taget fra VetPath IV-programmet (n = 65) en følsomhed for </w:t>
      </w:r>
      <w:r w:rsidRPr="007E61DF">
        <w:rPr>
          <w:i/>
          <w:sz w:val="24"/>
          <w:szCs w:val="24"/>
        </w:rPr>
        <w:t xml:space="preserve">E. coli </w:t>
      </w:r>
      <w:r w:rsidRPr="007E61DF">
        <w:rPr>
          <w:sz w:val="24"/>
          <w:szCs w:val="24"/>
        </w:rPr>
        <w:t>på 83 %.</w:t>
      </w:r>
    </w:p>
    <w:p w14:paraId="4BCC3B66" w14:textId="77777777" w:rsidR="007E61DF" w:rsidRPr="007E61DF" w:rsidRDefault="007E61DF" w:rsidP="007E61DF">
      <w:pPr>
        <w:tabs>
          <w:tab w:val="left" w:pos="851"/>
        </w:tabs>
        <w:ind w:left="851"/>
        <w:rPr>
          <w:sz w:val="24"/>
          <w:szCs w:val="24"/>
        </w:rPr>
      </w:pPr>
    </w:p>
    <w:p w14:paraId="70E559CB" w14:textId="77777777" w:rsidR="008203A8" w:rsidRPr="007E61DF" w:rsidRDefault="008203A8" w:rsidP="008203A8">
      <w:pPr>
        <w:tabs>
          <w:tab w:val="left" w:pos="851"/>
        </w:tabs>
        <w:ind w:left="851" w:hanging="851"/>
        <w:rPr>
          <w:b/>
          <w:sz w:val="24"/>
          <w:szCs w:val="24"/>
        </w:rPr>
      </w:pPr>
      <w:r w:rsidRPr="007E61DF">
        <w:rPr>
          <w:b/>
          <w:sz w:val="24"/>
          <w:szCs w:val="24"/>
        </w:rPr>
        <w:t>4.3</w:t>
      </w:r>
      <w:r w:rsidRPr="007E61DF">
        <w:rPr>
          <w:b/>
          <w:sz w:val="24"/>
          <w:szCs w:val="24"/>
        </w:rPr>
        <w:tab/>
        <w:t>Farmakokinetiske oplysninger</w:t>
      </w:r>
    </w:p>
    <w:p w14:paraId="3CBA3B73" w14:textId="77777777" w:rsidR="00181B62" w:rsidRPr="00181B62" w:rsidRDefault="00181B62" w:rsidP="00181B62">
      <w:pPr>
        <w:tabs>
          <w:tab w:val="left" w:pos="851"/>
        </w:tabs>
        <w:ind w:left="851"/>
        <w:rPr>
          <w:sz w:val="24"/>
          <w:szCs w:val="24"/>
        </w:rPr>
      </w:pPr>
      <w:r w:rsidRPr="00181B62">
        <w:rPr>
          <w:sz w:val="24"/>
          <w:szCs w:val="24"/>
        </w:rPr>
        <w:t xml:space="preserve">Sulfadiazins og trimethoprims farmakokinetiske egenskaber er artsafhængige. Med kontinuerlig administration i drikkevandet opnås </w:t>
      </w:r>
      <w:r w:rsidRPr="00181B62">
        <w:rPr>
          <w:i/>
          <w:iCs/>
          <w:sz w:val="24"/>
          <w:szCs w:val="24"/>
        </w:rPr>
        <w:t>steady state</w:t>
      </w:r>
      <w:r w:rsidRPr="00181B62">
        <w:rPr>
          <w:sz w:val="24"/>
          <w:szCs w:val="24"/>
        </w:rPr>
        <w:t>-koncentrationerne efter ca. 2 dage.</w:t>
      </w:r>
    </w:p>
    <w:p w14:paraId="4F877A93" w14:textId="77777777" w:rsidR="00181B62" w:rsidRPr="00181B62" w:rsidRDefault="00181B62" w:rsidP="00181B62">
      <w:pPr>
        <w:tabs>
          <w:tab w:val="left" w:pos="851"/>
        </w:tabs>
        <w:ind w:left="851"/>
        <w:rPr>
          <w:sz w:val="24"/>
          <w:szCs w:val="24"/>
        </w:rPr>
      </w:pPr>
    </w:p>
    <w:p w14:paraId="1B764467" w14:textId="77777777" w:rsidR="00181B62" w:rsidRPr="00181B62" w:rsidRDefault="00181B62" w:rsidP="00181B62">
      <w:pPr>
        <w:tabs>
          <w:tab w:val="left" w:pos="851"/>
        </w:tabs>
        <w:ind w:left="851"/>
        <w:rPr>
          <w:sz w:val="24"/>
          <w:szCs w:val="24"/>
        </w:rPr>
      </w:pPr>
      <w:r w:rsidRPr="00181B62">
        <w:rPr>
          <w:sz w:val="24"/>
          <w:szCs w:val="24"/>
        </w:rPr>
        <w:t xml:space="preserve">Samlet set absorberes sulfadiazin næsten komplet og hurtigt oralt med meget persisterende plasmarater og oral biotilgængelighed mellem 80 % og 90 %. Dets binding til plasmaproteiner varierer mellem 28 % og 80 % afhængigt af dyreart (28 % for svin, 49 % for kvæg (præruminante kalve), 80 % for høns). Det fordeles bredt i de fleste væv og </w:t>
      </w:r>
      <w:r w:rsidRPr="00181B62">
        <w:rPr>
          <w:sz w:val="24"/>
          <w:szCs w:val="24"/>
        </w:rPr>
        <w:lastRenderedPageBreak/>
        <w:t>organer hos alle dyrearter. Sulfadiazin metaboliseres i leveren og udskilles hovedsageligt i urinen.</w:t>
      </w:r>
    </w:p>
    <w:p w14:paraId="232AE595" w14:textId="77777777" w:rsidR="00181B62" w:rsidRPr="00181B62" w:rsidRDefault="00181B62" w:rsidP="00181B62">
      <w:pPr>
        <w:tabs>
          <w:tab w:val="left" w:pos="851"/>
        </w:tabs>
        <w:ind w:left="851"/>
        <w:rPr>
          <w:sz w:val="24"/>
          <w:szCs w:val="24"/>
        </w:rPr>
      </w:pPr>
    </w:p>
    <w:p w14:paraId="3FB64784" w14:textId="77777777" w:rsidR="00181B62" w:rsidRPr="00181B62" w:rsidRDefault="00181B62" w:rsidP="00181B62">
      <w:pPr>
        <w:tabs>
          <w:tab w:val="left" w:pos="851"/>
        </w:tabs>
        <w:ind w:left="851"/>
        <w:rPr>
          <w:sz w:val="24"/>
          <w:szCs w:val="24"/>
        </w:rPr>
      </w:pPr>
      <w:r w:rsidRPr="00181B62">
        <w:rPr>
          <w:sz w:val="24"/>
          <w:szCs w:val="24"/>
        </w:rPr>
        <w:t>Trimethoprim absorberes hurtigt og godt efter oral administration med oral biotilgængelighed mellem 80 % og 90 %. Cirka 30 % til 60 % af trimethoprim bindes til plasmaproteiner i procentdele, der varierer afhængigt af dyreart (49 % for svin, 57 % for kvæg (præruminante kalve), 77 % for høns), og det fordeles bredt i de fleste væv og organer hos alle dyrearter. Vævskoncentrationer, især i lunger, lever og nyrer, er ofte højere end de tilsvarende koncentrationer i plasma. Trimethoprim metaboliseres sandsynligvis i leveren og udskilles hovedsageligt i urinen. Trimethoprims eliminationshastighed er generelt hurtigere end sulfadiazins eliminationshastighed hos alle dyrearter.</w:t>
      </w:r>
    </w:p>
    <w:p w14:paraId="47F1CF6C" w14:textId="77777777" w:rsidR="008203A8" w:rsidRPr="007E61DF" w:rsidRDefault="008203A8" w:rsidP="00181B62">
      <w:pPr>
        <w:tabs>
          <w:tab w:val="left" w:pos="851"/>
        </w:tabs>
        <w:rPr>
          <w:sz w:val="24"/>
          <w:szCs w:val="24"/>
        </w:rPr>
      </w:pPr>
    </w:p>
    <w:p w14:paraId="22AF46F1" w14:textId="77777777" w:rsidR="008203A8" w:rsidRPr="007E61DF" w:rsidRDefault="008203A8" w:rsidP="008203A8">
      <w:pPr>
        <w:rPr>
          <w:b/>
          <w:sz w:val="24"/>
          <w:szCs w:val="24"/>
        </w:rPr>
      </w:pPr>
      <w:r w:rsidRPr="007E61DF">
        <w:rPr>
          <w:b/>
          <w:sz w:val="24"/>
          <w:szCs w:val="24"/>
        </w:rPr>
        <w:t>Miljøoplysninger</w:t>
      </w:r>
    </w:p>
    <w:p w14:paraId="6CFF0640" w14:textId="77777777" w:rsidR="00181B62" w:rsidRDefault="00181B62" w:rsidP="00181B62">
      <w:pPr>
        <w:tabs>
          <w:tab w:val="left" w:pos="1304"/>
        </w:tabs>
        <w:rPr>
          <w:sz w:val="22"/>
          <w:szCs w:val="22"/>
        </w:rPr>
      </w:pPr>
      <w:r>
        <w:rPr>
          <w:color w:val="000000"/>
        </w:rPr>
        <w:t>Trimethoprim persisterer i jorden.</w:t>
      </w:r>
    </w:p>
    <w:p w14:paraId="17D3B8F1" w14:textId="77777777" w:rsidR="008203A8" w:rsidRPr="00406EE7" w:rsidRDefault="008203A8" w:rsidP="008203A8">
      <w:pPr>
        <w:ind w:left="851"/>
        <w:rPr>
          <w:sz w:val="24"/>
          <w:szCs w:val="24"/>
        </w:rPr>
      </w:pPr>
    </w:p>
    <w:p w14:paraId="306AAD60" w14:textId="77777777" w:rsidR="008203A8" w:rsidRPr="00406EE7" w:rsidRDefault="008203A8" w:rsidP="008203A8">
      <w:pPr>
        <w:tabs>
          <w:tab w:val="left" w:pos="851"/>
        </w:tabs>
        <w:ind w:left="851"/>
        <w:rPr>
          <w:sz w:val="24"/>
          <w:szCs w:val="24"/>
        </w:rPr>
      </w:pPr>
    </w:p>
    <w:p w14:paraId="0789FBB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538A6C07" w14:textId="77777777" w:rsidR="008203A8" w:rsidRPr="00406EE7" w:rsidRDefault="008203A8" w:rsidP="008203A8">
      <w:pPr>
        <w:tabs>
          <w:tab w:val="left" w:pos="851"/>
        </w:tabs>
        <w:ind w:left="851"/>
        <w:rPr>
          <w:sz w:val="24"/>
          <w:szCs w:val="24"/>
        </w:rPr>
      </w:pPr>
    </w:p>
    <w:p w14:paraId="005F2C80"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18A61503" w14:textId="77777777" w:rsidR="007F23F7" w:rsidRPr="007F23F7" w:rsidRDefault="007F23F7" w:rsidP="007F23F7">
      <w:pPr>
        <w:tabs>
          <w:tab w:val="left" w:pos="851"/>
        </w:tabs>
        <w:ind w:left="851"/>
        <w:rPr>
          <w:sz w:val="24"/>
          <w:szCs w:val="24"/>
        </w:rPr>
      </w:pPr>
      <w:r w:rsidRPr="007F23F7">
        <w:rPr>
          <w:sz w:val="24"/>
          <w:szCs w:val="24"/>
        </w:rPr>
        <w:t>Må ikke tilsættes drikkevand, der er behandlet med natriumhypochlorit ved 5 ppm.</w:t>
      </w:r>
    </w:p>
    <w:p w14:paraId="3680DBDF" w14:textId="77777777" w:rsidR="007F23F7" w:rsidRPr="007F23F7" w:rsidRDefault="007F23F7" w:rsidP="007F23F7">
      <w:pPr>
        <w:tabs>
          <w:tab w:val="left" w:pos="851"/>
        </w:tabs>
        <w:ind w:left="851"/>
        <w:rPr>
          <w:sz w:val="24"/>
          <w:szCs w:val="24"/>
        </w:rPr>
      </w:pPr>
    </w:p>
    <w:p w14:paraId="087FD44E" w14:textId="77777777" w:rsidR="007F23F7" w:rsidRPr="007F23F7" w:rsidRDefault="007F23F7" w:rsidP="007F23F7">
      <w:pPr>
        <w:tabs>
          <w:tab w:val="left" w:pos="851"/>
        </w:tabs>
        <w:ind w:left="851"/>
        <w:rPr>
          <w:sz w:val="24"/>
          <w:szCs w:val="24"/>
        </w:rPr>
      </w:pPr>
      <w:r w:rsidRPr="007F23F7">
        <w:rPr>
          <w:sz w:val="24"/>
          <w:szCs w:val="24"/>
        </w:rPr>
        <w:t>Da der ikke foreligger undersøgelser vedrørende eventuelle uforligeligheder, bør dette veterinærlægemiddel ikke blandes med andre veterinærlægemidler.</w:t>
      </w:r>
    </w:p>
    <w:p w14:paraId="1528BD10" w14:textId="77777777" w:rsidR="008203A8" w:rsidRPr="00406EE7" w:rsidRDefault="008203A8" w:rsidP="008203A8">
      <w:pPr>
        <w:tabs>
          <w:tab w:val="left" w:pos="851"/>
        </w:tabs>
        <w:ind w:left="851"/>
        <w:rPr>
          <w:sz w:val="24"/>
          <w:szCs w:val="24"/>
        </w:rPr>
      </w:pPr>
    </w:p>
    <w:p w14:paraId="56E9D14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65953E34" w14:textId="77777777" w:rsidR="007F23F7" w:rsidRPr="007F23F7" w:rsidRDefault="007F23F7" w:rsidP="007F23F7">
      <w:pPr>
        <w:tabs>
          <w:tab w:val="left" w:pos="851"/>
        </w:tabs>
        <w:ind w:left="851"/>
        <w:rPr>
          <w:sz w:val="24"/>
          <w:szCs w:val="24"/>
        </w:rPr>
      </w:pPr>
      <w:r w:rsidRPr="007F23F7">
        <w:rPr>
          <w:sz w:val="24"/>
          <w:szCs w:val="24"/>
        </w:rPr>
        <w:t>Opbevaringstid for veterinærlægemidlet i salgspakning: 30 måneder.</w:t>
      </w:r>
    </w:p>
    <w:p w14:paraId="29803FA3" w14:textId="77777777" w:rsidR="007F23F7" w:rsidRPr="007F23F7" w:rsidRDefault="007F23F7" w:rsidP="007F23F7">
      <w:pPr>
        <w:tabs>
          <w:tab w:val="left" w:pos="851"/>
        </w:tabs>
        <w:ind w:left="851"/>
        <w:rPr>
          <w:sz w:val="24"/>
          <w:szCs w:val="24"/>
        </w:rPr>
      </w:pPr>
      <w:r w:rsidRPr="007F23F7">
        <w:rPr>
          <w:sz w:val="24"/>
          <w:szCs w:val="24"/>
        </w:rPr>
        <w:t>Opbevaringstid efter første åbning af den indre emballage: 3 måneder.</w:t>
      </w:r>
    </w:p>
    <w:p w14:paraId="38161586" w14:textId="77777777" w:rsidR="007F23F7" w:rsidRPr="007F23F7" w:rsidRDefault="007F23F7" w:rsidP="007F23F7">
      <w:pPr>
        <w:tabs>
          <w:tab w:val="left" w:pos="851"/>
        </w:tabs>
        <w:ind w:left="851"/>
        <w:rPr>
          <w:sz w:val="24"/>
          <w:szCs w:val="24"/>
        </w:rPr>
      </w:pPr>
      <w:r w:rsidRPr="007F23F7">
        <w:rPr>
          <w:sz w:val="24"/>
          <w:szCs w:val="24"/>
        </w:rPr>
        <w:t>Opbevaringstid efter opløsning i drikkevand ifølge anvisning: 24 timer.</w:t>
      </w:r>
    </w:p>
    <w:p w14:paraId="42449031" w14:textId="77777777" w:rsidR="007F23F7" w:rsidRPr="007F23F7" w:rsidRDefault="007F23F7" w:rsidP="007F23F7">
      <w:pPr>
        <w:tabs>
          <w:tab w:val="left" w:pos="851"/>
        </w:tabs>
        <w:ind w:left="851"/>
        <w:rPr>
          <w:sz w:val="24"/>
          <w:szCs w:val="24"/>
        </w:rPr>
      </w:pPr>
      <w:r w:rsidRPr="007F23F7">
        <w:rPr>
          <w:sz w:val="24"/>
          <w:szCs w:val="24"/>
        </w:rPr>
        <w:t>Opbevaringstid efter opløsning i mælkeerstatning ifølge anvisning: 1 time.</w:t>
      </w:r>
    </w:p>
    <w:p w14:paraId="5B5C91D3" w14:textId="77777777" w:rsidR="007F23F7" w:rsidRPr="007F23F7" w:rsidRDefault="007F23F7" w:rsidP="007F23F7">
      <w:pPr>
        <w:tabs>
          <w:tab w:val="left" w:pos="851"/>
        </w:tabs>
        <w:ind w:left="851"/>
        <w:rPr>
          <w:sz w:val="24"/>
          <w:szCs w:val="24"/>
        </w:rPr>
      </w:pPr>
    </w:p>
    <w:p w14:paraId="57247F9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647C48D8" w14:textId="77777777" w:rsidR="007F23F7" w:rsidRPr="007F23F7" w:rsidRDefault="007F23F7" w:rsidP="007F23F7">
      <w:pPr>
        <w:tabs>
          <w:tab w:val="left" w:pos="851"/>
        </w:tabs>
        <w:ind w:left="851"/>
        <w:rPr>
          <w:sz w:val="24"/>
          <w:szCs w:val="24"/>
        </w:rPr>
      </w:pPr>
      <w:r w:rsidRPr="007F23F7">
        <w:rPr>
          <w:sz w:val="24"/>
          <w:szCs w:val="24"/>
        </w:rPr>
        <w:t>Der er ingen særlige krav vedrørende opbevaringsforhold for dette veterinærlægemiddel.</w:t>
      </w:r>
    </w:p>
    <w:p w14:paraId="66A370CC" w14:textId="77777777" w:rsidR="008203A8" w:rsidRPr="00406EE7" w:rsidRDefault="008203A8" w:rsidP="008203A8">
      <w:pPr>
        <w:tabs>
          <w:tab w:val="left" w:pos="851"/>
        </w:tabs>
        <w:ind w:left="851"/>
        <w:rPr>
          <w:sz w:val="24"/>
          <w:szCs w:val="24"/>
        </w:rPr>
      </w:pPr>
    </w:p>
    <w:p w14:paraId="272B405E"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8F37628" w14:textId="77777777" w:rsidR="007F23F7" w:rsidRPr="007F23F7" w:rsidRDefault="007F23F7" w:rsidP="007F23F7">
      <w:pPr>
        <w:tabs>
          <w:tab w:val="left" w:pos="851"/>
        </w:tabs>
        <w:ind w:left="851"/>
        <w:rPr>
          <w:sz w:val="24"/>
          <w:szCs w:val="24"/>
        </w:rPr>
      </w:pPr>
      <w:r w:rsidRPr="007F23F7">
        <w:rPr>
          <w:sz w:val="24"/>
          <w:szCs w:val="24"/>
        </w:rPr>
        <w:t>100 g pudepose og 1 kg genlukkelig lynlåspose med blokbund fremstillet af polyethylen/aluminium/polyetylentereftalatlaminat.</w:t>
      </w:r>
    </w:p>
    <w:p w14:paraId="5D49EC87" w14:textId="77777777" w:rsidR="008203A8" w:rsidRPr="00406EE7" w:rsidRDefault="008203A8" w:rsidP="008203A8">
      <w:pPr>
        <w:tabs>
          <w:tab w:val="left" w:pos="851"/>
        </w:tabs>
        <w:ind w:left="851"/>
        <w:rPr>
          <w:sz w:val="24"/>
          <w:szCs w:val="24"/>
        </w:rPr>
      </w:pPr>
    </w:p>
    <w:p w14:paraId="7803E1E3"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2F8D0B2A" w14:textId="77777777" w:rsidR="004D7943" w:rsidRPr="004D7943" w:rsidRDefault="004D7943" w:rsidP="004D7943">
      <w:pPr>
        <w:tabs>
          <w:tab w:val="left" w:pos="851"/>
        </w:tabs>
        <w:ind w:left="851"/>
        <w:rPr>
          <w:sz w:val="24"/>
          <w:szCs w:val="24"/>
        </w:rPr>
      </w:pPr>
      <w:r w:rsidRPr="004D7943">
        <w:rPr>
          <w:sz w:val="24"/>
          <w:szCs w:val="24"/>
        </w:rPr>
        <w:t>Lægemidler må ikke bortskaffes sammen med spildevand eller husholdningsaffald.</w:t>
      </w:r>
    </w:p>
    <w:p w14:paraId="50F2285E" w14:textId="77777777" w:rsidR="004D7943" w:rsidRPr="004D7943" w:rsidRDefault="004D7943" w:rsidP="004D7943">
      <w:pPr>
        <w:tabs>
          <w:tab w:val="left" w:pos="851"/>
        </w:tabs>
        <w:ind w:left="851"/>
        <w:rPr>
          <w:sz w:val="24"/>
          <w:szCs w:val="24"/>
        </w:rPr>
      </w:pPr>
      <w:r w:rsidRPr="004D7943">
        <w:rPr>
          <w:sz w:val="24"/>
          <w:szCs w:val="24"/>
        </w:rPr>
        <w:br/>
        <w:t>Benyt returordninger ved bortskaffelse af ubrugte veterinærlægemidler eller affaldsmaterialer herfra i henhold til lokale retningslinjer og nationale indsamlingsordninger, der er relevante for det pågældende veterinærlægemiddel.</w:t>
      </w:r>
    </w:p>
    <w:p w14:paraId="5864DDE9" w14:textId="77777777" w:rsidR="008203A8" w:rsidRPr="00070728" w:rsidRDefault="008203A8" w:rsidP="008203A8">
      <w:pPr>
        <w:tabs>
          <w:tab w:val="left" w:pos="851"/>
        </w:tabs>
        <w:ind w:left="851"/>
        <w:rPr>
          <w:sz w:val="24"/>
          <w:szCs w:val="24"/>
        </w:rPr>
      </w:pPr>
    </w:p>
    <w:p w14:paraId="30A227DC"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1F9C68D" w14:textId="77777777" w:rsidR="00586C00" w:rsidRPr="00586C00" w:rsidRDefault="00586C00" w:rsidP="00586C00">
      <w:pPr>
        <w:tabs>
          <w:tab w:val="left" w:pos="851"/>
        </w:tabs>
        <w:ind w:left="851"/>
        <w:rPr>
          <w:sz w:val="24"/>
          <w:szCs w:val="24"/>
        </w:rPr>
      </w:pPr>
      <w:r w:rsidRPr="00586C00">
        <w:rPr>
          <w:sz w:val="24"/>
          <w:szCs w:val="24"/>
        </w:rPr>
        <w:t>Huvepharma NV</w:t>
      </w:r>
    </w:p>
    <w:p w14:paraId="1642F50E" w14:textId="77777777" w:rsidR="00586C00" w:rsidRPr="00AB6E0E" w:rsidRDefault="00586C00" w:rsidP="00586C00">
      <w:pPr>
        <w:tabs>
          <w:tab w:val="left" w:pos="851"/>
        </w:tabs>
        <w:ind w:left="851"/>
        <w:rPr>
          <w:sz w:val="24"/>
          <w:szCs w:val="24"/>
        </w:rPr>
      </w:pPr>
      <w:r w:rsidRPr="00AB6E0E">
        <w:rPr>
          <w:sz w:val="24"/>
          <w:szCs w:val="24"/>
        </w:rPr>
        <w:t>Uitbreidingstraat 80</w:t>
      </w:r>
    </w:p>
    <w:p w14:paraId="21BFC7DF" w14:textId="19D825B6" w:rsidR="00586C00" w:rsidRPr="00AB6E0E" w:rsidRDefault="00586C00" w:rsidP="00586C00">
      <w:pPr>
        <w:tabs>
          <w:tab w:val="left" w:pos="851"/>
        </w:tabs>
        <w:ind w:left="851"/>
        <w:rPr>
          <w:sz w:val="24"/>
          <w:szCs w:val="24"/>
        </w:rPr>
      </w:pPr>
      <w:r w:rsidRPr="00AB6E0E">
        <w:rPr>
          <w:sz w:val="24"/>
          <w:szCs w:val="24"/>
        </w:rPr>
        <w:t>2600 Antwerp</w:t>
      </w:r>
      <w:r w:rsidR="00AB6E0E" w:rsidRPr="00AB6E0E">
        <w:rPr>
          <w:sz w:val="24"/>
          <w:szCs w:val="24"/>
        </w:rPr>
        <w:t>en</w:t>
      </w:r>
    </w:p>
    <w:p w14:paraId="556368D0" w14:textId="76C27FDB" w:rsidR="00586C00" w:rsidRPr="00AB6E0E" w:rsidRDefault="00586C00" w:rsidP="00586C00">
      <w:pPr>
        <w:tabs>
          <w:tab w:val="left" w:pos="851"/>
        </w:tabs>
        <w:ind w:left="851"/>
        <w:rPr>
          <w:sz w:val="24"/>
          <w:szCs w:val="24"/>
        </w:rPr>
      </w:pPr>
      <w:r w:rsidRPr="00AB6E0E">
        <w:rPr>
          <w:sz w:val="24"/>
          <w:szCs w:val="24"/>
        </w:rPr>
        <w:t>Belgien</w:t>
      </w:r>
    </w:p>
    <w:p w14:paraId="182D7FDF" w14:textId="77777777" w:rsidR="008203A8" w:rsidRPr="00406EE7" w:rsidRDefault="008203A8" w:rsidP="008203A8">
      <w:pPr>
        <w:tabs>
          <w:tab w:val="left" w:pos="851"/>
        </w:tabs>
        <w:ind w:left="851"/>
        <w:rPr>
          <w:sz w:val="24"/>
          <w:szCs w:val="24"/>
        </w:rPr>
      </w:pPr>
    </w:p>
    <w:p w14:paraId="248F4FBA"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28F25183" w14:textId="3478BFAE" w:rsidR="008203A8" w:rsidRPr="00406EE7" w:rsidRDefault="00FB2C90" w:rsidP="008203A8">
      <w:pPr>
        <w:tabs>
          <w:tab w:val="left" w:pos="851"/>
        </w:tabs>
        <w:ind w:left="851"/>
        <w:rPr>
          <w:sz w:val="24"/>
          <w:szCs w:val="24"/>
        </w:rPr>
      </w:pPr>
      <w:r>
        <w:rPr>
          <w:sz w:val="24"/>
          <w:szCs w:val="24"/>
        </w:rPr>
        <w:t>67816</w:t>
      </w:r>
    </w:p>
    <w:p w14:paraId="732DD83E" w14:textId="77777777" w:rsidR="008203A8" w:rsidRPr="00406EE7" w:rsidRDefault="008203A8" w:rsidP="008203A8">
      <w:pPr>
        <w:tabs>
          <w:tab w:val="left" w:pos="851"/>
        </w:tabs>
        <w:ind w:left="851"/>
        <w:rPr>
          <w:sz w:val="24"/>
          <w:szCs w:val="24"/>
        </w:rPr>
      </w:pPr>
    </w:p>
    <w:p w14:paraId="40CDB191"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2E21E902" w14:textId="258999E6" w:rsidR="008203A8" w:rsidRPr="00406EE7" w:rsidRDefault="00D425C2" w:rsidP="008203A8">
      <w:pPr>
        <w:tabs>
          <w:tab w:val="left" w:pos="851"/>
        </w:tabs>
        <w:ind w:left="851"/>
        <w:rPr>
          <w:sz w:val="24"/>
          <w:szCs w:val="24"/>
        </w:rPr>
      </w:pPr>
      <w:r>
        <w:rPr>
          <w:sz w:val="24"/>
          <w:szCs w:val="24"/>
        </w:rPr>
        <w:t>23. august 2023</w:t>
      </w:r>
    </w:p>
    <w:p w14:paraId="65F4C9B1" w14:textId="77777777" w:rsidR="008203A8" w:rsidRPr="00406EE7" w:rsidRDefault="008203A8" w:rsidP="008203A8">
      <w:pPr>
        <w:tabs>
          <w:tab w:val="left" w:pos="851"/>
        </w:tabs>
        <w:ind w:left="851"/>
        <w:rPr>
          <w:sz w:val="24"/>
          <w:szCs w:val="24"/>
        </w:rPr>
      </w:pPr>
    </w:p>
    <w:p w14:paraId="7AEA6E94"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0EA11775" w14:textId="5E933F99" w:rsidR="008203A8" w:rsidRPr="00406EE7" w:rsidRDefault="00D06646" w:rsidP="008203A8">
      <w:pPr>
        <w:tabs>
          <w:tab w:val="left" w:pos="851"/>
        </w:tabs>
        <w:ind w:left="851"/>
        <w:rPr>
          <w:sz w:val="24"/>
          <w:szCs w:val="24"/>
        </w:rPr>
      </w:pPr>
      <w:r>
        <w:rPr>
          <w:sz w:val="24"/>
          <w:szCs w:val="24"/>
        </w:rPr>
        <w:t>2. oktober 2023</w:t>
      </w:r>
    </w:p>
    <w:p w14:paraId="550DA85D" w14:textId="77777777" w:rsidR="008203A8" w:rsidRPr="00406EE7" w:rsidRDefault="008203A8" w:rsidP="008203A8">
      <w:pPr>
        <w:tabs>
          <w:tab w:val="left" w:pos="851"/>
        </w:tabs>
        <w:ind w:left="851"/>
        <w:rPr>
          <w:sz w:val="24"/>
          <w:szCs w:val="24"/>
        </w:rPr>
      </w:pPr>
    </w:p>
    <w:p w14:paraId="0800CED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220C5D96" w14:textId="149CD33B" w:rsidR="008203A8" w:rsidRDefault="00FB2C90" w:rsidP="008203A8">
      <w:pPr>
        <w:pStyle w:val="Sidehoved"/>
        <w:tabs>
          <w:tab w:val="clear" w:pos="4819"/>
          <w:tab w:val="left" w:pos="851"/>
        </w:tabs>
        <w:ind w:left="851"/>
        <w:rPr>
          <w:szCs w:val="24"/>
        </w:rPr>
      </w:pPr>
      <w:r>
        <w:rPr>
          <w:szCs w:val="24"/>
        </w:rPr>
        <w:t>B</w:t>
      </w:r>
      <w:r w:rsidR="00D06646">
        <w:rPr>
          <w:szCs w:val="24"/>
        </w:rPr>
        <w:t>P</w:t>
      </w:r>
    </w:p>
    <w:p w14:paraId="5B725676" w14:textId="361F1739" w:rsidR="00FB2C90" w:rsidRDefault="00FB2C90" w:rsidP="008203A8">
      <w:pPr>
        <w:pStyle w:val="Sidehoved"/>
        <w:tabs>
          <w:tab w:val="clear" w:pos="4819"/>
          <w:tab w:val="left" w:pos="851"/>
        </w:tabs>
        <w:ind w:left="851"/>
        <w:rPr>
          <w:szCs w:val="24"/>
        </w:rPr>
      </w:pPr>
      <w:bookmarkStart w:id="1" w:name="_GoBack"/>
      <w:bookmarkEnd w:id="1"/>
    </w:p>
    <w:p w14:paraId="52A8AEEE" w14:textId="7D76FFEE" w:rsidR="00FB2C90" w:rsidRPr="00FB2C90" w:rsidRDefault="00FB2C90" w:rsidP="00FB2C90">
      <w:pPr>
        <w:pStyle w:val="Sidehoved"/>
        <w:tabs>
          <w:tab w:val="left" w:pos="851"/>
        </w:tabs>
        <w:ind w:left="851"/>
        <w:rPr>
          <w:iCs/>
          <w:szCs w:val="24"/>
        </w:rPr>
      </w:pPr>
      <w:bookmarkStart w:id="2" w:name="_Hlk73467306"/>
      <w:r w:rsidRPr="00FB2C90">
        <w:rPr>
          <w:szCs w:val="24"/>
        </w:rPr>
        <w:t>Der findes detaljerede oplysninger om dette veterinærlægemiddel i EU-lægemiddeldatabasen</w:t>
      </w:r>
      <w:bookmarkEnd w:id="2"/>
      <w:r w:rsidR="00D06646">
        <w:rPr>
          <w:szCs w:val="24"/>
        </w:rPr>
        <w:t>.</w:t>
      </w:r>
    </w:p>
    <w:sectPr w:rsidR="00FB2C90" w:rsidRPr="00FB2C9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ADAFE" w14:textId="77777777" w:rsidR="0098661D" w:rsidRDefault="0098661D">
      <w:r>
        <w:separator/>
      </w:r>
    </w:p>
  </w:endnote>
  <w:endnote w:type="continuationSeparator" w:id="0">
    <w:p w14:paraId="0FDB3F48" w14:textId="77777777" w:rsidR="0098661D" w:rsidRDefault="0098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F9DB7" w14:textId="77777777" w:rsidR="004A62CC" w:rsidRDefault="004A62CC">
    <w:pPr>
      <w:pStyle w:val="Sidefod"/>
      <w:pBdr>
        <w:bottom w:val="single" w:sz="6" w:space="1" w:color="auto"/>
      </w:pBdr>
      <w:tabs>
        <w:tab w:val="clear" w:pos="4819"/>
        <w:tab w:val="left" w:pos="8647"/>
      </w:tabs>
      <w:rPr>
        <w:i/>
        <w:snapToGrid w:val="0"/>
        <w:sz w:val="18"/>
      </w:rPr>
    </w:pPr>
  </w:p>
  <w:p w14:paraId="31223FD0" w14:textId="77777777" w:rsidR="004A62CC" w:rsidRDefault="004A62CC">
    <w:pPr>
      <w:pStyle w:val="Sidefod"/>
      <w:tabs>
        <w:tab w:val="clear" w:pos="4819"/>
        <w:tab w:val="left" w:pos="8647"/>
      </w:tabs>
      <w:rPr>
        <w:i/>
        <w:snapToGrid w:val="0"/>
        <w:sz w:val="18"/>
      </w:rPr>
    </w:pPr>
  </w:p>
  <w:p w14:paraId="09F6C93C" w14:textId="459602B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066C7">
      <w:rPr>
        <w:i/>
        <w:noProof/>
        <w:snapToGrid w:val="0"/>
        <w:sz w:val="18"/>
      </w:rPr>
      <w:t>Hydrotrim, pulver til anvendelse i drikkevand-mælk 500+100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B8249" w14:textId="77777777" w:rsidR="004A62CC" w:rsidRDefault="004A62CC">
    <w:pPr>
      <w:pStyle w:val="Sidefod"/>
      <w:pBdr>
        <w:bottom w:val="single" w:sz="6" w:space="1" w:color="auto"/>
      </w:pBdr>
      <w:tabs>
        <w:tab w:val="clear" w:pos="4819"/>
        <w:tab w:val="left" w:pos="8647"/>
      </w:tabs>
      <w:rPr>
        <w:i/>
        <w:snapToGrid w:val="0"/>
        <w:sz w:val="18"/>
      </w:rPr>
    </w:pPr>
  </w:p>
  <w:p w14:paraId="6072075B" w14:textId="77777777" w:rsidR="004A62CC" w:rsidRDefault="004A62CC">
    <w:pPr>
      <w:pStyle w:val="Sidefod"/>
      <w:tabs>
        <w:tab w:val="clear" w:pos="4819"/>
        <w:tab w:val="left" w:pos="8647"/>
      </w:tabs>
      <w:rPr>
        <w:i/>
        <w:snapToGrid w:val="0"/>
        <w:sz w:val="18"/>
      </w:rPr>
    </w:pPr>
  </w:p>
  <w:p w14:paraId="119109ED" w14:textId="038E908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066C7">
      <w:rPr>
        <w:i/>
        <w:noProof/>
        <w:snapToGrid w:val="0"/>
        <w:sz w:val="18"/>
      </w:rPr>
      <w:t>Hydrotrim, pulver til anvendelse i drikkevand-mælk 500+100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51F19" w14:textId="77777777" w:rsidR="0098661D" w:rsidRDefault="0098661D">
      <w:r>
        <w:separator/>
      </w:r>
    </w:p>
  </w:footnote>
  <w:footnote w:type="continuationSeparator" w:id="0">
    <w:p w14:paraId="43BA04D1" w14:textId="77777777" w:rsidR="0098661D" w:rsidRDefault="0098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6D9B"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FE3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61D"/>
    <w:rsid w:val="000241E8"/>
    <w:rsid w:val="0003527F"/>
    <w:rsid w:val="0004390D"/>
    <w:rsid w:val="0005355A"/>
    <w:rsid w:val="00065C7D"/>
    <w:rsid w:val="00092AFF"/>
    <w:rsid w:val="000B102C"/>
    <w:rsid w:val="000C6CD4"/>
    <w:rsid w:val="00131D7A"/>
    <w:rsid w:val="001577E4"/>
    <w:rsid w:val="001623D2"/>
    <w:rsid w:val="00162A88"/>
    <w:rsid w:val="00173F52"/>
    <w:rsid w:val="00181B62"/>
    <w:rsid w:val="0018534D"/>
    <w:rsid w:val="001858CA"/>
    <w:rsid w:val="001869DB"/>
    <w:rsid w:val="001903E6"/>
    <w:rsid w:val="001C4AEF"/>
    <w:rsid w:val="001C6D01"/>
    <w:rsid w:val="001D3CC5"/>
    <w:rsid w:val="001E0F1D"/>
    <w:rsid w:val="00202A14"/>
    <w:rsid w:val="00207C0E"/>
    <w:rsid w:val="00285A6A"/>
    <w:rsid w:val="002C3E74"/>
    <w:rsid w:val="002E304C"/>
    <w:rsid w:val="002E7439"/>
    <w:rsid w:val="002F3591"/>
    <w:rsid w:val="00322BDE"/>
    <w:rsid w:val="0032460C"/>
    <w:rsid w:val="00340679"/>
    <w:rsid w:val="00371CA6"/>
    <w:rsid w:val="003E4B6F"/>
    <w:rsid w:val="00406EE7"/>
    <w:rsid w:val="00407013"/>
    <w:rsid w:val="00412537"/>
    <w:rsid w:val="00415D7C"/>
    <w:rsid w:val="00417225"/>
    <w:rsid w:val="00451FEF"/>
    <w:rsid w:val="004A62CC"/>
    <w:rsid w:val="004C4645"/>
    <w:rsid w:val="004C733C"/>
    <w:rsid w:val="004D7943"/>
    <w:rsid w:val="00514C36"/>
    <w:rsid w:val="00524601"/>
    <w:rsid w:val="00565A74"/>
    <w:rsid w:val="00586C00"/>
    <w:rsid w:val="005A59F4"/>
    <w:rsid w:val="005B0036"/>
    <w:rsid w:val="005B0078"/>
    <w:rsid w:val="005D1DAA"/>
    <w:rsid w:val="005E336B"/>
    <w:rsid w:val="005F258D"/>
    <w:rsid w:val="005F5831"/>
    <w:rsid w:val="00601E64"/>
    <w:rsid w:val="0061389F"/>
    <w:rsid w:val="00614110"/>
    <w:rsid w:val="00627236"/>
    <w:rsid w:val="00633A39"/>
    <w:rsid w:val="00646A5F"/>
    <w:rsid w:val="00662012"/>
    <w:rsid w:val="00666B01"/>
    <w:rsid w:val="006864A6"/>
    <w:rsid w:val="00687CE3"/>
    <w:rsid w:val="00696BF6"/>
    <w:rsid w:val="006B1539"/>
    <w:rsid w:val="006C2FE7"/>
    <w:rsid w:val="006F0D27"/>
    <w:rsid w:val="006F5621"/>
    <w:rsid w:val="00701164"/>
    <w:rsid w:val="0071651B"/>
    <w:rsid w:val="00734E54"/>
    <w:rsid w:val="00750478"/>
    <w:rsid w:val="00751513"/>
    <w:rsid w:val="007564C7"/>
    <w:rsid w:val="007565B3"/>
    <w:rsid w:val="00776C2C"/>
    <w:rsid w:val="00781329"/>
    <w:rsid w:val="007A684C"/>
    <w:rsid w:val="007C688A"/>
    <w:rsid w:val="007E2A00"/>
    <w:rsid w:val="007E61DF"/>
    <w:rsid w:val="007F23F7"/>
    <w:rsid w:val="008010F2"/>
    <w:rsid w:val="00805902"/>
    <w:rsid w:val="00813E75"/>
    <w:rsid w:val="0081533D"/>
    <w:rsid w:val="008203A8"/>
    <w:rsid w:val="008509BB"/>
    <w:rsid w:val="00851D7F"/>
    <w:rsid w:val="008803C5"/>
    <w:rsid w:val="008E4866"/>
    <w:rsid w:val="009202AE"/>
    <w:rsid w:val="00942FB8"/>
    <w:rsid w:val="00960F5F"/>
    <w:rsid w:val="00967486"/>
    <w:rsid w:val="0098661D"/>
    <w:rsid w:val="009B5D10"/>
    <w:rsid w:val="009D66C6"/>
    <w:rsid w:val="009E300C"/>
    <w:rsid w:val="009E5184"/>
    <w:rsid w:val="009F1F5E"/>
    <w:rsid w:val="00A31E52"/>
    <w:rsid w:val="00A74A8A"/>
    <w:rsid w:val="00A85606"/>
    <w:rsid w:val="00A86C63"/>
    <w:rsid w:val="00A957A6"/>
    <w:rsid w:val="00A96525"/>
    <w:rsid w:val="00AA0D25"/>
    <w:rsid w:val="00AB6E0E"/>
    <w:rsid w:val="00AC012D"/>
    <w:rsid w:val="00AD4D77"/>
    <w:rsid w:val="00AE29E5"/>
    <w:rsid w:val="00AE5757"/>
    <w:rsid w:val="00B25EB8"/>
    <w:rsid w:val="00B764E3"/>
    <w:rsid w:val="00B85456"/>
    <w:rsid w:val="00B87267"/>
    <w:rsid w:val="00B93A25"/>
    <w:rsid w:val="00BA62DC"/>
    <w:rsid w:val="00BC634B"/>
    <w:rsid w:val="00BF2AE0"/>
    <w:rsid w:val="00C41394"/>
    <w:rsid w:val="00C479BF"/>
    <w:rsid w:val="00C66C59"/>
    <w:rsid w:val="00C838AB"/>
    <w:rsid w:val="00C83AA2"/>
    <w:rsid w:val="00C966E1"/>
    <w:rsid w:val="00CE3A44"/>
    <w:rsid w:val="00CE3F86"/>
    <w:rsid w:val="00CF75B4"/>
    <w:rsid w:val="00D06646"/>
    <w:rsid w:val="00D066C7"/>
    <w:rsid w:val="00D10EE1"/>
    <w:rsid w:val="00D14DBC"/>
    <w:rsid w:val="00D425C2"/>
    <w:rsid w:val="00D87E2B"/>
    <w:rsid w:val="00D910BA"/>
    <w:rsid w:val="00D96D04"/>
    <w:rsid w:val="00DD6D71"/>
    <w:rsid w:val="00DF32BE"/>
    <w:rsid w:val="00E14F0A"/>
    <w:rsid w:val="00E321D6"/>
    <w:rsid w:val="00E323FB"/>
    <w:rsid w:val="00E61E78"/>
    <w:rsid w:val="00E84DC6"/>
    <w:rsid w:val="00EB5778"/>
    <w:rsid w:val="00EC03AD"/>
    <w:rsid w:val="00EE14EA"/>
    <w:rsid w:val="00EE5253"/>
    <w:rsid w:val="00EF3C59"/>
    <w:rsid w:val="00F36781"/>
    <w:rsid w:val="00F41E3A"/>
    <w:rsid w:val="00F60B72"/>
    <w:rsid w:val="00F61057"/>
    <w:rsid w:val="00FA2112"/>
    <w:rsid w:val="00FA3E7E"/>
    <w:rsid w:val="00FA66E4"/>
    <w:rsid w:val="00FB2C90"/>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00270"/>
  <w15:chartTrackingRefBased/>
  <w15:docId w15:val="{A80DC674-A8C1-4B8A-90FE-50677770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4C4645"/>
    <w:pPr>
      <w:jc w:val="both"/>
    </w:pPr>
    <w:rPr>
      <w:sz w:val="22"/>
    </w:rPr>
  </w:style>
  <w:style w:type="character" w:customStyle="1" w:styleId="BrdtekstTegn">
    <w:name w:val="Brødtekst Tegn"/>
    <w:basedOn w:val="Standardskrifttypeiafsnit"/>
    <w:link w:val="Brdtekst"/>
    <w:semiHidden/>
    <w:rsid w:val="004C4645"/>
    <w:rPr>
      <w:sz w:val="22"/>
      <w:lang w:eastAsia="en-US"/>
    </w:rPr>
  </w:style>
  <w:style w:type="character" w:styleId="Hyperlink">
    <w:name w:val="Hyperlink"/>
    <w:basedOn w:val="Standardskrifttypeiafsnit"/>
    <w:uiPriority w:val="99"/>
    <w:unhideWhenUsed/>
    <w:rsid w:val="00FB2C90"/>
    <w:rPr>
      <w:color w:val="0563C1" w:themeColor="hyperlink"/>
      <w:u w:val="single"/>
    </w:rPr>
  </w:style>
  <w:style w:type="character" w:styleId="Ulstomtale">
    <w:name w:val="Unresolved Mention"/>
    <w:basedOn w:val="Standardskrifttypeiafsnit"/>
    <w:uiPriority w:val="99"/>
    <w:semiHidden/>
    <w:unhideWhenUsed/>
    <w:rsid w:val="00FB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4835836">
      <w:bodyDiv w:val="1"/>
      <w:marLeft w:val="0"/>
      <w:marRight w:val="0"/>
      <w:marTop w:val="0"/>
      <w:marBottom w:val="0"/>
      <w:divBdr>
        <w:top w:val="none" w:sz="0" w:space="0" w:color="auto"/>
        <w:left w:val="none" w:sz="0" w:space="0" w:color="auto"/>
        <w:bottom w:val="none" w:sz="0" w:space="0" w:color="auto"/>
        <w:right w:val="none" w:sz="0" w:space="0" w:color="auto"/>
      </w:divBdr>
    </w:div>
    <w:div w:id="120461355">
      <w:bodyDiv w:val="1"/>
      <w:marLeft w:val="0"/>
      <w:marRight w:val="0"/>
      <w:marTop w:val="0"/>
      <w:marBottom w:val="0"/>
      <w:divBdr>
        <w:top w:val="none" w:sz="0" w:space="0" w:color="auto"/>
        <w:left w:val="none" w:sz="0" w:space="0" w:color="auto"/>
        <w:bottom w:val="none" w:sz="0" w:space="0" w:color="auto"/>
        <w:right w:val="none" w:sz="0" w:space="0" w:color="auto"/>
      </w:divBdr>
    </w:div>
    <w:div w:id="15769754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2907781">
      <w:bodyDiv w:val="1"/>
      <w:marLeft w:val="0"/>
      <w:marRight w:val="0"/>
      <w:marTop w:val="0"/>
      <w:marBottom w:val="0"/>
      <w:divBdr>
        <w:top w:val="none" w:sz="0" w:space="0" w:color="auto"/>
        <w:left w:val="none" w:sz="0" w:space="0" w:color="auto"/>
        <w:bottom w:val="none" w:sz="0" w:space="0" w:color="auto"/>
        <w:right w:val="none" w:sz="0" w:space="0" w:color="auto"/>
      </w:divBdr>
    </w:div>
    <w:div w:id="209076738">
      <w:bodyDiv w:val="1"/>
      <w:marLeft w:val="0"/>
      <w:marRight w:val="0"/>
      <w:marTop w:val="0"/>
      <w:marBottom w:val="0"/>
      <w:divBdr>
        <w:top w:val="none" w:sz="0" w:space="0" w:color="auto"/>
        <w:left w:val="none" w:sz="0" w:space="0" w:color="auto"/>
        <w:bottom w:val="none" w:sz="0" w:space="0" w:color="auto"/>
        <w:right w:val="none" w:sz="0" w:space="0" w:color="auto"/>
      </w:divBdr>
    </w:div>
    <w:div w:id="211115914">
      <w:bodyDiv w:val="1"/>
      <w:marLeft w:val="0"/>
      <w:marRight w:val="0"/>
      <w:marTop w:val="0"/>
      <w:marBottom w:val="0"/>
      <w:divBdr>
        <w:top w:val="none" w:sz="0" w:space="0" w:color="auto"/>
        <w:left w:val="none" w:sz="0" w:space="0" w:color="auto"/>
        <w:bottom w:val="none" w:sz="0" w:space="0" w:color="auto"/>
        <w:right w:val="none" w:sz="0" w:space="0" w:color="auto"/>
      </w:divBdr>
    </w:div>
    <w:div w:id="216431333">
      <w:bodyDiv w:val="1"/>
      <w:marLeft w:val="0"/>
      <w:marRight w:val="0"/>
      <w:marTop w:val="0"/>
      <w:marBottom w:val="0"/>
      <w:divBdr>
        <w:top w:val="none" w:sz="0" w:space="0" w:color="auto"/>
        <w:left w:val="none" w:sz="0" w:space="0" w:color="auto"/>
        <w:bottom w:val="none" w:sz="0" w:space="0" w:color="auto"/>
        <w:right w:val="none" w:sz="0" w:space="0" w:color="auto"/>
      </w:divBdr>
    </w:div>
    <w:div w:id="261571868">
      <w:bodyDiv w:val="1"/>
      <w:marLeft w:val="0"/>
      <w:marRight w:val="0"/>
      <w:marTop w:val="0"/>
      <w:marBottom w:val="0"/>
      <w:divBdr>
        <w:top w:val="none" w:sz="0" w:space="0" w:color="auto"/>
        <w:left w:val="none" w:sz="0" w:space="0" w:color="auto"/>
        <w:bottom w:val="none" w:sz="0" w:space="0" w:color="auto"/>
        <w:right w:val="none" w:sz="0" w:space="0" w:color="auto"/>
      </w:divBdr>
    </w:div>
    <w:div w:id="262228138">
      <w:bodyDiv w:val="1"/>
      <w:marLeft w:val="0"/>
      <w:marRight w:val="0"/>
      <w:marTop w:val="0"/>
      <w:marBottom w:val="0"/>
      <w:divBdr>
        <w:top w:val="none" w:sz="0" w:space="0" w:color="auto"/>
        <w:left w:val="none" w:sz="0" w:space="0" w:color="auto"/>
        <w:bottom w:val="none" w:sz="0" w:space="0" w:color="auto"/>
        <w:right w:val="none" w:sz="0" w:space="0" w:color="auto"/>
      </w:divBdr>
    </w:div>
    <w:div w:id="293874645">
      <w:bodyDiv w:val="1"/>
      <w:marLeft w:val="0"/>
      <w:marRight w:val="0"/>
      <w:marTop w:val="0"/>
      <w:marBottom w:val="0"/>
      <w:divBdr>
        <w:top w:val="none" w:sz="0" w:space="0" w:color="auto"/>
        <w:left w:val="none" w:sz="0" w:space="0" w:color="auto"/>
        <w:bottom w:val="none" w:sz="0" w:space="0" w:color="auto"/>
        <w:right w:val="none" w:sz="0" w:space="0" w:color="auto"/>
      </w:divBdr>
    </w:div>
    <w:div w:id="310445437">
      <w:bodyDiv w:val="1"/>
      <w:marLeft w:val="0"/>
      <w:marRight w:val="0"/>
      <w:marTop w:val="0"/>
      <w:marBottom w:val="0"/>
      <w:divBdr>
        <w:top w:val="none" w:sz="0" w:space="0" w:color="auto"/>
        <w:left w:val="none" w:sz="0" w:space="0" w:color="auto"/>
        <w:bottom w:val="none" w:sz="0" w:space="0" w:color="auto"/>
        <w:right w:val="none" w:sz="0" w:space="0" w:color="auto"/>
      </w:divBdr>
    </w:div>
    <w:div w:id="442307509">
      <w:bodyDiv w:val="1"/>
      <w:marLeft w:val="0"/>
      <w:marRight w:val="0"/>
      <w:marTop w:val="0"/>
      <w:marBottom w:val="0"/>
      <w:divBdr>
        <w:top w:val="none" w:sz="0" w:space="0" w:color="auto"/>
        <w:left w:val="none" w:sz="0" w:space="0" w:color="auto"/>
        <w:bottom w:val="none" w:sz="0" w:space="0" w:color="auto"/>
        <w:right w:val="none" w:sz="0" w:space="0" w:color="auto"/>
      </w:divBdr>
    </w:div>
    <w:div w:id="48185059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3684757">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3766761">
      <w:bodyDiv w:val="1"/>
      <w:marLeft w:val="0"/>
      <w:marRight w:val="0"/>
      <w:marTop w:val="0"/>
      <w:marBottom w:val="0"/>
      <w:divBdr>
        <w:top w:val="none" w:sz="0" w:space="0" w:color="auto"/>
        <w:left w:val="none" w:sz="0" w:space="0" w:color="auto"/>
        <w:bottom w:val="none" w:sz="0" w:space="0" w:color="auto"/>
        <w:right w:val="none" w:sz="0" w:space="0" w:color="auto"/>
      </w:divBdr>
    </w:div>
    <w:div w:id="61514377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5554510">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67251721">
      <w:bodyDiv w:val="1"/>
      <w:marLeft w:val="0"/>
      <w:marRight w:val="0"/>
      <w:marTop w:val="0"/>
      <w:marBottom w:val="0"/>
      <w:divBdr>
        <w:top w:val="none" w:sz="0" w:space="0" w:color="auto"/>
        <w:left w:val="none" w:sz="0" w:space="0" w:color="auto"/>
        <w:bottom w:val="none" w:sz="0" w:space="0" w:color="auto"/>
        <w:right w:val="none" w:sz="0" w:space="0" w:color="auto"/>
      </w:divBdr>
    </w:div>
    <w:div w:id="691341192">
      <w:bodyDiv w:val="1"/>
      <w:marLeft w:val="0"/>
      <w:marRight w:val="0"/>
      <w:marTop w:val="0"/>
      <w:marBottom w:val="0"/>
      <w:divBdr>
        <w:top w:val="none" w:sz="0" w:space="0" w:color="auto"/>
        <w:left w:val="none" w:sz="0" w:space="0" w:color="auto"/>
        <w:bottom w:val="none" w:sz="0" w:space="0" w:color="auto"/>
        <w:right w:val="none" w:sz="0" w:space="0" w:color="auto"/>
      </w:divBdr>
    </w:div>
    <w:div w:id="703822342">
      <w:bodyDiv w:val="1"/>
      <w:marLeft w:val="0"/>
      <w:marRight w:val="0"/>
      <w:marTop w:val="0"/>
      <w:marBottom w:val="0"/>
      <w:divBdr>
        <w:top w:val="none" w:sz="0" w:space="0" w:color="auto"/>
        <w:left w:val="none" w:sz="0" w:space="0" w:color="auto"/>
        <w:bottom w:val="none" w:sz="0" w:space="0" w:color="auto"/>
        <w:right w:val="none" w:sz="0" w:space="0" w:color="auto"/>
      </w:divBdr>
    </w:div>
    <w:div w:id="83245096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5073786">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0137778">
      <w:bodyDiv w:val="1"/>
      <w:marLeft w:val="0"/>
      <w:marRight w:val="0"/>
      <w:marTop w:val="0"/>
      <w:marBottom w:val="0"/>
      <w:divBdr>
        <w:top w:val="none" w:sz="0" w:space="0" w:color="auto"/>
        <w:left w:val="none" w:sz="0" w:space="0" w:color="auto"/>
        <w:bottom w:val="none" w:sz="0" w:space="0" w:color="auto"/>
        <w:right w:val="none" w:sz="0" w:space="0" w:color="auto"/>
      </w:divBdr>
    </w:div>
    <w:div w:id="1002974511">
      <w:bodyDiv w:val="1"/>
      <w:marLeft w:val="0"/>
      <w:marRight w:val="0"/>
      <w:marTop w:val="0"/>
      <w:marBottom w:val="0"/>
      <w:divBdr>
        <w:top w:val="none" w:sz="0" w:space="0" w:color="auto"/>
        <w:left w:val="none" w:sz="0" w:space="0" w:color="auto"/>
        <w:bottom w:val="none" w:sz="0" w:space="0" w:color="auto"/>
        <w:right w:val="none" w:sz="0" w:space="0" w:color="auto"/>
      </w:divBdr>
    </w:div>
    <w:div w:id="1147405580">
      <w:bodyDiv w:val="1"/>
      <w:marLeft w:val="0"/>
      <w:marRight w:val="0"/>
      <w:marTop w:val="0"/>
      <w:marBottom w:val="0"/>
      <w:divBdr>
        <w:top w:val="none" w:sz="0" w:space="0" w:color="auto"/>
        <w:left w:val="none" w:sz="0" w:space="0" w:color="auto"/>
        <w:bottom w:val="none" w:sz="0" w:space="0" w:color="auto"/>
        <w:right w:val="none" w:sz="0" w:space="0" w:color="auto"/>
      </w:divBdr>
    </w:div>
    <w:div w:id="1150751679">
      <w:bodyDiv w:val="1"/>
      <w:marLeft w:val="0"/>
      <w:marRight w:val="0"/>
      <w:marTop w:val="0"/>
      <w:marBottom w:val="0"/>
      <w:divBdr>
        <w:top w:val="none" w:sz="0" w:space="0" w:color="auto"/>
        <w:left w:val="none" w:sz="0" w:space="0" w:color="auto"/>
        <w:bottom w:val="none" w:sz="0" w:space="0" w:color="auto"/>
        <w:right w:val="none" w:sz="0" w:space="0" w:color="auto"/>
      </w:divBdr>
    </w:div>
    <w:div w:id="115791702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9589309">
      <w:bodyDiv w:val="1"/>
      <w:marLeft w:val="0"/>
      <w:marRight w:val="0"/>
      <w:marTop w:val="0"/>
      <w:marBottom w:val="0"/>
      <w:divBdr>
        <w:top w:val="none" w:sz="0" w:space="0" w:color="auto"/>
        <w:left w:val="none" w:sz="0" w:space="0" w:color="auto"/>
        <w:bottom w:val="none" w:sz="0" w:space="0" w:color="auto"/>
        <w:right w:val="none" w:sz="0" w:space="0" w:color="auto"/>
      </w:divBdr>
    </w:div>
    <w:div w:id="1233932380">
      <w:bodyDiv w:val="1"/>
      <w:marLeft w:val="0"/>
      <w:marRight w:val="0"/>
      <w:marTop w:val="0"/>
      <w:marBottom w:val="0"/>
      <w:divBdr>
        <w:top w:val="none" w:sz="0" w:space="0" w:color="auto"/>
        <w:left w:val="none" w:sz="0" w:space="0" w:color="auto"/>
        <w:bottom w:val="none" w:sz="0" w:space="0" w:color="auto"/>
        <w:right w:val="none" w:sz="0" w:space="0" w:color="auto"/>
      </w:divBdr>
    </w:div>
    <w:div w:id="1240629137">
      <w:bodyDiv w:val="1"/>
      <w:marLeft w:val="0"/>
      <w:marRight w:val="0"/>
      <w:marTop w:val="0"/>
      <w:marBottom w:val="0"/>
      <w:divBdr>
        <w:top w:val="none" w:sz="0" w:space="0" w:color="auto"/>
        <w:left w:val="none" w:sz="0" w:space="0" w:color="auto"/>
        <w:bottom w:val="none" w:sz="0" w:space="0" w:color="auto"/>
        <w:right w:val="none" w:sz="0" w:space="0" w:color="auto"/>
      </w:divBdr>
    </w:div>
    <w:div w:id="1321034685">
      <w:bodyDiv w:val="1"/>
      <w:marLeft w:val="0"/>
      <w:marRight w:val="0"/>
      <w:marTop w:val="0"/>
      <w:marBottom w:val="0"/>
      <w:divBdr>
        <w:top w:val="none" w:sz="0" w:space="0" w:color="auto"/>
        <w:left w:val="none" w:sz="0" w:space="0" w:color="auto"/>
        <w:bottom w:val="none" w:sz="0" w:space="0" w:color="auto"/>
        <w:right w:val="none" w:sz="0" w:space="0" w:color="auto"/>
      </w:divBdr>
    </w:div>
    <w:div w:id="1359165706">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3990637">
      <w:bodyDiv w:val="1"/>
      <w:marLeft w:val="0"/>
      <w:marRight w:val="0"/>
      <w:marTop w:val="0"/>
      <w:marBottom w:val="0"/>
      <w:divBdr>
        <w:top w:val="none" w:sz="0" w:space="0" w:color="auto"/>
        <w:left w:val="none" w:sz="0" w:space="0" w:color="auto"/>
        <w:bottom w:val="none" w:sz="0" w:space="0" w:color="auto"/>
        <w:right w:val="none" w:sz="0" w:space="0" w:color="auto"/>
      </w:divBdr>
    </w:div>
    <w:div w:id="1405570707">
      <w:bodyDiv w:val="1"/>
      <w:marLeft w:val="0"/>
      <w:marRight w:val="0"/>
      <w:marTop w:val="0"/>
      <w:marBottom w:val="0"/>
      <w:divBdr>
        <w:top w:val="none" w:sz="0" w:space="0" w:color="auto"/>
        <w:left w:val="none" w:sz="0" w:space="0" w:color="auto"/>
        <w:bottom w:val="none" w:sz="0" w:space="0" w:color="auto"/>
        <w:right w:val="none" w:sz="0" w:space="0" w:color="auto"/>
      </w:divBdr>
    </w:div>
    <w:div w:id="142969735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78998495">
      <w:bodyDiv w:val="1"/>
      <w:marLeft w:val="0"/>
      <w:marRight w:val="0"/>
      <w:marTop w:val="0"/>
      <w:marBottom w:val="0"/>
      <w:divBdr>
        <w:top w:val="none" w:sz="0" w:space="0" w:color="auto"/>
        <w:left w:val="none" w:sz="0" w:space="0" w:color="auto"/>
        <w:bottom w:val="none" w:sz="0" w:space="0" w:color="auto"/>
        <w:right w:val="none" w:sz="0" w:space="0" w:color="auto"/>
      </w:divBdr>
    </w:div>
    <w:div w:id="1759058855">
      <w:bodyDiv w:val="1"/>
      <w:marLeft w:val="0"/>
      <w:marRight w:val="0"/>
      <w:marTop w:val="0"/>
      <w:marBottom w:val="0"/>
      <w:divBdr>
        <w:top w:val="none" w:sz="0" w:space="0" w:color="auto"/>
        <w:left w:val="none" w:sz="0" w:space="0" w:color="auto"/>
        <w:bottom w:val="none" w:sz="0" w:space="0" w:color="auto"/>
        <w:right w:val="none" w:sz="0" w:space="0" w:color="auto"/>
      </w:divBdr>
    </w:div>
    <w:div w:id="1766881949">
      <w:bodyDiv w:val="1"/>
      <w:marLeft w:val="0"/>
      <w:marRight w:val="0"/>
      <w:marTop w:val="0"/>
      <w:marBottom w:val="0"/>
      <w:divBdr>
        <w:top w:val="none" w:sz="0" w:space="0" w:color="auto"/>
        <w:left w:val="none" w:sz="0" w:space="0" w:color="auto"/>
        <w:bottom w:val="none" w:sz="0" w:space="0" w:color="auto"/>
        <w:right w:val="none" w:sz="0" w:space="0" w:color="auto"/>
      </w:divBdr>
    </w:div>
    <w:div w:id="1829520534">
      <w:bodyDiv w:val="1"/>
      <w:marLeft w:val="0"/>
      <w:marRight w:val="0"/>
      <w:marTop w:val="0"/>
      <w:marBottom w:val="0"/>
      <w:divBdr>
        <w:top w:val="none" w:sz="0" w:space="0" w:color="auto"/>
        <w:left w:val="none" w:sz="0" w:space="0" w:color="auto"/>
        <w:bottom w:val="none" w:sz="0" w:space="0" w:color="auto"/>
        <w:right w:val="none" w:sz="0" w:space="0" w:color="auto"/>
      </w:divBdr>
    </w:div>
    <w:div w:id="1838031608">
      <w:bodyDiv w:val="1"/>
      <w:marLeft w:val="0"/>
      <w:marRight w:val="0"/>
      <w:marTop w:val="0"/>
      <w:marBottom w:val="0"/>
      <w:divBdr>
        <w:top w:val="none" w:sz="0" w:space="0" w:color="auto"/>
        <w:left w:val="none" w:sz="0" w:space="0" w:color="auto"/>
        <w:bottom w:val="none" w:sz="0" w:space="0" w:color="auto"/>
        <w:right w:val="none" w:sz="0" w:space="0" w:color="auto"/>
      </w:divBdr>
    </w:div>
    <w:div w:id="1933199648">
      <w:bodyDiv w:val="1"/>
      <w:marLeft w:val="0"/>
      <w:marRight w:val="0"/>
      <w:marTop w:val="0"/>
      <w:marBottom w:val="0"/>
      <w:divBdr>
        <w:top w:val="none" w:sz="0" w:space="0" w:color="auto"/>
        <w:left w:val="none" w:sz="0" w:space="0" w:color="auto"/>
        <w:bottom w:val="none" w:sz="0" w:space="0" w:color="auto"/>
        <w:right w:val="none" w:sz="0" w:space="0" w:color="auto"/>
      </w:divBdr>
    </w:div>
    <w:div w:id="2016568601">
      <w:bodyDiv w:val="1"/>
      <w:marLeft w:val="0"/>
      <w:marRight w:val="0"/>
      <w:marTop w:val="0"/>
      <w:marBottom w:val="0"/>
      <w:divBdr>
        <w:top w:val="none" w:sz="0" w:space="0" w:color="auto"/>
        <w:left w:val="none" w:sz="0" w:space="0" w:color="auto"/>
        <w:bottom w:val="none" w:sz="0" w:space="0" w:color="auto"/>
        <w:right w:val="none" w:sz="0" w:space="0" w:color="auto"/>
      </w:divBdr>
    </w:div>
    <w:div w:id="2046131390">
      <w:bodyDiv w:val="1"/>
      <w:marLeft w:val="0"/>
      <w:marRight w:val="0"/>
      <w:marTop w:val="0"/>
      <w:marBottom w:val="0"/>
      <w:divBdr>
        <w:top w:val="none" w:sz="0" w:space="0" w:color="auto"/>
        <w:left w:val="none" w:sz="0" w:space="0" w:color="auto"/>
        <w:bottom w:val="none" w:sz="0" w:space="0" w:color="auto"/>
        <w:right w:val="none" w:sz="0" w:space="0" w:color="auto"/>
      </w:divBdr>
    </w:div>
    <w:div w:id="2053386348">
      <w:bodyDiv w:val="1"/>
      <w:marLeft w:val="0"/>
      <w:marRight w:val="0"/>
      <w:marTop w:val="0"/>
      <w:marBottom w:val="0"/>
      <w:divBdr>
        <w:top w:val="none" w:sz="0" w:space="0" w:color="auto"/>
        <w:left w:val="none" w:sz="0" w:space="0" w:color="auto"/>
        <w:bottom w:val="none" w:sz="0" w:space="0" w:color="auto"/>
        <w:right w:val="none" w:sz="0" w:space="0" w:color="auto"/>
      </w:divBdr>
    </w:div>
    <w:div w:id="20808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30</TotalTime>
  <Pages>8</Pages>
  <Words>1935</Words>
  <Characters>13021</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20222052737 mt. 2.10.2023: Fejlrettelse af pkt. 10: B rettet til BP, og linket er slettet.</dc:description>
  <cp:lastModifiedBy>Hanne Thy Iversen</cp:lastModifiedBy>
  <cp:revision>9</cp:revision>
  <cp:lastPrinted>2022-05-18T14:03:00Z</cp:lastPrinted>
  <dcterms:created xsi:type="dcterms:W3CDTF">2023-08-23T12:43:00Z</dcterms:created>
  <dcterms:modified xsi:type="dcterms:W3CDTF">2023-10-02T08:55:00Z</dcterms:modified>
</cp:coreProperties>
</file>