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07998" w14:textId="77777777" w:rsidR="008203A8" w:rsidRPr="008F49E1" w:rsidRDefault="008203A8" w:rsidP="008203A8">
      <w:pPr>
        <w:rPr>
          <w:sz w:val="24"/>
          <w:szCs w:val="24"/>
        </w:rPr>
      </w:pPr>
      <w:r w:rsidRPr="005B0036">
        <w:rPr>
          <w:noProof/>
          <w:sz w:val="24"/>
          <w:szCs w:val="24"/>
          <w:lang w:eastAsia="da-DK"/>
        </w:rPr>
        <w:drawing>
          <wp:inline distT="0" distB="0" distL="0" distR="0" wp14:anchorId="52D02823" wp14:editId="16A0A10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AA95695" w14:textId="77777777" w:rsidR="00A86920" w:rsidRDefault="00A86920" w:rsidP="008203A8">
      <w:pPr>
        <w:tabs>
          <w:tab w:val="right" w:pos="9356"/>
        </w:tabs>
        <w:rPr>
          <w:sz w:val="24"/>
          <w:szCs w:val="24"/>
        </w:rPr>
      </w:pPr>
    </w:p>
    <w:p w14:paraId="5D16A5F0" w14:textId="3B1746D8" w:rsidR="008203A8" w:rsidRPr="00406EE7" w:rsidRDefault="008203A8" w:rsidP="008203A8">
      <w:pPr>
        <w:tabs>
          <w:tab w:val="right" w:pos="9356"/>
        </w:tabs>
        <w:rPr>
          <w:b/>
          <w:sz w:val="24"/>
          <w:szCs w:val="24"/>
        </w:rPr>
      </w:pPr>
      <w:r>
        <w:rPr>
          <w:b/>
          <w:sz w:val="24"/>
          <w:szCs w:val="24"/>
        </w:rPr>
        <w:tab/>
      </w:r>
      <w:r w:rsidR="00A86920">
        <w:rPr>
          <w:b/>
          <w:sz w:val="24"/>
          <w:szCs w:val="24"/>
        </w:rPr>
        <w:t>1</w:t>
      </w:r>
      <w:r w:rsidR="003B7FCB">
        <w:rPr>
          <w:b/>
          <w:sz w:val="24"/>
          <w:szCs w:val="24"/>
        </w:rPr>
        <w:t>5</w:t>
      </w:r>
      <w:r w:rsidR="00871ADE">
        <w:rPr>
          <w:b/>
          <w:sz w:val="24"/>
          <w:szCs w:val="24"/>
        </w:rPr>
        <w:t xml:space="preserve">. </w:t>
      </w:r>
      <w:r w:rsidR="00A86920">
        <w:rPr>
          <w:b/>
          <w:sz w:val="24"/>
          <w:szCs w:val="24"/>
        </w:rPr>
        <w:t>november 2024</w:t>
      </w:r>
    </w:p>
    <w:p w14:paraId="48E8CFE3" w14:textId="77777777" w:rsidR="008203A8" w:rsidRDefault="008203A8" w:rsidP="008203A8">
      <w:pPr>
        <w:rPr>
          <w:sz w:val="24"/>
          <w:szCs w:val="24"/>
        </w:rPr>
      </w:pPr>
    </w:p>
    <w:p w14:paraId="267C204B" w14:textId="77777777" w:rsidR="008203A8" w:rsidRDefault="008203A8" w:rsidP="008203A8">
      <w:pPr>
        <w:jc w:val="center"/>
        <w:rPr>
          <w:b/>
          <w:sz w:val="24"/>
          <w:szCs w:val="24"/>
        </w:rPr>
      </w:pPr>
    </w:p>
    <w:p w14:paraId="02EF9526" w14:textId="77777777" w:rsidR="008203A8" w:rsidRPr="00406EE7" w:rsidRDefault="008203A8" w:rsidP="008203A8">
      <w:pPr>
        <w:jc w:val="center"/>
        <w:rPr>
          <w:b/>
          <w:sz w:val="24"/>
          <w:szCs w:val="24"/>
        </w:rPr>
      </w:pPr>
      <w:r w:rsidRPr="00406EE7">
        <w:rPr>
          <w:b/>
          <w:sz w:val="24"/>
          <w:szCs w:val="24"/>
        </w:rPr>
        <w:t>PRODUKTRESUMÉ</w:t>
      </w:r>
    </w:p>
    <w:p w14:paraId="3C397340" w14:textId="77777777" w:rsidR="008203A8" w:rsidRPr="00406EE7" w:rsidRDefault="008203A8" w:rsidP="008203A8">
      <w:pPr>
        <w:jc w:val="center"/>
        <w:rPr>
          <w:b/>
          <w:sz w:val="24"/>
          <w:szCs w:val="24"/>
        </w:rPr>
      </w:pPr>
    </w:p>
    <w:p w14:paraId="03072AAF" w14:textId="77777777" w:rsidR="008203A8" w:rsidRPr="00406EE7" w:rsidRDefault="008203A8" w:rsidP="008203A8">
      <w:pPr>
        <w:jc w:val="center"/>
        <w:rPr>
          <w:b/>
          <w:sz w:val="24"/>
          <w:szCs w:val="24"/>
        </w:rPr>
      </w:pPr>
      <w:r w:rsidRPr="00406EE7">
        <w:rPr>
          <w:b/>
          <w:sz w:val="24"/>
          <w:szCs w:val="24"/>
        </w:rPr>
        <w:t>for</w:t>
      </w:r>
    </w:p>
    <w:p w14:paraId="44FD2A2E" w14:textId="77777777" w:rsidR="008203A8" w:rsidRPr="00406EE7" w:rsidRDefault="008203A8" w:rsidP="008203A8">
      <w:pPr>
        <w:jc w:val="center"/>
        <w:rPr>
          <w:b/>
          <w:sz w:val="24"/>
          <w:szCs w:val="24"/>
        </w:rPr>
      </w:pPr>
    </w:p>
    <w:p w14:paraId="7CF1A067" w14:textId="07347642" w:rsidR="0056773D" w:rsidRDefault="0056773D" w:rsidP="0056773D">
      <w:pPr>
        <w:tabs>
          <w:tab w:val="left" w:pos="8222"/>
        </w:tabs>
        <w:jc w:val="center"/>
        <w:rPr>
          <w:b/>
          <w:sz w:val="24"/>
          <w:lang w:eastAsia="da-DK"/>
        </w:rPr>
      </w:pPr>
      <w:proofErr w:type="spellStart"/>
      <w:r>
        <w:rPr>
          <w:b/>
        </w:rPr>
        <w:t>Itrafungol</w:t>
      </w:r>
      <w:proofErr w:type="spellEnd"/>
      <w:r>
        <w:rPr>
          <w:b/>
        </w:rPr>
        <w:t xml:space="preserve"> </w:t>
      </w:r>
      <w:proofErr w:type="spellStart"/>
      <w:r>
        <w:rPr>
          <w:b/>
        </w:rPr>
        <w:t>Vet</w:t>
      </w:r>
      <w:proofErr w:type="spellEnd"/>
      <w:r>
        <w:rPr>
          <w:b/>
        </w:rPr>
        <w:t>., oral opløsning</w:t>
      </w:r>
    </w:p>
    <w:p w14:paraId="482D4B31" w14:textId="5CA37E63" w:rsidR="008203A8" w:rsidRPr="00406EE7" w:rsidRDefault="008203A8" w:rsidP="0056773D">
      <w:pPr>
        <w:jc w:val="center"/>
        <w:rPr>
          <w:sz w:val="24"/>
          <w:szCs w:val="24"/>
        </w:rPr>
      </w:pPr>
    </w:p>
    <w:p w14:paraId="0CAA69FA" w14:textId="77777777" w:rsidR="008203A8" w:rsidRDefault="008203A8" w:rsidP="008203A8">
      <w:pPr>
        <w:jc w:val="both"/>
        <w:rPr>
          <w:sz w:val="24"/>
          <w:szCs w:val="24"/>
        </w:rPr>
      </w:pPr>
    </w:p>
    <w:p w14:paraId="00B040C4" w14:textId="77777777" w:rsidR="008203A8" w:rsidRPr="00406EE7" w:rsidRDefault="008203A8" w:rsidP="008203A8">
      <w:pPr>
        <w:jc w:val="both"/>
        <w:rPr>
          <w:sz w:val="24"/>
          <w:szCs w:val="24"/>
        </w:rPr>
      </w:pPr>
    </w:p>
    <w:p w14:paraId="04B14160"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1F25ACC3" w14:textId="7C9D66B8" w:rsidR="008203A8" w:rsidRPr="00406EE7" w:rsidRDefault="0056773D" w:rsidP="008203A8">
      <w:pPr>
        <w:ind w:left="851"/>
        <w:rPr>
          <w:sz w:val="24"/>
          <w:szCs w:val="24"/>
        </w:rPr>
      </w:pPr>
      <w:r>
        <w:rPr>
          <w:sz w:val="24"/>
          <w:szCs w:val="24"/>
        </w:rPr>
        <w:t>22351</w:t>
      </w:r>
    </w:p>
    <w:p w14:paraId="03616C40" w14:textId="77777777" w:rsidR="008203A8" w:rsidRPr="00406EE7" w:rsidRDefault="008203A8" w:rsidP="008203A8">
      <w:pPr>
        <w:ind w:left="851"/>
        <w:rPr>
          <w:sz w:val="24"/>
          <w:szCs w:val="24"/>
        </w:rPr>
      </w:pPr>
    </w:p>
    <w:p w14:paraId="4B82784D"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74E0823" w14:textId="49A94DAA" w:rsidR="008203A8" w:rsidRPr="0056773D" w:rsidRDefault="0056773D" w:rsidP="008203A8">
      <w:pPr>
        <w:ind w:left="851"/>
        <w:rPr>
          <w:sz w:val="24"/>
          <w:szCs w:val="24"/>
        </w:rPr>
      </w:pPr>
      <w:r w:rsidRPr="0056773D">
        <w:rPr>
          <w:sz w:val="24"/>
          <w:szCs w:val="24"/>
          <w:lang w:val="nb-NO"/>
        </w:rPr>
        <w:t>Itrafungol Vet.</w:t>
      </w:r>
    </w:p>
    <w:p w14:paraId="379B06EC" w14:textId="77777777" w:rsidR="008203A8" w:rsidRDefault="008203A8" w:rsidP="008203A8">
      <w:pPr>
        <w:ind w:left="851"/>
        <w:rPr>
          <w:sz w:val="24"/>
          <w:szCs w:val="24"/>
        </w:rPr>
      </w:pPr>
    </w:p>
    <w:p w14:paraId="51656E44" w14:textId="02A3E414" w:rsidR="008203A8" w:rsidRPr="00776C2C" w:rsidRDefault="008203A8" w:rsidP="008203A8">
      <w:pPr>
        <w:ind w:left="851"/>
        <w:rPr>
          <w:sz w:val="24"/>
          <w:szCs w:val="24"/>
        </w:rPr>
      </w:pPr>
      <w:r w:rsidRPr="00776C2C">
        <w:rPr>
          <w:sz w:val="24"/>
          <w:szCs w:val="24"/>
        </w:rPr>
        <w:t xml:space="preserve">Lægemiddelform: </w:t>
      </w:r>
      <w:r w:rsidR="0056773D">
        <w:rPr>
          <w:sz w:val="24"/>
          <w:szCs w:val="24"/>
        </w:rPr>
        <w:t>Oral opløsning</w:t>
      </w:r>
    </w:p>
    <w:p w14:paraId="3B43FB13" w14:textId="3998E9F4" w:rsidR="008203A8" w:rsidRPr="00776C2C" w:rsidRDefault="008203A8" w:rsidP="008203A8">
      <w:pPr>
        <w:ind w:left="851"/>
        <w:rPr>
          <w:sz w:val="24"/>
          <w:szCs w:val="24"/>
        </w:rPr>
      </w:pPr>
      <w:r w:rsidRPr="00776C2C">
        <w:rPr>
          <w:sz w:val="24"/>
          <w:szCs w:val="24"/>
        </w:rPr>
        <w:t xml:space="preserve">Styrke(r): </w:t>
      </w:r>
      <w:r w:rsidR="0056773D" w:rsidRPr="0056773D">
        <w:rPr>
          <w:sz w:val="24"/>
          <w:szCs w:val="24"/>
        </w:rPr>
        <w:t>10 mg/ml</w:t>
      </w:r>
    </w:p>
    <w:p w14:paraId="3A03CF9C" w14:textId="77777777" w:rsidR="008203A8" w:rsidRPr="00406EE7" w:rsidRDefault="008203A8" w:rsidP="008203A8">
      <w:pPr>
        <w:ind w:left="851"/>
        <w:rPr>
          <w:sz w:val="24"/>
          <w:szCs w:val="24"/>
        </w:rPr>
      </w:pPr>
    </w:p>
    <w:p w14:paraId="3F4066FE"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23FB0B8" w14:textId="77777777" w:rsidR="0056773D" w:rsidRPr="0056773D" w:rsidRDefault="0056773D" w:rsidP="0056773D">
      <w:pPr>
        <w:tabs>
          <w:tab w:val="left" w:pos="567"/>
        </w:tabs>
        <w:ind w:left="851"/>
        <w:rPr>
          <w:sz w:val="24"/>
          <w:szCs w:val="24"/>
          <w:lang w:eastAsia="da-DK"/>
        </w:rPr>
      </w:pPr>
      <w:r w:rsidRPr="0056773D">
        <w:rPr>
          <w:sz w:val="24"/>
          <w:szCs w:val="24"/>
        </w:rPr>
        <w:t xml:space="preserve">Hver ml indeholder: </w:t>
      </w:r>
      <w:r w:rsidRPr="0056773D">
        <w:rPr>
          <w:sz w:val="24"/>
          <w:szCs w:val="24"/>
        </w:rPr>
        <w:br/>
      </w:r>
    </w:p>
    <w:p w14:paraId="606B3977" w14:textId="77777777" w:rsidR="0056773D" w:rsidRPr="0056773D" w:rsidRDefault="0056773D" w:rsidP="0056773D">
      <w:pPr>
        <w:tabs>
          <w:tab w:val="left" w:pos="567"/>
        </w:tabs>
        <w:ind w:left="851"/>
        <w:rPr>
          <w:b/>
          <w:sz w:val="24"/>
          <w:szCs w:val="24"/>
        </w:rPr>
      </w:pPr>
      <w:r w:rsidRPr="0056773D">
        <w:rPr>
          <w:b/>
          <w:sz w:val="24"/>
          <w:szCs w:val="24"/>
        </w:rPr>
        <w:t>Aktivt stof:</w:t>
      </w:r>
    </w:p>
    <w:p w14:paraId="69D833AA" w14:textId="689BFC9F" w:rsidR="0056773D" w:rsidRPr="0056773D" w:rsidRDefault="0056773D" w:rsidP="0056773D">
      <w:pPr>
        <w:tabs>
          <w:tab w:val="left" w:pos="567"/>
        </w:tabs>
        <w:ind w:left="851"/>
        <w:rPr>
          <w:sz w:val="24"/>
          <w:szCs w:val="24"/>
        </w:rPr>
      </w:pPr>
      <w:proofErr w:type="spellStart"/>
      <w:r w:rsidRPr="0056773D">
        <w:rPr>
          <w:sz w:val="24"/>
          <w:szCs w:val="24"/>
        </w:rPr>
        <w:t>Itraconazol</w:t>
      </w:r>
      <w:proofErr w:type="spellEnd"/>
      <w:r>
        <w:rPr>
          <w:sz w:val="24"/>
          <w:szCs w:val="24"/>
        </w:rPr>
        <w:t xml:space="preserve"> </w:t>
      </w:r>
      <w:r w:rsidRPr="0056773D">
        <w:rPr>
          <w:sz w:val="24"/>
          <w:szCs w:val="24"/>
        </w:rPr>
        <w:t>10 mg</w:t>
      </w:r>
    </w:p>
    <w:p w14:paraId="2642FC04" w14:textId="77777777" w:rsidR="0056773D" w:rsidRPr="0056773D" w:rsidRDefault="0056773D" w:rsidP="0056773D">
      <w:pPr>
        <w:tabs>
          <w:tab w:val="left" w:pos="567"/>
        </w:tabs>
        <w:ind w:left="851"/>
        <w:rPr>
          <w:b/>
          <w:sz w:val="24"/>
          <w:szCs w:val="24"/>
        </w:rPr>
      </w:pPr>
    </w:p>
    <w:p w14:paraId="72CAF792" w14:textId="77777777" w:rsidR="0056773D" w:rsidRPr="0056773D" w:rsidRDefault="0056773D" w:rsidP="0056773D">
      <w:pPr>
        <w:tabs>
          <w:tab w:val="left" w:pos="567"/>
        </w:tabs>
        <w:ind w:left="851"/>
        <w:rPr>
          <w:b/>
          <w:bCs/>
          <w:sz w:val="24"/>
          <w:szCs w:val="24"/>
        </w:rPr>
      </w:pPr>
      <w:r w:rsidRPr="0056773D">
        <w:rPr>
          <w:b/>
          <w:bCs/>
          <w:sz w:val="24"/>
          <w:szCs w:val="24"/>
        </w:rPr>
        <w:t>Hjælpestoffer:</w:t>
      </w:r>
    </w:p>
    <w:p w14:paraId="6F889F3C" w14:textId="77777777" w:rsidR="0056773D" w:rsidRPr="0056773D" w:rsidRDefault="0056773D" w:rsidP="0056773D">
      <w:pPr>
        <w:tabs>
          <w:tab w:val="left" w:pos="567"/>
        </w:tabs>
        <w:ind w:left="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4358"/>
      </w:tblGrid>
      <w:tr w:rsidR="0056773D" w14:paraId="5F388AAE"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6751C318" w14:textId="77777777" w:rsidR="0056773D" w:rsidRDefault="0056773D">
            <w:pPr>
              <w:tabs>
                <w:tab w:val="left" w:pos="567"/>
              </w:tabs>
              <w:rPr>
                <w:b/>
              </w:rPr>
            </w:pPr>
            <w:r>
              <w:rPr>
                <w:b/>
              </w:rPr>
              <w:t>Kvalitativ sammensætning af hjælpestoffer og andre bestanddele</w:t>
            </w:r>
          </w:p>
        </w:tc>
        <w:tc>
          <w:tcPr>
            <w:tcW w:w="4358" w:type="dxa"/>
            <w:tcBorders>
              <w:top w:val="single" w:sz="4" w:space="0" w:color="auto"/>
              <w:left w:val="single" w:sz="4" w:space="0" w:color="auto"/>
              <w:bottom w:val="single" w:sz="4" w:space="0" w:color="auto"/>
              <w:right w:val="single" w:sz="4" w:space="0" w:color="auto"/>
            </w:tcBorders>
            <w:hideMark/>
          </w:tcPr>
          <w:p w14:paraId="46B66B20" w14:textId="77777777" w:rsidR="0056773D" w:rsidRDefault="0056773D" w:rsidP="0056773D">
            <w:pPr>
              <w:tabs>
                <w:tab w:val="left" w:pos="567"/>
              </w:tabs>
              <w:rPr>
                <w:b/>
              </w:rPr>
            </w:pPr>
            <w:r>
              <w:rPr>
                <w:b/>
                <w:bCs/>
                <w:iCs/>
                <w:szCs w:val="22"/>
              </w:rPr>
              <w:t>Kvantitativ sammensætning, hvis oplysningen er vigtig for korrekt administration af veterinærlægemidlet</w:t>
            </w:r>
          </w:p>
        </w:tc>
      </w:tr>
      <w:tr w:rsidR="0056773D" w14:paraId="2D97CAC1"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172D302C" w14:textId="77777777" w:rsidR="0056773D" w:rsidRDefault="0056773D" w:rsidP="0056773D">
            <w:pPr>
              <w:tabs>
                <w:tab w:val="left" w:pos="567"/>
              </w:tabs>
              <w:rPr>
                <w:b/>
              </w:rPr>
            </w:pPr>
            <w:r>
              <w:t>Karamel (E150)</w:t>
            </w:r>
          </w:p>
        </w:tc>
        <w:tc>
          <w:tcPr>
            <w:tcW w:w="4358" w:type="dxa"/>
            <w:tcBorders>
              <w:top w:val="single" w:sz="4" w:space="0" w:color="auto"/>
              <w:left w:val="single" w:sz="4" w:space="0" w:color="auto"/>
              <w:bottom w:val="single" w:sz="4" w:space="0" w:color="auto"/>
              <w:right w:val="single" w:sz="4" w:space="0" w:color="auto"/>
            </w:tcBorders>
            <w:hideMark/>
          </w:tcPr>
          <w:p w14:paraId="3B9DBE3C" w14:textId="77777777" w:rsidR="0056773D" w:rsidRDefault="0056773D" w:rsidP="0056773D">
            <w:pPr>
              <w:tabs>
                <w:tab w:val="left" w:pos="567"/>
              </w:tabs>
              <w:rPr>
                <w:bCs/>
              </w:rPr>
            </w:pPr>
            <w:r>
              <w:rPr>
                <w:bCs/>
              </w:rPr>
              <w:t>0,2 mg</w:t>
            </w:r>
          </w:p>
        </w:tc>
      </w:tr>
      <w:tr w:rsidR="0056773D" w14:paraId="7185F4AF"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334A287A" w14:textId="77777777" w:rsidR="0056773D" w:rsidRDefault="0056773D" w:rsidP="0056773D">
            <w:pPr>
              <w:tabs>
                <w:tab w:val="left" w:pos="567"/>
              </w:tabs>
              <w:rPr>
                <w:b/>
              </w:rPr>
            </w:pPr>
            <w:r>
              <w:t>Propylenglycol (E1520)</w:t>
            </w:r>
          </w:p>
        </w:tc>
        <w:tc>
          <w:tcPr>
            <w:tcW w:w="4358" w:type="dxa"/>
            <w:tcBorders>
              <w:top w:val="single" w:sz="4" w:space="0" w:color="auto"/>
              <w:left w:val="single" w:sz="4" w:space="0" w:color="auto"/>
              <w:bottom w:val="single" w:sz="4" w:space="0" w:color="auto"/>
              <w:right w:val="single" w:sz="4" w:space="0" w:color="auto"/>
            </w:tcBorders>
            <w:hideMark/>
          </w:tcPr>
          <w:p w14:paraId="3EFFAC68" w14:textId="77777777" w:rsidR="0056773D" w:rsidRDefault="0056773D" w:rsidP="0056773D">
            <w:pPr>
              <w:tabs>
                <w:tab w:val="left" w:pos="567"/>
              </w:tabs>
              <w:rPr>
                <w:bCs/>
              </w:rPr>
            </w:pPr>
            <w:r>
              <w:rPr>
                <w:bCs/>
              </w:rPr>
              <w:t>103,6 mg</w:t>
            </w:r>
          </w:p>
        </w:tc>
      </w:tr>
      <w:tr w:rsidR="0056773D" w14:paraId="6500D61C"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3B08D4C9" w14:textId="77777777" w:rsidR="0056773D" w:rsidRDefault="0056773D" w:rsidP="0056773D">
            <w:pPr>
              <w:tabs>
                <w:tab w:val="left" w:pos="567"/>
              </w:tabs>
              <w:rPr>
                <w:b/>
              </w:rPr>
            </w:pPr>
            <w:r>
              <w:t>Flydende sorbitol 70% (ikke krystalliserende)</w:t>
            </w:r>
          </w:p>
        </w:tc>
        <w:tc>
          <w:tcPr>
            <w:tcW w:w="4358" w:type="dxa"/>
            <w:tcBorders>
              <w:top w:val="single" w:sz="4" w:space="0" w:color="auto"/>
              <w:left w:val="single" w:sz="4" w:space="0" w:color="auto"/>
              <w:bottom w:val="single" w:sz="4" w:space="0" w:color="auto"/>
              <w:right w:val="single" w:sz="4" w:space="0" w:color="auto"/>
            </w:tcBorders>
            <w:hideMark/>
          </w:tcPr>
          <w:p w14:paraId="5CD7FC8F" w14:textId="77777777" w:rsidR="0056773D" w:rsidRDefault="0056773D" w:rsidP="0056773D">
            <w:pPr>
              <w:tabs>
                <w:tab w:val="left" w:pos="567"/>
              </w:tabs>
              <w:rPr>
                <w:bCs/>
              </w:rPr>
            </w:pPr>
            <w:r>
              <w:rPr>
                <w:bCs/>
              </w:rPr>
              <w:t>245,1 mg</w:t>
            </w:r>
          </w:p>
        </w:tc>
      </w:tr>
      <w:tr w:rsidR="0056773D" w14:paraId="6262E4D4"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6C22DA0B" w14:textId="77777777" w:rsidR="0056773D" w:rsidRDefault="0056773D" w:rsidP="0056773D">
            <w:pPr>
              <w:tabs>
                <w:tab w:val="left" w:pos="567"/>
              </w:tabs>
              <w:rPr>
                <w:b/>
              </w:rPr>
            </w:pPr>
            <w:proofErr w:type="spellStart"/>
            <w:r>
              <w:t>Hydroxypropyl</w:t>
            </w:r>
            <w:proofErr w:type="spellEnd"/>
            <w:r>
              <w:t>-b-</w:t>
            </w:r>
            <w:proofErr w:type="spellStart"/>
            <w:r>
              <w:t>cyclodextrin</w:t>
            </w:r>
            <w:proofErr w:type="spellEnd"/>
          </w:p>
        </w:tc>
        <w:tc>
          <w:tcPr>
            <w:tcW w:w="4358" w:type="dxa"/>
            <w:tcBorders>
              <w:top w:val="single" w:sz="4" w:space="0" w:color="auto"/>
              <w:left w:val="single" w:sz="4" w:space="0" w:color="auto"/>
              <w:bottom w:val="single" w:sz="4" w:space="0" w:color="auto"/>
              <w:right w:val="single" w:sz="4" w:space="0" w:color="auto"/>
            </w:tcBorders>
          </w:tcPr>
          <w:p w14:paraId="1013CB17" w14:textId="77777777" w:rsidR="0056773D" w:rsidRDefault="0056773D" w:rsidP="0056773D">
            <w:pPr>
              <w:tabs>
                <w:tab w:val="left" w:pos="567"/>
              </w:tabs>
              <w:rPr>
                <w:b/>
              </w:rPr>
            </w:pPr>
          </w:p>
        </w:tc>
      </w:tr>
      <w:tr w:rsidR="0056773D" w14:paraId="1C711BC3"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06F1910E" w14:textId="77777777" w:rsidR="0056773D" w:rsidRDefault="0056773D" w:rsidP="0056773D">
            <w:pPr>
              <w:tabs>
                <w:tab w:val="left" w:pos="567"/>
              </w:tabs>
              <w:rPr>
                <w:b/>
              </w:rPr>
            </w:pPr>
            <w:r>
              <w:t>Koncentreret saltsyre</w:t>
            </w:r>
          </w:p>
        </w:tc>
        <w:tc>
          <w:tcPr>
            <w:tcW w:w="4358" w:type="dxa"/>
            <w:tcBorders>
              <w:top w:val="single" w:sz="4" w:space="0" w:color="auto"/>
              <w:left w:val="single" w:sz="4" w:space="0" w:color="auto"/>
              <w:bottom w:val="single" w:sz="4" w:space="0" w:color="auto"/>
              <w:right w:val="single" w:sz="4" w:space="0" w:color="auto"/>
            </w:tcBorders>
          </w:tcPr>
          <w:p w14:paraId="7C56791C" w14:textId="77777777" w:rsidR="0056773D" w:rsidRDefault="0056773D" w:rsidP="0056773D">
            <w:pPr>
              <w:tabs>
                <w:tab w:val="left" w:pos="567"/>
              </w:tabs>
              <w:rPr>
                <w:b/>
              </w:rPr>
            </w:pPr>
          </w:p>
        </w:tc>
      </w:tr>
      <w:tr w:rsidR="0056773D" w14:paraId="4011710C"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3A42D398" w14:textId="77777777" w:rsidR="0056773D" w:rsidRDefault="0056773D" w:rsidP="0056773D">
            <w:pPr>
              <w:tabs>
                <w:tab w:val="left" w:pos="567"/>
              </w:tabs>
              <w:rPr>
                <w:b/>
              </w:rPr>
            </w:pPr>
            <w:r>
              <w:t>Natriumhydroxid</w:t>
            </w:r>
          </w:p>
        </w:tc>
        <w:tc>
          <w:tcPr>
            <w:tcW w:w="4358" w:type="dxa"/>
            <w:tcBorders>
              <w:top w:val="single" w:sz="4" w:space="0" w:color="auto"/>
              <w:left w:val="single" w:sz="4" w:space="0" w:color="auto"/>
              <w:bottom w:val="single" w:sz="4" w:space="0" w:color="auto"/>
              <w:right w:val="single" w:sz="4" w:space="0" w:color="auto"/>
            </w:tcBorders>
          </w:tcPr>
          <w:p w14:paraId="30BC3A33" w14:textId="77777777" w:rsidR="0056773D" w:rsidRDefault="0056773D" w:rsidP="0056773D">
            <w:pPr>
              <w:tabs>
                <w:tab w:val="left" w:pos="567"/>
              </w:tabs>
              <w:rPr>
                <w:b/>
              </w:rPr>
            </w:pPr>
          </w:p>
        </w:tc>
      </w:tr>
      <w:tr w:rsidR="0056773D" w14:paraId="522D88C1"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782AADE0" w14:textId="77777777" w:rsidR="0056773D" w:rsidRDefault="0056773D" w:rsidP="0056773D">
            <w:pPr>
              <w:tabs>
                <w:tab w:val="left" w:pos="567"/>
              </w:tabs>
              <w:rPr>
                <w:b/>
              </w:rPr>
            </w:pPr>
            <w:proofErr w:type="spellStart"/>
            <w:r>
              <w:t>Natriumsaccharin</w:t>
            </w:r>
            <w:proofErr w:type="spellEnd"/>
          </w:p>
        </w:tc>
        <w:tc>
          <w:tcPr>
            <w:tcW w:w="4358" w:type="dxa"/>
            <w:tcBorders>
              <w:top w:val="single" w:sz="4" w:space="0" w:color="auto"/>
              <w:left w:val="single" w:sz="4" w:space="0" w:color="auto"/>
              <w:bottom w:val="single" w:sz="4" w:space="0" w:color="auto"/>
              <w:right w:val="single" w:sz="4" w:space="0" w:color="auto"/>
            </w:tcBorders>
          </w:tcPr>
          <w:p w14:paraId="185D6662" w14:textId="77777777" w:rsidR="0056773D" w:rsidRDefault="0056773D" w:rsidP="0056773D">
            <w:pPr>
              <w:tabs>
                <w:tab w:val="left" w:pos="567"/>
              </w:tabs>
              <w:rPr>
                <w:b/>
              </w:rPr>
            </w:pPr>
          </w:p>
        </w:tc>
      </w:tr>
      <w:tr w:rsidR="0056773D" w14:paraId="27171111"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37E43512" w14:textId="77777777" w:rsidR="0056773D" w:rsidRDefault="0056773D" w:rsidP="0056773D">
            <w:pPr>
              <w:tabs>
                <w:tab w:val="left" w:pos="567"/>
              </w:tabs>
              <w:rPr>
                <w:b/>
              </w:rPr>
            </w:pPr>
            <w:r>
              <w:t>Kirsebærsmag</w:t>
            </w:r>
          </w:p>
        </w:tc>
        <w:tc>
          <w:tcPr>
            <w:tcW w:w="4358" w:type="dxa"/>
            <w:tcBorders>
              <w:top w:val="single" w:sz="4" w:space="0" w:color="auto"/>
              <w:left w:val="single" w:sz="4" w:space="0" w:color="auto"/>
              <w:bottom w:val="single" w:sz="4" w:space="0" w:color="auto"/>
              <w:right w:val="single" w:sz="4" w:space="0" w:color="auto"/>
            </w:tcBorders>
          </w:tcPr>
          <w:p w14:paraId="48D4CF07" w14:textId="77777777" w:rsidR="0056773D" w:rsidRDefault="0056773D" w:rsidP="0056773D">
            <w:pPr>
              <w:tabs>
                <w:tab w:val="left" w:pos="567"/>
              </w:tabs>
              <w:rPr>
                <w:b/>
              </w:rPr>
            </w:pPr>
          </w:p>
        </w:tc>
      </w:tr>
      <w:tr w:rsidR="0056773D" w14:paraId="3B248402" w14:textId="77777777" w:rsidTr="0056773D">
        <w:tc>
          <w:tcPr>
            <w:tcW w:w="4340" w:type="dxa"/>
            <w:tcBorders>
              <w:top w:val="single" w:sz="4" w:space="0" w:color="auto"/>
              <w:left w:val="single" w:sz="4" w:space="0" w:color="auto"/>
              <w:bottom w:val="single" w:sz="4" w:space="0" w:color="auto"/>
              <w:right w:val="single" w:sz="4" w:space="0" w:color="auto"/>
            </w:tcBorders>
            <w:hideMark/>
          </w:tcPr>
          <w:p w14:paraId="3AF684A1" w14:textId="77777777" w:rsidR="0056773D" w:rsidRDefault="0056773D" w:rsidP="0056773D">
            <w:r>
              <w:t>Renset vand</w:t>
            </w:r>
          </w:p>
        </w:tc>
        <w:tc>
          <w:tcPr>
            <w:tcW w:w="4358" w:type="dxa"/>
            <w:tcBorders>
              <w:top w:val="single" w:sz="4" w:space="0" w:color="auto"/>
              <w:left w:val="single" w:sz="4" w:space="0" w:color="auto"/>
              <w:bottom w:val="single" w:sz="4" w:space="0" w:color="auto"/>
              <w:right w:val="single" w:sz="4" w:space="0" w:color="auto"/>
            </w:tcBorders>
          </w:tcPr>
          <w:p w14:paraId="1E4AEAF5" w14:textId="77777777" w:rsidR="0056773D" w:rsidRDefault="0056773D" w:rsidP="0056773D">
            <w:pPr>
              <w:tabs>
                <w:tab w:val="left" w:pos="567"/>
              </w:tabs>
              <w:rPr>
                <w:b/>
              </w:rPr>
            </w:pPr>
          </w:p>
        </w:tc>
      </w:tr>
    </w:tbl>
    <w:p w14:paraId="5A13433E" w14:textId="325EB810" w:rsidR="008203A8" w:rsidRDefault="008203A8" w:rsidP="008203A8">
      <w:pPr>
        <w:ind w:left="851"/>
        <w:rPr>
          <w:sz w:val="24"/>
          <w:szCs w:val="24"/>
        </w:rPr>
      </w:pPr>
    </w:p>
    <w:p w14:paraId="44A6DAE4" w14:textId="77777777" w:rsidR="005343AE" w:rsidRPr="005343AE" w:rsidRDefault="005343AE" w:rsidP="005343AE">
      <w:pPr>
        <w:ind w:left="851"/>
        <w:rPr>
          <w:sz w:val="24"/>
          <w:szCs w:val="24"/>
          <w:lang w:eastAsia="da-DK"/>
        </w:rPr>
      </w:pPr>
      <w:r w:rsidRPr="005343AE">
        <w:rPr>
          <w:sz w:val="24"/>
          <w:szCs w:val="24"/>
        </w:rPr>
        <w:t>Gul til let ravfarvet klar opløsning.</w:t>
      </w:r>
    </w:p>
    <w:p w14:paraId="76C80DD5" w14:textId="77777777" w:rsidR="005343AE" w:rsidRDefault="005343AE" w:rsidP="008203A8">
      <w:pPr>
        <w:ind w:left="851"/>
        <w:rPr>
          <w:sz w:val="24"/>
          <w:szCs w:val="24"/>
        </w:rPr>
      </w:pPr>
    </w:p>
    <w:p w14:paraId="30077585" w14:textId="77777777" w:rsidR="008203A8" w:rsidRPr="008509BB" w:rsidRDefault="008203A8" w:rsidP="008203A8">
      <w:pPr>
        <w:ind w:left="851"/>
        <w:rPr>
          <w:sz w:val="24"/>
          <w:szCs w:val="24"/>
        </w:rPr>
      </w:pPr>
    </w:p>
    <w:p w14:paraId="29343A8C" w14:textId="77777777" w:rsidR="008203A8" w:rsidRPr="00406EE7" w:rsidRDefault="008203A8" w:rsidP="00871ADE">
      <w:pPr>
        <w:keepNext/>
        <w:ind w:left="851" w:hanging="851"/>
        <w:rPr>
          <w:b/>
          <w:sz w:val="24"/>
          <w:szCs w:val="24"/>
        </w:rPr>
      </w:pPr>
      <w:r w:rsidRPr="00406EE7">
        <w:rPr>
          <w:b/>
          <w:sz w:val="24"/>
          <w:szCs w:val="24"/>
        </w:rPr>
        <w:lastRenderedPageBreak/>
        <w:t>3.</w:t>
      </w:r>
      <w:r w:rsidRPr="00406EE7">
        <w:rPr>
          <w:b/>
          <w:sz w:val="24"/>
          <w:szCs w:val="24"/>
        </w:rPr>
        <w:tab/>
        <w:t>KLINISKE OPLYSNINGER</w:t>
      </w:r>
    </w:p>
    <w:p w14:paraId="53B6CE6C" w14:textId="77777777" w:rsidR="008203A8" w:rsidRPr="00406EE7" w:rsidRDefault="008203A8" w:rsidP="008203A8">
      <w:pPr>
        <w:tabs>
          <w:tab w:val="left" w:pos="851"/>
        </w:tabs>
        <w:ind w:left="851"/>
        <w:rPr>
          <w:sz w:val="24"/>
          <w:szCs w:val="24"/>
        </w:rPr>
      </w:pPr>
    </w:p>
    <w:p w14:paraId="2719DC9A"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2630D1D8" w14:textId="082BF90E" w:rsidR="008203A8" w:rsidRPr="00406EE7" w:rsidRDefault="00197E4C" w:rsidP="008203A8">
      <w:pPr>
        <w:ind w:left="851"/>
        <w:rPr>
          <w:sz w:val="24"/>
          <w:szCs w:val="24"/>
        </w:rPr>
      </w:pPr>
      <w:r>
        <w:rPr>
          <w:sz w:val="24"/>
          <w:szCs w:val="24"/>
        </w:rPr>
        <w:t>Kat.</w:t>
      </w:r>
    </w:p>
    <w:p w14:paraId="39EF1367" w14:textId="77777777" w:rsidR="008203A8" w:rsidRPr="00406EE7" w:rsidRDefault="008203A8" w:rsidP="008203A8">
      <w:pPr>
        <w:ind w:left="851"/>
        <w:rPr>
          <w:sz w:val="24"/>
          <w:szCs w:val="24"/>
        </w:rPr>
      </w:pPr>
    </w:p>
    <w:p w14:paraId="23C81848"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4E584F08" w14:textId="086F8774" w:rsidR="008203A8" w:rsidRDefault="00197E4C" w:rsidP="008203A8">
      <w:pPr>
        <w:pStyle w:val="Sidehoved"/>
        <w:ind w:left="851"/>
        <w:rPr>
          <w:szCs w:val="24"/>
        </w:rPr>
      </w:pPr>
      <w:r>
        <w:t xml:space="preserve">Behandling af </w:t>
      </w:r>
      <w:proofErr w:type="spellStart"/>
      <w:r>
        <w:t>dermatofytose</w:t>
      </w:r>
      <w:proofErr w:type="spellEnd"/>
      <w:r>
        <w:t xml:space="preserve"> forårsaget af </w:t>
      </w:r>
      <w:proofErr w:type="spellStart"/>
      <w:r>
        <w:rPr>
          <w:i/>
        </w:rPr>
        <w:t>Microsporum</w:t>
      </w:r>
      <w:proofErr w:type="spellEnd"/>
      <w:r>
        <w:rPr>
          <w:i/>
        </w:rPr>
        <w:t xml:space="preserve"> </w:t>
      </w:r>
      <w:proofErr w:type="spellStart"/>
      <w:r>
        <w:rPr>
          <w:i/>
        </w:rPr>
        <w:t>canis</w:t>
      </w:r>
      <w:proofErr w:type="spellEnd"/>
      <w:r>
        <w:rPr>
          <w:i/>
        </w:rPr>
        <w:t>.</w:t>
      </w:r>
    </w:p>
    <w:p w14:paraId="2CDCCDAF" w14:textId="77777777" w:rsidR="008203A8" w:rsidRDefault="008203A8" w:rsidP="008203A8">
      <w:pPr>
        <w:pStyle w:val="Sidehoved"/>
        <w:ind w:left="851"/>
        <w:rPr>
          <w:szCs w:val="24"/>
        </w:rPr>
      </w:pPr>
    </w:p>
    <w:p w14:paraId="2DCB7C01"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46D88676" w14:textId="77777777" w:rsidR="00197E4C" w:rsidRPr="00197E4C" w:rsidRDefault="00197E4C" w:rsidP="00197E4C">
      <w:pPr>
        <w:ind w:left="851"/>
        <w:rPr>
          <w:sz w:val="24"/>
          <w:szCs w:val="24"/>
          <w:lang w:eastAsia="da-DK"/>
        </w:rPr>
      </w:pPr>
      <w:r w:rsidRPr="00197E4C">
        <w:rPr>
          <w:sz w:val="24"/>
          <w:szCs w:val="24"/>
        </w:rPr>
        <w:t xml:space="preserve">Bør ikke indgives til katte, der er overfølsomme over for </w:t>
      </w:r>
      <w:proofErr w:type="spellStart"/>
      <w:r w:rsidRPr="00197E4C">
        <w:rPr>
          <w:sz w:val="24"/>
          <w:szCs w:val="24"/>
        </w:rPr>
        <w:t>itraconazol</w:t>
      </w:r>
      <w:proofErr w:type="spellEnd"/>
      <w:r w:rsidRPr="00197E4C">
        <w:rPr>
          <w:sz w:val="24"/>
          <w:szCs w:val="24"/>
        </w:rPr>
        <w:t xml:space="preserve"> eller et af de andre indholdsstoffer. </w:t>
      </w:r>
    </w:p>
    <w:p w14:paraId="7BAB36ED" w14:textId="77777777" w:rsidR="00197E4C" w:rsidRPr="00197E4C" w:rsidRDefault="00197E4C" w:rsidP="00197E4C">
      <w:pPr>
        <w:ind w:left="851"/>
        <w:rPr>
          <w:sz w:val="24"/>
          <w:szCs w:val="24"/>
        </w:rPr>
      </w:pPr>
      <w:r w:rsidRPr="00197E4C">
        <w:rPr>
          <w:sz w:val="24"/>
          <w:szCs w:val="24"/>
        </w:rPr>
        <w:t>Bør ikke indgives til katte med svækket lever- eller nyrefunktion.</w:t>
      </w:r>
    </w:p>
    <w:p w14:paraId="72672F09" w14:textId="77777777" w:rsidR="00197E4C" w:rsidRPr="00197E4C" w:rsidRDefault="00197E4C" w:rsidP="00197E4C">
      <w:pPr>
        <w:ind w:left="851"/>
        <w:rPr>
          <w:sz w:val="24"/>
          <w:szCs w:val="24"/>
        </w:rPr>
      </w:pPr>
      <w:r w:rsidRPr="00197E4C">
        <w:rPr>
          <w:sz w:val="24"/>
          <w:szCs w:val="24"/>
        </w:rPr>
        <w:t xml:space="preserve">For anvendelse til drægtige eller </w:t>
      </w:r>
      <w:proofErr w:type="spellStart"/>
      <w:r w:rsidRPr="00197E4C">
        <w:rPr>
          <w:sz w:val="24"/>
          <w:szCs w:val="24"/>
        </w:rPr>
        <w:t>lakterende</w:t>
      </w:r>
      <w:proofErr w:type="spellEnd"/>
      <w:r w:rsidRPr="00197E4C">
        <w:rPr>
          <w:sz w:val="24"/>
          <w:szCs w:val="24"/>
        </w:rPr>
        <w:t xml:space="preserve"> hunkatte: se afsnit 3.7</w:t>
      </w:r>
    </w:p>
    <w:p w14:paraId="1029780C" w14:textId="77777777" w:rsidR="008203A8" w:rsidRPr="00406EE7" w:rsidRDefault="008203A8" w:rsidP="008203A8">
      <w:pPr>
        <w:pStyle w:val="Sidehoved"/>
        <w:tabs>
          <w:tab w:val="clear" w:pos="4819"/>
        </w:tabs>
        <w:ind w:left="851"/>
        <w:rPr>
          <w:szCs w:val="24"/>
        </w:rPr>
      </w:pPr>
    </w:p>
    <w:p w14:paraId="21EF2D6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67310264" w14:textId="77777777" w:rsidR="00197E4C" w:rsidRPr="00197E4C" w:rsidRDefault="00197E4C" w:rsidP="00197E4C">
      <w:pPr>
        <w:ind w:left="851"/>
        <w:rPr>
          <w:sz w:val="24"/>
          <w:szCs w:val="24"/>
          <w:lang w:eastAsia="da-DK"/>
        </w:rPr>
      </w:pPr>
      <w:r w:rsidRPr="00197E4C">
        <w:rPr>
          <w:sz w:val="24"/>
          <w:szCs w:val="24"/>
        </w:rPr>
        <w:t xml:space="preserve">Nogle tilfælde af </w:t>
      </w:r>
      <w:proofErr w:type="spellStart"/>
      <w:r w:rsidRPr="00197E4C">
        <w:rPr>
          <w:sz w:val="24"/>
          <w:szCs w:val="24"/>
        </w:rPr>
        <w:t>dermatofytose</w:t>
      </w:r>
      <w:proofErr w:type="spellEnd"/>
      <w:r w:rsidRPr="00197E4C">
        <w:rPr>
          <w:sz w:val="24"/>
          <w:szCs w:val="24"/>
        </w:rPr>
        <w:t xml:space="preserve"> hos katte kan være vanskelige at helbrede. Dette gælder især i </w:t>
      </w:r>
      <w:proofErr w:type="spellStart"/>
      <w:r w:rsidRPr="00197E4C">
        <w:rPr>
          <w:sz w:val="24"/>
          <w:szCs w:val="24"/>
        </w:rPr>
        <w:t>katterier</w:t>
      </w:r>
      <w:proofErr w:type="spellEnd"/>
      <w:r w:rsidRPr="00197E4C">
        <w:rPr>
          <w:sz w:val="24"/>
          <w:szCs w:val="24"/>
        </w:rPr>
        <w:t xml:space="preserve">. Katte, som er behandlet med </w:t>
      </w:r>
      <w:proofErr w:type="spellStart"/>
      <w:r w:rsidRPr="00197E4C">
        <w:rPr>
          <w:sz w:val="24"/>
          <w:szCs w:val="24"/>
        </w:rPr>
        <w:t>itraconazol</w:t>
      </w:r>
      <w:proofErr w:type="spellEnd"/>
      <w:r w:rsidRPr="00197E4C">
        <w:rPr>
          <w:sz w:val="24"/>
          <w:szCs w:val="24"/>
        </w:rPr>
        <w:t xml:space="preserve">, kan stadig (så længe de ikke er mykologisk helbredte) smitte andre katte med </w:t>
      </w:r>
      <w:r w:rsidRPr="00197E4C">
        <w:rPr>
          <w:i/>
          <w:iCs/>
          <w:sz w:val="24"/>
          <w:szCs w:val="24"/>
        </w:rPr>
        <w:t xml:space="preserve">M. </w:t>
      </w:r>
      <w:proofErr w:type="spellStart"/>
      <w:r w:rsidRPr="00197E4C">
        <w:rPr>
          <w:i/>
          <w:iCs/>
          <w:sz w:val="24"/>
          <w:szCs w:val="24"/>
        </w:rPr>
        <w:t>canis</w:t>
      </w:r>
      <w:proofErr w:type="spellEnd"/>
      <w:r w:rsidRPr="00197E4C">
        <w:rPr>
          <w:sz w:val="24"/>
          <w:szCs w:val="24"/>
        </w:rPr>
        <w:t xml:space="preserve">. For at minimere risikoen for re-infektion og spredning af smitten anbefales det at holde raske katte (og hunde, som også kan smittes med </w:t>
      </w:r>
      <w:r w:rsidRPr="00197E4C">
        <w:rPr>
          <w:i/>
          <w:iCs/>
          <w:sz w:val="24"/>
          <w:szCs w:val="24"/>
        </w:rPr>
        <w:t xml:space="preserve">M. </w:t>
      </w:r>
      <w:proofErr w:type="spellStart"/>
      <w:r w:rsidRPr="00197E4C">
        <w:rPr>
          <w:i/>
          <w:iCs/>
          <w:sz w:val="24"/>
          <w:szCs w:val="24"/>
        </w:rPr>
        <w:t>canis</w:t>
      </w:r>
      <w:proofErr w:type="spellEnd"/>
      <w:r w:rsidRPr="00197E4C">
        <w:rPr>
          <w:sz w:val="24"/>
          <w:szCs w:val="24"/>
        </w:rPr>
        <w:t>) adskilt fra de katte, som er under behandling. Det må kraftigt anbefales, at rengøre og desinficere omgivelserne med passende svampedræbende midler, især hvis der er tale om et flokproblem.</w:t>
      </w:r>
    </w:p>
    <w:p w14:paraId="5E35A9CB" w14:textId="77777777" w:rsidR="00197E4C" w:rsidRPr="00197E4C" w:rsidRDefault="00197E4C" w:rsidP="00197E4C">
      <w:pPr>
        <w:ind w:left="851"/>
        <w:rPr>
          <w:sz w:val="24"/>
          <w:szCs w:val="24"/>
        </w:rPr>
      </w:pPr>
    </w:p>
    <w:p w14:paraId="4BBFA710" w14:textId="77777777" w:rsidR="00197E4C" w:rsidRPr="00197E4C" w:rsidRDefault="00197E4C" w:rsidP="00197E4C">
      <w:pPr>
        <w:ind w:left="851"/>
        <w:rPr>
          <w:sz w:val="24"/>
          <w:szCs w:val="24"/>
        </w:rPr>
      </w:pPr>
      <w:r w:rsidRPr="00197E4C">
        <w:rPr>
          <w:sz w:val="24"/>
          <w:szCs w:val="24"/>
        </w:rPr>
        <w:t>Klipning af pels på inficerede katte bør kun ske efter samråd med den behandlende dyrlæge.</w:t>
      </w:r>
    </w:p>
    <w:p w14:paraId="1278F43F" w14:textId="77777777" w:rsidR="00197E4C" w:rsidRPr="00197E4C" w:rsidRDefault="00197E4C" w:rsidP="00197E4C">
      <w:pPr>
        <w:ind w:left="851"/>
        <w:rPr>
          <w:sz w:val="24"/>
          <w:szCs w:val="24"/>
        </w:rPr>
      </w:pPr>
    </w:p>
    <w:p w14:paraId="453EC9C9" w14:textId="77777777" w:rsidR="00197E4C" w:rsidRPr="00197E4C" w:rsidRDefault="00197E4C" w:rsidP="00197E4C">
      <w:pPr>
        <w:ind w:left="851"/>
        <w:rPr>
          <w:sz w:val="24"/>
          <w:szCs w:val="24"/>
        </w:rPr>
      </w:pPr>
      <w:r w:rsidRPr="00197E4C">
        <w:rPr>
          <w:sz w:val="24"/>
          <w:szCs w:val="24"/>
        </w:rPr>
        <w:t xml:space="preserve">Det anses for at være nyttigt at klippe pelsen, fordi man derved fjerner inficerede hår og samtidig stimulerer væksten af nye hår. Herved opnås en hurtigere helbredelse. Det må stærkt anbefales, at klipningen udføres af en dyrlæge. I tilfælde, hvor infektionen er begrænset til et lille område, kan man nøjes med at klippe hårene i og omkring området, medens det, hvis katten lider af en generel </w:t>
      </w:r>
      <w:proofErr w:type="spellStart"/>
      <w:r w:rsidRPr="00197E4C">
        <w:rPr>
          <w:sz w:val="24"/>
          <w:szCs w:val="24"/>
        </w:rPr>
        <w:t>dermatofytose</w:t>
      </w:r>
      <w:proofErr w:type="spellEnd"/>
      <w:r w:rsidRPr="00197E4C">
        <w:rPr>
          <w:sz w:val="24"/>
          <w:szCs w:val="24"/>
        </w:rPr>
        <w:t>, anbefales at klippe katten helt. Man skal være omhyggelig med at undgå, at huden beskadiges under klipningen. Det anbefales, at den, der udfører klipninger, benytter engangshandsker og engangsbeskyttelsesdragt. Klipningen bør udføres i et vel ventileret rum, som kan desinficeres efter klipningen. Hårene skal fjernes og tilintetgøres på passende vis, og de instrumenter, der er anvendt til klipningen, skal rengøres og desinficeres.</w:t>
      </w:r>
    </w:p>
    <w:p w14:paraId="14D00701" w14:textId="77777777" w:rsidR="00197E4C" w:rsidRPr="00197E4C" w:rsidRDefault="00197E4C" w:rsidP="00197E4C">
      <w:pPr>
        <w:ind w:left="851"/>
        <w:rPr>
          <w:sz w:val="24"/>
          <w:szCs w:val="24"/>
        </w:rPr>
      </w:pPr>
    </w:p>
    <w:p w14:paraId="0BA962D2" w14:textId="77777777" w:rsidR="00197E4C" w:rsidRPr="00197E4C" w:rsidRDefault="00197E4C" w:rsidP="00197E4C">
      <w:pPr>
        <w:ind w:left="851"/>
        <w:rPr>
          <w:sz w:val="24"/>
          <w:szCs w:val="24"/>
        </w:rPr>
      </w:pPr>
      <w:r w:rsidRPr="00197E4C">
        <w:rPr>
          <w:sz w:val="24"/>
          <w:szCs w:val="24"/>
        </w:rPr>
        <w:t xml:space="preserve">Behandlingen af </w:t>
      </w:r>
      <w:proofErr w:type="spellStart"/>
      <w:r w:rsidRPr="00197E4C">
        <w:rPr>
          <w:sz w:val="24"/>
          <w:szCs w:val="24"/>
        </w:rPr>
        <w:t>dermatofytoser</w:t>
      </w:r>
      <w:proofErr w:type="spellEnd"/>
      <w:r w:rsidRPr="00197E4C">
        <w:rPr>
          <w:sz w:val="24"/>
          <w:szCs w:val="24"/>
        </w:rPr>
        <w:t xml:space="preserve"> bør ikke begrænses til en behandling af de(t) inficerede dyr. Den bør også omfatte desinfektion af miljøet med passende svampedræbende midler, da </w:t>
      </w:r>
      <w:r w:rsidRPr="00197E4C">
        <w:rPr>
          <w:i/>
          <w:sz w:val="24"/>
          <w:szCs w:val="24"/>
        </w:rPr>
        <w:t xml:space="preserve">M. </w:t>
      </w:r>
      <w:proofErr w:type="spellStart"/>
      <w:r w:rsidRPr="00197E4C">
        <w:rPr>
          <w:i/>
          <w:sz w:val="24"/>
          <w:szCs w:val="24"/>
        </w:rPr>
        <w:t>canis</w:t>
      </w:r>
      <w:proofErr w:type="spellEnd"/>
      <w:r w:rsidRPr="00197E4C">
        <w:rPr>
          <w:sz w:val="24"/>
          <w:szCs w:val="24"/>
        </w:rPr>
        <w:t xml:space="preserve"> sporer kan overleve i miljøet i op til 18 måneder. Andre forholdsregler såsom hyppig støvsugning, desinfektion af plejeudstyr og fjernelse af alt potentielt kontamineret materiale, der ikke kan desinficeres, mindsker risikoen for ny infektion eller spredning af infektionen. Støvsugning og desinfektion skal fortsættes i en længere periode, efter at dyrene er blevet klinisk raske. Støvsugning bør dog begrænses til sådanne overflader, som ikke kan rengøres med en fugtig klud og alle andre overflader bør rengøres med en fugtig klud. Alle klude, der har været anvendt til rengøring, skal enten rengøres og desinficeres eller smides væk. Støvsugerposen skal skiftes og fjernes efter rengøringen.</w:t>
      </w:r>
    </w:p>
    <w:p w14:paraId="7C40C144" w14:textId="77777777" w:rsidR="00197E4C" w:rsidRPr="00197E4C" w:rsidRDefault="00197E4C" w:rsidP="00197E4C">
      <w:pPr>
        <w:ind w:left="851"/>
        <w:rPr>
          <w:sz w:val="24"/>
          <w:szCs w:val="24"/>
        </w:rPr>
      </w:pPr>
    </w:p>
    <w:p w14:paraId="5B4349A2" w14:textId="77777777" w:rsidR="00197E4C" w:rsidRPr="00197E4C" w:rsidRDefault="00197E4C" w:rsidP="00197E4C">
      <w:pPr>
        <w:ind w:left="851"/>
        <w:rPr>
          <w:sz w:val="24"/>
          <w:szCs w:val="24"/>
        </w:rPr>
      </w:pPr>
      <w:r w:rsidRPr="00197E4C">
        <w:rPr>
          <w:sz w:val="24"/>
          <w:szCs w:val="24"/>
        </w:rPr>
        <w:t xml:space="preserve">Forholdsregler til hindring af indførelse af </w:t>
      </w:r>
      <w:r w:rsidRPr="00197E4C">
        <w:rPr>
          <w:i/>
          <w:sz w:val="24"/>
          <w:szCs w:val="24"/>
        </w:rPr>
        <w:t xml:space="preserve">M. </w:t>
      </w:r>
      <w:proofErr w:type="spellStart"/>
      <w:r w:rsidRPr="00197E4C">
        <w:rPr>
          <w:i/>
          <w:sz w:val="24"/>
          <w:szCs w:val="24"/>
        </w:rPr>
        <w:t>canis</w:t>
      </w:r>
      <w:proofErr w:type="spellEnd"/>
      <w:r w:rsidRPr="00197E4C">
        <w:rPr>
          <w:sz w:val="24"/>
          <w:szCs w:val="24"/>
        </w:rPr>
        <w:t xml:space="preserve"> i </w:t>
      </w:r>
      <w:proofErr w:type="spellStart"/>
      <w:r w:rsidRPr="00197E4C">
        <w:rPr>
          <w:sz w:val="24"/>
          <w:szCs w:val="24"/>
        </w:rPr>
        <w:t>kattegrupper</w:t>
      </w:r>
      <w:proofErr w:type="spellEnd"/>
      <w:r w:rsidRPr="00197E4C">
        <w:rPr>
          <w:sz w:val="24"/>
          <w:szCs w:val="24"/>
        </w:rPr>
        <w:t xml:space="preserve"> kan omfatte isolation af nye katte og katte, der vender tilbage fra udstillinger eller parring, udelukkelse af besøgende og periodisk overvågning med ”</w:t>
      </w:r>
      <w:proofErr w:type="spellStart"/>
      <w:r w:rsidRPr="00197E4C">
        <w:rPr>
          <w:sz w:val="24"/>
          <w:szCs w:val="24"/>
        </w:rPr>
        <w:t>Wood’s</w:t>
      </w:r>
      <w:proofErr w:type="spellEnd"/>
      <w:r w:rsidRPr="00197E4C">
        <w:rPr>
          <w:sz w:val="24"/>
          <w:szCs w:val="24"/>
        </w:rPr>
        <w:t xml:space="preserve"> lampe” eller ved dyrkning for </w:t>
      </w:r>
      <w:proofErr w:type="spellStart"/>
      <w:proofErr w:type="gramStart"/>
      <w:r w:rsidRPr="00197E4C">
        <w:rPr>
          <w:i/>
          <w:sz w:val="24"/>
          <w:szCs w:val="24"/>
        </w:rPr>
        <w:t>M.canis</w:t>
      </w:r>
      <w:proofErr w:type="spellEnd"/>
      <w:proofErr w:type="gramEnd"/>
      <w:r w:rsidRPr="00197E4C">
        <w:rPr>
          <w:sz w:val="24"/>
          <w:szCs w:val="24"/>
        </w:rPr>
        <w:t>.</w:t>
      </w:r>
    </w:p>
    <w:p w14:paraId="3F6CB67A" w14:textId="77777777" w:rsidR="00197E4C" w:rsidRPr="00197E4C" w:rsidRDefault="00197E4C" w:rsidP="00197E4C">
      <w:pPr>
        <w:ind w:left="851"/>
        <w:rPr>
          <w:sz w:val="24"/>
          <w:szCs w:val="24"/>
        </w:rPr>
      </w:pPr>
    </w:p>
    <w:p w14:paraId="48A12C01" w14:textId="77777777" w:rsidR="00197E4C" w:rsidRPr="00197E4C" w:rsidRDefault="00197E4C" w:rsidP="00197E4C">
      <w:pPr>
        <w:ind w:left="851"/>
        <w:rPr>
          <w:sz w:val="24"/>
          <w:szCs w:val="24"/>
        </w:rPr>
      </w:pPr>
      <w:r w:rsidRPr="00197E4C">
        <w:rPr>
          <w:sz w:val="24"/>
          <w:szCs w:val="24"/>
        </w:rPr>
        <w:t>I tilfælde, hvor helbredelse udebliver, bør det overvejes, om en anden sygdom ligger til grund.</w:t>
      </w:r>
    </w:p>
    <w:p w14:paraId="6A21F95A" w14:textId="77777777" w:rsidR="00197E4C" w:rsidRPr="00197E4C" w:rsidRDefault="00197E4C" w:rsidP="00197E4C">
      <w:pPr>
        <w:ind w:left="851"/>
        <w:rPr>
          <w:sz w:val="24"/>
          <w:szCs w:val="24"/>
        </w:rPr>
      </w:pPr>
    </w:p>
    <w:p w14:paraId="3467ED7A" w14:textId="77777777" w:rsidR="00197E4C" w:rsidRPr="00197E4C" w:rsidRDefault="00197E4C" w:rsidP="00197E4C">
      <w:pPr>
        <w:ind w:left="851"/>
        <w:rPr>
          <w:sz w:val="24"/>
          <w:szCs w:val="24"/>
        </w:rPr>
      </w:pPr>
      <w:r w:rsidRPr="00197E4C">
        <w:rPr>
          <w:sz w:val="24"/>
          <w:szCs w:val="24"/>
        </w:rPr>
        <w:t xml:space="preserve">Hyppig og gentagen anvendelse af et </w:t>
      </w:r>
      <w:proofErr w:type="spellStart"/>
      <w:r w:rsidRPr="00197E4C">
        <w:rPr>
          <w:sz w:val="24"/>
          <w:szCs w:val="24"/>
        </w:rPr>
        <w:t>antimykotikum</w:t>
      </w:r>
      <w:proofErr w:type="spellEnd"/>
      <w:r w:rsidRPr="00197E4C">
        <w:rPr>
          <w:sz w:val="24"/>
          <w:szCs w:val="24"/>
        </w:rPr>
        <w:t xml:space="preserve"> kan fremkalde resistens over for </w:t>
      </w:r>
      <w:proofErr w:type="spellStart"/>
      <w:r w:rsidRPr="00197E4C">
        <w:rPr>
          <w:sz w:val="24"/>
          <w:szCs w:val="24"/>
        </w:rPr>
        <w:t>antimykotika</w:t>
      </w:r>
      <w:proofErr w:type="spellEnd"/>
      <w:r w:rsidRPr="00197E4C">
        <w:rPr>
          <w:sz w:val="24"/>
          <w:szCs w:val="24"/>
        </w:rPr>
        <w:t xml:space="preserve"> i samme gruppe. </w:t>
      </w:r>
    </w:p>
    <w:p w14:paraId="120E3DDC" w14:textId="77777777" w:rsidR="00197E4C" w:rsidRPr="00197E4C" w:rsidRDefault="00197E4C" w:rsidP="00197E4C">
      <w:pPr>
        <w:ind w:left="851"/>
        <w:rPr>
          <w:sz w:val="24"/>
          <w:szCs w:val="24"/>
        </w:rPr>
      </w:pPr>
    </w:p>
    <w:p w14:paraId="4767E0E9" w14:textId="77777777" w:rsidR="00197E4C" w:rsidRPr="00197E4C" w:rsidRDefault="00197E4C" w:rsidP="00197E4C">
      <w:pPr>
        <w:ind w:left="851"/>
        <w:rPr>
          <w:sz w:val="24"/>
          <w:szCs w:val="24"/>
        </w:rPr>
      </w:pPr>
      <w:r w:rsidRPr="00197E4C">
        <w:rPr>
          <w:sz w:val="24"/>
          <w:szCs w:val="24"/>
        </w:rPr>
        <w:t>Vedrørende forsigtighedsregler for den person, som udfører behandlingen, se endvidere afsnit. 3.5, Særlige forsigtighedsregler personer, som indgiver lægemidlet til dyr.</w:t>
      </w:r>
    </w:p>
    <w:p w14:paraId="0508626A" w14:textId="77777777" w:rsidR="008203A8" w:rsidRPr="00406EE7" w:rsidRDefault="008203A8" w:rsidP="008203A8">
      <w:pPr>
        <w:pStyle w:val="Sidehoved"/>
        <w:tabs>
          <w:tab w:val="clear" w:pos="4819"/>
        </w:tabs>
        <w:ind w:left="851"/>
        <w:rPr>
          <w:szCs w:val="24"/>
        </w:rPr>
      </w:pPr>
    </w:p>
    <w:p w14:paraId="2DB41D4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1D3088C" w14:textId="77777777" w:rsidR="008203A8" w:rsidRPr="002374DA" w:rsidRDefault="008203A8" w:rsidP="008203A8">
      <w:pPr>
        <w:tabs>
          <w:tab w:val="left" w:pos="851"/>
        </w:tabs>
        <w:ind w:left="851"/>
        <w:rPr>
          <w:sz w:val="24"/>
          <w:szCs w:val="24"/>
        </w:rPr>
      </w:pPr>
    </w:p>
    <w:p w14:paraId="47FBDD11"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0B2D802C" w14:textId="77777777" w:rsidR="00780008" w:rsidRPr="00780008" w:rsidRDefault="00780008" w:rsidP="00780008">
      <w:pPr>
        <w:ind w:left="851"/>
        <w:rPr>
          <w:sz w:val="24"/>
          <w:szCs w:val="24"/>
          <w:lang w:eastAsia="da-DK"/>
        </w:rPr>
      </w:pPr>
      <w:r w:rsidRPr="00780008">
        <w:rPr>
          <w:sz w:val="24"/>
          <w:szCs w:val="24"/>
        </w:rPr>
        <w:t xml:space="preserve">Katte, som ud over at lide af </w:t>
      </w:r>
      <w:proofErr w:type="spellStart"/>
      <w:r w:rsidRPr="00780008">
        <w:rPr>
          <w:sz w:val="24"/>
          <w:szCs w:val="24"/>
        </w:rPr>
        <w:t>dermatofytose</w:t>
      </w:r>
      <w:proofErr w:type="spellEnd"/>
      <w:r w:rsidRPr="00780008">
        <w:rPr>
          <w:sz w:val="24"/>
          <w:szCs w:val="24"/>
        </w:rPr>
        <w:t>, har et dårligt almenbefindende og/eller samtidig lider af en anden sygdom eller et svækket immunapparat, bør følges tæt under behandlingen.</w:t>
      </w:r>
    </w:p>
    <w:p w14:paraId="6B9ADC04" w14:textId="77777777" w:rsidR="00780008" w:rsidRPr="00780008" w:rsidRDefault="00780008" w:rsidP="00780008">
      <w:pPr>
        <w:ind w:left="851"/>
        <w:rPr>
          <w:sz w:val="24"/>
          <w:szCs w:val="24"/>
        </w:rPr>
      </w:pPr>
      <w:r w:rsidRPr="00780008">
        <w:rPr>
          <w:sz w:val="24"/>
          <w:szCs w:val="24"/>
        </w:rPr>
        <w:t xml:space="preserve">Sådanne dyr kan </w:t>
      </w:r>
      <w:proofErr w:type="spellStart"/>
      <w:r w:rsidRPr="00780008">
        <w:rPr>
          <w:sz w:val="24"/>
          <w:szCs w:val="24"/>
        </w:rPr>
        <w:t>p.g.a</w:t>
      </w:r>
      <w:proofErr w:type="spellEnd"/>
      <w:r w:rsidRPr="00780008">
        <w:rPr>
          <w:sz w:val="24"/>
          <w:szCs w:val="24"/>
        </w:rPr>
        <w:t xml:space="preserve">. deres almentilstand være mere udsatte for udvikling af bivirkninger. Optræder alvorlige bivirkninger bør behandlingen afbrydes og, om nødvendigt, bør understøttende behandling (væsketerapi) indledes. Hvis der udvikles kliniske tegn, der tyder på leverdysfunktion, skal behandlingen omgående afbrydes. Det er meget vigtigt at monitorere leverenzymer hos dyr, der viser tegn på leverdysfunktion. </w:t>
      </w:r>
    </w:p>
    <w:p w14:paraId="2EF782F6" w14:textId="77777777" w:rsidR="00780008" w:rsidRPr="00780008" w:rsidRDefault="00780008" w:rsidP="00780008">
      <w:pPr>
        <w:tabs>
          <w:tab w:val="left" w:pos="720"/>
        </w:tabs>
        <w:ind w:left="851"/>
        <w:rPr>
          <w:sz w:val="24"/>
          <w:szCs w:val="24"/>
        </w:rPr>
      </w:pPr>
    </w:p>
    <w:p w14:paraId="6867D46E" w14:textId="77777777" w:rsidR="00780008" w:rsidRPr="00780008" w:rsidRDefault="00780008" w:rsidP="00780008">
      <w:pPr>
        <w:tabs>
          <w:tab w:val="left" w:pos="720"/>
        </w:tabs>
        <w:ind w:left="851"/>
        <w:rPr>
          <w:sz w:val="24"/>
          <w:szCs w:val="24"/>
        </w:rPr>
      </w:pPr>
      <w:r w:rsidRPr="00780008">
        <w:rPr>
          <w:sz w:val="24"/>
          <w:szCs w:val="24"/>
        </w:rPr>
        <w:t xml:space="preserve">På grund af en negativ inotrop virkning er </w:t>
      </w:r>
      <w:proofErr w:type="spellStart"/>
      <w:r w:rsidRPr="00780008">
        <w:rPr>
          <w:sz w:val="24"/>
          <w:szCs w:val="24"/>
        </w:rPr>
        <w:t>itraconazol</w:t>
      </w:r>
      <w:proofErr w:type="spellEnd"/>
      <w:r w:rsidRPr="00780008">
        <w:rPr>
          <w:sz w:val="24"/>
          <w:szCs w:val="24"/>
        </w:rPr>
        <w:t xml:space="preserve"> hos mennesker blevet associeret med hjertesvigt. Katte med hjertesygdomme bør monitorers omhyggeligt, og behandlingen skal stoppes, hvis de kliniske symptomer forværres.</w:t>
      </w:r>
    </w:p>
    <w:p w14:paraId="724D8196" w14:textId="77777777" w:rsidR="00780008" w:rsidRPr="00780008" w:rsidRDefault="00780008" w:rsidP="00780008">
      <w:pPr>
        <w:tabs>
          <w:tab w:val="left" w:pos="720"/>
        </w:tabs>
        <w:ind w:left="851"/>
        <w:rPr>
          <w:sz w:val="24"/>
          <w:szCs w:val="24"/>
        </w:rPr>
      </w:pPr>
    </w:p>
    <w:p w14:paraId="22713A79" w14:textId="77777777" w:rsidR="00780008" w:rsidRPr="00780008" w:rsidRDefault="00780008" w:rsidP="00780008">
      <w:pPr>
        <w:tabs>
          <w:tab w:val="left" w:pos="720"/>
        </w:tabs>
        <w:ind w:left="851"/>
        <w:rPr>
          <w:sz w:val="24"/>
          <w:szCs w:val="24"/>
        </w:rPr>
      </w:pPr>
      <w:r w:rsidRPr="00780008">
        <w:rPr>
          <w:sz w:val="24"/>
          <w:szCs w:val="24"/>
        </w:rPr>
        <w:t xml:space="preserve">Anvendelse af produktet bør være baseret på identifikation og følsomhedsbestemmelse af målpatogen(er). Hvis dette ikke er muligt, bør behandlingen baseres på epidemiologiske oplysninger og viden om </w:t>
      </w:r>
      <w:proofErr w:type="spellStart"/>
      <w:r w:rsidRPr="00780008">
        <w:rPr>
          <w:sz w:val="24"/>
          <w:szCs w:val="24"/>
        </w:rPr>
        <w:t>målpatogenernes</w:t>
      </w:r>
      <w:proofErr w:type="spellEnd"/>
      <w:r w:rsidRPr="00780008">
        <w:rPr>
          <w:sz w:val="24"/>
          <w:szCs w:val="24"/>
        </w:rPr>
        <w:t xml:space="preserve"> følsomhed på lokalt/regionalt niveau.</w:t>
      </w:r>
    </w:p>
    <w:p w14:paraId="6CDD0BD8" w14:textId="77777777" w:rsidR="00780008" w:rsidRPr="00780008" w:rsidRDefault="00780008" w:rsidP="00780008">
      <w:pPr>
        <w:tabs>
          <w:tab w:val="left" w:pos="720"/>
        </w:tabs>
        <w:ind w:left="851"/>
        <w:rPr>
          <w:sz w:val="24"/>
          <w:szCs w:val="24"/>
        </w:rPr>
      </w:pPr>
    </w:p>
    <w:p w14:paraId="771C6024" w14:textId="77777777" w:rsidR="00780008" w:rsidRPr="00780008" w:rsidRDefault="00780008" w:rsidP="00780008">
      <w:pPr>
        <w:tabs>
          <w:tab w:val="left" w:pos="720"/>
        </w:tabs>
        <w:ind w:left="851"/>
        <w:rPr>
          <w:sz w:val="24"/>
          <w:szCs w:val="24"/>
        </w:rPr>
      </w:pPr>
      <w:r w:rsidRPr="00780008">
        <w:rPr>
          <w:sz w:val="24"/>
          <w:szCs w:val="24"/>
        </w:rPr>
        <w:t>Anvendelsen af produktet bør være i overensstemmelse med officielle, nationale og regionale antimikrobielle retningslinjer.</w:t>
      </w:r>
    </w:p>
    <w:p w14:paraId="142E6D0F" w14:textId="77777777" w:rsidR="008203A8" w:rsidRPr="00406EE7" w:rsidRDefault="008203A8" w:rsidP="008203A8">
      <w:pPr>
        <w:tabs>
          <w:tab w:val="left" w:pos="851"/>
        </w:tabs>
        <w:ind w:left="851"/>
        <w:rPr>
          <w:sz w:val="24"/>
          <w:szCs w:val="24"/>
        </w:rPr>
      </w:pPr>
    </w:p>
    <w:p w14:paraId="541A8495"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49290EE5" w14:textId="77777777" w:rsidR="00780008" w:rsidRPr="00780008" w:rsidRDefault="00780008" w:rsidP="00780008">
      <w:pPr>
        <w:ind w:left="851"/>
        <w:rPr>
          <w:sz w:val="24"/>
          <w:szCs w:val="24"/>
          <w:lang w:eastAsia="da-DK"/>
        </w:rPr>
      </w:pPr>
      <w:r w:rsidRPr="00780008">
        <w:rPr>
          <w:sz w:val="24"/>
          <w:szCs w:val="24"/>
        </w:rPr>
        <w:t xml:space="preserve">Da </w:t>
      </w:r>
      <w:r w:rsidRPr="00780008">
        <w:rPr>
          <w:i/>
          <w:sz w:val="24"/>
          <w:szCs w:val="24"/>
        </w:rPr>
        <w:t xml:space="preserve">M. </w:t>
      </w:r>
      <w:proofErr w:type="spellStart"/>
      <w:r w:rsidRPr="00780008">
        <w:rPr>
          <w:i/>
          <w:sz w:val="24"/>
          <w:szCs w:val="24"/>
        </w:rPr>
        <w:t>canis</w:t>
      </w:r>
      <w:proofErr w:type="spellEnd"/>
      <w:r w:rsidRPr="00780008">
        <w:rPr>
          <w:i/>
          <w:sz w:val="24"/>
          <w:szCs w:val="24"/>
        </w:rPr>
        <w:t xml:space="preserve"> </w:t>
      </w:r>
      <w:proofErr w:type="spellStart"/>
      <w:r w:rsidRPr="00780008">
        <w:rPr>
          <w:sz w:val="24"/>
          <w:szCs w:val="24"/>
        </w:rPr>
        <w:t>dermatofytose</w:t>
      </w:r>
      <w:proofErr w:type="spellEnd"/>
      <w:r w:rsidRPr="00780008">
        <w:rPr>
          <w:sz w:val="24"/>
          <w:szCs w:val="24"/>
        </w:rPr>
        <w:t xml:space="preserve"> er en </w:t>
      </w:r>
      <w:proofErr w:type="spellStart"/>
      <w:r w:rsidRPr="00780008">
        <w:rPr>
          <w:sz w:val="24"/>
          <w:szCs w:val="24"/>
        </w:rPr>
        <w:t>zoonotisk</w:t>
      </w:r>
      <w:proofErr w:type="spellEnd"/>
      <w:r w:rsidRPr="00780008">
        <w:rPr>
          <w:sz w:val="24"/>
          <w:szCs w:val="24"/>
        </w:rPr>
        <w:t xml:space="preserve"> sygdom, bør lægen rådspørges, hvis der optræder mistænkelige hudforandringer på et menneske. Der skal derfor anvendes latexhandsker under klipningen af inficerede katte, når dyret håndteres under behandlingen samt ved rengøringen af doseringssprøjten.</w:t>
      </w:r>
    </w:p>
    <w:p w14:paraId="472D4BAC" w14:textId="77777777" w:rsidR="00780008" w:rsidRPr="00780008" w:rsidRDefault="00780008" w:rsidP="00780008">
      <w:pPr>
        <w:ind w:left="851"/>
        <w:rPr>
          <w:sz w:val="24"/>
          <w:szCs w:val="24"/>
        </w:rPr>
      </w:pPr>
    </w:p>
    <w:p w14:paraId="2FBCCF37" w14:textId="77777777" w:rsidR="00780008" w:rsidRPr="00780008" w:rsidRDefault="00780008" w:rsidP="00780008">
      <w:pPr>
        <w:ind w:left="851"/>
        <w:rPr>
          <w:sz w:val="24"/>
          <w:szCs w:val="24"/>
        </w:rPr>
      </w:pPr>
      <w:r w:rsidRPr="00780008">
        <w:rPr>
          <w:sz w:val="24"/>
          <w:szCs w:val="24"/>
        </w:rPr>
        <w:t>Efter behandlingen vaskes hænder og udsatte hudområder. Hvis præparatet ved et uheld er kommet i øjet, skal det skylles grundigt med vand. I tilfælde af smerter eller irritation skal der søges lægehjælp, og indlægssedlen eller etiketten vises til lægen.  Hvis produktet ved et uheld er kommet i munden, skal denne skylles med vand.</w:t>
      </w:r>
    </w:p>
    <w:p w14:paraId="47D8D9AC" w14:textId="77777777" w:rsidR="008203A8" w:rsidRDefault="008203A8" w:rsidP="008203A8">
      <w:pPr>
        <w:tabs>
          <w:tab w:val="left" w:pos="851"/>
        </w:tabs>
        <w:ind w:left="851"/>
        <w:rPr>
          <w:sz w:val="24"/>
          <w:szCs w:val="24"/>
        </w:rPr>
      </w:pPr>
    </w:p>
    <w:p w14:paraId="65236B5B"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1ADA7407" w14:textId="064E9734" w:rsidR="008203A8" w:rsidRPr="002E304C" w:rsidRDefault="00780008" w:rsidP="008203A8">
      <w:pPr>
        <w:tabs>
          <w:tab w:val="left" w:pos="851"/>
        </w:tabs>
        <w:ind w:left="851"/>
        <w:rPr>
          <w:sz w:val="24"/>
          <w:szCs w:val="24"/>
        </w:rPr>
      </w:pPr>
      <w:r w:rsidRPr="00780008">
        <w:rPr>
          <w:sz w:val="24"/>
          <w:szCs w:val="24"/>
        </w:rPr>
        <w:t>Ikke relevant.</w:t>
      </w:r>
    </w:p>
    <w:p w14:paraId="3DA1C44A" w14:textId="77777777" w:rsidR="008203A8" w:rsidRPr="00406EE7" w:rsidRDefault="008203A8" w:rsidP="008203A8">
      <w:pPr>
        <w:tabs>
          <w:tab w:val="left" w:pos="851"/>
        </w:tabs>
        <w:ind w:left="851"/>
        <w:rPr>
          <w:sz w:val="24"/>
          <w:szCs w:val="24"/>
        </w:rPr>
      </w:pPr>
    </w:p>
    <w:p w14:paraId="01F418D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5D6BBBDF" w14:textId="77777777" w:rsidR="0074725F" w:rsidRDefault="0074725F" w:rsidP="0074725F">
      <w:pPr>
        <w:tabs>
          <w:tab w:val="left" w:pos="851"/>
        </w:tabs>
        <w:ind w:left="851" w:hanging="851"/>
      </w:pPr>
    </w:p>
    <w:tbl>
      <w:tblPr>
        <w:tblW w:w="90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74725F" w:rsidRPr="00D969EF" w14:paraId="3110E3C6" w14:textId="77777777" w:rsidTr="009C2B6B">
        <w:tc>
          <w:tcPr>
            <w:tcW w:w="4531" w:type="dxa"/>
            <w:tcBorders>
              <w:top w:val="single" w:sz="4" w:space="0" w:color="auto"/>
              <w:left w:val="single" w:sz="4" w:space="0" w:color="auto"/>
              <w:bottom w:val="single" w:sz="4" w:space="0" w:color="auto"/>
              <w:right w:val="single" w:sz="4" w:space="0" w:color="auto"/>
            </w:tcBorders>
            <w:hideMark/>
          </w:tcPr>
          <w:p w14:paraId="091332A8" w14:textId="77777777" w:rsidR="0074725F" w:rsidRPr="00D969EF" w:rsidRDefault="0074725F" w:rsidP="009C2B6B">
            <w:r w:rsidRPr="00D969EF">
              <w:t>Almindelig</w:t>
            </w:r>
          </w:p>
          <w:p w14:paraId="408B05F0" w14:textId="77777777" w:rsidR="0074725F" w:rsidRPr="00D969EF" w:rsidRDefault="0074725F" w:rsidP="009C2B6B">
            <w:r w:rsidRPr="00D969EF">
              <w:lastRenderedPageBreak/>
              <w:t>(1 til 10 dyr ud af 100 behandlede dyr):</w:t>
            </w:r>
          </w:p>
        </w:tc>
        <w:tc>
          <w:tcPr>
            <w:tcW w:w="4530" w:type="dxa"/>
            <w:tcBorders>
              <w:top w:val="single" w:sz="4" w:space="0" w:color="auto"/>
              <w:left w:val="single" w:sz="4" w:space="0" w:color="auto"/>
              <w:bottom w:val="single" w:sz="4" w:space="0" w:color="auto"/>
              <w:right w:val="single" w:sz="4" w:space="0" w:color="auto"/>
            </w:tcBorders>
            <w:hideMark/>
          </w:tcPr>
          <w:p w14:paraId="306F96CA" w14:textId="77777777" w:rsidR="0074725F" w:rsidRPr="00D969EF" w:rsidRDefault="0074725F" w:rsidP="009C2B6B">
            <w:r w:rsidRPr="00D969EF">
              <w:lastRenderedPageBreak/>
              <w:t xml:space="preserve">Opkastninger, Diarré, Øget spytsekretion </w:t>
            </w:r>
          </w:p>
          <w:p w14:paraId="43F88B9D" w14:textId="77777777" w:rsidR="0074725F" w:rsidRPr="00D969EF" w:rsidRDefault="0074725F" w:rsidP="009C2B6B">
            <w:r w:rsidRPr="00D969EF">
              <w:lastRenderedPageBreak/>
              <w:t>Nedsat spiselyst, Depression, Sløvhed</w:t>
            </w:r>
            <w:r w:rsidRPr="00D969EF">
              <w:rPr>
                <w:vertAlign w:val="superscript"/>
              </w:rPr>
              <w:t>1</w:t>
            </w:r>
          </w:p>
        </w:tc>
      </w:tr>
      <w:tr w:rsidR="0074725F" w:rsidRPr="00D969EF" w14:paraId="3DDCD3A2" w14:textId="77777777" w:rsidTr="009C2B6B">
        <w:tc>
          <w:tcPr>
            <w:tcW w:w="4531" w:type="dxa"/>
            <w:tcBorders>
              <w:top w:val="single" w:sz="4" w:space="0" w:color="auto"/>
              <w:left w:val="single" w:sz="4" w:space="0" w:color="auto"/>
              <w:bottom w:val="single" w:sz="4" w:space="0" w:color="auto"/>
              <w:right w:val="single" w:sz="4" w:space="0" w:color="auto"/>
            </w:tcBorders>
          </w:tcPr>
          <w:p w14:paraId="6FFEDF52" w14:textId="77777777" w:rsidR="0074725F" w:rsidRPr="00D969EF" w:rsidRDefault="0074725F" w:rsidP="009C2B6B">
            <w:r w:rsidRPr="00D969EF">
              <w:lastRenderedPageBreak/>
              <w:t>Sjælden </w:t>
            </w:r>
          </w:p>
          <w:p w14:paraId="1FCA3611" w14:textId="77777777" w:rsidR="0074725F" w:rsidRPr="00D969EF" w:rsidRDefault="0074725F" w:rsidP="009C2B6B">
            <w:r w:rsidRPr="00D969EF">
              <w:t>(1 til 10 dyr ud af 10 000 behandlede dyr):</w:t>
            </w:r>
          </w:p>
        </w:tc>
        <w:tc>
          <w:tcPr>
            <w:tcW w:w="4530" w:type="dxa"/>
            <w:tcBorders>
              <w:top w:val="single" w:sz="4" w:space="0" w:color="auto"/>
              <w:left w:val="single" w:sz="4" w:space="0" w:color="auto"/>
              <w:bottom w:val="single" w:sz="4" w:space="0" w:color="auto"/>
              <w:right w:val="single" w:sz="4" w:space="0" w:color="auto"/>
            </w:tcBorders>
          </w:tcPr>
          <w:p w14:paraId="2B88E598" w14:textId="77777777" w:rsidR="0074725F" w:rsidRPr="00D969EF" w:rsidRDefault="0074725F" w:rsidP="009C2B6B">
            <w:r w:rsidRPr="00D969EF">
              <w:t>Forhøjede leverenzymer</w:t>
            </w:r>
            <w:r w:rsidRPr="009C2B6B">
              <w:rPr>
                <w:vertAlign w:val="superscript"/>
              </w:rPr>
              <w:t>2,3,4</w:t>
            </w:r>
          </w:p>
        </w:tc>
      </w:tr>
      <w:tr w:rsidR="0074725F" w:rsidRPr="00D969EF" w14:paraId="52A5CDCC" w14:textId="77777777" w:rsidTr="009C2B6B">
        <w:tc>
          <w:tcPr>
            <w:tcW w:w="4531" w:type="dxa"/>
            <w:tcBorders>
              <w:top w:val="single" w:sz="4" w:space="0" w:color="auto"/>
              <w:left w:val="single" w:sz="4" w:space="0" w:color="auto"/>
              <w:bottom w:val="single" w:sz="4" w:space="0" w:color="auto"/>
              <w:right w:val="single" w:sz="4" w:space="0" w:color="auto"/>
            </w:tcBorders>
            <w:hideMark/>
          </w:tcPr>
          <w:p w14:paraId="5BAFB867" w14:textId="77777777" w:rsidR="0074725F" w:rsidRPr="00D969EF" w:rsidRDefault="0074725F" w:rsidP="009C2B6B">
            <w:r w:rsidRPr="00D969EF">
              <w:t>Meget sjælden</w:t>
            </w:r>
          </w:p>
          <w:p w14:paraId="7F423D5A" w14:textId="77777777" w:rsidR="0074725F" w:rsidRPr="00D969EF" w:rsidRDefault="0074725F" w:rsidP="009C2B6B">
            <w:r w:rsidRPr="00D969EF">
              <w:t>(&lt; 1 dyr ud af 10 000 behandlede dyr, herunder enkeltstående indberetninger):</w:t>
            </w:r>
          </w:p>
        </w:tc>
        <w:tc>
          <w:tcPr>
            <w:tcW w:w="4530" w:type="dxa"/>
            <w:tcBorders>
              <w:top w:val="single" w:sz="4" w:space="0" w:color="auto"/>
              <w:left w:val="single" w:sz="4" w:space="0" w:color="auto"/>
              <w:bottom w:val="single" w:sz="4" w:space="0" w:color="auto"/>
              <w:right w:val="single" w:sz="4" w:space="0" w:color="auto"/>
            </w:tcBorders>
            <w:hideMark/>
          </w:tcPr>
          <w:p w14:paraId="2B38A227" w14:textId="77777777" w:rsidR="0074725F" w:rsidRPr="00D969EF" w:rsidRDefault="0074725F" w:rsidP="009C2B6B">
            <w:r w:rsidRPr="00D969EF">
              <w:t>Vægttab</w:t>
            </w:r>
          </w:p>
          <w:p w14:paraId="36B180C5" w14:textId="77777777" w:rsidR="0074725F" w:rsidRPr="00D969EF" w:rsidRDefault="0074725F" w:rsidP="009C2B6B">
            <w:r w:rsidRPr="00D969EF">
              <w:t>Forøget total bilirubin</w:t>
            </w:r>
            <w:r w:rsidRPr="009C2B6B">
              <w:rPr>
                <w:vertAlign w:val="superscript"/>
              </w:rPr>
              <w:t>3,4</w:t>
            </w:r>
            <w:r w:rsidRPr="00D969EF">
              <w:t xml:space="preserve"> (kan være forbundet med </w:t>
            </w:r>
            <w:proofErr w:type="spellStart"/>
            <w:r w:rsidRPr="00D969EF">
              <w:t>icterus</w:t>
            </w:r>
            <w:proofErr w:type="spellEnd"/>
            <w:r w:rsidRPr="00D969EF">
              <w:t>)</w:t>
            </w:r>
          </w:p>
        </w:tc>
      </w:tr>
    </w:tbl>
    <w:p w14:paraId="3DD4E8D8" w14:textId="77777777" w:rsidR="0074725F" w:rsidRPr="00D969EF" w:rsidRDefault="0074725F" w:rsidP="0074725F">
      <w:pPr>
        <w:ind w:left="851"/>
      </w:pPr>
      <w:r w:rsidRPr="00D969EF">
        <w:rPr>
          <w:vertAlign w:val="superscript"/>
        </w:rPr>
        <w:t>1</w:t>
      </w:r>
      <w:r w:rsidRPr="00D969EF">
        <w:t xml:space="preserve"> Disse bivirkninger var sædvanligvis milde og forbigående. </w:t>
      </w:r>
    </w:p>
    <w:p w14:paraId="2BF5893A" w14:textId="77777777" w:rsidR="0074725F" w:rsidRPr="00D969EF" w:rsidRDefault="0074725F" w:rsidP="0074725F">
      <w:pPr>
        <w:ind w:left="851"/>
      </w:pPr>
      <w:r w:rsidRPr="009C2B6B">
        <w:rPr>
          <w:vertAlign w:val="superscript"/>
        </w:rPr>
        <w:t>2</w:t>
      </w:r>
      <w:r w:rsidRPr="00D969EF">
        <w:t xml:space="preserve"> Forbigående.</w:t>
      </w:r>
    </w:p>
    <w:p w14:paraId="059E38FC" w14:textId="77777777" w:rsidR="0074725F" w:rsidRPr="00D969EF" w:rsidRDefault="0074725F" w:rsidP="0074725F">
      <w:pPr>
        <w:ind w:left="851"/>
      </w:pPr>
      <w:r w:rsidRPr="00D969EF">
        <w:rPr>
          <w:vertAlign w:val="superscript"/>
        </w:rPr>
        <w:t>3</w:t>
      </w:r>
      <w:r w:rsidRPr="00D969EF">
        <w:t xml:space="preserve"> Hvis der udvikles kliniske tegn, der tyder på leverdysfunktion, skal behandlingen omgående afbrydes.</w:t>
      </w:r>
    </w:p>
    <w:p w14:paraId="21FCD6E4" w14:textId="77777777" w:rsidR="0074725F" w:rsidRPr="00D969EF" w:rsidRDefault="0074725F" w:rsidP="0074725F">
      <w:pPr>
        <w:ind w:left="851"/>
      </w:pPr>
      <w:r w:rsidRPr="009C2B6B">
        <w:rPr>
          <w:vertAlign w:val="superscript"/>
        </w:rPr>
        <w:t xml:space="preserve">4 </w:t>
      </w:r>
      <w:r w:rsidRPr="00D969EF">
        <w:t>Nogle gange med dødelig udgang.</w:t>
      </w:r>
    </w:p>
    <w:p w14:paraId="4659D67B" w14:textId="77777777" w:rsidR="00780008" w:rsidRPr="00780008" w:rsidRDefault="00780008" w:rsidP="00780008">
      <w:pPr>
        <w:ind w:left="851"/>
        <w:rPr>
          <w:b/>
          <w:sz w:val="24"/>
          <w:szCs w:val="24"/>
          <w:highlight w:val="yellow"/>
        </w:rPr>
      </w:pPr>
      <w:bookmarkStart w:id="0" w:name="_GoBack"/>
      <w:bookmarkEnd w:id="0"/>
    </w:p>
    <w:p w14:paraId="7F85F702" w14:textId="77777777" w:rsidR="00780008" w:rsidRPr="00780008" w:rsidRDefault="00780008" w:rsidP="00780008">
      <w:pPr>
        <w:ind w:left="851"/>
        <w:rPr>
          <w:bCs/>
          <w:sz w:val="24"/>
          <w:szCs w:val="24"/>
          <w:highlight w:val="yellow"/>
        </w:rPr>
      </w:pPr>
      <w:r w:rsidRPr="00780008">
        <w:rPr>
          <w:sz w:val="24"/>
          <w:szCs w:val="24"/>
        </w:rPr>
        <w:t xml:space="preserve">Indberetning af bivirkninger er vigtigt, da det muliggør løbende sikkerhedsovervågning af et veterinærlægemiddel. Indberetningerne sendes, helst via en dyrlæge, til enten indehaveren af markedsføringstilladelsen </w:t>
      </w:r>
      <w:r w:rsidRPr="00780008">
        <w:rPr>
          <w:bCs/>
          <w:sz w:val="24"/>
          <w:szCs w:val="24"/>
        </w:rPr>
        <w:t xml:space="preserve">eller dennes lokale repræsentant eller til den </w:t>
      </w:r>
      <w:r w:rsidRPr="00780008">
        <w:rPr>
          <w:sz w:val="24"/>
          <w:szCs w:val="24"/>
        </w:rPr>
        <w:t>til den nationale kompetente myndighed via det nationale indberetningssystem. Se også punkt 16 i indlægssedlen for de relevante kontaktoplysninger.</w:t>
      </w:r>
    </w:p>
    <w:p w14:paraId="22ED3284" w14:textId="77777777" w:rsidR="008203A8" w:rsidRPr="00406EE7" w:rsidRDefault="008203A8" w:rsidP="008203A8">
      <w:pPr>
        <w:tabs>
          <w:tab w:val="left" w:pos="851"/>
        </w:tabs>
        <w:ind w:left="851"/>
        <w:rPr>
          <w:sz w:val="24"/>
          <w:szCs w:val="24"/>
        </w:rPr>
      </w:pPr>
    </w:p>
    <w:p w14:paraId="00B7C1F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563F81E3" w14:textId="77777777" w:rsidR="005A099B" w:rsidRPr="005A099B" w:rsidRDefault="005A099B" w:rsidP="005A099B">
      <w:pPr>
        <w:ind w:left="851"/>
        <w:rPr>
          <w:bCs/>
          <w:sz w:val="24"/>
          <w:szCs w:val="24"/>
          <w:lang w:eastAsia="da-DK"/>
        </w:rPr>
      </w:pPr>
      <w:r w:rsidRPr="005A099B">
        <w:rPr>
          <w:bCs/>
          <w:sz w:val="24"/>
          <w:szCs w:val="24"/>
        </w:rPr>
        <w:t>Drægtighed og diegivning:</w:t>
      </w:r>
    </w:p>
    <w:p w14:paraId="5D66D155" w14:textId="77777777" w:rsidR="005A099B" w:rsidRPr="005A099B" w:rsidRDefault="005A099B" w:rsidP="005A099B">
      <w:pPr>
        <w:ind w:left="851"/>
        <w:rPr>
          <w:sz w:val="24"/>
          <w:szCs w:val="24"/>
        </w:rPr>
      </w:pPr>
      <w:r w:rsidRPr="005A099B">
        <w:rPr>
          <w:sz w:val="24"/>
          <w:szCs w:val="24"/>
        </w:rPr>
        <w:t>Må ikke anvendes til drægtige eller diegivende hunkatte. Misdannelser og fosterdød er set i overdoseringsstudier hos laboratoriedyr.</w:t>
      </w:r>
    </w:p>
    <w:p w14:paraId="1F3CCD56" w14:textId="77777777" w:rsidR="008203A8" w:rsidRPr="00406EE7" w:rsidRDefault="008203A8" w:rsidP="008203A8">
      <w:pPr>
        <w:tabs>
          <w:tab w:val="left" w:pos="851"/>
        </w:tabs>
        <w:ind w:left="851"/>
        <w:rPr>
          <w:sz w:val="24"/>
          <w:szCs w:val="24"/>
        </w:rPr>
      </w:pPr>
    </w:p>
    <w:p w14:paraId="7A9E12B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90693FF" w14:textId="77777777" w:rsidR="005A099B" w:rsidRPr="005A099B" w:rsidRDefault="005A099B" w:rsidP="005A099B">
      <w:pPr>
        <w:ind w:left="851"/>
        <w:rPr>
          <w:sz w:val="24"/>
          <w:szCs w:val="24"/>
          <w:lang w:eastAsia="da-DK"/>
        </w:rPr>
      </w:pPr>
      <w:r w:rsidRPr="005A099B">
        <w:rPr>
          <w:sz w:val="24"/>
          <w:szCs w:val="24"/>
        </w:rPr>
        <w:t xml:space="preserve">Opkastning, lever- og nyresygdomme blev observeret efter samtidig behandling med </w:t>
      </w:r>
      <w:proofErr w:type="spellStart"/>
      <w:r w:rsidRPr="005A099B">
        <w:rPr>
          <w:sz w:val="24"/>
          <w:szCs w:val="24"/>
        </w:rPr>
        <w:t>Itrafungol</w:t>
      </w:r>
      <w:proofErr w:type="spellEnd"/>
      <w:r w:rsidRPr="005A099B">
        <w:rPr>
          <w:sz w:val="24"/>
          <w:szCs w:val="24"/>
        </w:rPr>
        <w:t xml:space="preserve"> og </w:t>
      </w:r>
      <w:proofErr w:type="spellStart"/>
      <w:r w:rsidRPr="005A099B">
        <w:rPr>
          <w:sz w:val="24"/>
          <w:szCs w:val="24"/>
        </w:rPr>
        <w:t>cefovecin</w:t>
      </w:r>
      <w:proofErr w:type="spellEnd"/>
      <w:r w:rsidRPr="005A099B">
        <w:rPr>
          <w:sz w:val="24"/>
          <w:szCs w:val="24"/>
        </w:rPr>
        <w:t xml:space="preserve">. Symptomer, f.eks. manglende motorisk koordination, fækal retention og dehydrering, blev observeret, når </w:t>
      </w:r>
      <w:proofErr w:type="spellStart"/>
      <w:r w:rsidRPr="005A099B">
        <w:rPr>
          <w:sz w:val="24"/>
          <w:szCs w:val="24"/>
        </w:rPr>
        <w:t>tolfenamsyre</w:t>
      </w:r>
      <w:proofErr w:type="spellEnd"/>
      <w:r w:rsidRPr="005A099B">
        <w:rPr>
          <w:sz w:val="24"/>
          <w:szCs w:val="24"/>
        </w:rPr>
        <w:t xml:space="preserve"> og </w:t>
      </w:r>
      <w:proofErr w:type="spellStart"/>
      <w:r w:rsidRPr="005A099B">
        <w:rPr>
          <w:sz w:val="24"/>
          <w:szCs w:val="24"/>
        </w:rPr>
        <w:t>Itrafungol</w:t>
      </w:r>
      <w:proofErr w:type="spellEnd"/>
      <w:r w:rsidRPr="005A099B">
        <w:rPr>
          <w:sz w:val="24"/>
          <w:szCs w:val="24"/>
        </w:rPr>
        <w:t xml:space="preserve"> blev indgivet samtidig. Samtidig indgift af produktet og disse lægemidler bør undgås, hvis der ikke foreligger data med katte.</w:t>
      </w:r>
    </w:p>
    <w:p w14:paraId="3C6885A3" w14:textId="77777777" w:rsidR="005A099B" w:rsidRPr="005A099B" w:rsidRDefault="005A099B" w:rsidP="005A099B">
      <w:pPr>
        <w:ind w:left="851"/>
        <w:rPr>
          <w:sz w:val="24"/>
          <w:szCs w:val="24"/>
        </w:rPr>
      </w:pPr>
    </w:p>
    <w:p w14:paraId="10DB9C8E" w14:textId="77777777" w:rsidR="005A099B" w:rsidRPr="005A099B" w:rsidRDefault="005A099B" w:rsidP="005A099B">
      <w:pPr>
        <w:ind w:left="851"/>
        <w:rPr>
          <w:sz w:val="24"/>
          <w:szCs w:val="24"/>
        </w:rPr>
      </w:pPr>
      <w:r w:rsidRPr="005A099B">
        <w:rPr>
          <w:sz w:val="24"/>
          <w:szCs w:val="24"/>
        </w:rPr>
        <w:t xml:space="preserve">I humanmedicinen er interaktioner mellem </w:t>
      </w:r>
      <w:proofErr w:type="spellStart"/>
      <w:r w:rsidRPr="005A099B">
        <w:rPr>
          <w:sz w:val="24"/>
          <w:szCs w:val="24"/>
        </w:rPr>
        <w:t>itraconazol</w:t>
      </w:r>
      <w:proofErr w:type="spellEnd"/>
      <w:r w:rsidRPr="005A099B">
        <w:rPr>
          <w:sz w:val="24"/>
          <w:szCs w:val="24"/>
        </w:rPr>
        <w:t xml:space="preserve"> og visse andre lægemiddelstoffer blevet beskrevet, som et resultat af interaktion med </w:t>
      </w:r>
      <w:proofErr w:type="spellStart"/>
      <w:r w:rsidRPr="005A099B">
        <w:rPr>
          <w:sz w:val="24"/>
          <w:szCs w:val="24"/>
        </w:rPr>
        <w:t>cytochrom</w:t>
      </w:r>
      <w:proofErr w:type="spellEnd"/>
      <w:r w:rsidRPr="005A099B">
        <w:rPr>
          <w:sz w:val="24"/>
          <w:szCs w:val="24"/>
        </w:rPr>
        <w:t xml:space="preserve"> P450 3A4 (CYP3A4) og P-</w:t>
      </w:r>
      <w:proofErr w:type="spellStart"/>
      <w:r w:rsidRPr="005A099B">
        <w:rPr>
          <w:sz w:val="24"/>
          <w:szCs w:val="24"/>
        </w:rPr>
        <w:t>glycoproteiner</w:t>
      </w:r>
      <w:proofErr w:type="spellEnd"/>
      <w:r w:rsidRPr="005A099B">
        <w:rPr>
          <w:sz w:val="24"/>
          <w:szCs w:val="24"/>
        </w:rPr>
        <w:t xml:space="preserve"> (</w:t>
      </w:r>
      <w:proofErr w:type="spellStart"/>
      <w:r w:rsidRPr="005A099B">
        <w:rPr>
          <w:sz w:val="24"/>
          <w:szCs w:val="24"/>
        </w:rPr>
        <w:t>PgP</w:t>
      </w:r>
      <w:proofErr w:type="spellEnd"/>
      <w:r w:rsidRPr="005A099B">
        <w:rPr>
          <w:sz w:val="24"/>
          <w:szCs w:val="24"/>
        </w:rPr>
        <w:t xml:space="preserve">). Dette kan medføre øgede plasmakoncentrationer af f.eks. peroralt indgivet </w:t>
      </w:r>
      <w:proofErr w:type="spellStart"/>
      <w:r w:rsidRPr="005A099B">
        <w:rPr>
          <w:sz w:val="24"/>
          <w:szCs w:val="24"/>
        </w:rPr>
        <w:t>midazolam</w:t>
      </w:r>
      <w:proofErr w:type="spellEnd"/>
      <w:r w:rsidRPr="005A099B">
        <w:rPr>
          <w:sz w:val="24"/>
          <w:szCs w:val="24"/>
        </w:rPr>
        <w:t xml:space="preserve">, </w:t>
      </w:r>
      <w:proofErr w:type="spellStart"/>
      <w:r w:rsidRPr="005A099B">
        <w:rPr>
          <w:sz w:val="24"/>
          <w:szCs w:val="24"/>
        </w:rPr>
        <w:t>ciclosporin</w:t>
      </w:r>
      <w:proofErr w:type="spellEnd"/>
      <w:r w:rsidRPr="005A099B">
        <w:rPr>
          <w:sz w:val="24"/>
          <w:szCs w:val="24"/>
        </w:rPr>
        <w:t xml:space="preserve">, </w:t>
      </w:r>
      <w:proofErr w:type="spellStart"/>
      <w:r w:rsidRPr="005A099B">
        <w:rPr>
          <w:sz w:val="24"/>
          <w:szCs w:val="24"/>
        </w:rPr>
        <w:t>digoxin</w:t>
      </w:r>
      <w:proofErr w:type="spellEnd"/>
      <w:r w:rsidRPr="005A099B">
        <w:rPr>
          <w:sz w:val="24"/>
          <w:szCs w:val="24"/>
        </w:rPr>
        <w:t xml:space="preserve">, </w:t>
      </w:r>
      <w:proofErr w:type="spellStart"/>
      <w:r w:rsidRPr="005A099B">
        <w:rPr>
          <w:sz w:val="24"/>
          <w:szCs w:val="24"/>
        </w:rPr>
        <w:t>kloramfenikol</w:t>
      </w:r>
      <w:proofErr w:type="spellEnd"/>
      <w:r w:rsidRPr="005A099B">
        <w:rPr>
          <w:sz w:val="24"/>
          <w:szCs w:val="24"/>
        </w:rPr>
        <w:t xml:space="preserve">, </w:t>
      </w:r>
      <w:proofErr w:type="spellStart"/>
      <w:r w:rsidRPr="005A099B">
        <w:rPr>
          <w:sz w:val="24"/>
          <w:szCs w:val="24"/>
        </w:rPr>
        <w:t>ivermectin</w:t>
      </w:r>
      <w:proofErr w:type="spellEnd"/>
      <w:r w:rsidRPr="005A099B">
        <w:rPr>
          <w:sz w:val="24"/>
          <w:szCs w:val="24"/>
        </w:rPr>
        <w:t xml:space="preserve"> og </w:t>
      </w:r>
      <w:proofErr w:type="spellStart"/>
      <w:r w:rsidRPr="005A099B">
        <w:rPr>
          <w:sz w:val="24"/>
          <w:szCs w:val="24"/>
        </w:rPr>
        <w:t>methylprednisolon</w:t>
      </w:r>
      <w:proofErr w:type="spellEnd"/>
      <w:r w:rsidRPr="005A099B">
        <w:rPr>
          <w:sz w:val="24"/>
          <w:szCs w:val="24"/>
        </w:rPr>
        <w:t>. De øgede plasma</w:t>
      </w:r>
      <w:r w:rsidRPr="005A099B">
        <w:rPr>
          <w:sz w:val="24"/>
          <w:szCs w:val="24"/>
        </w:rPr>
        <w:softHyphen/>
        <w:t>kon</w:t>
      </w:r>
      <w:r w:rsidRPr="005A099B">
        <w:rPr>
          <w:sz w:val="24"/>
          <w:szCs w:val="24"/>
        </w:rPr>
        <w:softHyphen/>
        <w:t>cen</w:t>
      </w:r>
      <w:r w:rsidRPr="005A099B">
        <w:rPr>
          <w:sz w:val="24"/>
          <w:szCs w:val="24"/>
        </w:rPr>
        <w:softHyphen/>
        <w:t xml:space="preserve">trationer kan både forlænge virkningsvarigheden og øge risikoen for bivirkninger. </w:t>
      </w:r>
      <w:proofErr w:type="spellStart"/>
      <w:r w:rsidRPr="005A099B">
        <w:rPr>
          <w:sz w:val="24"/>
          <w:szCs w:val="24"/>
        </w:rPr>
        <w:t>Itraconazol</w:t>
      </w:r>
      <w:proofErr w:type="spellEnd"/>
      <w:r w:rsidRPr="005A099B">
        <w:rPr>
          <w:sz w:val="24"/>
          <w:szCs w:val="24"/>
        </w:rPr>
        <w:t xml:space="preserve"> kan også øge serumkoncentrationen af perorale </w:t>
      </w:r>
      <w:proofErr w:type="spellStart"/>
      <w:r w:rsidRPr="005A099B">
        <w:rPr>
          <w:sz w:val="24"/>
          <w:szCs w:val="24"/>
        </w:rPr>
        <w:t>antidiabetika</w:t>
      </w:r>
      <w:proofErr w:type="spellEnd"/>
      <w:r w:rsidRPr="005A099B">
        <w:rPr>
          <w:sz w:val="24"/>
          <w:szCs w:val="24"/>
        </w:rPr>
        <w:t xml:space="preserve">, hvilket kan medføre </w:t>
      </w:r>
      <w:proofErr w:type="spellStart"/>
      <w:r w:rsidRPr="005A099B">
        <w:rPr>
          <w:sz w:val="24"/>
          <w:szCs w:val="24"/>
        </w:rPr>
        <w:t>hypoglycæmi</w:t>
      </w:r>
      <w:proofErr w:type="spellEnd"/>
      <w:r w:rsidRPr="005A099B">
        <w:rPr>
          <w:sz w:val="24"/>
          <w:szCs w:val="24"/>
        </w:rPr>
        <w:t>.</w:t>
      </w:r>
    </w:p>
    <w:p w14:paraId="54119AFF" w14:textId="77777777" w:rsidR="005A099B" w:rsidRPr="005A099B" w:rsidRDefault="005A099B" w:rsidP="005A099B">
      <w:pPr>
        <w:ind w:left="851"/>
        <w:rPr>
          <w:sz w:val="24"/>
          <w:szCs w:val="24"/>
        </w:rPr>
      </w:pPr>
      <w:r w:rsidRPr="005A099B">
        <w:rPr>
          <w:sz w:val="24"/>
          <w:szCs w:val="24"/>
        </w:rPr>
        <w:t xml:space="preserve">Omvendt kan visse lægemiddelstoffer, som f.eks. barbiturater og </w:t>
      </w:r>
      <w:proofErr w:type="spellStart"/>
      <w:r w:rsidRPr="005A099B">
        <w:rPr>
          <w:sz w:val="24"/>
          <w:szCs w:val="24"/>
        </w:rPr>
        <w:t>phenytoin</w:t>
      </w:r>
      <w:proofErr w:type="spellEnd"/>
      <w:r w:rsidRPr="005A099B">
        <w:rPr>
          <w:sz w:val="24"/>
          <w:szCs w:val="24"/>
        </w:rPr>
        <w:t xml:space="preserve">, øge </w:t>
      </w:r>
      <w:proofErr w:type="spellStart"/>
      <w:r w:rsidRPr="005A099B">
        <w:rPr>
          <w:sz w:val="24"/>
          <w:szCs w:val="24"/>
        </w:rPr>
        <w:t>itraconazols</w:t>
      </w:r>
      <w:proofErr w:type="spellEnd"/>
      <w:r w:rsidRPr="005A099B">
        <w:rPr>
          <w:sz w:val="24"/>
          <w:szCs w:val="24"/>
        </w:rPr>
        <w:t xml:space="preserve"> </w:t>
      </w:r>
      <w:proofErr w:type="spellStart"/>
      <w:r w:rsidRPr="005A099B">
        <w:rPr>
          <w:sz w:val="24"/>
          <w:szCs w:val="24"/>
        </w:rPr>
        <w:t>metaboliseringshastighed</w:t>
      </w:r>
      <w:proofErr w:type="spellEnd"/>
      <w:r w:rsidRPr="005A099B">
        <w:rPr>
          <w:sz w:val="24"/>
          <w:szCs w:val="24"/>
        </w:rPr>
        <w:t xml:space="preserve">. Samtidig behandling med disse stoffer medfører en nedsat biotilgængelighed og dermed en forringet virkning. </w:t>
      </w:r>
    </w:p>
    <w:p w14:paraId="4274174E" w14:textId="77777777" w:rsidR="005A099B" w:rsidRPr="005A099B" w:rsidRDefault="005A099B" w:rsidP="005A099B">
      <w:pPr>
        <w:ind w:left="851"/>
        <w:rPr>
          <w:sz w:val="24"/>
          <w:szCs w:val="24"/>
        </w:rPr>
      </w:pPr>
      <w:r w:rsidRPr="005A099B">
        <w:rPr>
          <w:sz w:val="24"/>
          <w:szCs w:val="24"/>
        </w:rPr>
        <w:t xml:space="preserve">For at opnå maksimal absorption af </w:t>
      </w:r>
      <w:proofErr w:type="spellStart"/>
      <w:r w:rsidRPr="005A099B">
        <w:rPr>
          <w:sz w:val="24"/>
          <w:szCs w:val="24"/>
        </w:rPr>
        <w:t>itraconazol</w:t>
      </w:r>
      <w:proofErr w:type="spellEnd"/>
      <w:r w:rsidRPr="005A099B">
        <w:rPr>
          <w:sz w:val="24"/>
          <w:szCs w:val="24"/>
        </w:rPr>
        <w:t xml:space="preserve"> kræves et surt miljø, hvorfor samtidig behandling med syreneutraliserende produkter medfører en væsentligt nedsat absorption.  </w:t>
      </w:r>
    </w:p>
    <w:p w14:paraId="7AAEF009" w14:textId="77777777" w:rsidR="005A099B" w:rsidRPr="005A099B" w:rsidRDefault="005A099B" w:rsidP="005A099B">
      <w:pPr>
        <w:ind w:left="851"/>
        <w:rPr>
          <w:sz w:val="24"/>
          <w:szCs w:val="24"/>
        </w:rPr>
      </w:pPr>
      <w:r w:rsidRPr="005A099B">
        <w:rPr>
          <w:sz w:val="24"/>
          <w:szCs w:val="24"/>
        </w:rPr>
        <w:t xml:space="preserve">Endvidere kan samtidig behandling med </w:t>
      </w:r>
      <w:proofErr w:type="spellStart"/>
      <w:r w:rsidRPr="005A099B">
        <w:rPr>
          <w:sz w:val="24"/>
          <w:szCs w:val="24"/>
        </w:rPr>
        <w:t>erythromycin</w:t>
      </w:r>
      <w:proofErr w:type="spellEnd"/>
      <w:r w:rsidRPr="005A099B">
        <w:rPr>
          <w:sz w:val="24"/>
          <w:szCs w:val="24"/>
        </w:rPr>
        <w:t xml:space="preserve"> øge plasmakoncentrationen af </w:t>
      </w:r>
      <w:proofErr w:type="spellStart"/>
      <w:r w:rsidRPr="005A099B">
        <w:rPr>
          <w:sz w:val="24"/>
          <w:szCs w:val="24"/>
        </w:rPr>
        <w:t>itraconazol</w:t>
      </w:r>
      <w:proofErr w:type="spellEnd"/>
      <w:r w:rsidRPr="005A099B">
        <w:rPr>
          <w:sz w:val="24"/>
          <w:szCs w:val="24"/>
        </w:rPr>
        <w:t xml:space="preserve">. </w:t>
      </w:r>
    </w:p>
    <w:p w14:paraId="243B8E45" w14:textId="77777777" w:rsidR="005A099B" w:rsidRPr="005A099B" w:rsidRDefault="005A099B" w:rsidP="005A099B">
      <w:pPr>
        <w:ind w:left="851"/>
        <w:rPr>
          <w:sz w:val="24"/>
          <w:szCs w:val="24"/>
        </w:rPr>
      </w:pPr>
      <w:r w:rsidRPr="005A099B">
        <w:rPr>
          <w:sz w:val="24"/>
          <w:szCs w:val="24"/>
        </w:rPr>
        <w:t xml:space="preserve">Endelig foreligger der rapporter om interaktioner hos mennesket mellem </w:t>
      </w:r>
      <w:proofErr w:type="spellStart"/>
      <w:r w:rsidRPr="005A099B">
        <w:rPr>
          <w:sz w:val="24"/>
          <w:szCs w:val="24"/>
        </w:rPr>
        <w:t>itraconazol</w:t>
      </w:r>
      <w:proofErr w:type="spellEnd"/>
      <w:r w:rsidRPr="005A099B">
        <w:rPr>
          <w:sz w:val="24"/>
          <w:szCs w:val="24"/>
        </w:rPr>
        <w:t xml:space="preserve"> og calcium</w:t>
      </w:r>
      <w:r w:rsidRPr="005A099B">
        <w:rPr>
          <w:sz w:val="24"/>
          <w:szCs w:val="24"/>
        </w:rPr>
        <w:softHyphen/>
        <w:t>anta</w:t>
      </w:r>
      <w:r w:rsidRPr="005A099B">
        <w:rPr>
          <w:sz w:val="24"/>
          <w:szCs w:val="24"/>
        </w:rPr>
        <w:softHyphen/>
        <w:t>gonister, som kan have en additiv negativ inotrop virkning på hjertet.</w:t>
      </w:r>
    </w:p>
    <w:p w14:paraId="1BCDB06E" w14:textId="77777777" w:rsidR="005A099B" w:rsidRPr="005A099B" w:rsidRDefault="005A099B" w:rsidP="005A099B">
      <w:pPr>
        <w:ind w:left="851"/>
        <w:rPr>
          <w:sz w:val="24"/>
          <w:szCs w:val="24"/>
        </w:rPr>
      </w:pPr>
    </w:p>
    <w:p w14:paraId="3CF62AC0" w14:textId="77777777" w:rsidR="005A099B" w:rsidRPr="005A099B" w:rsidRDefault="005A099B" w:rsidP="005A099B">
      <w:pPr>
        <w:ind w:left="851"/>
        <w:rPr>
          <w:sz w:val="24"/>
          <w:szCs w:val="24"/>
        </w:rPr>
      </w:pPr>
      <w:r w:rsidRPr="005A099B">
        <w:rPr>
          <w:sz w:val="24"/>
          <w:szCs w:val="24"/>
        </w:rPr>
        <w:t>Det vides ikke, i hvilket omfang disse interaktioner er relevante for katte, men da der ikke foreligger data herom, bør samtidig indgift af produktet og disse lægemidler undgås.</w:t>
      </w:r>
    </w:p>
    <w:p w14:paraId="5AD2481E" w14:textId="77777777" w:rsidR="008203A8" w:rsidRPr="00406EE7" w:rsidRDefault="008203A8" w:rsidP="008203A8">
      <w:pPr>
        <w:tabs>
          <w:tab w:val="left" w:pos="851"/>
        </w:tabs>
        <w:ind w:left="851"/>
        <w:rPr>
          <w:sz w:val="24"/>
          <w:szCs w:val="24"/>
        </w:rPr>
      </w:pPr>
    </w:p>
    <w:p w14:paraId="5025920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1A4DC8AE" w14:textId="77777777" w:rsidR="005A099B" w:rsidRPr="005A099B" w:rsidRDefault="005A099B" w:rsidP="005A099B">
      <w:pPr>
        <w:ind w:left="851"/>
        <w:rPr>
          <w:sz w:val="24"/>
          <w:szCs w:val="24"/>
          <w:lang w:eastAsia="da-DK"/>
        </w:rPr>
      </w:pPr>
      <w:r w:rsidRPr="005A099B">
        <w:rPr>
          <w:sz w:val="24"/>
          <w:szCs w:val="24"/>
        </w:rPr>
        <w:lastRenderedPageBreak/>
        <w:t>Oral anvendelse.</w:t>
      </w:r>
    </w:p>
    <w:p w14:paraId="351877C1" w14:textId="77777777" w:rsidR="005A099B" w:rsidRPr="005A099B" w:rsidRDefault="005A099B" w:rsidP="005A099B">
      <w:pPr>
        <w:ind w:left="851"/>
        <w:rPr>
          <w:sz w:val="24"/>
          <w:szCs w:val="24"/>
        </w:rPr>
      </w:pPr>
      <w:r w:rsidRPr="005A099B">
        <w:rPr>
          <w:sz w:val="24"/>
          <w:szCs w:val="24"/>
        </w:rPr>
        <w:t>Oral opløsning indgives direkte i munden ved hjælp af en doseringssprøjte. Den daglige dosis er 5 mg/kg sv.t. 0,5 ml/kg.</w:t>
      </w:r>
    </w:p>
    <w:p w14:paraId="06B6F7F7" w14:textId="77777777" w:rsidR="005A099B" w:rsidRPr="005A099B" w:rsidRDefault="005A099B" w:rsidP="005A099B">
      <w:pPr>
        <w:ind w:left="851"/>
        <w:rPr>
          <w:sz w:val="24"/>
          <w:szCs w:val="24"/>
        </w:rPr>
      </w:pPr>
    </w:p>
    <w:p w14:paraId="345371D5" w14:textId="77777777" w:rsidR="005A099B" w:rsidRPr="005A099B" w:rsidRDefault="005A099B" w:rsidP="005A099B">
      <w:pPr>
        <w:ind w:left="851"/>
        <w:rPr>
          <w:sz w:val="24"/>
          <w:szCs w:val="24"/>
        </w:rPr>
      </w:pPr>
      <w:r w:rsidRPr="005A099B">
        <w:rPr>
          <w:sz w:val="24"/>
          <w:szCs w:val="24"/>
        </w:rPr>
        <w:t>Kuren udgøres af 3 behandlingsperioder á 7 på hinanden følgende dage. Første og anden behandlingsperiode efterfølges af en periode på 7 dage uden behandling.</w:t>
      </w:r>
    </w:p>
    <w:tbl>
      <w:tblPr>
        <w:tblpPr w:leftFromText="141" w:rightFromText="141" w:vertAnchor="text" w:horzAnchor="margin" w:tblpX="84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005A099B" w14:paraId="73B4E9A7" w14:textId="77777777" w:rsidTr="009F6D44">
        <w:trPr>
          <w:trHeight w:val="400"/>
        </w:trPr>
        <w:tc>
          <w:tcPr>
            <w:tcW w:w="1701" w:type="dxa"/>
            <w:tcBorders>
              <w:top w:val="single" w:sz="4" w:space="0" w:color="auto"/>
              <w:left w:val="single" w:sz="4" w:space="0" w:color="auto"/>
              <w:bottom w:val="single" w:sz="4" w:space="0" w:color="auto"/>
              <w:right w:val="single" w:sz="4" w:space="0" w:color="auto"/>
            </w:tcBorders>
            <w:vAlign w:val="center"/>
            <w:hideMark/>
          </w:tcPr>
          <w:p w14:paraId="0042CD94" w14:textId="77777777" w:rsidR="005A099B" w:rsidRDefault="005A099B" w:rsidP="009F6D44">
            <w:pPr>
              <w:tabs>
                <w:tab w:val="left" w:pos="993"/>
                <w:tab w:val="left" w:pos="2977"/>
                <w:tab w:val="left" w:pos="4820"/>
                <w:tab w:val="left" w:pos="6804"/>
              </w:tabs>
              <w:ind w:left="851" w:hanging="851"/>
              <w:jc w:val="center"/>
              <w:rPr>
                <w:b/>
                <w:sz w:val="20"/>
              </w:rPr>
            </w:pPr>
            <w:r>
              <w:rPr>
                <w:b/>
                <w:sz w:val="20"/>
                <w:highlight w:val="lightGray"/>
              </w:rPr>
              <w:t>7 dage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D54809" w14:textId="77777777" w:rsidR="005A099B" w:rsidRDefault="005A099B" w:rsidP="009F6D44">
            <w:pPr>
              <w:tabs>
                <w:tab w:val="left" w:pos="993"/>
                <w:tab w:val="left" w:pos="2977"/>
                <w:tab w:val="left" w:pos="4820"/>
                <w:tab w:val="left" w:pos="6804"/>
              </w:tabs>
              <w:ind w:left="851" w:hanging="851"/>
              <w:jc w:val="center"/>
              <w:rPr>
                <w:sz w:val="20"/>
              </w:rPr>
            </w:pPr>
            <w:r>
              <w:rPr>
                <w:b/>
                <w:sz w:val="20"/>
              </w:rPr>
              <w:t>7 dage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394DA0" w14:textId="77777777" w:rsidR="005A099B" w:rsidRDefault="005A099B" w:rsidP="009F6D44">
            <w:pPr>
              <w:tabs>
                <w:tab w:val="left" w:pos="993"/>
                <w:tab w:val="left" w:pos="2977"/>
                <w:tab w:val="left" w:pos="4820"/>
                <w:tab w:val="left" w:pos="6804"/>
              </w:tabs>
              <w:ind w:left="851" w:hanging="851"/>
              <w:jc w:val="center"/>
              <w:rPr>
                <w:sz w:val="20"/>
                <w:highlight w:val="lightGray"/>
              </w:rPr>
            </w:pPr>
            <w:r>
              <w:rPr>
                <w:b/>
                <w:sz w:val="20"/>
                <w:highlight w:val="lightGray"/>
              </w:rPr>
              <w:t>7 dage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63B883" w14:textId="77777777" w:rsidR="005A099B" w:rsidRDefault="005A099B" w:rsidP="009F6D44">
            <w:pPr>
              <w:tabs>
                <w:tab w:val="left" w:pos="993"/>
                <w:tab w:val="left" w:pos="2977"/>
                <w:tab w:val="left" w:pos="4820"/>
                <w:tab w:val="left" w:pos="6804"/>
              </w:tabs>
              <w:ind w:left="851" w:hanging="851"/>
              <w:jc w:val="center"/>
              <w:rPr>
                <w:sz w:val="20"/>
              </w:rPr>
            </w:pPr>
            <w:r>
              <w:rPr>
                <w:b/>
                <w:sz w:val="20"/>
              </w:rPr>
              <w:t>7 dage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AA34B5" w14:textId="77777777" w:rsidR="005A099B" w:rsidRDefault="005A099B" w:rsidP="009F6D44">
            <w:pPr>
              <w:tabs>
                <w:tab w:val="left" w:pos="993"/>
                <w:tab w:val="left" w:pos="2977"/>
                <w:tab w:val="left" w:pos="4820"/>
                <w:tab w:val="left" w:pos="6804"/>
              </w:tabs>
              <w:ind w:left="851" w:hanging="851"/>
              <w:jc w:val="center"/>
              <w:rPr>
                <w:sz w:val="20"/>
              </w:rPr>
            </w:pPr>
            <w:r>
              <w:rPr>
                <w:b/>
                <w:sz w:val="20"/>
                <w:highlight w:val="lightGray"/>
              </w:rPr>
              <w:t>7 dage</w:t>
            </w:r>
          </w:p>
        </w:tc>
      </w:tr>
      <w:tr w:rsidR="005A099B" w14:paraId="1E7A2C88" w14:textId="77777777" w:rsidTr="009F6D44">
        <w:trPr>
          <w:trHeight w:val="400"/>
        </w:trPr>
        <w:tc>
          <w:tcPr>
            <w:tcW w:w="1701" w:type="dxa"/>
            <w:tcBorders>
              <w:top w:val="single" w:sz="4" w:space="0" w:color="auto"/>
              <w:left w:val="single" w:sz="4" w:space="0" w:color="auto"/>
              <w:bottom w:val="single" w:sz="4" w:space="0" w:color="auto"/>
              <w:right w:val="single" w:sz="4" w:space="0" w:color="auto"/>
            </w:tcBorders>
            <w:vAlign w:val="center"/>
            <w:hideMark/>
          </w:tcPr>
          <w:p w14:paraId="7E74AD11" w14:textId="77777777" w:rsidR="005A099B" w:rsidRDefault="005A099B" w:rsidP="009F6D44">
            <w:pPr>
              <w:tabs>
                <w:tab w:val="left" w:pos="993"/>
                <w:tab w:val="left" w:pos="2977"/>
                <w:tab w:val="left" w:pos="4820"/>
                <w:tab w:val="left" w:pos="6804"/>
              </w:tabs>
              <w:ind w:left="851" w:hanging="851"/>
              <w:jc w:val="center"/>
              <w:rPr>
                <w:sz w:val="20"/>
              </w:rPr>
            </w:pPr>
            <w:r>
              <w:rPr>
                <w:sz w:val="20"/>
              </w:rPr>
              <w:t>behandling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2059B0" w14:textId="77777777" w:rsidR="005A099B" w:rsidRDefault="005A099B" w:rsidP="009F6D44">
            <w:pPr>
              <w:tabs>
                <w:tab w:val="left" w:pos="993"/>
                <w:tab w:val="left" w:pos="2977"/>
                <w:tab w:val="left" w:pos="4820"/>
                <w:tab w:val="left" w:pos="6804"/>
              </w:tabs>
              <w:ind w:left="851" w:hanging="851"/>
              <w:jc w:val="center"/>
              <w:rPr>
                <w:sz w:val="20"/>
              </w:rPr>
            </w:pPr>
            <w:r>
              <w:rPr>
                <w:sz w:val="20"/>
              </w:rPr>
              <w:t>ingen behandling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1DA029" w14:textId="77777777" w:rsidR="005A099B" w:rsidRDefault="005A099B" w:rsidP="009F6D44">
            <w:pPr>
              <w:tabs>
                <w:tab w:val="left" w:pos="993"/>
                <w:tab w:val="left" w:pos="2977"/>
                <w:tab w:val="left" w:pos="4820"/>
                <w:tab w:val="left" w:pos="6804"/>
              </w:tabs>
              <w:ind w:left="851" w:hanging="851"/>
              <w:jc w:val="center"/>
              <w:rPr>
                <w:sz w:val="20"/>
              </w:rPr>
            </w:pPr>
            <w:r>
              <w:rPr>
                <w:sz w:val="20"/>
              </w:rPr>
              <w:t>behandling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961BF6" w14:textId="77777777" w:rsidR="005A099B" w:rsidRDefault="005A099B" w:rsidP="009F6D44">
            <w:pPr>
              <w:tabs>
                <w:tab w:val="left" w:pos="993"/>
                <w:tab w:val="left" w:pos="2977"/>
                <w:tab w:val="left" w:pos="4820"/>
                <w:tab w:val="left" w:pos="6804"/>
              </w:tabs>
              <w:ind w:left="851" w:hanging="851"/>
              <w:jc w:val="center"/>
              <w:rPr>
                <w:sz w:val="20"/>
              </w:rPr>
            </w:pPr>
            <w:r>
              <w:rPr>
                <w:sz w:val="20"/>
              </w:rPr>
              <w:t>ingen behandling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BB88C0" w14:textId="77777777" w:rsidR="005A099B" w:rsidRDefault="005A099B" w:rsidP="009F6D44">
            <w:pPr>
              <w:tabs>
                <w:tab w:val="left" w:pos="993"/>
                <w:tab w:val="left" w:pos="2977"/>
                <w:tab w:val="left" w:pos="4820"/>
                <w:tab w:val="left" w:pos="6804"/>
              </w:tabs>
              <w:ind w:left="851" w:hanging="851"/>
              <w:jc w:val="center"/>
              <w:rPr>
                <w:sz w:val="20"/>
              </w:rPr>
            </w:pPr>
            <w:r>
              <w:rPr>
                <w:sz w:val="20"/>
              </w:rPr>
              <w:t>behandling</w:t>
            </w:r>
          </w:p>
        </w:tc>
      </w:tr>
    </w:tbl>
    <w:p w14:paraId="500B1DC5" w14:textId="77777777" w:rsidR="005A099B" w:rsidRDefault="005A099B" w:rsidP="005A099B">
      <w:pPr>
        <w:rPr>
          <w:sz w:val="24"/>
        </w:rPr>
      </w:pPr>
    </w:p>
    <w:p w14:paraId="5581E987" w14:textId="77777777" w:rsidR="005A099B" w:rsidRDefault="005A099B" w:rsidP="00436AB8">
      <w:pPr>
        <w:tabs>
          <w:tab w:val="left" w:pos="851"/>
        </w:tabs>
      </w:pPr>
    </w:p>
    <w:p w14:paraId="48BE0D61" w14:textId="77777777" w:rsidR="005A099B" w:rsidRDefault="005A099B" w:rsidP="005A099B">
      <w:pPr>
        <w:ind w:left="851"/>
        <w:rPr>
          <w:sz w:val="24"/>
          <w:szCs w:val="24"/>
        </w:rPr>
      </w:pPr>
    </w:p>
    <w:p w14:paraId="73E8CD83" w14:textId="0EA41B75" w:rsidR="005A099B" w:rsidRPr="005A099B" w:rsidRDefault="005A099B" w:rsidP="005A099B">
      <w:pPr>
        <w:ind w:left="851"/>
        <w:rPr>
          <w:sz w:val="24"/>
          <w:szCs w:val="24"/>
        </w:rPr>
      </w:pPr>
      <w:r w:rsidRPr="005A099B">
        <w:rPr>
          <w:sz w:val="24"/>
          <w:szCs w:val="24"/>
        </w:rPr>
        <w:t>Doseringssprøjten viser gradinddelinger per 100 gram legemsvægt. Fyld sprøjten ved at trække stemplet tilbage, indtil kattens korrekte legemsvægt angives på sprøjten.</w:t>
      </w:r>
    </w:p>
    <w:p w14:paraId="452102E4" w14:textId="77777777" w:rsidR="005A099B" w:rsidRPr="005A099B" w:rsidRDefault="005A099B" w:rsidP="005A099B">
      <w:pPr>
        <w:ind w:left="851"/>
        <w:rPr>
          <w:sz w:val="24"/>
          <w:szCs w:val="24"/>
        </w:rPr>
      </w:pPr>
    </w:p>
    <w:p w14:paraId="1E78B8AD" w14:textId="77777777" w:rsidR="005A099B" w:rsidRPr="005A099B" w:rsidRDefault="005A099B" w:rsidP="005A099B">
      <w:pPr>
        <w:ind w:left="851"/>
        <w:rPr>
          <w:sz w:val="24"/>
          <w:szCs w:val="24"/>
        </w:rPr>
      </w:pPr>
      <w:r w:rsidRPr="005A099B">
        <w:rPr>
          <w:sz w:val="24"/>
          <w:szCs w:val="24"/>
        </w:rPr>
        <w:t>Ved behandling af killinger skal man omhyggeligt undgå at overdosere. Det anbefales derfor at anvende en 1 ml injektionssprøjte til killinger, som vejer under 0,5 kg.</w:t>
      </w:r>
    </w:p>
    <w:p w14:paraId="18518224" w14:textId="77777777" w:rsidR="005A099B" w:rsidRPr="005A099B" w:rsidRDefault="005A099B" w:rsidP="005A099B">
      <w:pPr>
        <w:ind w:left="851"/>
        <w:rPr>
          <w:sz w:val="24"/>
          <w:szCs w:val="24"/>
        </w:rPr>
      </w:pPr>
    </w:p>
    <w:p w14:paraId="09FA68E3" w14:textId="77777777" w:rsidR="005A099B" w:rsidRPr="005A099B" w:rsidRDefault="005A099B" w:rsidP="005A099B">
      <w:pPr>
        <w:ind w:left="851"/>
        <w:rPr>
          <w:sz w:val="24"/>
          <w:szCs w:val="24"/>
        </w:rPr>
      </w:pPr>
      <w:r w:rsidRPr="005A099B">
        <w:rPr>
          <w:sz w:val="24"/>
          <w:szCs w:val="24"/>
        </w:rPr>
        <w:t>Dyret behandles ved langsomt og forsigtigt at sprøjte væsken ind i munden, således at katten får mulighed for at synke præparatet.</w:t>
      </w:r>
    </w:p>
    <w:p w14:paraId="66967CB7" w14:textId="77777777" w:rsidR="005A099B" w:rsidRPr="005A099B" w:rsidRDefault="005A099B" w:rsidP="005A099B">
      <w:pPr>
        <w:ind w:left="851"/>
        <w:rPr>
          <w:sz w:val="24"/>
          <w:szCs w:val="24"/>
        </w:rPr>
      </w:pPr>
    </w:p>
    <w:p w14:paraId="363B77C9" w14:textId="77777777" w:rsidR="005A099B" w:rsidRPr="005A099B" w:rsidRDefault="005A099B" w:rsidP="005A099B">
      <w:pPr>
        <w:ind w:left="851"/>
        <w:rPr>
          <w:sz w:val="24"/>
          <w:szCs w:val="24"/>
        </w:rPr>
      </w:pPr>
      <w:r w:rsidRPr="005A099B">
        <w:rPr>
          <w:sz w:val="24"/>
          <w:szCs w:val="24"/>
        </w:rPr>
        <w:t>Efter doseringen fjernes doseringssprøjten fra flasken og låget skrues på, så det slutter tæt. Sprøjten rengøres og tørres.</w:t>
      </w:r>
    </w:p>
    <w:p w14:paraId="226F24CD" w14:textId="77777777" w:rsidR="005A099B" w:rsidRPr="005A099B" w:rsidRDefault="005A099B" w:rsidP="005A099B">
      <w:pPr>
        <w:ind w:left="851"/>
        <w:rPr>
          <w:sz w:val="24"/>
          <w:szCs w:val="24"/>
        </w:rPr>
      </w:pPr>
    </w:p>
    <w:p w14:paraId="1CE38A97" w14:textId="77777777" w:rsidR="005A099B" w:rsidRPr="005A099B" w:rsidRDefault="005A099B" w:rsidP="005A099B">
      <w:pPr>
        <w:ind w:left="851"/>
        <w:rPr>
          <w:sz w:val="24"/>
          <w:szCs w:val="24"/>
        </w:rPr>
      </w:pPr>
      <w:r w:rsidRPr="005A099B">
        <w:rPr>
          <w:sz w:val="24"/>
          <w:szCs w:val="24"/>
        </w:rPr>
        <w:t xml:space="preserve">Hos mennesket har det vist sig, at samtidig fødeindtagelse kan nedsætte absorptionen af </w:t>
      </w:r>
      <w:proofErr w:type="spellStart"/>
      <w:r w:rsidRPr="005A099B">
        <w:rPr>
          <w:sz w:val="24"/>
          <w:szCs w:val="24"/>
        </w:rPr>
        <w:t>itraconazol</w:t>
      </w:r>
      <w:proofErr w:type="spellEnd"/>
      <w:r w:rsidRPr="005A099B">
        <w:rPr>
          <w:sz w:val="24"/>
          <w:szCs w:val="24"/>
        </w:rPr>
        <w:t>. Det anbefales derfor at behandle mellem måltiderne.</w:t>
      </w:r>
    </w:p>
    <w:p w14:paraId="60488C95" w14:textId="77777777" w:rsidR="005A099B" w:rsidRPr="005A099B" w:rsidRDefault="005A099B" w:rsidP="005A099B">
      <w:pPr>
        <w:ind w:left="851"/>
        <w:rPr>
          <w:sz w:val="24"/>
          <w:szCs w:val="24"/>
        </w:rPr>
      </w:pPr>
    </w:p>
    <w:p w14:paraId="5A462624" w14:textId="77777777" w:rsidR="005A099B" w:rsidRPr="005A099B" w:rsidRDefault="005A099B" w:rsidP="005A099B">
      <w:pPr>
        <w:ind w:left="851"/>
        <w:rPr>
          <w:sz w:val="24"/>
          <w:szCs w:val="24"/>
        </w:rPr>
      </w:pPr>
      <w:r w:rsidRPr="005A099B">
        <w:rPr>
          <w:sz w:val="24"/>
          <w:szCs w:val="24"/>
        </w:rPr>
        <w:t xml:space="preserve">I nogle tilfælde kan der forekomme et forlænget interval mellem klinisk og mykologisk helbredelse. I tilfælde hvor en dyrkning er positiv 4 uger efter behandlingen, bør denne gentages én gang efter samme doseringsskema, som beskrevet ovenfor. Endvidere bør behandlingen gentages hos katte med påvirket immunsystem og den tilgrundliggende sygdom bør udredes.  </w:t>
      </w:r>
    </w:p>
    <w:p w14:paraId="32DEB703" w14:textId="77777777" w:rsidR="008203A8" w:rsidRPr="00406EE7" w:rsidRDefault="008203A8" w:rsidP="008203A8">
      <w:pPr>
        <w:tabs>
          <w:tab w:val="left" w:pos="851"/>
        </w:tabs>
        <w:ind w:left="851"/>
        <w:rPr>
          <w:sz w:val="24"/>
          <w:szCs w:val="24"/>
        </w:rPr>
      </w:pPr>
    </w:p>
    <w:p w14:paraId="251FC62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09043879" w14:textId="77777777" w:rsidR="00E132E0" w:rsidRPr="00E132E0" w:rsidRDefault="00E132E0" w:rsidP="00E132E0">
      <w:pPr>
        <w:ind w:left="851"/>
        <w:rPr>
          <w:sz w:val="24"/>
          <w:szCs w:val="24"/>
          <w:lang w:eastAsia="da-DK"/>
        </w:rPr>
      </w:pPr>
      <w:r w:rsidRPr="00E132E0">
        <w:rPr>
          <w:sz w:val="24"/>
          <w:szCs w:val="24"/>
        </w:rPr>
        <w:t xml:space="preserve">Efter en 5 dobbelt overdosis af </w:t>
      </w:r>
      <w:proofErr w:type="spellStart"/>
      <w:r w:rsidRPr="00E132E0">
        <w:rPr>
          <w:sz w:val="24"/>
          <w:szCs w:val="24"/>
        </w:rPr>
        <w:t>itraconazol</w:t>
      </w:r>
      <w:proofErr w:type="spellEnd"/>
      <w:r w:rsidRPr="00E132E0">
        <w:rPr>
          <w:sz w:val="24"/>
          <w:szCs w:val="24"/>
        </w:rPr>
        <w:t xml:space="preserve">, indgivet i 6 på hinanden følgende uge, var de reversible kliniske bivirkninger: Dårlig pels, nedsat fødeindtagelse og vægttab. </w:t>
      </w:r>
      <w:r w:rsidRPr="00E132E0">
        <w:rPr>
          <w:sz w:val="24"/>
          <w:szCs w:val="24"/>
        </w:rPr>
        <w:br/>
        <w:t xml:space="preserve">En 3 dobbelt overdosis i 6 på hinanden følgende uger resulterede ikke i kliniske bivirkninger. </w:t>
      </w:r>
      <w:r w:rsidRPr="00E132E0">
        <w:rPr>
          <w:sz w:val="24"/>
          <w:szCs w:val="24"/>
        </w:rPr>
        <w:br/>
        <w:t xml:space="preserve">Både efter 3 og 5 dobbelt overdosering i 6 uger ses reversible ændringer i blodparametrene, som tyder på, at leverfunktionen er påvirket (øget ALT, ALP, bilirubin, og AST). Ved den 5 dobbelte overdosering observeredes en svag stigning i antallet af </w:t>
      </w:r>
      <w:proofErr w:type="spellStart"/>
      <w:r w:rsidRPr="00E132E0">
        <w:rPr>
          <w:sz w:val="24"/>
          <w:szCs w:val="24"/>
        </w:rPr>
        <w:t>neutrofile</w:t>
      </w:r>
      <w:proofErr w:type="spellEnd"/>
      <w:r w:rsidRPr="00E132E0">
        <w:rPr>
          <w:sz w:val="24"/>
          <w:szCs w:val="24"/>
        </w:rPr>
        <w:t xml:space="preserve"> granulocytter og lymfocytter. </w:t>
      </w:r>
    </w:p>
    <w:p w14:paraId="01F73741" w14:textId="77777777" w:rsidR="00E132E0" w:rsidRPr="00E132E0" w:rsidRDefault="00E132E0" w:rsidP="00E132E0">
      <w:pPr>
        <w:ind w:left="851"/>
        <w:rPr>
          <w:sz w:val="24"/>
          <w:szCs w:val="24"/>
        </w:rPr>
      </w:pPr>
    </w:p>
    <w:p w14:paraId="040F5C0F" w14:textId="77777777" w:rsidR="00E132E0" w:rsidRPr="00E132E0" w:rsidRDefault="00E132E0" w:rsidP="00E132E0">
      <w:pPr>
        <w:ind w:left="851"/>
        <w:rPr>
          <w:sz w:val="24"/>
          <w:szCs w:val="24"/>
        </w:rPr>
      </w:pPr>
      <w:r w:rsidRPr="00E132E0">
        <w:rPr>
          <w:sz w:val="24"/>
          <w:szCs w:val="24"/>
        </w:rPr>
        <w:t>Der er ikke udført overdoseringsforsøg med killinger.</w:t>
      </w:r>
    </w:p>
    <w:p w14:paraId="6C5B4F5D" w14:textId="77777777" w:rsidR="008203A8" w:rsidRDefault="008203A8" w:rsidP="008203A8">
      <w:pPr>
        <w:tabs>
          <w:tab w:val="left" w:pos="851"/>
        </w:tabs>
        <w:ind w:left="851"/>
        <w:rPr>
          <w:sz w:val="24"/>
          <w:szCs w:val="24"/>
        </w:rPr>
      </w:pPr>
    </w:p>
    <w:p w14:paraId="06008E63"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5E631925" w14:textId="43A5385B" w:rsidR="008203A8" w:rsidRDefault="00E132E0" w:rsidP="008203A8">
      <w:pPr>
        <w:tabs>
          <w:tab w:val="left" w:pos="851"/>
        </w:tabs>
        <w:ind w:left="851"/>
        <w:rPr>
          <w:sz w:val="24"/>
          <w:szCs w:val="24"/>
        </w:rPr>
      </w:pPr>
      <w:r w:rsidRPr="00E132E0">
        <w:rPr>
          <w:sz w:val="24"/>
          <w:szCs w:val="24"/>
        </w:rPr>
        <w:t>Ikke relevant.</w:t>
      </w:r>
    </w:p>
    <w:p w14:paraId="1AC88E97" w14:textId="77777777" w:rsidR="008203A8" w:rsidRPr="00406EE7" w:rsidRDefault="008203A8" w:rsidP="008203A8">
      <w:pPr>
        <w:tabs>
          <w:tab w:val="left" w:pos="851"/>
        </w:tabs>
        <w:ind w:left="851"/>
        <w:rPr>
          <w:sz w:val="24"/>
          <w:szCs w:val="24"/>
        </w:rPr>
      </w:pPr>
    </w:p>
    <w:p w14:paraId="1B12EAC9"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3FC5CFC6" w14:textId="2A03D3EF" w:rsidR="008203A8" w:rsidRPr="00406EE7" w:rsidRDefault="00E132E0" w:rsidP="008203A8">
      <w:pPr>
        <w:tabs>
          <w:tab w:val="left" w:pos="851"/>
        </w:tabs>
        <w:ind w:left="851"/>
        <w:rPr>
          <w:sz w:val="24"/>
          <w:szCs w:val="24"/>
        </w:rPr>
      </w:pPr>
      <w:r w:rsidRPr="00E132E0">
        <w:rPr>
          <w:sz w:val="24"/>
          <w:szCs w:val="24"/>
        </w:rPr>
        <w:t>Ikke relevant.</w:t>
      </w:r>
    </w:p>
    <w:p w14:paraId="22C0C5F5" w14:textId="77777777" w:rsidR="008203A8" w:rsidRPr="00406EE7" w:rsidRDefault="008203A8" w:rsidP="008203A8">
      <w:pPr>
        <w:pStyle w:val="Sidehoved"/>
        <w:tabs>
          <w:tab w:val="clear" w:pos="4819"/>
        </w:tabs>
        <w:ind w:left="851"/>
        <w:rPr>
          <w:szCs w:val="24"/>
        </w:rPr>
      </w:pPr>
    </w:p>
    <w:p w14:paraId="5877187A" w14:textId="77777777" w:rsidR="008203A8" w:rsidRPr="00406EE7" w:rsidRDefault="008203A8" w:rsidP="008203A8">
      <w:pPr>
        <w:tabs>
          <w:tab w:val="left" w:pos="851"/>
        </w:tabs>
        <w:ind w:left="851"/>
        <w:rPr>
          <w:sz w:val="24"/>
          <w:szCs w:val="24"/>
        </w:rPr>
      </w:pPr>
    </w:p>
    <w:p w14:paraId="6BF2DD4E" w14:textId="6FE6308B" w:rsidR="008203A8" w:rsidRPr="00406EE7" w:rsidRDefault="008203A8" w:rsidP="008203A8">
      <w:pPr>
        <w:ind w:left="851" w:hanging="851"/>
        <w:rPr>
          <w:b/>
          <w:sz w:val="24"/>
          <w:szCs w:val="24"/>
        </w:rPr>
      </w:pPr>
      <w:r w:rsidRPr="00E132E0">
        <w:rPr>
          <w:b/>
          <w:sz w:val="24"/>
          <w:szCs w:val="24"/>
        </w:rPr>
        <w:t>4.</w:t>
      </w:r>
      <w:r w:rsidRPr="00E132E0">
        <w:rPr>
          <w:b/>
          <w:sz w:val="24"/>
          <w:szCs w:val="24"/>
        </w:rPr>
        <w:tab/>
      </w:r>
      <w:r w:rsidRPr="00CF75B4">
        <w:rPr>
          <w:b/>
          <w:sz w:val="24"/>
          <w:szCs w:val="24"/>
        </w:rPr>
        <w:t>FARMAKOLOGISKE</w:t>
      </w:r>
      <w:r w:rsidRPr="00406EE7">
        <w:rPr>
          <w:b/>
          <w:sz w:val="24"/>
          <w:szCs w:val="24"/>
        </w:rPr>
        <w:t xml:space="preserve"> </w:t>
      </w:r>
      <w:r>
        <w:rPr>
          <w:b/>
          <w:sz w:val="24"/>
          <w:szCs w:val="24"/>
        </w:rPr>
        <w:t>OPLYSNINGER</w:t>
      </w:r>
    </w:p>
    <w:p w14:paraId="5F20E322" w14:textId="77777777" w:rsidR="008203A8" w:rsidRDefault="008203A8" w:rsidP="008203A8">
      <w:pPr>
        <w:ind w:left="851"/>
        <w:rPr>
          <w:sz w:val="24"/>
          <w:szCs w:val="24"/>
        </w:rPr>
      </w:pPr>
    </w:p>
    <w:p w14:paraId="0BB67B7A"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72ABAEEA" w14:textId="764E126F" w:rsidR="008203A8" w:rsidRDefault="00E132E0" w:rsidP="008203A8">
      <w:pPr>
        <w:ind w:left="851"/>
        <w:rPr>
          <w:sz w:val="24"/>
          <w:szCs w:val="24"/>
        </w:rPr>
      </w:pPr>
      <w:r w:rsidRPr="00E132E0">
        <w:rPr>
          <w:sz w:val="24"/>
          <w:szCs w:val="24"/>
        </w:rPr>
        <w:t>QJO2AC02</w:t>
      </w:r>
    </w:p>
    <w:p w14:paraId="3F623EAB" w14:textId="77777777" w:rsidR="008203A8" w:rsidRPr="00406EE7" w:rsidRDefault="008203A8" w:rsidP="008203A8">
      <w:pPr>
        <w:ind w:left="851"/>
        <w:rPr>
          <w:sz w:val="24"/>
          <w:szCs w:val="24"/>
        </w:rPr>
      </w:pPr>
    </w:p>
    <w:p w14:paraId="370B031C" w14:textId="77777777" w:rsidR="008203A8" w:rsidRPr="00406EE7" w:rsidRDefault="008203A8" w:rsidP="008203A8">
      <w:pPr>
        <w:tabs>
          <w:tab w:val="left" w:pos="851"/>
        </w:tabs>
        <w:ind w:left="851" w:hanging="851"/>
        <w:rPr>
          <w:b/>
          <w:sz w:val="24"/>
          <w:szCs w:val="24"/>
        </w:rPr>
      </w:pPr>
      <w:r w:rsidRPr="00E132E0">
        <w:rPr>
          <w:b/>
          <w:sz w:val="24"/>
          <w:szCs w:val="24"/>
        </w:rPr>
        <w:t>4.2</w:t>
      </w:r>
      <w:r w:rsidRPr="00E132E0">
        <w:rPr>
          <w:b/>
          <w:sz w:val="24"/>
          <w:szCs w:val="24"/>
        </w:rPr>
        <w:tab/>
      </w:r>
      <w:proofErr w:type="spellStart"/>
      <w:r w:rsidRPr="00CF75B4">
        <w:rPr>
          <w:b/>
          <w:sz w:val="24"/>
          <w:szCs w:val="24"/>
        </w:rPr>
        <w:t>Farmakodynamiske</w:t>
      </w:r>
      <w:proofErr w:type="spellEnd"/>
      <w:r w:rsidRPr="00CF75B4">
        <w:rPr>
          <w:b/>
          <w:sz w:val="24"/>
          <w:szCs w:val="24"/>
        </w:rPr>
        <w:t xml:space="preserve"> </w:t>
      </w:r>
      <w:r>
        <w:rPr>
          <w:b/>
          <w:sz w:val="24"/>
          <w:szCs w:val="24"/>
        </w:rPr>
        <w:t>oplysninger</w:t>
      </w:r>
    </w:p>
    <w:p w14:paraId="18CD2FDD" w14:textId="77777777" w:rsidR="00E132E0" w:rsidRPr="00E132E0" w:rsidRDefault="00E132E0" w:rsidP="00E132E0">
      <w:pPr>
        <w:ind w:left="851"/>
        <w:rPr>
          <w:sz w:val="24"/>
          <w:szCs w:val="24"/>
          <w:lang w:eastAsia="da-DK"/>
        </w:rPr>
      </w:pPr>
      <w:proofErr w:type="spellStart"/>
      <w:r w:rsidRPr="00E132E0">
        <w:rPr>
          <w:sz w:val="24"/>
          <w:szCs w:val="24"/>
        </w:rPr>
        <w:t>Itrafungol</w:t>
      </w:r>
      <w:proofErr w:type="spellEnd"/>
      <w:r w:rsidRPr="00E132E0">
        <w:rPr>
          <w:sz w:val="24"/>
          <w:szCs w:val="24"/>
        </w:rPr>
        <w:t xml:space="preserve"> indeholder </w:t>
      </w:r>
      <w:proofErr w:type="spellStart"/>
      <w:r w:rsidRPr="00E132E0">
        <w:rPr>
          <w:sz w:val="24"/>
          <w:szCs w:val="24"/>
        </w:rPr>
        <w:t>itraconazol</w:t>
      </w:r>
      <w:proofErr w:type="spellEnd"/>
      <w:r w:rsidRPr="00E132E0">
        <w:rPr>
          <w:sz w:val="24"/>
          <w:szCs w:val="24"/>
        </w:rPr>
        <w:t xml:space="preserve">, et syntetisk bredspektret </w:t>
      </w:r>
      <w:proofErr w:type="spellStart"/>
      <w:r w:rsidRPr="00E132E0">
        <w:rPr>
          <w:sz w:val="24"/>
          <w:szCs w:val="24"/>
        </w:rPr>
        <w:t>triazol-antimykotikum</w:t>
      </w:r>
      <w:proofErr w:type="spellEnd"/>
      <w:r w:rsidRPr="00E132E0">
        <w:rPr>
          <w:sz w:val="24"/>
          <w:szCs w:val="24"/>
        </w:rPr>
        <w:t xml:space="preserve"> med høj aktivitet mod </w:t>
      </w:r>
      <w:proofErr w:type="spellStart"/>
      <w:r w:rsidRPr="00E132E0">
        <w:rPr>
          <w:sz w:val="24"/>
          <w:szCs w:val="24"/>
        </w:rPr>
        <w:t>dermatofytter</w:t>
      </w:r>
      <w:proofErr w:type="spellEnd"/>
      <w:r w:rsidRPr="00E132E0">
        <w:rPr>
          <w:sz w:val="24"/>
          <w:szCs w:val="24"/>
        </w:rPr>
        <w:t xml:space="preserve"> (</w:t>
      </w:r>
      <w:proofErr w:type="spellStart"/>
      <w:r w:rsidRPr="00E132E0">
        <w:rPr>
          <w:i/>
          <w:sz w:val="24"/>
          <w:szCs w:val="24"/>
        </w:rPr>
        <w:t>Trichophyton</w:t>
      </w:r>
      <w:proofErr w:type="spellEnd"/>
      <w:r w:rsidRPr="00E132E0">
        <w:rPr>
          <w:sz w:val="24"/>
          <w:szCs w:val="24"/>
        </w:rPr>
        <w:t xml:space="preserve"> </w:t>
      </w:r>
      <w:proofErr w:type="spellStart"/>
      <w:r w:rsidRPr="00E132E0">
        <w:rPr>
          <w:sz w:val="24"/>
          <w:szCs w:val="24"/>
        </w:rPr>
        <w:t>spp</w:t>
      </w:r>
      <w:proofErr w:type="spellEnd"/>
      <w:r w:rsidRPr="00E132E0">
        <w:rPr>
          <w:sz w:val="24"/>
          <w:szCs w:val="24"/>
        </w:rPr>
        <w:t xml:space="preserve">., </w:t>
      </w:r>
      <w:proofErr w:type="spellStart"/>
      <w:r w:rsidRPr="00E132E0">
        <w:rPr>
          <w:i/>
          <w:sz w:val="24"/>
          <w:szCs w:val="24"/>
        </w:rPr>
        <w:t>Microsporum</w:t>
      </w:r>
      <w:proofErr w:type="spellEnd"/>
      <w:r w:rsidRPr="00E132E0">
        <w:rPr>
          <w:sz w:val="24"/>
          <w:szCs w:val="24"/>
        </w:rPr>
        <w:t xml:space="preserve"> </w:t>
      </w:r>
      <w:proofErr w:type="spellStart"/>
      <w:r w:rsidRPr="00E132E0">
        <w:rPr>
          <w:sz w:val="24"/>
          <w:szCs w:val="24"/>
        </w:rPr>
        <w:t>spp</w:t>
      </w:r>
      <w:proofErr w:type="spellEnd"/>
      <w:r w:rsidRPr="00E132E0">
        <w:rPr>
          <w:sz w:val="24"/>
          <w:szCs w:val="24"/>
        </w:rPr>
        <w:t>.), gærsvampe (</w:t>
      </w:r>
      <w:proofErr w:type="spellStart"/>
      <w:r w:rsidRPr="00E132E0">
        <w:rPr>
          <w:i/>
          <w:sz w:val="24"/>
          <w:szCs w:val="24"/>
        </w:rPr>
        <w:t>Candida</w:t>
      </w:r>
      <w:proofErr w:type="spellEnd"/>
      <w:r w:rsidRPr="00E132E0">
        <w:rPr>
          <w:sz w:val="24"/>
          <w:szCs w:val="24"/>
        </w:rPr>
        <w:t> </w:t>
      </w:r>
      <w:proofErr w:type="spellStart"/>
      <w:r w:rsidRPr="00E132E0">
        <w:rPr>
          <w:sz w:val="24"/>
          <w:szCs w:val="24"/>
        </w:rPr>
        <w:t>spp</w:t>
      </w:r>
      <w:proofErr w:type="spellEnd"/>
      <w:r w:rsidRPr="00E132E0">
        <w:rPr>
          <w:sz w:val="24"/>
          <w:szCs w:val="24"/>
        </w:rPr>
        <w:t xml:space="preserve">., </w:t>
      </w:r>
      <w:proofErr w:type="spellStart"/>
      <w:r w:rsidRPr="00E132E0">
        <w:rPr>
          <w:i/>
          <w:sz w:val="24"/>
          <w:szCs w:val="24"/>
        </w:rPr>
        <w:t>Malassezia</w:t>
      </w:r>
      <w:proofErr w:type="spellEnd"/>
      <w:r w:rsidRPr="00E132E0">
        <w:rPr>
          <w:sz w:val="24"/>
          <w:szCs w:val="24"/>
        </w:rPr>
        <w:t xml:space="preserve"> </w:t>
      </w:r>
      <w:proofErr w:type="spellStart"/>
      <w:r w:rsidRPr="00E132E0">
        <w:rPr>
          <w:sz w:val="24"/>
          <w:szCs w:val="24"/>
        </w:rPr>
        <w:t>spp</w:t>
      </w:r>
      <w:proofErr w:type="spellEnd"/>
      <w:r w:rsidRPr="00E132E0">
        <w:rPr>
          <w:sz w:val="24"/>
          <w:szCs w:val="24"/>
        </w:rPr>
        <w:t xml:space="preserve">.), forskellige dimorfe svampe, </w:t>
      </w:r>
      <w:proofErr w:type="spellStart"/>
      <w:r w:rsidRPr="00E132E0">
        <w:rPr>
          <w:sz w:val="24"/>
          <w:szCs w:val="24"/>
        </w:rPr>
        <w:t>zygomyceter</w:t>
      </w:r>
      <w:proofErr w:type="spellEnd"/>
      <w:r w:rsidRPr="00E132E0">
        <w:rPr>
          <w:sz w:val="24"/>
          <w:szCs w:val="24"/>
        </w:rPr>
        <w:t xml:space="preserve"> og </w:t>
      </w:r>
      <w:proofErr w:type="spellStart"/>
      <w:r w:rsidRPr="00E132E0">
        <w:rPr>
          <w:sz w:val="24"/>
          <w:szCs w:val="24"/>
        </w:rPr>
        <w:t>eumycetes</w:t>
      </w:r>
      <w:proofErr w:type="spellEnd"/>
      <w:r w:rsidRPr="00E132E0">
        <w:rPr>
          <w:sz w:val="24"/>
          <w:szCs w:val="24"/>
        </w:rPr>
        <w:t xml:space="preserve"> (f.eks. </w:t>
      </w:r>
      <w:r w:rsidRPr="00E132E0">
        <w:rPr>
          <w:i/>
          <w:sz w:val="24"/>
          <w:szCs w:val="24"/>
        </w:rPr>
        <w:t>Aspergillus</w:t>
      </w:r>
      <w:r w:rsidRPr="00E132E0">
        <w:rPr>
          <w:sz w:val="24"/>
          <w:szCs w:val="24"/>
        </w:rPr>
        <w:t xml:space="preserve"> </w:t>
      </w:r>
      <w:proofErr w:type="spellStart"/>
      <w:r w:rsidRPr="00E132E0">
        <w:rPr>
          <w:sz w:val="24"/>
          <w:szCs w:val="24"/>
        </w:rPr>
        <w:t>spp</w:t>
      </w:r>
      <w:proofErr w:type="spellEnd"/>
      <w:r w:rsidRPr="00E132E0">
        <w:rPr>
          <w:sz w:val="24"/>
          <w:szCs w:val="24"/>
        </w:rPr>
        <w:t>.).</w:t>
      </w:r>
    </w:p>
    <w:p w14:paraId="12B1E477" w14:textId="77777777" w:rsidR="00E132E0" w:rsidRPr="00E132E0" w:rsidRDefault="00E132E0" w:rsidP="00E132E0">
      <w:pPr>
        <w:ind w:left="851"/>
        <w:rPr>
          <w:rFonts w:ascii="TimesNewRoman,Italic" w:hAnsi="TimesNewRoman,Italic"/>
          <w:sz w:val="24"/>
          <w:szCs w:val="24"/>
        </w:rPr>
      </w:pPr>
    </w:p>
    <w:p w14:paraId="3C830C9C" w14:textId="4D965F07" w:rsidR="008203A8" w:rsidRPr="00E132E0" w:rsidRDefault="00E132E0" w:rsidP="00E132E0">
      <w:pPr>
        <w:tabs>
          <w:tab w:val="left" w:pos="851"/>
        </w:tabs>
        <w:ind w:left="851"/>
        <w:rPr>
          <w:sz w:val="24"/>
          <w:szCs w:val="24"/>
        </w:rPr>
      </w:pPr>
      <w:proofErr w:type="spellStart"/>
      <w:r w:rsidRPr="00E132E0">
        <w:rPr>
          <w:sz w:val="24"/>
          <w:szCs w:val="24"/>
        </w:rPr>
        <w:t>Itraconazols</w:t>
      </w:r>
      <w:proofErr w:type="spellEnd"/>
      <w:r w:rsidRPr="00E132E0">
        <w:rPr>
          <w:sz w:val="24"/>
          <w:szCs w:val="24"/>
        </w:rPr>
        <w:t xml:space="preserve"> virkemåde er baseret på dets stærkt selektive bindeevne til </w:t>
      </w:r>
      <w:proofErr w:type="spellStart"/>
      <w:r w:rsidRPr="00E132E0">
        <w:rPr>
          <w:sz w:val="24"/>
          <w:szCs w:val="24"/>
        </w:rPr>
        <w:t>cytochrom</w:t>
      </w:r>
      <w:proofErr w:type="spellEnd"/>
      <w:r w:rsidRPr="00E132E0">
        <w:rPr>
          <w:sz w:val="24"/>
          <w:szCs w:val="24"/>
        </w:rPr>
        <w:t xml:space="preserve"> P450 </w:t>
      </w:r>
      <w:proofErr w:type="spellStart"/>
      <w:r w:rsidRPr="00E132E0">
        <w:rPr>
          <w:sz w:val="24"/>
          <w:szCs w:val="24"/>
        </w:rPr>
        <w:t>isoenzymer</w:t>
      </w:r>
      <w:proofErr w:type="spellEnd"/>
      <w:r w:rsidRPr="00E132E0">
        <w:rPr>
          <w:sz w:val="24"/>
          <w:szCs w:val="24"/>
        </w:rPr>
        <w:t xml:space="preserve">. Dette hæmmer </w:t>
      </w:r>
      <w:proofErr w:type="spellStart"/>
      <w:r w:rsidRPr="00E132E0">
        <w:rPr>
          <w:sz w:val="24"/>
          <w:szCs w:val="24"/>
        </w:rPr>
        <w:t>ergosterolsyntesen</w:t>
      </w:r>
      <w:proofErr w:type="spellEnd"/>
      <w:r w:rsidRPr="00E132E0">
        <w:rPr>
          <w:sz w:val="24"/>
          <w:szCs w:val="24"/>
        </w:rPr>
        <w:t xml:space="preserve"> og påvirker den membranbundne enzymfunktion samt membranpermeabiliteten. Denne virkning, som er irreversibel, forårsager en strukturel degenerering.</w:t>
      </w:r>
    </w:p>
    <w:p w14:paraId="0A87826F" w14:textId="77777777" w:rsidR="008203A8" w:rsidRPr="00406EE7" w:rsidRDefault="008203A8" w:rsidP="008203A8">
      <w:pPr>
        <w:tabs>
          <w:tab w:val="left" w:pos="851"/>
        </w:tabs>
        <w:ind w:left="851"/>
        <w:rPr>
          <w:sz w:val="24"/>
          <w:szCs w:val="24"/>
        </w:rPr>
      </w:pPr>
    </w:p>
    <w:p w14:paraId="0BA393ED" w14:textId="77777777" w:rsidR="008203A8" w:rsidRPr="00406EE7" w:rsidRDefault="008203A8" w:rsidP="008203A8">
      <w:pPr>
        <w:tabs>
          <w:tab w:val="left" w:pos="851"/>
        </w:tabs>
        <w:ind w:left="851" w:hanging="851"/>
        <w:rPr>
          <w:b/>
          <w:sz w:val="24"/>
          <w:szCs w:val="24"/>
        </w:rPr>
      </w:pPr>
      <w:r w:rsidRPr="00E132E0">
        <w:rPr>
          <w:b/>
          <w:sz w:val="24"/>
          <w:szCs w:val="24"/>
        </w:rPr>
        <w:t>4.3</w:t>
      </w:r>
      <w:r w:rsidRPr="00E132E0">
        <w:rPr>
          <w:b/>
          <w:sz w:val="24"/>
          <w:szCs w:val="24"/>
        </w:rPr>
        <w:tab/>
      </w:r>
      <w:proofErr w:type="spellStart"/>
      <w:r w:rsidRPr="002E7439">
        <w:rPr>
          <w:b/>
          <w:sz w:val="24"/>
          <w:szCs w:val="24"/>
        </w:rPr>
        <w:t>Farmakokinetiske</w:t>
      </w:r>
      <w:proofErr w:type="spellEnd"/>
      <w:r w:rsidRPr="002E7439">
        <w:rPr>
          <w:b/>
          <w:sz w:val="24"/>
          <w:szCs w:val="24"/>
        </w:rPr>
        <w:t xml:space="preserve"> oplysninger</w:t>
      </w:r>
    </w:p>
    <w:p w14:paraId="1C737726" w14:textId="77777777" w:rsidR="00E132E0" w:rsidRPr="00E132E0" w:rsidRDefault="00E132E0" w:rsidP="00E132E0">
      <w:pPr>
        <w:ind w:left="851"/>
        <w:rPr>
          <w:sz w:val="24"/>
          <w:szCs w:val="24"/>
          <w:lang w:eastAsia="da-DK"/>
        </w:rPr>
      </w:pPr>
      <w:r w:rsidRPr="00E132E0">
        <w:rPr>
          <w:sz w:val="24"/>
          <w:szCs w:val="24"/>
        </w:rPr>
        <w:t xml:space="preserve">Forsøgsdyr absorberer hurtigt peroralt indgivet </w:t>
      </w:r>
      <w:proofErr w:type="spellStart"/>
      <w:r w:rsidRPr="00E132E0">
        <w:rPr>
          <w:sz w:val="24"/>
          <w:szCs w:val="24"/>
        </w:rPr>
        <w:t>itraconazol</w:t>
      </w:r>
      <w:proofErr w:type="spellEnd"/>
      <w:r w:rsidRPr="00E132E0">
        <w:rPr>
          <w:sz w:val="24"/>
          <w:szCs w:val="24"/>
        </w:rPr>
        <w:t xml:space="preserve">. Stoffet bindes i udstrakt grad til plasmaproteiner (&gt;99 %) og distribueres til vævet. Der dannes mere end 30 metabolitter, hvoraf </w:t>
      </w:r>
      <w:proofErr w:type="spellStart"/>
      <w:r w:rsidRPr="00E132E0">
        <w:rPr>
          <w:sz w:val="24"/>
          <w:szCs w:val="24"/>
        </w:rPr>
        <w:t>hydroxy-itraconazol</w:t>
      </w:r>
      <w:proofErr w:type="spellEnd"/>
      <w:r w:rsidRPr="00E132E0">
        <w:rPr>
          <w:sz w:val="24"/>
          <w:szCs w:val="24"/>
        </w:rPr>
        <w:t xml:space="preserve"> har samme </w:t>
      </w:r>
      <w:proofErr w:type="spellStart"/>
      <w:r w:rsidRPr="00E132E0">
        <w:rPr>
          <w:sz w:val="24"/>
          <w:szCs w:val="24"/>
        </w:rPr>
        <w:t>antisvampeeffekt</w:t>
      </w:r>
      <w:proofErr w:type="spellEnd"/>
      <w:r w:rsidRPr="00E132E0">
        <w:rPr>
          <w:sz w:val="24"/>
          <w:szCs w:val="24"/>
        </w:rPr>
        <w:t xml:space="preserve"> som </w:t>
      </w:r>
      <w:proofErr w:type="spellStart"/>
      <w:r w:rsidRPr="00E132E0">
        <w:rPr>
          <w:sz w:val="24"/>
          <w:szCs w:val="24"/>
        </w:rPr>
        <w:t>itraconazolet</w:t>
      </w:r>
      <w:proofErr w:type="spellEnd"/>
      <w:r w:rsidRPr="00E132E0">
        <w:rPr>
          <w:sz w:val="24"/>
          <w:szCs w:val="24"/>
        </w:rPr>
        <w:t>. Udskillelsen sker hurtigt og hovedsageligt via fæces.</w:t>
      </w:r>
    </w:p>
    <w:p w14:paraId="14AEA6F4" w14:textId="77777777" w:rsidR="00E132E0" w:rsidRPr="00E132E0" w:rsidRDefault="00E132E0" w:rsidP="00E132E0">
      <w:pPr>
        <w:ind w:left="851"/>
        <w:rPr>
          <w:sz w:val="24"/>
          <w:szCs w:val="24"/>
        </w:rPr>
      </w:pPr>
    </w:p>
    <w:p w14:paraId="0B479052" w14:textId="77777777" w:rsidR="00E132E0" w:rsidRPr="00E132E0" w:rsidRDefault="00E132E0" w:rsidP="00E132E0">
      <w:pPr>
        <w:ind w:left="851"/>
        <w:rPr>
          <w:sz w:val="24"/>
          <w:szCs w:val="24"/>
        </w:rPr>
      </w:pPr>
      <w:r w:rsidRPr="00E132E0">
        <w:rPr>
          <w:sz w:val="24"/>
          <w:szCs w:val="24"/>
        </w:rPr>
        <w:t>Efter indgift af en enkelt peroral dosis på 5 mg/kg til katte indtræder maksimale plasmakon</w:t>
      </w:r>
      <w:r w:rsidRPr="00E132E0">
        <w:rPr>
          <w:sz w:val="24"/>
          <w:szCs w:val="24"/>
        </w:rPr>
        <w:softHyphen/>
        <w:t xml:space="preserve">centrationer på gennemsnitligt 0,525 mg/l efter 2 timer. AUC0-24 timer er 5 </w:t>
      </w:r>
      <w:proofErr w:type="spellStart"/>
      <w:r w:rsidRPr="00E132E0">
        <w:rPr>
          <w:sz w:val="24"/>
          <w:szCs w:val="24"/>
        </w:rPr>
        <w:t>mg.h</w:t>
      </w:r>
      <w:proofErr w:type="spellEnd"/>
      <w:r w:rsidRPr="00E132E0">
        <w:rPr>
          <w:sz w:val="24"/>
          <w:szCs w:val="24"/>
        </w:rPr>
        <w:t xml:space="preserve">/l. Plasmahalveringstiden er ca. 12 timer. Plasmakoncentrationen mere end fordobles efter gentagen indgift i en uge af 5 mg/kg dagligt og AUC0-24 timer øges til det 3 dobbelte (15 </w:t>
      </w:r>
      <w:proofErr w:type="spellStart"/>
      <w:r w:rsidRPr="00E132E0">
        <w:rPr>
          <w:sz w:val="24"/>
          <w:szCs w:val="24"/>
        </w:rPr>
        <w:t>mg.h</w:t>
      </w:r>
      <w:proofErr w:type="spellEnd"/>
      <w:r w:rsidRPr="00E132E0">
        <w:rPr>
          <w:sz w:val="24"/>
          <w:szCs w:val="24"/>
        </w:rPr>
        <w:t>/l). Også plasmahalveringstiden øges til det 3 dobbelte (36 timer).</w:t>
      </w:r>
    </w:p>
    <w:p w14:paraId="53785DAC" w14:textId="77777777" w:rsidR="00E132E0" w:rsidRPr="00E132E0" w:rsidRDefault="00E132E0" w:rsidP="00E132E0">
      <w:pPr>
        <w:ind w:left="851"/>
        <w:rPr>
          <w:sz w:val="24"/>
          <w:szCs w:val="24"/>
        </w:rPr>
      </w:pPr>
    </w:p>
    <w:p w14:paraId="4BAE7F0D" w14:textId="77777777" w:rsidR="00E132E0" w:rsidRPr="00E132E0" w:rsidRDefault="00E132E0" w:rsidP="00E132E0">
      <w:pPr>
        <w:ind w:left="851"/>
        <w:rPr>
          <w:sz w:val="24"/>
          <w:szCs w:val="24"/>
        </w:rPr>
      </w:pPr>
      <w:r w:rsidRPr="00E132E0">
        <w:rPr>
          <w:sz w:val="24"/>
          <w:szCs w:val="24"/>
        </w:rPr>
        <w:t xml:space="preserve">Ved anvendelse af det terapeutiske behandlingsskema er </w:t>
      </w:r>
      <w:proofErr w:type="spellStart"/>
      <w:r w:rsidRPr="00E132E0">
        <w:rPr>
          <w:sz w:val="24"/>
          <w:szCs w:val="24"/>
        </w:rPr>
        <w:t>itraconazol</w:t>
      </w:r>
      <w:proofErr w:type="spellEnd"/>
      <w:r w:rsidRPr="00E132E0">
        <w:rPr>
          <w:sz w:val="24"/>
          <w:szCs w:val="24"/>
        </w:rPr>
        <w:t xml:space="preserve"> næsten helt væk fra plasma efter hver udskylningsperiode. </w:t>
      </w:r>
    </w:p>
    <w:p w14:paraId="004D0153" w14:textId="77777777" w:rsidR="00E132E0" w:rsidRPr="00E132E0" w:rsidRDefault="00E132E0" w:rsidP="00E132E0">
      <w:pPr>
        <w:ind w:left="851"/>
        <w:rPr>
          <w:sz w:val="24"/>
          <w:szCs w:val="24"/>
        </w:rPr>
      </w:pPr>
      <w:r w:rsidRPr="00E132E0">
        <w:rPr>
          <w:sz w:val="24"/>
          <w:szCs w:val="24"/>
        </w:rPr>
        <w:t xml:space="preserve">I modsætning til, hvad der sker hos andre dyr, forbliver </w:t>
      </w:r>
      <w:proofErr w:type="spellStart"/>
      <w:r w:rsidRPr="00E132E0">
        <w:rPr>
          <w:sz w:val="24"/>
          <w:szCs w:val="24"/>
        </w:rPr>
        <w:t>hydroxy-itraconazolkoncen-trationen</w:t>
      </w:r>
      <w:proofErr w:type="spellEnd"/>
      <w:r w:rsidRPr="00E132E0">
        <w:rPr>
          <w:sz w:val="24"/>
          <w:szCs w:val="24"/>
        </w:rPr>
        <w:t xml:space="preserve"> i plasma hos katte nær eller under kvantificeringsgrænsen efter en enkeltdosis </w:t>
      </w:r>
      <w:proofErr w:type="spellStart"/>
      <w:r w:rsidRPr="00E132E0">
        <w:rPr>
          <w:sz w:val="24"/>
          <w:szCs w:val="24"/>
        </w:rPr>
        <w:t>itraconazol</w:t>
      </w:r>
      <w:proofErr w:type="spellEnd"/>
      <w:r w:rsidRPr="00E132E0">
        <w:rPr>
          <w:sz w:val="24"/>
          <w:szCs w:val="24"/>
        </w:rPr>
        <w:t xml:space="preserve"> på 5 mg/kg. Koncentrationen i kattes hår varierer. Under behandlingen indtræder der en stigning til en middelværdi på 3,0 </w:t>
      </w:r>
      <w:proofErr w:type="spellStart"/>
      <w:r w:rsidRPr="00E132E0">
        <w:rPr>
          <w:sz w:val="24"/>
          <w:szCs w:val="24"/>
        </w:rPr>
        <w:t>mikrog</w:t>
      </w:r>
      <w:proofErr w:type="spellEnd"/>
      <w:r w:rsidRPr="00E132E0">
        <w:rPr>
          <w:sz w:val="24"/>
          <w:szCs w:val="24"/>
        </w:rPr>
        <w:t xml:space="preserve">/g (5,2 </w:t>
      </w:r>
      <w:proofErr w:type="spellStart"/>
      <w:r w:rsidRPr="00E132E0">
        <w:rPr>
          <w:sz w:val="24"/>
          <w:szCs w:val="24"/>
        </w:rPr>
        <w:t>mikrog</w:t>
      </w:r>
      <w:proofErr w:type="spellEnd"/>
      <w:r w:rsidRPr="00E132E0">
        <w:rPr>
          <w:sz w:val="24"/>
          <w:szCs w:val="24"/>
        </w:rPr>
        <w:t xml:space="preserve">/g i gennemsnit) ved slutningen af den tredje doseringsuge. 14 dage efter behandlingens afslutning falder koncentrationen langsomt til 1,5 </w:t>
      </w:r>
      <w:proofErr w:type="spellStart"/>
      <w:r w:rsidRPr="00E132E0">
        <w:rPr>
          <w:sz w:val="24"/>
          <w:szCs w:val="24"/>
        </w:rPr>
        <w:t>mikrog</w:t>
      </w:r>
      <w:proofErr w:type="spellEnd"/>
      <w:r w:rsidRPr="00E132E0">
        <w:rPr>
          <w:sz w:val="24"/>
          <w:szCs w:val="24"/>
        </w:rPr>
        <w:t xml:space="preserve">/g (1,9 </w:t>
      </w:r>
      <w:proofErr w:type="spellStart"/>
      <w:r w:rsidRPr="00E132E0">
        <w:rPr>
          <w:sz w:val="24"/>
          <w:szCs w:val="24"/>
        </w:rPr>
        <w:t>mikrog</w:t>
      </w:r>
      <w:proofErr w:type="spellEnd"/>
      <w:r w:rsidRPr="00E132E0">
        <w:rPr>
          <w:sz w:val="24"/>
          <w:szCs w:val="24"/>
        </w:rPr>
        <w:t xml:space="preserve">/g i gennemsnit). </w:t>
      </w:r>
      <w:proofErr w:type="spellStart"/>
      <w:r w:rsidRPr="00E132E0">
        <w:rPr>
          <w:sz w:val="24"/>
          <w:szCs w:val="24"/>
        </w:rPr>
        <w:t>Hydroxy-itraconazolindholdet</w:t>
      </w:r>
      <w:proofErr w:type="spellEnd"/>
      <w:r w:rsidRPr="00E132E0">
        <w:rPr>
          <w:sz w:val="24"/>
          <w:szCs w:val="24"/>
        </w:rPr>
        <w:t xml:space="preserve"> i hår er uden betydning.</w:t>
      </w:r>
    </w:p>
    <w:p w14:paraId="25387A56" w14:textId="77777777" w:rsidR="00E132E0" w:rsidRPr="00E132E0" w:rsidRDefault="00E132E0" w:rsidP="00E132E0">
      <w:pPr>
        <w:ind w:left="851"/>
        <w:rPr>
          <w:sz w:val="24"/>
          <w:szCs w:val="24"/>
        </w:rPr>
      </w:pPr>
    </w:p>
    <w:p w14:paraId="02B9FD07" w14:textId="77777777" w:rsidR="00E132E0" w:rsidRPr="00E132E0" w:rsidRDefault="00E132E0" w:rsidP="00E132E0">
      <w:pPr>
        <w:ind w:left="851"/>
        <w:rPr>
          <w:sz w:val="24"/>
          <w:szCs w:val="24"/>
        </w:rPr>
      </w:pPr>
      <w:r w:rsidRPr="00E132E0">
        <w:rPr>
          <w:sz w:val="24"/>
          <w:szCs w:val="24"/>
        </w:rPr>
        <w:t>Hos mennesket er biotilgængeligheden af oral opløsning højere, når denne indgives under faste.</w:t>
      </w:r>
    </w:p>
    <w:p w14:paraId="19B101A6" w14:textId="77777777" w:rsidR="008203A8" w:rsidRPr="00406EE7" w:rsidRDefault="008203A8" w:rsidP="008203A8">
      <w:pPr>
        <w:ind w:left="851"/>
        <w:rPr>
          <w:sz w:val="24"/>
          <w:szCs w:val="24"/>
        </w:rPr>
      </w:pPr>
    </w:p>
    <w:p w14:paraId="3698EBD6" w14:textId="77777777" w:rsidR="008203A8" w:rsidRPr="00406EE7" w:rsidRDefault="008203A8" w:rsidP="008203A8">
      <w:pPr>
        <w:tabs>
          <w:tab w:val="left" w:pos="851"/>
        </w:tabs>
        <w:ind w:left="851"/>
        <w:rPr>
          <w:sz w:val="24"/>
          <w:szCs w:val="24"/>
        </w:rPr>
      </w:pPr>
    </w:p>
    <w:p w14:paraId="239C42D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CBDF51F" w14:textId="77777777" w:rsidR="008203A8" w:rsidRPr="00406EE7" w:rsidRDefault="008203A8" w:rsidP="008203A8">
      <w:pPr>
        <w:tabs>
          <w:tab w:val="left" w:pos="851"/>
        </w:tabs>
        <w:ind w:left="851"/>
        <w:rPr>
          <w:sz w:val="24"/>
          <w:szCs w:val="24"/>
        </w:rPr>
      </w:pPr>
    </w:p>
    <w:p w14:paraId="5E71821F"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4399D3A0" w14:textId="4100CAB1" w:rsidR="008203A8" w:rsidRPr="00406EE7" w:rsidRDefault="00A131A4" w:rsidP="008203A8">
      <w:pPr>
        <w:tabs>
          <w:tab w:val="left" w:pos="851"/>
        </w:tabs>
        <w:ind w:left="851"/>
        <w:rPr>
          <w:sz w:val="24"/>
          <w:szCs w:val="24"/>
        </w:rPr>
      </w:pPr>
      <w:r w:rsidRPr="00A131A4">
        <w:rPr>
          <w:sz w:val="24"/>
          <w:szCs w:val="24"/>
        </w:rPr>
        <w:t>Ingen kendte.</w:t>
      </w:r>
    </w:p>
    <w:p w14:paraId="7F587E55" w14:textId="77777777" w:rsidR="008203A8" w:rsidRPr="00406EE7" w:rsidRDefault="008203A8" w:rsidP="008203A8">
      <w:pPr>
        <w:tabs>
          <w:tab w:val="left" w:pos="851"/>
        </w:tabs>
        <w:ind w:left="851"/>
        <w:rPr>
          <w:sz w:val="24"/>
          <w:szCs w:val="24"/>
        </w:rPr>
      </w:pPr>
    </w:p>
    <w:p w14:paraId="00F38196"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D21F951" w14:textId="77777777" w:rsidR="00A131A4" w:rsidRPr="00A131A4" w:rsidRDefault="00A131A4" w:rsidP="00A131A4">
      <w:pPr>
        <w:ind w:left="851"/>
        <w:rPr>
          <w:sz w:val="24"/>
          <w:szCs w:val="24"/>
          <w:lang w:eastAsia="da-DK"/>
        </w:rPr>
      </w:pPr>
      <w:r w:rsidRPr="00A131A4">
        <w:rPr>
          <w:sz w:val="24"/>
          <w:szCs w:val="24"/>
        </w:rPr>
        <w:t>Opbevaringstid for veterinærlægemidlet i salgspakning: 2 år</w:t>
      </w:r>
    </w:p>
    <w:p w14:paraId="3B6663CE" w14:textId="77777777" w:rsidR="00A131A4" w:rsidRPr="00A131A4" w:rsidRDefault="00A131A4" w:rsidP="00A131A4">
      <w:pPr>
        <w:ind w:left="851"/>
        <w:rPr>
          <w:sz w:val="24"/>
          <w:szCs w:val="24"/>
        </w:rPr>
      </w:pPr>
      <w:r w:rsidRPr="00A131A4">
        <w:rPr>
          <w:sz w:val="24"/>
          <w:szCs w:val="24"/>
        </w:rPr>
        <w:lastRenderedPageBreak/>
        <w:t>Opbevaringstid efter første åbning af den indre emballage: 5 uger.</w:t>
      </w:r>
    </w:p>
    <w:p w14:paraId="18BF10F7" w14:textId="68DA6357" w:rsidR="008203A8" w:rsidRPr="00406EE7" w:rsidRDefault="008203A8" w:rsidP="008203A8">
      <w:pPr>
        <w:tabs>
          <w:tab w:val="left" w:pos="851"/>
        </w:tabs>
        <w:ind w:left="851"/>
        <w:rPr>
          <w:sz w:val="24"/>
          <w:szCs w:val="24"/>
        </w:rPr>
      </w:pPr>
    </w:p>
    <w:p w14:paraId="74FA936B" w14:textId="77777777" w:rsidR="008203A8" w:rsidRPr="00406EE7" w:rsidRDefault="008203A8" w:rsidP="008203A8">
      <w:pPr>
        <w:tabs>
          <w:tab w:val="left" w:pos="851"/>
        </w:tabs>
        <w:ind w:left="851"/>
        <w:rPr>
          <w:sz w:val="24"/>
          <w:szCs w:val="24"/>
        </w:rPr>
      </w:pPr>
    </w:p>
    <w:p w14:paraId="4BF66459"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64956F80" w14:textId="77777777" w:rsidR="00A131A4" w:rsidRPr="00A131A4" w:rsidRDefault="00A131A4" w:rsidP="00A131A4">
      <w:pPr>
        <w:ind w:left="851"/>
        <w:rPr>
          <w:sz w:val="24"/>
          <w:szCs w:val="24"/>
          <w:lang w:eastAsia="da-DK"/>
        </w:rPr>
      </w:pPr>
      <w:r w:rsidRPr="00A131A4">
        <w:rPr>
          <w:sz w:val="24"/>
          <w:szCs w:val="24"/>
        </w:rPr>
        <w:t xml:space="preserve">Må ikke opbevares over 25 °C. </w:t>
      </w:r>
    </w:p>
    <w:p w14:paraId="46747EED" w14:textId="53E36587" w:rsidR="008203A8" w:rsidRPr="00A131A4" w:rsidRDefault="00A131A4" w:rsidP="00A131A4">
      <w:pPr>
        <w:tabs>
          <w:tab w:val="left" w:pos="851"/>
        </w:tabs>
        <w:ind w:left="851"/>
        <w:rPr>
          <w:sz w:val="24"/>
          <w:szCs w:val="24"/>
        </w:rPr>
      </w:pPr>
      <w:r w:rsidRPr="00A131A4">
        <w:rPr>
          <w:sz w:val="24"/>
          <w:szCs w:val="24"/>
        </w:rPr>
        <w:t>Beholderen skal være tæt tillukket.</w:t>
      </w:r>
    </w:p>
    <w:p w14:paraId="7E3626B5" w14:textId="77777777" w:rsidR="008203A8" w:rsidRPr="00406EE7" w:rsidRDefault="008203A8" w:rsidP="008203A8">
      <w:pPr>
        <w:tabs>
          <w:tab w:val="left" w:pos="851"/>
        </w:tabs>
        <w:ind w:left="851"/>
        <w:rPr>
          <w:sz w:val="24"/>
          <w:szCs w:val="24"/>
        </w:rPr>
      </w:pPr>
    </w:p>
    <w:p w14:paraId="7E77DB12"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442F6D85" w14:textId="77777777" w:rsidR="00A131A4" w:rsidRPr="00A131A4" w:rsidRDefault="00A131A4" w:rsidP="00A131A4">
      <w:pPr>
        <w:ind w:left="851"/>
        <w:rPr>
          <w:sz w:val="24"/>
          <w:szCs w:val="24"/>
          <w:lang w:eastAsia="da-DK"/>
        </w:rPr>
      </w:pPr>
      <w:r w:rsidRPr="00A131A4">
        <w:rPr>
          <w:sz w:val="24"/>
          <w:szCs w:val="24"/>
        </w:rPr>
        <w:t xml:space="preserve">Ravfarvet glasflaske (type III) indeholdende 52 ml oral opløsning. Flasken er lukket med et børnesikret polypropylenskruelåg med </w:t>
      </w:r>
      <w:proofErr w:type="gramStart"/>
      <w:r w:rsidRPr="00A131A4">
        <w:rPr>
          <w:sz w:val="24"/>
          <w:szCs w:val="24"/>
        </w:rPr>
        <w:t>LDPE indlæg</w:t>
      </w:r>
      <w:proofErr w:type="gramEnd"/>
      <w:r w:rsidRPr="00A131A4">
        <w:rPr>
          <w:sz w:val="24"/>
          <w:szCs w:val="24"/>
        </w:rPr>
        <w:t>. Pakket i en karton sammen med en gradinddelt doseringssprøjte.</w:t>
      </w:r>
    </w:p>
    <w:p w14:paraId="7229E6BC" w14:textId="77777777" w:rsidR="008203A8" w:rsidRPr="00406EE7" w:rsidRDefault="008203A8" w:rsidP="008203A8">
      <w:pPr>
        <w:tabs>
          <w:tab w:val="left" w:pos="851"/>
        </w:tabs>
        <w:ind w:left="851"/>
        <w:rPr>
          <w:sz w:val="24"/>
          <w:szCs w:val="24"/>
        </w:rPr>
      </w:pPr>
    </w:p>
    <w:p w14:paraId="4C85A00D"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3D5C9917" w14:textId="77777777" w:rsidR="00A131A4" w:rsidRPr="00A131A4" w:rsidRDefault="00A131A4" w:rsidP="00A131A4">
      <w:pPr>
        <w:ind w:left="851" w:right="-318"/>
        <w:rPr>
          <w:sz w:val="24"/>
          <w:szCs w:val="24"/>
          <w:lang w:eastAsia="da-DK"/>
        </w:rPr>
      </w:pPr>
      <w:r w:rsidRPr="00A131A4">
        <w:rPr>
          <w:sz w:val="24"/>
          <w:szCs w:val="24"/>
        </w:rPr>
        <w:t>Lægemidler må ikke bortskaffes sammen med spildevand eller husholdningsaffald.</w:t>
      </w:r>
    </w:p>
    <w:p w14:paraId="2469D775" w14:textId="77777777" w:rsidR="00A131A4" w:rsidRPr="00A131A4" w:rsidRDefault="00A131A4" w:rsidP="00A131A4">
      <w:pPr>
        <w:ind w:left="851" w:right="-318"/>
        <w:rPr>
          <w:sz w:val="24"/>
          <w:szCs w:val="24"/>
        </w:rPr>
      </w:pPr>
    </w:p>
    <w:p w14:paraId="0B7B5DA7" w14:textId="77777777" w:rsidR="00A131A4" w:rsidRPr="00A131A4" w:rsidRDefault="00A131A4" w:rsidP="00A131A4">
      <w:pPr>
        <w:ind w:left="851" w:right="-318"/>
        <w:rPr>
          <w:i/>
          <w:sz w:val="24"/>
          <w:szCs w:val="24"/>
        </w:rPr>
      </w:pPr>
      <w:r w:rsidRPr="00A131A4">
        <w:rPr>
          <w:sz w:val="24"/>
          <w:szCs w:val="24"/>
        </w:rPr>
        <w:t xml:space="preserve">Benyt returordninger ved bortskaffelse af ubrugte veterinærlægemidler eller affaldsmaterialer derfra i henhold til lokale retningslinjer og nationale indsamlingsordninger, der relevante for det pågældende veterinærlægemiddel. </w:t>
      </w:r>
    </w:p>
    <w:p w14:paraId="3BF237B6" w14:textId="77777777" w:rsidR="008203A8" w:rsidRDefault="008203A8" w:rsidP="008203A8">
      <w:pPr>
        <w:tabs>
          <w:tab w:val="left" w:pos="851"/>
        </w:tabs>
        <w:ind w:left="851"/>
        <w:rPr>
          <w:sz w:val="24"/>
          <w:szCs w:val="24"/>
        </w:rPr>
      </w:pPr>
    </w:p>
    <w:p w14:paraId="56501C4E" w14:textId="77777777" w:rsidR="008203A8" w:rsidRPr="00070728" w:rsidRDefault="008203A8" w:rsidP="008203A8">
      <w:pPr>
        <w:tabs>
          <w:tab w:val="left" w:pos="851"/>
        </w:tabs>
        <w:ind w:left="851"/>
        <w:rPr>
          <w:sz w:val="24"/>
          <w:szCs w:val="24"/>
        </w:rPr>
      </w:pPr>
    </w:p>
    <w:p w14:paraId="5A5AB859"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26993E2" w14:textId="77777777" w:rsidR="00A131A4" w:rsidRPr="003B7FCB" w:rsidRDefault="00A131A4" w:rsidP="00A131A4">
      <w:pPr>
        <w:tabs>
          <w:tab w:val="left" w:pos="851"/>
        </w:tabs>
        <w:ind w:left="851"/>
        <w:rPr>
          <w:sz w:val="24"/>
          <w:szCs w:val="24"/>
        </w:rPr>
      </w:pPr>
      <w:r w:rsidRPr="003B7FCB">
        <w:rPr>
          <w:sz w:val="24"/>
          <w:szCs w:val="24"/>
        </w:rPr>
        <w:t>VIRBAC</w:t>
      </w:r>
    </w:p>
    <w:p w14:paraId="775B0BAE" w14:textId="11F2EEFF" w:rsidR="00A131A4" w:rsidRPr="00A131A4" w:rsidRDefault="00A131A4" w:rsidP="00A131A4">
      <w:pPr>
        <w:tabs>
          <w:tab w:val="left" w:pos="851"/>
        </w:tabs>
        <w:ind w:left="851"/>
        <w:rPr>
          <w:sz w:val="24"/>
          <w:szCs w:val="24"/>
          <w:lang w:val="en-US"/>
        </w:rPr>
      </w:pPr>
      <w:r w:rsidRPr="00A131A4">
        <w:rPr>
          <w:sz w:val="24"/>
          <w:szCs w:val="24"/>
          <w:lang w:val="en-US"/>
        </w:rPr>
        <w:t>1ère Avenue - 2065 m - L.I.D.</w:t>
      </w:r>
    </w:p>
    <w:p w14:paraId="7ADC1675" w14:textId="77777777" w:rsidR="00A131A4" w:rsidRPr="00A131A4" w:rsidRDefault="00A131A4" w:rsidP="00A131A4">
      <w:pPr>
        <w:tabs>
          <w:tab w:val="left" w:pos="851"/>
        </w:tabs>
        <w:ind w:left="851"/>
        <w:rPr>
          <w:sz w:val="24"/>
          <w:szCs w:val="24"/>
        </w:rPr>
      </w:pPr>
      <w:r w:rsidRPr="00A131A4">
        <w:rPr>
          <w:sz w:val="24"/>
          <w:szCs w:val="24"/>
        </w:rPr>
        <w:t xml:space="preserve">06516 </w:t>
      </w:r>
      <w:proofErr w:type="spellStart"/>
      <w:r w:rsidRPr="00A131A4">
        <w:rPr>
          <w:sz w:val="24"/>
          <w:szCs w:val="24"/>
        </w:rPr>
        <w:t>Carros</w:t>
      </w:r>
      <w:proofErr w:type="spellEnd"/>
    </w:p>
    <w:p w14:paraId="655F0A44" w14:textId="68567745" w:rsidR="008203A8" w:rsidRDefault="00A131A4" w:rsidP="00A131A4">
      <w:pPr>
        <w:tabs>
          <w:tab w:val="left" w:pos="851"/>
        </w:tabs>
        <w:ind w:left="851"/>
        <w:rPr>
          <w:sz w:val="24"/>
          <w:szCs w:val="24"/>
        </w:rPr>
      </w:pPr>
      <w:r w:rsidRPr="00A131A4">
        <w:rPr>
          <w:sz w:val="24"/>
          <w:szCs w:val="24"/>
        </w:rPr>
        <w:t>Frankrig</w:t>
      </w:r>
    </w:p>
    <w:p w14:paraId="0A19CE0A" w14:textId="77777777" w:rsidR="008203A8" w:rsidRDefault="008203A8" w:rsidP="008203A8">
      <w:pPr>
        <w:tabs>
          <w:tab w:val="left" w:pos="851"/>
        </w:tabs>
        <w:ind w:left="851"/>
        <w:rPr>
          <w:sz w:val="24"/>
          <w:szCs w:val="24"/>
        </w:rPr>
      </w:pPr>
    </w:p>
    <w:p w14:paraId="1B02085D" w14:textId="77777777" w:rsidR="008203A8" w:rsidRPr="00D10EE1" w:rsidRDefault="008203A8" w:rsidP="008203A8">
      <w:pPr>
        <w:tabs>
          <w:tab w:val="left" w:pos="851"/>
        </w:tabs>
        <w:ind w:left="851"/>
        <w:rPr>
          <w:b/>
          <w:sz w:val="24"/>
          <w:szCs w:val="24"/>
        </w:rPr>
      </w:pPr>
      <w:r w:rsidRPr="00D10EE1">
        <w:rPr>
          <w:b/>
          <w:sz w:val="24"/>
          <w:szCs w:val="24"/>
        </w:rPr>
        <w:t>Repræsentant</w:t>
      </w:r>
    </w:p>
    <w:p w14:paraId="060D7010" w14:textId="77777777" w:rsidR="00A131A4" w:rsidRPr="00A131A4" w:rsidRDefault="00A131A4" w:rsidP="00A131A4">
      <w:pPr>
        <w:tabs>
          <w:tab w:val="left" w:pos="851"/>
        </w:tabs>
        <w:ind w:left="851"/>
        <w:rPr>
          <w:sz w:val="24"/>
          <w:szCs w:val="24"/>
        </w:rPr>
      </w:pPr>
      <w:r w:rsidRPr="00A131A4">
        <w:rPr>
          <w:sz w:val="24"/>
          <w:szCs w:val="24"/>
        </w:rPr>
        <w:t>VIRBAC Danmark A/S</w:t>
      </w:r>
    </w:p>
    <w:p w14:paraId="4C90C77D" w14:textId="21BA4C9A" w:rsidR="00A131A4" w:rsidRPr="00A131A4" w:rsidRDefault="00A131A4" w:rsidP="00A131A4">
      <w:pPr>
        <w:tabs>
          <w:tab w:val="left" w:pos="851"/>
        </w:tabs>
        <w:ind w:left="851"/>
        <w:rPr>
          <w:sz w:val="24"/>
          <w:szCs w:val="24"/>
        </w:rPr>
      </w:pPr>
      <w:r w:rsidRPr="00A131A4">
        <w:rPr>
          <w:sz w:val="24"/>
          <w:szCs w:val="24"/>
        </w:rPr>
        <w:t>Profilvej 1</w:t>
      </w:r>
    </w:p>
    <w:p w14:paraId="38078A23" w14:textId="0319752F" w:rsidR="008203A8" w:rsidRPr="00406EE7" w:rsidRDefault="00A131A4" w:rsidP="00A131A4">
      <w:pPr>
        <w:tabs>
          <w:tab w:val="left" w:pos="851"/>
        </w:tabs>
        <w:ind w:left="851"/>
        <w:rPr>
          <w:sz w:val="24"/>
          <w:szCs w:val="24"/>
        </w:rPr>
      </w:pPr>
      <w:r w:rsidRPr="00A131A4">
        <w:rPr>
          <w:sz w:val="24"/>
          <w:szCs w:val="24"/>
        </w:rPr>
        <w:t xml:space="preserve">6000 Kolding  </w:t>
      </w:r>
    </w:p>
    <w:p w14:paraId="144B3CF4" w14:textId="77777777" w:rsidR="008203A8" w:rsidRPr="00406EE7" w:rsidRDefault="008203A8" w:rsidP="008203A8">
      <w:pPr>
        <w:tabs>
          <w:tab w:val="left" w:pos="851"/>
        </w:tabs>
        <w:ind w:left="851"/>
        <w:rPr>
          <w:sz w:val="24"/>
          <w:szCs w:val="24"/>
        </w:rPr>
      </w:pPr>
    </w:p>
    <w:p w14:paraId="256E271F"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0DDF98DF" w14:textId="0F01B457" w:rsidR="008203A8" w:rsidRPr="00406EE7" w:rsidRDefault="00A131A4" w:rsidP="008203A8">
      <w:pPr>
        <w:tabs>
          <w:tab w:val="left" w:pos="851"/>
        </w:tabs>
        <w:ind w:left="851"/>
        <w:rPr>
          <w:sz w:val="24"/>
          <w:szCs w:val="24"/>
        </w:rPr>
      </w:pPr>
      <w:r w:rsidRPr="00A131A4">
        <w:rPr>
          <w:sz w:val="24"/>
          <w:szCs w:val="24"/>
        </w:rPr>
        <w:t>36472</w:t>
      </w:r>
    </w:p>
    <w:p w14:paraId="55F856DC" w14:textId="77777777" w:rsidR="008203A8" w:rsidRPr="00406EE7" w:rsidRDefault="008203A8" w:rsidP="008203A8">
      <w:pPr>
        <w:tabs>
          <w:tab w:val="left" w:pos="851"/>
        </w:tabs>
        <w:ind w:left="851"/>
        <w:rPr>
          <w:sz w:val="24"/>
          <w:szCs w:val="24"/>
        </w:rPr>
      </w:pPr>
    </w:p>
    <w:p w14:paraId="33292A70"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D4DCF79" w14:textId="6E8A1028" w:rsidR="008203A8" w:rsidRPr="00406EE7" w:rsidRDefault="00A131A4" w:rsidP="008203A8">
      <w:pPr>
        <w:tabs>
          <w:tab w:val="left" w:pos="851"/>
        </w:tabs>
        <w:ind w:left="851"/>
        <w:rPr>
          <w:sz w:val="24"/>
          <w:szCs w:val="24"/>
        </w:rPr>
      </w:pPr>
      <w:r w:rsidRPr="00A131A4">
        <w:rPr>
          <w:sz w:val="24"/>
          <w:szCs w:val="24"/>
        </w:rPr>
        <w:t>10. september 2007</w:t>
      </w:r>
    </w:p>
    <w:p w14:paraId="3D1D250E" w14:textId="77777777" w:rsidR="008203A8" w:rsidRPr="00406EE7" w:rsidRDefault="008203A8" w:rsidP="008203A8">
      <w:pPr>
        <w:tabs>
          <w:tab w:val="left" w:pos="851"/>
        </w:tabs>
        <w:ind w:left="851"/>
        <w:rPr>
          <w:sz w:val="24"/>
          <w:szCs w:val="24"/>
        </w:rPr>
      </w:pPr>
    </w:p>
    <w:p w14:paraId="22236A99"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43BD2142" w14:textId="538FB66B" w:rsidR="008203A8" w:rsidRPr="00406EE7" w:rsidRDefault="00A86920" w:rsidP="008203A8">
      <w:pPr>
        <w:tabs>
          <w:tab w:val="left" w:pos="851"/>
        </w:tabs>
        <w:ind w:left="851"/>
        <w:rPr>
          <w:sz w:val="24"/>
          <w:szCs w:val="24"/>
        </w:rPr>
      </w:pPr>
      <w:r>
        <w:rPr>
          <w:sz w:val="24"/>
          <w:szCs w:val="24"/>
        </w:rPr>
        <w:t>1</w:t>
      </w:r>
      <w:r w:rsidR="003B7FCB">
        <w:rPr>
          <w:sz w:val="24"/>
          <w:szCs w:val="24"/>
        </w:rPr>
        <w:t>5</w:t>
      </w:r>
      <w:r w:rsidR="00871ADE" w:rsidRPr="00871ADE">
        <w:rPr>
          <w:sz w:val="24"/>
          <w:szCs w:val="24"/>
        </w:rPr>
        <w:t xml:space="preserve">. </w:t>
      </w:r>
      <w:r>
        <w:rPr>
          <w:sz w:val="24"/>
          <w:szCs w:val="24"/>
        </w:rPr>
        <w:t>november 2024</w:t>
      </w:r>
    </w:p>
    <w:p w14:paraId="49B1CB3A" w14:textId="77777777" w:rsidR="008203A8" w:rsidRPr="00406EE7" w:rsidRDefault="008203A8" w:rsidP="008203A8">
      <w:pPr>
        <w:tabs>
          <w:tab w:val="left" w:pos="851"/>
        </w:tabs>
        <w:ind w:left="851"/>
        <w:rPr>
          <w:sz w:val="24"/>
          <w:szCs w:val="24"/>
        </w:rPr>
      </w:pPr>
    </w:p>
    <w:p w14:paraId="44CE3946"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36781E07" w14:textId="15F9F500" w:rsidR="008203A8" w:rsidRDefault="00A131A4" w:rsidP="008203A8">
      <w:pPr>
        <w:pStyle w:val="Sidehoved"/>
        <w:tabs>
          <w:tab w:val="clear" w:pos="4819"/>
          <w:tab w:val="left" w:pos="851"/>
        </w:tabs>
        <w:ind w:left="851"/>
        <w:rPr>
          <w:szCs w:val="24"/>
        </w:rPr>
      </w:pPr>
      <w:r w:rsidRPr="00A131A4">
        <w:rPr>
          <w:szCs w:val="24"/>
        </w:rPr>
        <w:t>B</w:t>
      </w:r>
    </w:p>
    <w:p w14:paraId="3138AC16" w14:textId="2072FB46" w:rsidR="00A131A4" w:rsidRDefault="00A131A4" w:rsidP="008203A8">
      <w:pPr>
        <w:pStyle w:val="Sidehoved"/>
        <w:tabs>
          <w:tab w:val="clear" w:pos="4819"/>
          <w:tab w:val="left" w:pos="851"/>
        </w:tabs>
        <w:ind w:left="851"/>
        <w:rPr>
          <w:szCs w:val="24"/>
        </w:rPr>
      </w:pPr>
    </w:p>
    <w:p w14:paraId="761E82F8" w14:textId="256FDCED" w:rsidR="00A131A4" w:rsidRPr="007A684C" w:rsidRDefault="00A131A4" w:rsidP="00A131A4">
      <w:pPr>
        <w:pStyle w:val="Sidehoved"/>
        <w:tabs>
          <w:tab w:val="clear" w:pos="4819"/>
          <w:tab w:val="clear" w:pos="9638"/>
          <w:tab w:val="left" w:pos="851"/>
        </w:tabs>
        <w:ind w:left="851" w:right="-143"/>
        <w:rPr>
          <w:szCs w:val="24"/>
        </w:rPr>
      </w:pPr>
      <w:r>
        <w:t>Der findes detaljerede oplysninger om dette veterinærlægemiddel i EU-lægemiddeldatabasen.</w:t>
      </w:r>
    </w:p>
    <w:p w14:paraId="3924C617"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C8AA0" w14:textId="77777777" w:rsidR="003E221F" w:rsidRDefault="003E221F">
      <w:r>
        <w:separator/>
      </w:r>
    </w:p>
  </w:endnote>
  <w:endnote w:type="continuationSeparator" w:id="0">
    <w:p w14:paraId="19C653A6" w14:textId="77777777" w:rsidR="003E221F" w:rsidRDefault="003E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9F22" w14:textId="77777777" w:rsidR="004A62CC" w:rsidRDefault="004A62CC">
    <w:pPr>
      <w:pStyle w:val="Sidefod"/>
      <w:pBdr>
        <w:bottom w:val="single" w:sz="6" w:space="1" w:color="auto"/>
      </w:pBdr>
      <w:tabs>
        <w:tab w:val="clear" w:pos="4819"/>
        <w:tab w:val="left" w:pos="8647"/>
      </w:tabs>
      <w:rPr>
        <w:i/>
        <w:snapToGrid w:val="0"/>
        <w:sz w:val="18"/>
      </w:rPr>
    </w:pPr>
  </w:p>
  <w:p w14:paraId="44638E01" w14:textId="77777777" w:rsidR="004A62CC" w:rsidRDefault="004A62CC">
    <w:pPr>
      <w:pStyle w:val="Sidefod"/>
      <w:tabs>
        <w:tab w:val="clear" w:pos="4819"/>
        <w:tab w:val="left" w:pos="8647"/>
      </w:tabs>
      <w:rPr>
        <w:i/>
        <w:snapToGrid w:val="0"/>
        <w:sz w:val="18"/>
      </w:rPr>
    </w:pPr>
  </w:p>
  <w:p w14:paraId="3A4B8E1C" w14:textId="0DC4110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6773D">
      <w:rPr>
        <w:i/>
        <w:noProof/>
        <w:snapToGrid w:val="0"/>
        <w:sz w:val="18"/>
      </w:rPr>
      <w:t>Itrafungol Vet., oral opløsning 10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DF3F" w14:textId="77777777" w:rsidR="004A62CC" w:rsidRDefault="004A62CC">
    <w:pPr>
      <w:pStyle w:val="Sidefod"/>
      <w:pBdr>
        <w:bottom w:val="single" w:sz="6" w:space="1" w:color="auto"/>
      </w:pBdr>
      <w:tabs>
        <w:tab w:val="clear" w:pos="4819"/>
        <w:tab w:val="left" w:pos="8647"/>
      </w:tabs>
      <w:rPr>
        <w:i/>
        <w:snapToGrid w:val="0"/>
        <w:sz w:val="18"/>
      </w:rPr>
    </w:pPr>
  </w:p>
  <w:p w14:paraId="06214304" w14:textId="77777777" w:rsidR="004A62CC" w:rsidRDefault="004A62CC">
    <w:pPr>
      <w:pStyle w:val="Sidefod"/>
      <w:tabs>
        <w:tab w:val="clear" w:pos="4819"/>
        <w:tab w:val="left" w:pos="8647"/>
      </w:tabs>
      <w:rPr>
        <w:i/>
        <w:snapToGrid w:val="0"/>
        <w:sz w:val="18"/>
      </w:rPr>
    </w:pPr>
  </w:p>
  <w:p w14:paraId="45149CBC" w14:textId="2A1B6AF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6773D">
      <w:rPr>
        <w:i/>
        <w:noProof/>
        <w:snapToGrid w:val="0"/>
        <w:sz w:val="18"/>
      </w:rPr>
      <w:t>Itrafungol Vet., oral opløsning 10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C090" w14:textId="77777777" w:rsidR="003E221F" w:rsidRDefault="003E221F">
      <w:r>
        <w:separator/>
      </w:r>
    </w:p>
  </w:footnote>
  <w:footnote w:type="continuationSeparator" w:id="0">
    <w:p w14:paraId="75DF3B66" w14:textId="77777777" w:rsidR="003E221F" w:rsidRDefault="003E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1F3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338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1F"/>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7E4C"/>
    <w:rsid w:val="001C4AEF"/>
    <w:rsid w:val="001C5B85"/>
    <w:rsid w:val="001D3CC5"/>
    <w:rsid w:val="00202A14"/>
    <w:rsid w:val="00207C0E"/>
    <w:rsid w:val="002C3E74"/>
    <w:rsid w:val="002E304C"/>
    <w:rsid w:val="002E7439"/>
    <w:rsid w:val="002F3591"/>
    <w:rsid w:val="00322BDE"/>
    <w:rsid w:val="00340679"/>
    <w:rsid w:val="00371CA6"/>
    <w:rsid w:val="003B7FCB"/>
    <w:rsid w:val="003E221F"/>
    <w:rsid w:val="003E4B6F"/>
    <w:rsid w:val="00406EE7"/>
    <w:rsid w:val="00407013"/>
    <w:rsid w:val="00412537"/>
    <w:rsid w:val="00415D7C"/>
    <w:rsid w:val="00417225"/>
    <w:rsid w:val="00436AB8"/>
    <w:rsid w:val="00451FEF"/>
    <w:rsid w:val="004A62CC"/>
    <w:rsid w:val="004C733C"/>
    <w:rsid w:val="00514C36"/>
    <w:rsid w:val="005343AE"/>
    <w:rsid w:val="00565A74"/>
    <w:rsid w:val="0056773D"/>
    <w:rsid w:val="005A099B"/>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725F"/>
    <w:rsid w:val="00750478"/>
    <w:rsid w:val="00751513"/>
    <w:rsid w:val="007564C7"/>
    <w:rsid w:val="00776C2C"/>
    <w:rsid w:val="00780008"/>
    <w:rsid w:val="00781329"/>
    <w:rsid w:val="007A4F74"/>
    <w:rsid w:val="007A684C"/>
    <w:rsid w:val="007C688A"/>
    <w:rsid w:val="007E2A00"/>
    <w:rsid w:val="008010F2"/>
    <w:rsid w:val="00805902"/>
    <w:rsid w:val="00813E75"/>
    <w:rsid w:val="0081533D"/>
    <w:rsid w:val="008203A8"/>
    <w:rsid w:val="008509BB"/>
    <w:rsid w:val="00851D7F"/>
    <w:rsid w:val="00871ADE"/>
    <w:rsid w:val="008803C5"/>
    <w:rsid w:val="008E4866"/>
    <w:rsid w:val="009202AE"/>
    <w:rsid w:val="00942FB8"/>
    <w:rsid w:val="00960F5F"/>
    <w:rsid w:val="00967486"/>
    <w:rsid w:val="009D66C6"/>
    <w:rsid w:val="009E300C"/>
    <w:rsid w:val="009E5184"/>
    <w:rsid w:val="009F1F5E"/>
    <w:rsid w:val="009F6D44"/>
    <w:rsid w:val="00A131A4"/>
    <w:rsid w:val="00A31E52"/>
    <w:rsid w:val="00A74A8A"/>
    <w:rsid w:val="00A85606"/>
    <w:rsid w:val="00A86920"/>
    <w:rsid w:val="00A86C63"/>
    <w:rsid w:val="00A957A6"/>
    <w:rsid w:val="00A96525"/>
    <w:rsid w:val="00AA0D25"/>
    <w:rsid w:val="00AC012D"/>
    <w:rsid w:val="00AD4D77"/>
    <w:rsid w:val="00AE29E5"/>
    <w:rsid w:val="00AE5757"/>
    <w:rsid w:val="00B25EB8"/>
    <w:rsid w:val="00B764E3"/>
    <w:rsid w:val="00B85456"/>
    <w:rsid w:val="00B87267"/>
    <w:rsid w:val="00B93A25"/>
    <w:rsid w:val="00BA04A3"/>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32E0"/>
    <w:rsid w:val="00E14F0A"/>
    <w:rsid w:val="00E321D6"/>
    <w:rsid w:val="00E323FB"/>
    <w:rsid w:val="00E35B01"/>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22295"/>
  <w15:chartTrackingRefBased/>
  <w15:docId w15:val="{387A400B-531A-4B01-876B-CF3A57C9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styleId="Hyperlink">
    <w:name w:val="Hyperlink"/>
    <w:uiPriority w:val="99"/>
    <w:semiHidden/>
    <w:unhideWhenUsed/>
    <w:rsid w:val="00780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772641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9516551">
      <w:bodyDiv w:val="1"/>
      <w:marLeft w:val="0"/>
      <w:marRight w:val="0"/>
      <w:marTop w:val="0"/>
      <w:marBottom w:val="0"/>
      <w:divBdr>
        <w:top w:val="none" w:sz="0" w:space="0" w:color="auto"/>
        <w:left w:val="none" w:sz="0" w:space="0" w:color="auto"/>
        <w:bottom w:val="none" w:sz="0" w:space="0" w:color="auto"/>
        <w:right w:val="none" w:sz="0" w:space="0" w:color="auto"/>
      </w:divBdr>
    </w:div>
    <w:div w:id="205992193">
      <w:bodyDiv w:val="1"/>
      <w:marLeft w:val="0"/>
      <w:marRight w:val="0"/>
      <w:marTop w:val="0"/>
      <w:marBottom w:val="0"/>
      <w:divBdr>
        <w:top w:val="none" w:sz="0" w:space="0" w:color="auto"/>
        <w:left w:val="none" w:sz="0" w:space="0" w:color="auto"/>
        <w:bottom w:val="none" w:sz="0" w:space="0" w:color="auto"/>
        <w:right w:val="none" w:sz="0" w:space="0" w:color="auto"/>
      </w:divBdr>
    </w:div>
    <w:div w:id="24099008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89297295">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7983820">
      <w:bodyDiv w:val="1"/>
      <w:marLeft w:val="0"/>
      <w:marRight w:val="0"/>
      <w:marTop w:val="0"/>
      <w:marBottom w:val="0"/>
      <w:divBdr>
        <w:top w:val="none" w:sz="0" w:space="0" w:color="auto"/>
        <w:left w:val="none" w:sz="0" w:space="0" w:color="auto"/>
        <w:bottom w:val="none" w:sz="0" w:space="0" w:color="auto"/>
        <w:right w:val="none" w:sz="0" w:space="0" w:color="auto"/>
      </w:divBdr>
    </w:div>
    <w:div w:id="520363499">
      <w:bodyDiv w:val="1"/>
      <w:marLeft w:val="0"/>
      <w:marRight w:val="0"/>
      <w:marTop w:val="0"/>
      <w:marBottom w:val="0"/>
      <w:divBdr>
        <w:top w:val="none" w:sz="0" w:space="0" w:color="auto"/>
        <w:left w:val="none" w:sz="0" w:space="0" w:color="auto"/>
        <w:bottom w:val="none" w:sz="0" w:space="0" w:color="auto"/>
        <w:right w:val="none" w:sz="0" w:space="0" w:color="auto"/>
      </w:divBdr>
    </w:div>
    <w:div w:id="600458184">
      <w:bodyDiv w:val="1"/>
      <w:marLeft w:val="0"/>
      <w:marRight w:val="0"/>
      <w:marTop w:val="0"/>
      <w:marBottom w:val="0"/>
      <w:divBdr>
        <w:top w:val="none" w:sz="0" w:space="0" w:color="auto"/>
        <w:left w:val="none" w:sz="0" w:space="0" w:color="auto"/>
        <w:bottom w:val="none" w:sz="0" w:space="0" w:color="auto"/>
        <w:right w:val="none" w:sz="0" w:space="0" w:color="auto"/>
      </w:divBdr>
    </w:div>
    <w:div w:id="61021260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53404776">
      <w:bodyDiv w:val="1"/>
      <w:marLeft w:val="0"/>
      <w:marRight w:val="0"/>
      <w:marTop w:val="0"/>
      <w:marBottom w:val="0"/>
      <w:divBdr>
        <w:top w:val="none" w:sz="0" w:space="0" w:color="auto"/>
        <w:left w:val="none" w:sz="0" w:space="0" w:color="auto"/>
        <w:bottom w:val="none" w:sz="0" w:space="0" w:color="auto"/>
        <w:right w:val="none" w:sz="0" w:space="0" w:color="auto"/>
      </w:divBdr>
    </w:div>
    <w:div w:id="81391150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0365541">
      <w:bodyDiv w:val="1"/>
      <w:marLeft w:val="0"/>
      <w:marRight w:val="0"/>
      <w:marTop w:val="0"/>
      <w:marBottom w:val="0"/>
      <w:divBdr>
        <w:top w:val="none" w:sz="0" w:space="0" w:color="auto"/>
        <w:left w:val="none" w:sz="0" w:space="0" w:color="auto"/>
        <w:bottom w:val="none" w:sz="0" w:space="0" w:color="auto"/>
        <w:right w:val="none" w:sz="0" w:space="0" w:color="auto"/>
      </w:divBdr>
    </w:div>
    <w:div w:id="984043101">
      <w:bodyDiv w:val="1"/>
      <w:marLeft w:val="0"/>
      <w:marRight w:val="0"/>
      <w:marTop w:val="0"/>
      <w:marBottom w:val="0"/>
      <w:divBdr>
        <w:top w:val="none" w:sz="0" w:space="0" w:color="auto"/>
        <w:left w:val="none" w:sz="0" w:space="0" w:color="auto"/>
        <w:bottom w:val="none" w:sz="0" w:space="0" w:color="auto"/>
        <w:right w:val="none" w:sz="0" w:space="0" w:color="auto"/>
      </w:divBdr>
    </w:div>
    <w:div w:id="1094978055">
      <w:bodyDiv w:val="1"/>
      <w:marLeft w:val="0"/>
      <w:marRight w:val="0"/>
      <w:marTop w:val="0"/>
      <w:marBottom w:val="0"/>
      <w:divBdr>
        <w:top w:val="none" w:sz="0" w:space="0" w:color="auto"/>
        <w:left w:val="none" w:sz="0" w:space="0" w:color="auto"/>
        <w:bottom w:val="none" w:sz="0" w:space="0" w:color="auto"/>
        <w:right w:val="none" w:sz="0" w:space="0" w:color="auto"/>
      </w:divBdr>
    </w:div>
    <w:div w:id="111852606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84409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9466428">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7110842">
      <w:bodyDiv w:val="1"/>
      <w:marLeft w:val="0"/>
      <w:marRight w:val="0"/>
      <w:marTop w:val="0"/>
      <w:marBottom w:val="0"/>
      <w:divBdr>
        <w:top w:val="none" w:sz="0" w:space="0" w:color="auto"/>
        <w:left w:val="none" w:sz="0" w:space="0" w:color="auto"/>
        <w:bottom w:val="none" w:sz="0" w:space="0" w:color="auto"/>
        <w:right w:val="none" w:sz="0" w:space="0" w:color="auto"/>
      </w:divBdr>
    </w:div>
    <w:div w:id="1603879090">
      <w:bodyDiv w:val="1"/>
      <w:marLeft w:val="0"/>
      <w:marRight w:val="0"/>
      <w:marTop w:val="0"/>
      <w:marBottom w:val="0"/>
      <w:divBdr>
        <w:top w:val="none" w:sz="0" w:space="0" w:color="auto"/>
        <w:left w:val="none" w:sz="0" w:space="0" w:color="auto"/>
        <w:bottom w:val="none" w:sz="0" w:space="0" w:color="auto"/>
        <w:right w:val="none" w:sz="0" w:space="0" w:color="auto"/>
      </w:divBdr>
    </w:div>
    <w:div w:id="1804232642">
      <w:bodyDiv w:val="1"/>
      <w:marLeft w:val="0"/>
      <w:marRight w:val="0"/>
      <w:marTop w:val="0"/>
      <w:marBottom w:val="0"/>
      <w:divBdr>
        <w:top w:val="none" w:sz="0" w:space="0" w:color="auto"/>
        <w:left w:val="none" w:sz="0" w:space="0" w:color="auto"/>
        <w:bottom w:val="none" w:sz="0" w:space="0" w:color="auto"/>
        <w:right w:val="none" w:sz="0" w:space="0" w:color="auto"/>
      </w:divBdr>
    </w:div>
    <w:div w:id="1821385475">
      <w:bodyDiv w:val="1"/>
      <w:marLeft w:val="0"/>
      <w:marRight w:val="0"/>
      <w:marTop w:val="0"/>
      <w:marBottom w:val="0"/>
      <w:divBdr>
        <w:top w:val="none" w:sz="0" w:space="0" w:color="auto"/>
        <w:left w:val="none" w:sz="0" w:space="0" w:color="auto"/>
        <w:bottom w:val="none" w:sz="0" w:space="0" w:color="auto"/>
        <w:right w:val="none" w:sz="0" w:space="0" w:color="auto"/>
      </w:divBdr>
    </w:div>
    <w:div w:id="1900626969">
      <w:bodyDiv w:val="1"/>
      <w:marLeft w:val="0"/>
      <w:marRight w:val="0"/>
      <w:marTop w:val="0"/>
      <w:marBottom w:val="0"/>
      <w:divBdr>
        <w:top w:val="none" w:sz="0" w:space="0" w:color="auto"/>
        <w:left w:val="none" w:sz="0" w:space="0" w:color="auto"/>
        <w:bottom w:val="none" w:sz="0" w:space="0" w:color="auto"/>
        <w:right w:val="none" w:sz="0" w:space="0" w:color="auto"/>
      </w:divBdr>
    </w:div>
    <w:div w:id="1914005601">
      <w:bodyDiv w:val="1"/>
      <w:marLeft w:val="0"/>
      <w:marRight w:val="0"/>
      <w:marTop w:val="0"/>
      <w:marBottom w:val="0"/>
      <w:divBdr>
        <w:top w:val="none" w:sz="0" w:space="0" w:color="auto"/>
        <w:left w:val="none" w:sz="0" w:space="0" w:color="auto"/>
        <w:bottom w:val="none" w:sz="0" w:space="0" w:color="auto"/>
        <w:right w:val="none" w:sz="0" w:space="0" w:color="auto"/>
      </w:divBdr>
    </w:div>
    <w:div w:id="1962492109">
      <w:bodyDiv w:val="1"/>
      <w:marLeft w:val="0"/>
      <w:marRight w:val="0"/>
      <w:marTop w:val="0"/>
      <w:marBottom w:val="0"/>
      <w:divBdr>
        <w:top w:val="none" w:sz="0" w:space="0" w:color="auto"/>
        <w:left w:val="none" w:sz="0" w:space="0" w:color="auto"/>
        <w:bottom w:val="none" w:sz="0" w:space="0" w:color="auto"/>
        <w:right w:val="none" w:sz="0" w:space="0" w:color="auto"/>
      </w:divBdr>
    </w:div>
    <w:div w:id="20073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TotalTime>
  <Pages>7</Pages>
  <Words>2107</Words>
  <Characters>13621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2024024532 pkt. 3.6</dc:description>
  <cp:lastModifiedBy>Gitte Ronnovius</cp:lastModifiedBy>
  <cp:revision>3</cp:revision>
  <cp:lastPrinted>2022-05-18T14:03:00Z</cp:lastPrinted>
  <dcterms:created xsi:type="dcterms:W3CDTF">2024-11-13T10:15:00Z</dcterms:created>
  <dcterms:modified xsi:type="dcterms:W3CDTF">2024-11-13T10:17:00Z</dcterms:modified>
</cp:coreProperties>
</file>