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BE9" w:rsidRDefault="00F30BE9" w:rsidP="00F30BE9">
      <w:pPr>
        <w:tabs>
          <w:tab w:val="left" w:pos="6804"/>
        </w:tabs>
        <w:rPr>
          <w:b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2C76D1">
        <w:fldChar w:fldCharType="begin"/>
      </w:r>
      <w:r w:rsidR="002C76D1">
        <w:instrText xml:space="preserve"> INCLUDEPICTURE  "cid:image004.jpg@01D117E9.E5553340" \* MERGEFORMATINET </w:instrText>
      </w:r>
      <w:r w:rsidR="002C76D1">
        <w:fldChar w:fldCharType="separate"/>
      </w:r>
      <w:r w:rsidR="00C129DF">
        <w:fldChar w:fldCharType="begin"/>
      </w:r>
      <w:r w:rsidR="00C129DF">
        <w:instrText xml:space="preserve"> INCLUDEPICTURE  "cid:image004.jpg@01D117E9.E5553340" \* MERGEFORMATINET </w:instrText>
      </w:r>
      <w:r w:rsidR="00C129DF">
        <w:fldChar w:fldCharType="separate"/>
      </w:r>
      <w:r w:rsidR="008760ED">
        <w:fldChar w:fldCharType="begin"/>
      </w:r>
      <w:r w:rsidR="008760ED">
        <w:instrText xml:space="preserve"> INCLUDEPICTURE  "cid:image004.jpg@01D117E9.E5553340" \* MERGEFORMATINET </w:instrText>
      </w:r>
      <w:r w:rsidR="008760ED">
        <w:fldChar w:fldCharType="separate"/>
      </w:r>
      <w:r w:rsidR="00355A02">
        <w:fldChar w:fldCharType="begin"/>
      </w:r>
      <w:r w:rsidR="00355A02">
        <w:instrText xml:space="preserve"> INCLUDEPICTURE  "cid:image004.jpg@01D117E9.E5553340" \* MERGEFORMATINET </w:instrText>
      </w:r>
      <w:r w:rsidR="00355A02">
        <w:fldChar w:fldCharType="separate"/>
      </w:r>
      <w:r w:rsidR="00355A02">
        <w:fldChar w:fldCharType="begin"/>
      </w:r>
      <w:r w:rsidR="00355A02">
        <w:instrText xml:space="preserve"> INCLUDEPICTURE  "cid:image004.jpg@01D117E9.E5553340" \* MERGEFORMATINET </w:instrText>
      </w:r>
      <w:r w:rsidR="00355A02">
        <w:fldChar w:fldCharType="separate"/>
      </w:r>
      <w:r w:rsidR="008B6139">
        <w:fldChar w:fldCharType="begin"/>
      </w:r>
      <w:r w:rsidR="008B6139">
        <w:instrText xml:space="preserve"> INCLUDEPICTURE  "cid:image004.jpg@01D117E9.E5553340" \* MERGEFORMATINET </w:instrText>
      </w:r>
      <w:r w:rsidR="008B6139">
        <w:fldChar w:fldCharType="separate"/>
      </w:r>
      <w:r w:rsidR="009355DA">
        <w:fldChar w:fldCharType="begin"/>
      </w:r>
      <w:r w:rsidR="009355DA">
        <w:instrText xml:space="preserve"> INCLUDEPICTURE  "cid:image004.jpg@01D117E9.E5553340" \* MERGEFORMATINET </w:instrText>
      </w:r>
      <w:r w:rsidR="009355DA">
        <w:fldChar w:fldCharType="separate"/>
      </w:r>
      <w:r w:rsidR="00BF39AE">
        <w:fldChar w:fldCharType="begin"/>
      </w:r>
      <w:r w:rsidR="00BF39AE">
        <w:instrText xml:space="preserve"> INCLUDEPICTURE  "cid:image004.jpg@01D117E9.E5553340" \* MERGEFORMATINET </w:instrText>
      </w:r>
      <w:r w:rsidR="00BF39AE">
        <w:fldChar w:fldCharType="separate"/>
      </w:r>
      <w:r w:rsidR="008A028B">
        <w:fldChar w:fldCharType="begin"/>
      </w:r>
      <w:r w:rsidR="008A028B">
        <w:instrText xml:space="preserve"> </w:instrText>
      </w:r>
      <w:r w:rsidR="008A028B">
        <w:instrText>INCLUDEPICTURE  "cid:image004.jpg@01D117E9.E5553340" \* MERGEFORMATINET</w:instrText>
      </w:r>
      <w:r w:rsidR="008A028B">
        <w:instrText xml:space="preserve"> </w:instrText>
      </w:r>
      <w:r w:rsidR="008A028B">
        <w:fldChar w:fldCharType="separate"/>
      </w:r>
      <w:r w:rsidR="002A7AE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4.75pt">
            <v:imagedata r:id="rId7" r:href="rId8"/>
          </v:shape>
        </w:pict>
      </w:r>
      <w:r w:rsidR="008A028B">
        <w:fldChar w:fldCharType="end"/>
      </w:r>
      <w:r w:rsidR="00BF39AE">
        <w:fldChar w:fldCharType="end"/>
      </w:r>
      <w:r w:rsidR="009355DA">
        <w:fldChar w:fldCharType="end"/>
      </w:r>
      <w:r w:rsidR="008B6139">
        <w:fldChar w:fldCharType="end"/>
      </w:r>
      <w:r w:rsidR="00355A02">
        <w:fldChar w:fldCharType="end"/>
      </w:r>
      <w:r w:rsidR="00355A02">
        <w:fldChar w:fldCharType="end"/>
      </w:r>
      <w:r w:rsidR="008760ED">
        <w:fldChar w:fldCharType="end"/>
      </w:r>
      <w:r w:rsidR="00C129DF">
        <w:fldChar w:fldCharType="end"/>
      </w:r>
      <w:r w:rsidR="002C76D1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F30BE9" w:rsidRPr="00DF32BE" w:rsidRDefault="00DF2018" w:rsidP="00F30BE9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31. juli</w:t>
      </w:r>
      <w:r w:rsidR="008B6139">
        <w:rPr>
          <w:b/>
          <w:sz w:val="24"/>
          <w:szCs w:val="24"/>
        </w:rPr>
        <w:t xml:space="preserve"> 2023</w:t>
      </w:r>
    </w:p>
    <w:p w:rsidR="00C129DF" w:rsidRDefault="00C129DF" w:rsidP="00F30BE9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30BE9" w:rsidRPr="00DF32BE" w:rsidRDefault="00F30BE9" w:rsidP="00F30BE9">
      <w:pPr>
        <w:tabs>
          <w:tab w:val="left" w:pos="8222"/>
        </w:tabs>
        <w:jc w:val="center"/>
        <w:rPr>
          <w:b/>
          <w:sz w:val="24"/>
          <w:szCs w:val="24"/>
        </w:rPr>
      </w:pPr>
      <w:r w:rsidRPr="00DF32BE">
        <w:rPr>
          <w:b/>
          <w:sz w:val="24"/>
          <w:szCs w:val="24"/>
        </w:rPr>
        <w:t>PRODUKTRESUMÉ</w:t>
      </w:r>
    </w:p>
    <w:p w:rsidR="00F30BE9" w:rsidRPr="00DF32BE" w:rsidRDefault="00F30BE9" w:rsidP="00F30BE9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30BE9" w:rsidRPr="00DF32BE" w:rsidRDefault="00F30BE9" w:rsidP="00F30BE9">
      <w:pPr>
        <w:tabs>
          <w:tab w:val="left" w:pos="8222"/>
        </w:tabs>
        <w:jc w:val="center"/>
        <w:rPr>
          <w:b/>
          <w:sz w:val="24"/>
          <w:szCs w:val="24"/>
        </w:rPr>
      </w:pPr>
      <w:r w:rsidRPr="00DF32BE">
        <w:rPr>
          <w:b/>
          <w:sz w:val="24"/>
          <w:szCs w:val="24"/>
        </w:rPr>
        <w:t>for</w:t>
      </w:r>
    </w:p>
    <w:p w:rsidR="00F30BE9" w:rsidRPr="00DF32BE" w:rsidRDefault="00F30BE9" w:rsidP="00F30BE9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30BE9" w:rsidRPr="00DF32BE" w:rsidRDefault="00F30BE9" w:rsidP="00F30BE9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Kelactin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oral opløsning</w:t>
      </w:r>
    </w:p>
    <w:p w:rsidR="00F30BE9" w:rsidRPr="00DF32BE" w:rsidRDefault="00F30BE9" w:rsidP="00F30BE9">
      <w:pPr>
        <w:tabs>
          <w:tab w:val="left" w:pos="8222"/>
        </w:tabs>
        <w:jc w:val="both"/>
        <w:rPr>
          <w:sz w:val="24"/>
          <w:szCs w:val="24"/>
        </w:rPr>
      </w:pPr>
    </w:p>
    <w:p w:rsidR="00F30BE9" w:rsidRPr="004509C6" w:rsidRDefault="00F30BE9" w:rsidP="00F30BE9">
      <w:pPr>
        <w:ind w:left="851" w:hanging="851"/>
        <w:jc w:val="both"/>
        <w:rPr>
          <w:sz w:val="24"/>
          <w:szCs w:val="24"/>
        </w:rPr>
      </w:pPr>
    </w:p>
    <w:p w:rsidR="00F30BE9" w:rsidRPr="004509C6" w:rsidRDefault="00F30BE9" w:rsidP="00F30BE9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D.SP.NR</w:t>
      </w:r>
    </w:p>
    <w:p w:rsidR="00F30BE9" w:rsidRPr="004509C6" w:rsidRDefault="00F30BE9" w:rsidP="00F30BE9">
      <w:pPr>
        <w:ind w:left="851"/>
        <w:jc w:val="both"/>
        <w:rPr>
          <w:sz w:val="24"/>
          <w:szCs w:val="24"/>
        </w:rPr>
      </w:pPr>
      <w:r w:rsidRPr="004509C6">
        <w:rPr>
          <w:sz w:val="24"/>
          <w:szCs w:val="24"/>
        </w:rPr>
        <w:t>27896</w:t>
      </w:r>
    </w:p>
    <w:p w:rsidR="00F30BE9" w:rsidRPr="004509C6" w:rsidRDefault="00F30BE9" w:rsidP="00F30BE9">
      <w:pPr>
        <w:ind w:left="851" w:hanging="851"/>
        <w:jc w:val="both"/>
        <w:rPr>
          <w:sz w:val="24"/>
          <w:szCs w:val="24"/>
        </w:rPr>
      </w:pPr>
    </w:p>
    <w:p w:rsidR="00F30BE9" w:rsidRPr="004509C6" w:rsidRDefault="00F30BE9" w:rsidP="00F30BE9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VETERINÆRLÆGEMIDLETS NAVN</w:t>
      </w:r>
    </w:p>
    <w:p w:rsidR="00F30BE9" w:rsidRPr="004509C6" w:rsidRDefault="00F30BE9" w:rsidP="00F30BE9">
      <w:pPr>
        <w:ind w:left="851"/>
        <w:jc w:val="both"/>
        <w:rPr>
          <w:sz w:val="24"/>
          <w:szCs w:val="24"/>
        </w:rPr>
      </w:pPr>
      <w:proofErr w:type="spellStart"/>
      <w:r w:rsidRPr="004509C6">
        <w:rPr>
          <w:sz w:val="24"/>
          <w:szCs w:val="24"/>
        </w:rPr>
        <w:t>Kelactin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Vet</w:t>
      </w:r>
      <w:proofErr w:type="spellEnd"/>
      <w:r>
        <w:rPr>
          <w:sz w:val="24"/>
          <w:szCs w:val="24"/>
        </w:rPr>
        <w:t>.</w:t>
      </w:r>
    </w:p>
    <w:p w:rsidR="00F30BE9" w:rsidRPr="004509C6" w:rsidRDefault="00F30BE9" w:rsidP="00F30BE9">
      <w:pPr>
        <w:ind w:left="851" w:hanging="851"/>
        <w:jc w:val="both"/>
        <w:rPr>
          <w:sz w:val="24"/>
          <w:szCs w:val="24"/>
        </w:rPr>
      </w:pPr>
    </w:p>
    <w:p w:rsidR="00F30BE9" w:rsidRPr="004509C6" w:rsidRDefault="00F30BE9" w:rsidP="00F30BE9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KVALITATIV OG KVANTITATIV SAMMENSÆTNING</w:t>
      </w:r>
    </w:p>
    <w:p w:rsidR="00F30BE9" w:rsidRPr="004509C6" w:rsidRDefault="00F30BE9" w:rsidP="00F30BE9">
      <w:pPr>
        <w:ind w:left="851"/>
        <w:jc w:val="both"/>
        <w:rPr>
          <w:sz w:val="24"/>
          <w:szCs w:val="24"/>
        </w:rPr>
      </w:pPr>
      <w:r w:rsidRPr="004509C6">
        <w:rPr>
          <w:sz w:val="24"/>
          <w:szCs w:val="24"/>
        </w:rPr>
        <w:t>1 ml af produktet indeholder:</w:t>
      </w:r>
    </w:p>
    <w:p w:rsidR="00F30BE9" w:rsidRPr="00821758" w:rsidRDefault="00F30BE9" w:rsidP="00F30BE9">
      <w:pPr>
        <w:ind w:firstLine="851"/>
        <w:rPr>
          <w:b/>
          <w:sz w:val="24"/>
          <w:szCs w:val="24"/>
        </w:rPr>
      </w:pPr>
      <w:r w:rsidRPr="00821758">
        <w:rPr>
          <w:b/>
          <w:sz w:val="24"/>
          <w:szCs w:val="24"/>
        </w:rPr>
        <w:t>Aktivt stof:</w:t>
      </w:r>
    </w:p>
    <w:p w:rsidR="00F30BE9" w:rsidRPr="004509C6" w:rsidRDefault="00F30BE9" w:rsidP="00F30BE9">
      <w:pPr>
        <w:ind w:left="851"/>
        <w:rPr>
          <w:sz w:val="24"/>
          <w:szCs w:val="24"/>
        </w:rPr>
      </w:pPr>
      <w:proofErr w:type="spellStart"/>
      <w:r w:rsidRPr="004509C6">
        <w:rPr>
          <w:sz w:val="24"/>
          <w:szCs w:val="24"/>
        </w:rPr>
        <w:t>Cabergolin</w:t>
      </w:r>
      <w:proofErr w:type="spellEnd"/>
      <w:r>
        <w:rPr>
          <w:sz w:val="24"/>
          <w:szCs w:val="24"/>
        </w:rPr>
        <w:t xml:space="preserve"> </w:t>
      </w:r>
      <w:r w:rsidRPr="004509C6">
        <w:rPr>
          <w:sz w:val="24"/>
          <w:szCs w:val="24"/>
        </w:rPr>
        <w:t>50</w:t>
      </w:r>
      <w:r>
        <w:rPr>
          <w:sz w:val="24"/>
          <w:szCs w:val="24"/>
        </w:rPr>
        <w:t xml:space="preserve"> </w:t>
      </w:r>
      <w:r w:rsidRPr="004509C6">
        <w:rPr>
          <w:sz w:val="24"/>
          <w:szCs w:val="24"/>
        </w:rPr>
        <w:t>mikrogram</w:t>
      </w:r>
    </w:p>
    <w:p w:rsidR="00F30BE9" w:rsidRPr="004509C6" w:rsidRDefault="00F30BE9" w:rsidP="00F30BE9">
      <w:pPr>
        <w:ind w:left="851" w:hanging="851"/>
        <w:rPr>
          <w:b/>
          <w:sz w:val="24"/>
          <w:szCs w:val="24"/>
        </w:rPr>
      </w:pPr>
    </w:p>
    <w:p w:rsidR="00F30BE9" w:rsidRPr="004509C6" w:rsidRDefault="00F30BE9" w:rsidP="00F30BE9">
      <w:pPr>
        <w:ind w:left="851"/>
        <w:rPr>
          <w:b/>
          <w:bCs/>
          <w:sz w:val="24"/>
          <w:szCs w:val="24"/>
        </w:rPr>
      </w:pPr>
      <w:r w:rsidRPr="004509C6">
        <w:rPr>
          <w:sz w:val="24"/>
          <w:szCs w:val="24"/>
        </w:rPr>
        <w:t>Alle hjælpestoffer er anført under pkt. 6.1</w:t>
      </w:r>
    </w:p>
    <w:p w:rsidR="00F30BE9" w:rsidRPr="004509C6" w:rsidRDefault="00F30BE9" w:rsidP="00F30BE9">
      <w:pPr>
        <w:ind w:left="851" w:hanging="851"/>
        <w:jc w:val="both"/>
        <w:rPr>
          <w:sz w:val="24"/>
          <w:szCs w:val="24"/>
        </w:rPr>
      </w:pPr>
    </w:p>
    <w:p w:rsidR="00F30BE9" w:rsidRPr="004509C6" w:rsidRDefault="00F30BE9" w:rsidP="00F30BE9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LÆGEMIDDELFORM</w:t>
      </w:r>
    </w:p>
    <w:p w:rsidR="00F30BE9" w:rsidRPr="004509C6" w:rsidRDefault="00F30BE9" w:rsidP="00F30BE9">
      <w:pPr>
        <w:pStyle w:val="DsPara"/>
        <w:spacing w:before="0"/>
        <w:ind w:left="851"/>
        <w:rPr>
          <w:rFonts w:ascii="Times New Roman" w:hAnsi="Times New Roman" w:cs="Times New Roman"/>
          <w:sz w:val="24"/>
          <w:szCs w:val="24"/>
        </w:rPr>
      </w:pPr>
      <w:r w:rsidRPr="004509C6">
        <w:rPr>
          <w:rFonts w:ascii="Times New Roman" w:hAnsi="Times New Roman" w:cs="Times New Roman"/>
          <w:sz w:val="24"/>
          <w:szCs w:val="24"/>
        </w:rPr>
        <w:t>Oral opløsning</w:t>
      </w:r>
    </w:p>
    <w:p w:rsidR="00F30BE9" w:rsidRPr="004509C6" w:rsidRDefault="00F30BE9" w:rsidP="00F30BE9">
      <w:pPr>
        <w:pStyle w:val="DsPara"/>
        <w:spacing w:before="0"/>
        <w:ind w:left="851"/>
        <w:rPr>
          <w:rFonts w:ascii="Times New Roman" w:hAnsi="Times New Roman" w:cs="Times New Roman"/>
          <w:sz w:val="24"/>
          <w:szCs w:val="24"/>
        </w:rPr>
      </w:pPr>
      <w:r w:rsidRPr="004509C6">
        <w:rPr>
          <w:rFonts w:ascii="Times New Roman" w:hAnsi="Times New Roman" w:cs="Times New Roman"/>
          <w:sz w:val="24"/>
          <w:szCs w:val="24"/>
        </w:rPr>
        <w:t xml:space="preserve">Bleg gul, viskøs olieagtig opløsning. </w:t>
      </w:r>
    </w:p>
    <w:p w:rsidR="00F30BE9" w:rsidRPr="004509C6" w:rsidRDefault="00F30BE9" w:rsidP="00F30BE9">
      <w:pPr>
        <w:ind w:left="851" w:hanging="851"/>
        <w:jc w:val="both"/>
        <w:rPr>
          <w:sz w:val="24"/>
          <w:szCs w:val="24"/>
        </w:rPr>
      </w:pPr>
    </w:p>
    <w:p w:rsidR="00F30BE9" w:rsidRPr="004509C6" w:rsidRDefault="00F30BE9" w:rsidP="00F30BE9">
      <w:pPr>
        <w:ind w:left="851" w:hanging="851"/>
        <w:jc w:val="both"/>
        <w:rPr>
          <w:sz w:val="24"/>
          <w:szCs w:val="24"/>
        </w:rPr>
      </w:pPr>
    </w:p>
    <w:p w:rsidR="00F30BE9" w:rsidRPr="004509C6" w:rsidRDefault="00F30BE9" w:rsidP="00F30BE9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KLINISKE OPLYSNINGER</w:t>
      </w:r>
    </w:p>
    <w:p w:rsidR="00F30BE9" w:rsidRPr="004509C6" w:rsidRDefault="00F30BE9" w:rsidP="00F30BE9">
      <w:pPr>
        <w:ind w:left="851" w:hanging="851"/>
        <w:jc w:val="both"/>
        <w:rPr>
          <w:sz w:val="24"/>
          <w:szCs w:val="24"/>
        </w:rPr>
      </w:pPr>
    </w:p>
    <w:p w:rsidR="00F30BE9" w:rsidRPr="004509C6" w:rsidRDefault="00F30BE9" w:rsidP="00F30BE9">
      <w:pPr>
        <w:ind w:left="851" w:hanging="851"/>
        <w:rPr>
          <w:b/>
          <w:sz w:val="24"/>
          <w:szCs w:val="24"/>
          <w:u w:val="single"/>
        </w:rPr>
      </w:pPr>
      <w:r w:rsidRPr="004509C6">
        <w:rPr>
          <w:b/>
          <w:sz w:val="24"/>
          <w:szCs w:val="24"/>
        </w:rPr>
        <w:t>4.1</w:t>
      </w:r>
      <w:r w:rsidRPr="004509C6">
        <w:rPr>
          <w:b/>
          <w:sz w:val="24"/>
          <w:szCs w:val="24"/>
        </w:rPr>
        <w:tab/>
        <w:t>Dyrearter</w:t>
      </w:r>
    </w:p>
    <w:p w:rsidR="00F30BE9" w:rsidRPr="004509C6" w:rsidRDefault="00F30BE9" w:rsidP="00F30BE9">
      <w:pPr>
        <w:ind w:left="851"/>
        <w:jc w:val="both"/>
        <w:rPr>
          <w:sz w:val="24"/>
          <w:szCs w:val="24"/>
        </w:rPr>
      </w:pPr>
      <w:r w:rsidRPr="004509C6">
        <w:rPr>
          <w:sz w:val="24"/>
          <w:szCs w:val="24"/>
        </w:rPr>
        <w:t>Hund og kat.</w:t>
      </w:r>
    </w:p>
    <w:p w:rsidR="00F30BE9" w:rsidRPr="004509C6" w:rsidRDefault="00F30BE9" w:rsidP="00F30BE9">
      <w:pPr>
        <w:ind w:left="851" w:hanging="851"/>
        <w:jc w:val="both"/>
        <w:rPr>
          <w:sz w:val="24"/>
          <w:szCs w:val="24"/>
        </w:rPr>
      </w:pPr>
    </w:p>
    <w:p w:rsidR="00F30BE9" w:rsidRPr="004509C6" w:rsidRDefault="00F30BE9" w:rsidP="00F30BE9">
      <w:pPr>
        <w:pStyle w:val="Sidehoved"/>
        <w:numPr>
          <w:ilvl w:val="1"/>
          <w:numId w:val="2"/>
        </w:numPr>
        <w:tabs>
          <w:tab w:val="clear" w:pos="855"/>
          <w:tab w:val="clear" w:pos="4819"/>
          <w:tab w:val="clear" w:pos="9638"/>
        </w:tabs>
        <w:ind w:left="851" w:hanging="851"/>
        <w:rPr>
          <w:b/>
          <w:szCs w:val="24"/>
        </w:rPr>
      </w:pPr>
      <w:r w:rsidRPr="004509C6">
        <w:rPr>
          <w:b/>
          <w:szCs w:val="24"/>
        </w:rPr>
        <w:t>Terapeutiske indikationer</w:t>
      </w:r>
    </w:p>
    <w:p w:rsidR="00F30BE9" w:rsidRPr="009A34CD" w:rsidRDefault="00F30BE9" w:rsidP="00F30BE9">
      <w:pPr>
        <w:autoSpaceDE w:val="0"/>
        <w:autoSpaceDN w:val="0"/>
        <w:ind w:firstLine="851"/>
        <w:jc w:val="both"/>
        <w:rPr>
          <w:rFonts w:ascii="Helvetica" w:hAnsi="Helvetica" w:cs="Helvetica"/>
          <w:sz w:val="20"/>
        </w:rPr>
      </w:pPr>
      <w:r w:rsidRPr="009A34CD">
        <w:rPr>
          <w:rFonts w:ascii="Verdana" w:hAnsi="Verdana" w:cs="Helvetica"/>
          <w:sz w:val="20"/>
        </w:rPr>
        <w:t>Det</w:t>
      </w:r>
      <w:r>
        <w:rPr>
          <w:rFonts w:ascii="Verdana" w:hAnsi="Verdana" w:cs="Helvetica"/>
          <w:sz w:val="20"/>
        </w:rPr>
        <w:t>te</w:t>
      </w:r>
      <w:r w:rsidRPr="009A34CD">
        <w:rPr>
          <w:rFonts w:ascii="Verdana" w:hAnsi="Verdana" w:cs="Helvetica"/>
          <w:sz w:val="20"/>
        </w:rPr>
        <w:t xml:space="preserve"> veterinærlægemiddel er indiceret til følgende formål:</w:t>
      </w:r>
    </w:p>
    <w:p w:rsidR="00F30BE9" w:rsidRPr="004509C6" w:rsidRDefault="00F30BE9" w:rsidP="00F30BE9">
      <w:pPr>
        <w:numPr>
          <w:ilvl w:val="0"/>
          <w:numId w:val="4"/>
        </w:numPr>
        <w:tabs>
          <w:tab w:val="clear" w:pos="360"/>
        </w:tabs>
        <w:ind w:left="1276" w:hanging="425"/>
        <w:jc w:val="both"/>
        <w:rPr>
          <w:sz w:val="24"/>
          <w:szCs w:val="24"/>
        </w:rPr>
      </w:pPr>
      <w:r w:rsidRPr="004509C6">
        <w:rPr>
          <w:sz w:val="24"/>
          <w:szCs w:val="24"/>
        </w:rPr>
        <w:t>Behandling af falsk drægtighed hos tæver</w:t>
      </w:r>
    </w:p>
    <w:p w:rsidR="00F30BE9" w:rsidRPr="004509C6" w:rsidRDefault="00F30BE9" w:rsidP="00F30BE9">
      <w:pPr>
        <w:numPr>
          <w:ilvl w:val="0"/>
          <w:numId w:val="4"/>
        </w:numPr>
        <w:tabs>
          <w:tab w:val="clear" w:pos="360"/>
        </w:tabs>
        <w:ind w:left="1276" w:hanging="425"/>
        <w:jc w:val="both"/>
        <w:rPr>
          <w:sz w:val="24"/>
          <w:szCs w:val="24"/>
        </w:rPr>
      </w:pPr>
      <w:r w:rsidRPr="004509C6">
        <w:rPr>
          <w:sz w:val="24"/>
          <w:szCs w:val="24"/>
        </w:rPr>
        <w:t>Hæmning af diegivning hos tæver og kønsmodne hunkatte</w:t>
      </w:r>
    </w:p>
    <w:p w:rsidR="00F30BE9" w:rsidRPr="004509C6" w:rsidRDefault="00F30BE9" w:rsidP="00F30BE9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F30BE9" w:rsidRPr="004509C6" w:rsidRDefault="00F30BE9" w:rsidP="00F30BE9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4509C6">
        <w:rPr>
          <w:b/>
          <w:szCs w:val="24"/>
        </w:rPr>
        <w:t>4.3</w:t>
      </w:r>
      <w:r w:rsidRPr="004509C6">
        <w:rPr>
          <w:b/>
          <w:szCs w:val="24"/>
        </w:rPr>
        <w:tab/>
        <w:t>Kontraindikationer</w:t>
      </w:r>
    </w:p>
    <w:p w:rsidR="00F30BE9" w:rsidRPr="009A34CD" w:rsidRDefault="00F30BE9" w:rsidP="00F30BE9">
      <w:pPr>
        <w:numPr>
          <w:ilvl w:val="0"/>
          <w:numId w:val="4"/>
        </w:numPr>
        <w:tabs>
          <w:tab w:val="clear" w:pos="360"/>
        </w:tabs>
        <w:ind w:left="1276" w:hanging="425"/>
        <w:jc w:val="both"/>
        <w:rPr>
          <w:sz w:val="24"/>
          <w:szCs w:val="24"/>
        </w:rPr>
      </w:pPr>
      <w:r w:rsidRPr="009A34CD">
        <w:rPr>
          <w:sz w:val="24"/>
          <w:szCs w:val="24"/>
        </w:rPr>
        <w:t>Bør ikke anvendes til drægtige dyr, da produktet kan forårsage abort.</w:t>
      </w:r>
    </w:p>
    <w:p w:rsidR="00F30BE9" w:rsidRPr="009A34CD" w:rsidRDefault="00F30BE9" w:rsidP="00F30BE9">
      <w:pPr>
        <w:numPr>
          <w:ilvl w:val="0"/>
          <w:numId w:val="4"/>
        </w:numPr>
        <w:tabs>
          <w:tab w:val="clear" w:pos="360"/>
        </w:tabs>
        <w:ind w:left="1276" w:hanging="425"/>
        <w:jc w:val="both"/>
        <w:rPr>
          <w:sz w:val="24"/>
          <w:szCs w:val="24"/>
        </w:rPr>
      </w:pPr>
      <w:r w:rsidRPr="009A34CD">
        <w:rPr>
          <w:sz w:val="24"/>
          <w:szCs w:val="24"/>
        </w:rPr>
        <w:t>Bør ikke anvendes sammen med dopaminantagonister.</w:t>
      </w:r>
    </w:p>
    <w:p w:rsidR="00F30BE9" w:rsidRPr="009A34CD" w:rsidRDefault="00F30BE9" w:rsidP="00F30BE9">
      <w:pPr>
        <w:numPr>
          <w:ilvl w:val="0"/>
          <w:numId w:val="4"/>
        </w:numPr>
        <w:tabs>
          <w:tab w:val="clear" w:pos="360"/>
        </w:tabs>
        <w:ind w:left="1276" w:hanging="425"/>
        <w:jc w:val="both"/>
        <w:rPr>
          <w:sz w:val="24"/>
          <w:szCs w:val="24"/>
        </w:rPr>
      </w:pPr>
      <w:r w:rsidRPr="009A34CD">
        <w:rPr>
          <w:sz w:val="24"/>
          <w:szCs w:val="24"/>
        </w:rPr>
        <w:t>Bør ikke anvendes i tilfælde af overfølsomhed over for de</w:t>
      </w:r>
      <w:r w:rsidR="00A03054">
        <w:rPr>
          <w:sz w:val="24"/>
          <w:szCs w:val="24"/>
        </w:rPr>
        <w:t>t</w:t>
      </w:r>
      <w:r w:rsidRPr="009A34CD">
        <w:rPr>
          <w:sz w:val="24"/>
          <w:szCs w:val="24"/>
        </w:rPr>
        <w:t xml:space="preserve"> aktive stof eller over for et eller flere af hjælpestofferne.</w:t>
      </w:r>
    </w:p>
    <w:p w:rsidR="00F30BE9" w:rsidRPr="009A34CD" w:rsidRDefault="00F30BE9" w:rsidP="00F30BE9">
      <w:pPr>
        <w:ind w:left="851"/>
        <w:jc w:val="both"/>
        <w:rPr>
          <w:sz w:val="24"/>
          <w:szCs w:val="24"/>
        </w:rPr>
      </w:pPr>
    </w:p>
    <w:p w:rsidR="00F30BE9" w:rsidRPr="004509C6" w:rsidRDefault="00F30BE9" w:rsidP="00F30BE9">
      <w:pPr>
        <w:ind w:left="851"/>
        <w:jc w:val="both"/>
        <w:rPr>
          <w:sz w:val="24"/>
          <w:szCs w:val="24"/>
        </w:rPr>
      </w:pPr>
      <w:proofErr w:type="spellStart"/>
      <w:r w:rsidRPr="009A34CD">
        <w:rPr>
          <w:sz w:val="24"/>
          <w:szCs w:val="24"/>
        </w:rPr>
        <w:t>Cabergolin</w:t>
      </w:r>
      <w:proofErr w:type="spellEnd"/>
      <w:r w:rsidRPr="009A34CD">
        <w:rPr>
          <w:sz w:val="24"/>
          <w:szCs w:val="24"/>
        </w:rPr>
        <w:t xml:space="preserve"> kan medføre forbigående hypotension hos behandlede dyr. Det må ikke bruges til dyr, der samtidig er i behandling med blodtrykssænkende medicin. Det må ikke bruges umiddelbart efter operation, mens dyret er under påvirkning af anæstesimidler.</w:t>
      </w:r>
    </w:p>
    <w:p w:rsidR="00F30BE9" w:rsidRPr="004509C6" w:rsidRDefault="00F30BE9" w:rsidP="00F30BE9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F30BE9" w:rsidRPr="004509C6" w:rsidRDefault="00F30BE9" w:rsidP="00F30BE9">
      <w:pPr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lastRenderedPageBreak/>
        <w:t>4.4</w:t>
      </w:r>
      <w:r w:rsidRPr="004509C6">
        <w:rPr>
          <w:b/>
          <w:sz w:val="24"/>
          <w:szCs w:val="24"/>
        </w:rPr>
        <w:tab/>
        <w:t>Særlige advarsler</w:t>
      </w:r>
    </w:p>
    <w:p w:rsidR="00F30BE9" w:rsidRPr="004509C6" w:rsidRDefault="00F30BE9" w:rsidP="00F30BE9">
      <w:pPr>
        <w:pStyle w:val="DsPara"/>
        <w:autoSpaceDE/>
        <w:spacing w:before="0"/>
        <w:ind w:left="851" w:hanging="851"/>
        <w:jc w:val="left"/>
        <w:rPr>
          <w:rFonts w:ascii="Times New Roman" w:hAnsi="Times New Roman" w:cs="Times New Roman"/>
          <w:sz w:val="24"/>
          <w:szCs w:val="24"/>
        </w:rPr>
      </w:pPr>
      <w:r w:rsidRPr="004509C6">
        <w:rPr>
          <w:rFonts w:ascii="Times New Roman" w:hAnsi="Times New Roman" w:cs="Times New Roman"/>
          <w:sz w:val="24"/>
          <w:szCs w:val="24"/>
        </w:rPr>
        <w:tab/>
        <w:t>Yderligere understøttende behandling bør omfatte begrænsning af vand- og kulhydratindtag og øget motionering.</w:t>
      </w:r>
    </w:p>
    <w:p w:rsidR="00F30BE9" w:rsidRPr="004509C6" w:rsidRDefault="00F30BE9" w:rsidP="00F30BE9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F30BE9" w:rsidRPr="004509C6" w:rsidRDefault="00F30BE9" w:rsidP="00F30BE9">
      <w:pPr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4.5</w:t>
      </w:r>
      <w:r w:rsidRPr="004509C6">
        <w:rPr>
          <w:b/>
          <w:sz w:val="24"/>
          <w:szCs w:val="24"/>
        </w:rPr>
        <w:tab/>
        <w:t>Særlige forsigtighedsregler vedrørende brugen</w:t>
      </w:r>
    </w:p>
    <w:p w:rsidR="00F30BE9" w:rsidRPr="004509C6" w:rsidRDefault="00F30BE9" w:rsidP="00F30BE9">
      <w:pPr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ab/>
      </w:r>
    </w:p>
    <w:p w:rsidR="00F30BE9" w:rsidRPr="004509C6" w:rsidRDefault="00F30BE9" w:rsidP="00F30BE9">
      <w:pPr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ab/>
        <w:t>Særlige forsigtighedsregler for dyret</w:t>
      </w:r>
    </w:p>
    <w:p w:rsidR="00F30BE9" w:rsidRPr="004509C6" w:rsidRDefault="00F30BE9" w:rsidP="00F30BE9">
      <w:pPr>
        <w:ind w:left="851" w:hanging="851"/>
        <w:jc w:val="both"/>
        <w:rPr>
          <w:sz w:val="24"/>
          <w:szCs w:val="24"/>
        </w:rPr>
      </w:pPr>
      <w:r w:rsidRPr="004509C6">
        <w:rPr>
          <w:sz w:val="24"/>
          <w:szCs w:val="24"/>
        </w:rPr>
        <w:tab/>
        <w:t>Ikke relevant.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</w:p>
    <w:p w:rsidR="00F30BE9" w:rsidRPr="004509C6" w:rsidRDefault="00F30BE9" w:rsidP="00F30BE9">
      <w:pPr>
        <w:ind w:left="851" w:hanging="851"/>
        <w:rPr>
          <w:b/>
          <w:sz w:val="24"/>
          <w:szCs w:val="24"/>
        </w:rPr>
      </w:pPr>
      <w:r w:rsidRPr="004509C6">
        <w:rPr>
          <w:sz w:val="24"/>
          <w:szCs w:val="24"/>
        </w:rPr>
        <w:tab/>
      </w:r>
      <w:r w:rsidRPr="004509C6">
        <w:rPr>
          <w:b/>
          <w:sz w:val="24"/>
          <w:szCs w:val="24"/>
        </w:rPr>
        <w:t>Særlige forsigtighedsregler for personer, der administrerer lægemidlet</w:t>
      </w:r>
    </w:p>
    <w:p w:rsidR="00F30BE9" w:rsidRPr="009A34CD" w:rsidRDefault="00F30BE9" w:rsidP="00F30BE9">
      <w:pPr>
        <w:ind w:left="851"/>
        <w:jc w:val="both"/>
        <w:rPr>
          <w:sz w:val="24"/>
          <w:szCs w:val="24"/>
        </w:rPr>
      </w:pPr>
      <w:r w:rsidRPr="009A34CD">
        <w:rPr>
          <w:sz w:val="24"/>
          <w:szCs w:val="24"/>
        </w:rPr>
        <w:t>Vask hænder efter brug. Undgå kontakt med hud og øjne. Alle stænk skal skylles væk omgående.</w:t>
      </w:r>
    </w:p>
    <w:p w:rsidR="00F30BE9" w:rsidRPr="009A34CD" w:rsidRDefault="00F30BE9" w:rsidP="00F30BE9">
      <w:pPr>
        <w:ind w:left="851"/>
        <w:jc w:val="both"/>
        <w:rPr>
          <w:sz w:val="24"/>
          <w:szCs w:val="24"/>
        </w:rPr>
      </w:pPr>
      <w:r w:rsidRPr="009A34CD">
        <w:rPr>
          <w:sz w:val="24"/>
          <w:szCs w:val="24"/>
        </w:rPr>
        <w:t>Lægemidlet bør ikke håndteres af kvinder i den fødedygtige alder og ammende kvinder eller de bør bruge engangshandsker ved indgift af lægemidlet.</w:t>
      </w:r>
    </w:p>
    <w:p w:rsidR="00F30BE9" w:rsidRPr="009A34CD" w:rsidRDefault="00F30BE9" w:rsidP="00F30BE9">
      <w:pPr>
        <w:ind w:left="851"/>
        <w:jc w:val="both"/>
        <w:rPr>
          <w:sz w:val="24"/>
          <w:szCs w:val="24"/>
        </w:rPr>
      </w:pPr>
      <w:r w:rsidRPr="009A34CD">
        <w:rPr>
          <w:sz w:val="24"/>
          <w:szCs w:val="24"/>
        </w:rPr>
        <w:t xml:space="preserve">Ved overfølsomhed over for </w:t>
      </w:r>
      <w:proofErr w:type="spellStart"/>
      <w:r w:rsidRPr="009A34CD">
        <w:rPr>
          <w:sz w:val="24"/>
          <w:szCs w:val="24"/>
        </w:rPr>
        <w:t>cabergolin</w:t>
      </w:r>
      <w:proofErr w:type="spellEnd"/>
      <w:r w:rsidRPr="009A34CD">
        <w:rPr>
          <w:sz w:val="24"/>
          <w:szCs w:val="24"/>
        </w:rPr>
        <w:t xml:space="preserve"> eller et af de øvrige indholdsstoffer i produktet, bør kontakt med lægemidlet undgås.</w:t>
      </w:r>
    </w:p>
    <w:p w:rsidR="00F30BE9" w:rsidRPr="004509C6" w:rsidRDefault="00F30BE9" w:rsidP="00F30BE9">
      <w:pPr>
        <w:ind w:left="851"/>
        <w:jc w:val="both"/>
        <w:rPr>
          <w:sz w:val="24"/>
          <w:szCs w:val="24"/>
        </w:rPr>
      </w:pPr>
      <w:r w:rsidRPr="009A34CD">
        <w:rPr>
          <w:sz w:val="24"/>
          <w:szCs w:val="24"/>
        </w:rPr>
        <w:t xml:space="preserve">Efterlad ikke </w:t>
      </w:r>
      <w:proofErr w:type="spellStart"/>
      <w:r w:rsidRPr="009A34CD">
        <w:rPr>
          <w:sz w:val="24"/>
          <w:szCs w:val="24"/>
        </w:rPr>
        <w:t>uovervågede</w:t>
      </w:r>
      <w:proofErr w:type="spellEnd"/>
      <w:r w:rsidRPr="009A34CD">
        <w:rPr>
          <w:sz w:val="24"/>
          <w:szCs w:val="24"/>
        </w:rPr>
        <w:t xml:space="preserve"> fyldte injektionssprøjter i nærheden af børn. I tilfælde</w:t>
      </w:r>
      <w:r w:rsidR="00A03054">
        <w:rPr>
          <w:sz w:val="24"/>
          <w:szCs w:val="24"/>
        </w:rPr>
        <w:t xml:space="preserve"> af</w:t>
      </w:r>
      <w:r w:rsidRPr="009A34CD">
        <w:rPr>
          <w:sz w:val="24"/>
          <w:szCs w:val="24"/>
        </w:rPr>
        <w:t xml:space="preserve"> selvindtagelse ved hændeligt uheld, især af et barn, skal der straks søges lægehjælp, og indlægssedlen eller etiketten bør vises til lægen.</w:t>
      </w:r>
    </w:p>
    <w:p w:rsidR="00F30BE9" w:rsidRPr="004509C6" w:rsidRDefault="00F30BE9" w:rsidP="00F30BE9">
      <w:pPr>
        <w:ind w:left="851"/>
        <w:jc w:val="both"/>
        <w:rPr>
          <w:sz w:val="24"/>
          <w:szCs w:val="24"/>
        </w:rPr>
      </w:pPr>
    </w:p>
    <w:p w:rsidR="00F30BE9" w:rsidRPr="004509C6" w:rsidRDefault="00F30BE9" w:rsidP="00F30BE9">
      <w:pPr>
        <w:ind w:left="851" w:hanging="851"/>
        <w:rPr>
          <w:b/>
          <w:sz w:val="24"/>
          <w:szCs w:val="24"/>
        </w:rPr>
      </w:pPr>
      <w:r w:rsidRPr="004509C6">
        <w:rPr>
          <w:sz w:val="24"/>
          <w:szCs w:val="24"/>
        </w:rPr>
        <w:tab/>
      </w:r>
      <w:r w:rsidRPr="004509C6">
        <w:rPr>
          <w:b/>
          <w:sz w:val="24"/>
          <w:szCs w:val="24"/>
        </w:rPr>
        <w:t>Andre forsigtighedsregler</w:t>
      </w:r>
    </w:p>
    <w:p w:rsidR="00F30BE9" w:rsidRPr="004509C6" w:rsidRDefault="00F30BE9" w:rsidP="00F30BE9">
      <w:pPr>
        <w:ind w:left="851" w:hanging="851"/>
        <w:jc w:val="both"/>
        <w:rPr>
          <w:sz w:val="24"/>
          <w:szCs w:val="24"/>
        </w:rPr>
      </w:pPr>
      <w:r w:rsidRPr="004509C6">
        <w:rPr>
          <w:sz w:val="24"/>
          <w:szCs w:val="24"/>
        </w:rPr>
        <w:tab/>
        <w:t>Ingen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</w:p>
    <w:p w:rsidR="00F30BE9" w:rsidRPr="004509C6" w:rsidRDefault="00F30BE9" w:rsidP="00F30BE9">
      <w:pPr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4.6</w:t>
      </w:r>
      <w:r w:rsidRPr="004509C6">
        <w:rPr>
          <w:b/>
          <w:sz w:val="24"/>
          <w:szCs w:val="24"/>
        </w:rPr>
        <w:tab/>
        <w:t>Bivirkninger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  <w:r w:rsidRPr="004509C6">
        <w:rPr>
          <w:sz w:val="24"/>
          <w:szCs w:val="24"/>
        </w:rPr>
        <w:tab/>
      </w:r>
    </w:p>
    <w:p w:rsidR="00F30BE9" w:rsidRPr="004509C6" w:rsidRDefault="00F30BE9" w:rsidP="00F30BE9">
      <w:pPr>
        <w:ind w:left="851"/>
        <w:rPr>
          <w:sz w:val="24"/>
          <w:szCs w:val="24"/>
        </w:rPr>
      </w:pPr>
      <w:r w:rsidRPr="004509C6">
        <w:rPr>
          <w:sz w:val="24"/>
          <w:szCs w:val="24"/>
        </w:rPr>
        <w:t>Mulige bivirkninger omfatter:</w:t>
      </w:r>
    </w:p>
    <w:p w:rsidR="00F30BE9" w:rsidRPr="004509C6" w:rsidRDefault="00F30BE9" w:rsidP="00F30BE9">
      <w:pPr>
        <w:numPr>
          <w:ilvl w:val="0"/>
          <w:numId w:val="4"/>
        </w:numPr>
        <w:tabs>
          <w:tab w:val="clear" w:pos="360"/>
        </w:tabs>
        <w:ind w:left="1276" w:hanging="425"/>
        <w:rPr>
          <w:sz w:val="24"/>
          <w:szCs w:val="24"/>
        </w:rPr>
      </w:pPr>
      <w:r w:rsidRPr="004509C6">
        <w:rPr>
          <w:sz w:val="24"/>
          <w:szCs w:val="24"/>
        </w:rPr>
        <w:t>søvnighed</w:t>
      </w:r>
    </w:p>
    <w:p w:rsidR="00F30BE9" w:rsidRPr="004509C6" w:rsidRDefault="00F30BE9" w:rsidP="00F30BE9">
      <w:pPr>
        <w:numPr>
          <w:ilvl w:val="0"/>
          <w:numId w:val="4"/>
        </w:numPr>
        <w:tabs>
          <w:tab w:val="clear" w:pos="360"/>
        </w:tabs>
        <w:ind w:left="1276" w:hanging="425"/>
        <w:rPr>
          <w:sz w:val="24"/>
          <w:szCs w:val="24"/>
        </w:rPr>
      </w:pPr>
      <w:r w:rsidRPr="004509C6">
        <w:rPr>
          <w:sz w:val="24"/>
          <w:szCs w:val="24"/>
        </w:rPr>
        <w:t>anoreksi</w:t>
      </w:r>
    </w:p>
    <w:p w:rsidR="00F30BE9" w:rsidRPr="004509C6" w:rsidRDefault="00F30BE9" w:rsidP="00F30BE9">
      <w:pPr>
        <w:numPr>
          <w:ilvl w:val="0"/>
          <w:numId w:val="4"/>
        </w:numPr>
        <w:tabs>
          <w:tab w:val="clear" w:pos="360"/>
        </w:tabs>
        <w:ind w:left="1276" w:hanging="425"/>
        <w:rPr>
          <w:sz w:val="24"/>
          <w:szCs w:val="24"/>
        </w:rPr>
      </w:pPr>
      <w:r w:rsidRPr="004509C6">
        <w:rPr>
          <w:sz w:val="24"/>
          <w:szCs w:val="24"/>
        </w:rPr>
        <w:t>opkastning</w:t>
      </w:r>
    </w:p>
    <w:p w:rsidR="00F30BE9" w:rsidRPr="004509C6" w:rsidRDefault="00F30BE9" w:rsidP="00F30BE9">
      <w:pPr>
        <w:ind w:left="851"/>
        <w:rPr>
          <w:sz w:val="24"/>
          <w:szCs w:val="24"/>
        </w:rPr>
      </w:pPr>
      <w:r w:rsidRPr="004509C6">
        <w:rPr>
          <w:sz w:val="24"/>
          <w:szCs w:val="24"/>
        </w:rPr>
        <w:t>Disse bivirkninger er sædvanligvis moderate og forbigående.</w:t>
      </w:r>
    </w:p>
    <w:p w:rsidR="00F30BE9" w:rsidRPr="004509C6" w:rsidRDefault="00F30BE9" w:rsidP="00F30BE9">
      <w:pPr>
        <w:ind w:left="851"/>
        <w:rPr>
          <w:sz w:val="24"/>
          <w:szCs w:val="24"/>
        </w:rPr>
      </w:pPr>
      <w:r w:rsidRPr="004509C6">
        <w:rPr>
          <w:sz w:val="24"/>
          <w:szCs w:val="24"/>
        </w:rPr>
        <w:t>Opkastning sker normalt kun efter første administ</w:t>
      </w:r>
      <w:r>
        <w:rPr>
          <w:sz w:val="24"/>
          <w:szCs w:val="24"/>
        </w:rPr>
        <w:t>r</w:t>
      </w:r>
      <w:r w:rsidRPr="004509C6">
        <w:rPr>
          <w:sz w:val="24"/>
          <w:szCs w:val="24"/>
        </w:rPr>
        <w:t>ation. I dette tilfælde skal behandlingen ikke stoppes, da efterfølgende administration ikke giver opkastning.</w:t>
      </w:r>
    </w:p>
    <w:p w:rsidR="00F30BE9" w:rsidRPr="004509C6" w:rsidRDefault="00F30BE9" w:rsidP="00F30BE9">
      <w:pPr>
        <w:ind w:left="851"/>
        <w:rPr>
          <w:sz w:val="24"/>
          <w:szCs w:val="24"/>
        </w:rPr>
      </w:pPr>
      <w:r w:rsidRPr="004509C6">
        <w:rPr>
          <w:sz w:val="24"/>
          <w:szCs w:val="24"/>
        </w:rPr>
        <w:t xml:space="preserve">I meget sjældne tilfælde </w:t>
      </w:r>
      <w:r>
        <w:rPr>
          <w:sz w:val="24"/>
          <w:szCs w:val="24"/>
        </w:rPr>
        <w:t xml:space="preserve">kan der forekomme </w:t>
      </w:r>
      <w:r w:rsidRPr="004509C6">
        <w:rPr>
          <w:sz w:val="24"/>
          <w:szCs w:val="24"/>
        </w:rPr>
        <w:t xml:space="preserve">allergiske reaktioner, såsom ødem, nældefeber, </w:t>
      </w:r>
      <w:proofErr w:type="spellStart"/>
      <w:r w:rsidRPr="004509C6">
        <w:rPr>
          <w:sz w:val="24"/>
          <w:szCs w:val="24"/>
        </w:rPr>
        <w:t>dermatitis</w:t>
      </w:r>
      <w:proofErr w:type="spellEnd"/>
      <w:r w:rsidRPr="004509C6">
        <w:rPr>
          <w:sz w:val="24"/>
          <w:szCs w:val="24"/>
        </w:rPr>
        <w:t xml:space="preserve"> og </w:t>
      </w:r>
      <w:proofErr w:type="spellStart"/>
      <w:r w:rsidRPr="004509C6">
        <w:rPr>
          <w:sz w:val="24"/>
          <w:szCs w:val="24"/>
        </w:rPr>
        <w:t>pruritus</w:t>
      </w:r>
      <w:proofErr w:type="spellEnd"/>
      <w:r w:rsidRPr="004509C6">
        <w:rPr>
          <w:sz w:val="24"/>
          <w:szCs w:val="24"/>
        </w:rPr>
        <w:t>.</w:t>
      </w:r>
    </w:p>
    <w:p w:rsidR="00F30BE9" w:rsidRPr="004509C6" w:rsidRDefault="00F30BE9" w:rsidP="00F30BE9">
      <w:pPr>
        <w:ind w:left="851"/>
        <w:rPr>
          <w:sz w:val="24"/>
          <w:szCs w:val="24"/>
        </w:rPr>
      </w:pPr>
      <w:r w:rsidRPr="004509C6">
        <w:rPr>
          <w:sz w:val="24"/>
          <w:szCs w:val="24"/>
        </w:rPr>
        <w:t>I meget sjældne tilfælde kan der forekomme forbigående hypotension.</w:t>
      </w:r>
    </w:p>
    <w:p w:rsidR="00F30BE9" w:rsidRDefault="00F30BE9" w:rsidP="00F30BE9">
      <w:pPr>
        <w:ind w:left="851"/>
        <w:rPr>
          <w:sz w:val="24"/>
          <w:szCs w:val="24"/>
        </w:rPr>
      </w:pPr>
      <w:r w:rsidRPr="004509C6">
        <w:rPr>
          <w:sz w:val="24"/>
          <w:szCs w:val="24"/>
        </w:rPr>
        <w:t xml:space="preserve">I meget sjældne tilfælde </w:t>
      </w:r>
      <w:r>
        <w:rPr>
          <w:sz w:val="24"/>
          <w:szCs w:val="24"/>
        </w:rPr>
        <w:t>kan der forekomme</w:t>
      </w:r>
      <w:r w:rsidRPr="004509C6">
        <w:rPr>
          <w:sz w:val="24"/>
          <w:szCs w:val="24"/>
        </w:rPr>
        <w:t xml:space="preserve"> neurologiske symptomer, såsom søvnighed, </w:t>
      </w:r>
      <w:proofErr w:type="spellStart"/>
      <w:r w:rsidRPr="004509C6">
        <w:rPr>
          <w:sz w:val="24"/>
          <w:szCs w:val="24"/>
        </w:rPr>
        <w:t>muskeltremor</w:t>
      </w:r>
      <w:proofErr w:type="spellEnd"/>
      <w:r w:rsidRPr="004509C6">
        <w:rPr>
          <w:sz w:val="24"/>
          <w:szCs w:val="24"/>
        </w:rPr>
        <w:t xml:space="preserve">, </w:t>
      </w:r>
      <w:proofErr w:type="spellStart"/>
      <w:r w:rsidRPr="004509C6">
        <w:rPr>
          <w:sz w:val="24"/>
          <w:szCs w:val="24"/>
        </w:rPr>
        <w:t>ataksi</w:t>
      </w:r>
      <w:proofErr w:type="spellEnd"/>
      <w:r w:rsidRPr="004509C6">
        <w:rPr>
          <w:sz w:val="24"/>
          <w:szCs w:val="24"/>
        </w:rPr>
        <w:t>, hyperaktivitet og kramper.</w:t>
      </w:r>
    </w:p>
    <w:p w:rsidR="00F30BE9" w:rsidRDefault="00F30BE9" w:rsidP="00F30BE9">
      <w:pPr>
        <w:ind w:left="851"/>
        <w:rPr>
          <w:sz w:val="24"/>
          <w:szCs w:val="24"/>
        </w:rPr>
      </w:pPr>
    </w:p>
    <w:p w:rsidR="00F30BE9" w:rsidRPr="009A34CD" w:rsidRDefault="00F30BE9" w:rsidP="00F30BE9">
      <w:pPr>
        <w:ind w:left="851"/>
        <w:rPr>
          <w:sz w:val="24"/>
          <w:szCs w:val="24"/>
        </w:rPr>
      </w:pPr>
      <w:r w:rsidRPr="009A34CD">
        <w:rPr>
          <w:sz w:val="24"/>
          <w:szCs w:val="24"/>
        </w:rPr>
        <w:t>Hyppigheden af bivirkninger er defineret som:</w:t>
      </w:r>
    </w:p>
    <w:p w:rsidR="00F30BE9" w:rsidRPr="009A34CD" w:rsidRDefault="00F30BE9" w:rsidP="00F30BE9">
      <w:pPr>
        <w:numPr>
          <w:ilvl w:val="0"/>
          <w:numId w:val="4"/>
        </w:numPr>
        <w:tabs>
          <w:tab w:val="clear" w:pos="360"/>
        </w:tabs>
        <w:ind w:left="1276" w:hanging="425"/>
        <w:rPr>
          <w:sz w:val="24"/>
          <w:szCs w:val="24"/>
        </w:rPr>
      </w:pPr>
      <w:r w:rsidRPr="009A34CD">
        <w:rPr>
          <w:sz w:val="24"/>
          <w:szCs w:val="24"/>
        </w:rPr>
        <w:t>Meget almindelig (mere end 1 ud af 10 dyr, der viser bivirkninger i løbet af en behandling)</w:t>
      </w:r>
    </w:p>
    <w:p w:rsidR="00F30BE9" w:rsidRPr="009A34CD" w:rsidRDefault="00F30BE9" w:rsidP="00F30BE9">
      <w:pPr>
        <w:numPr>
          <w:ilvl w:val="0"/>
          <w:numId w:val="4"/>
        </w:numPr>
        <w:tabs>
          <w:tab w:val="clear" w:pos="360"/>
        </w:tabs>
        <w:ind w:left="1276" w:hanging="425"/>
        <w:rPr>
          <w:sz w:val="24"/>
          <w:szCs w:val="24"/>
        </w:rPr>
      </w:pPr>
      <w:r w:rsidRPr="009A34CD">
        <w:rPr>
          <w:sz w:val="24"/>
          <w:szCs w:val="24"/>
        </w:rPr>
        <w:t>Almindelige (mere end 1, men mindre end 10 dyr i 100 dyr)</w:t>
      </w:r>
    </w:p>
    <w:p w:rsidR="00F30BE9" w:rsidRPr="009A34CD" w:rsidRDefault="00F30BE9" w:rsidP="00F30BE9">
      <w:pPr>
        <w:numPr>
          <w:ilvl w:val="0"/>
          <w:numId w:val="4"/>
        </w:numPr>
        <w:tabs>
          <w:tab w:val="clear" w:pos="360"/>
        </w:tabs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Ikke </w:t>
      </w:r>
      <w:r w:rsidRPr="009A34CD">
        <w:rPr>
          <w:sz w:val="24"/>
          <w:szCs w:val="24"/>
        </w:rPr>
        <w:t>almindelige (mere end 1, men mindre end 10 dyr i 1.000 dyr)</w:t>
      </w:r>
    </w:p>
    <w:p w:rsidR="00F30BE9" w:rsidRPr="009A34CD" w:rsidRDefault="00F30BE9" w:rsidP="00F30BE9">
      <w:pPr>
        <w:numPr>
          <w:ilvl w:val="0"/>
          <w:numId w:val="4"/>
        </w:numPr>
        <w:tabs>
          <w:tab w:val="clear" w:pos="360"/>
        </w:tabs>
        <w:ind w:left="1276" w:hanging="425"/>
        <w:rPr>
          <w:sz w:val="24"/>
          <w:szCs w:val="24"/>
        </w:rPr>
      </w:pPr>
      <w:r w:rsidRPr="009A34CD">
        <w:rPr>
          <w:sz w:val="24"/>
          <w:szCs w:val="24"/>
        </w:rPr>
        <w:t>Sjældne (mere end 1, men mindre end 10 dyr ud af 10.000 dyr)</w:t>
      </w:r>
    </w:p>
    <w:p w:rsidR="00F30BE9" w:rsidRPr="004509C6" w:rsidRDefault="00F30BE9" w:rsidP="00F30BE9">
      <w:pPr>
        <w:numPr>
          <w:ilvl w:val="0"/>
          <w:numId w:val="4"/>
        </w:numPr>
        <w:tabs>
          <w:tab w:val="clear" w:pos="360"/>
        </w:tabs>
        <w:ind w:left="1276" w:hanging="425"/>
        <w:rPr>
          <w:sz w:val="24"/>
          <w:szCs w:val="24"/>
        </w:rPr>
      </w:pPr>
      <w:r w:rsidRPr="009A34CD">
        <w:rPr>
          <w:sz w:val="24"/>
          <w:szCs w:val="24"/>
        </w:rPr>
        <w:t>Meget sjælden (mindre end 1 dyr ud af 10.000 dyr, herunder isolerede rapporter)</w:t>
      </w:r>
    </w:p>
    <w:p w:rsidR="00F30BE9" w:rsidRPr="004509C6" w:rsidRDefault="00F30BE9" w:rsidP="00F30BE9">
      <w:pPr>
        <w:ind w:left="1276"/>
        <w:rPr>
          <w:sz w:val="24"/>
          <w:szCs w:val="24"/>
        </w:rPr>
      </w:pPr>
    </w:p>
    <w:p w:rsidR="00F30BE9" w:rsidRPr="004509C6" w:rsidRDefault="00F30BE9" w:rsidP="00F30BE9">
      <w:pPr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4.7</w:t>
      </w:r>
      <w:r w:rsidRPr="004509C6">
        <w:rPr>
          <w:b/>
          <w:sz w:val="24"/>
          <w:szCs w:val="24"/>
        </w:rPr>
        <w:tab/>
        <w:t>Drægtighed, diegivning eller æglægning</w:t>
      </w:r>
    </w:p>
    <w:p w:rsidR="00F30BE9" w:rsidRPr="004509C6" w:rsidRDefault="00F30BE9" w:rsidP="00F30BE9">
      <w:pPr>
        <w:pStyle w:val="DsPara"/>
        <w:numPr>
          <w:ilvl w:val="0"/>
          <w:numId w:val="4"/>
        </w:numPr>
        <w:tabs>
          <w:tab w:val="clear" w:pos="360"/>
        </w:tabs>
        <w:autoSpaceDE/>
        <w:spacing w:before="0"/>
        <w:ind w:left="1276" w:hanging="425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509C6">
        <w:rPr>
          <w:rFonts w:ascii="Times New Roman" w:hAnsi="Times New Roman" w:cs="Times New Roman"/>
          <w:sz w:val="24"/>
          <w:szCs w:val="24"/>
        </w:rPr>
        <w:t>Cabergolin</w:t>
      </w:r>
      <w:proofErr w:type="spellEnd"/>
      <w:r w:rsidRPr="004509C6">
        <w:rPr>
          <w:rFonts w:ascii="Times New Roman" w:hAnsi="Times New Roman" w:cs="Times New Roman"/>
          <w:sz w:val="24"/>
          <w:szCs w:val="24"/>
        </w:rPr>
        <w:t xml:space="preserve"> kan fremkalde abort i de senere faser af drægtigheden og bør ikke anvendes til drægtige dyr. Differentialdiagnose mellem drægtighed og falsk drægtighed bør stilles korrekt. </w:t>
      </w:r>
    </w:p>
    <w:p w:rsidR="00F30BE9" w:rsidRPr="004509C6" w:rsidRDefault="00F30BE9" w:rsidP="00F30BE9">
      <w:pPr>
        <w:numPr>
          <w:ilvl w:val="0"/>
          <w:numId w:val="4"/>
        </w:numPr>
        <w:tabs>
          <w:tab w:val="clear" w:pos="360"/>
        </w:tabs>
        <w:ind w:left="1276" w:hanging="425"/>
        <w:rPr>
          <w:sz w:val="24"/>
          <w:szCs w:val="24"/>
        </w:rPr>
      </w:pPr>
      <w:r w:rsidRPr="004509C6">
        <w:rPr>
          <w:sz w:val="24"/>
          <w:szCs w:val="24"/>
        </w:rPr>
        <w:lastRenderedPageBreak/>
        <w:t xml:space="preserve">Produktet er indiceret til hæmning af diegivning: </w:t>
      </w:r>
      <w:proofErr w:type="spellStart"/>
      <w:r w:rsidRPr="004509C6">
        <w:rPr>
          <w:sz w:val="24"/>
          <w:szCs w:val="24"/>
        </w:rPr>
        <w:t>cabergolins</w:t>
      </w:r>
      <w:proofErr w:type="spellEnd"/>
      <w:r w:rsidRPr="004509C6">
        <w:rPr>
          <w:sz w:val="24"/>
          <w:szCs w:val="24"/>
        </w:rPr>
        <w:t xml:space="preserve"> hæmning af </w:t>
      </w:r>
      <w:proofErr w:type="spellStart"/>
      <w:r w:rsidRPr="004509C6">
        <w:rPr>
          <w:sz w:val="24"/>
          <w:szCs w:val="24"/>
        </w:rPr>
        <w:t>prolaktinsekretion</w:t>
      </w:r>
      <w:proofErr w:type="spellEnd"/>
      <w:r w:rsidRPr="004509C6">
        <w:rPr>
          <w:sz w:val="24"/>
          <w:szCs w:val="24"/>
        </w:rPr>
        <w:t xml:space="preserve"> resulterer i hurtig afbrydelse af diegivningen samt reduktion af </w:t>
      </w:r>
      <w:r w:rsidRPr="004509C6">
        <w:rPr>
          <w:rFonts w:ascii="Cambria Math" w:hAnsi="Cambria Math"/>
          <w:sz w:val="24"/>
          <w:szCs w:val="24"/>
        </w:rPr>
        <w:t>​​</w:t>
      </w:r>
      <w:r w:rsidRPr="004509C6">
        <w:rPr>
          <w:sz w:val="24"/>
          <w:szCs w:val="24"/>
        </w:rPr>
        <w:t>mælkekirtlernes størrelse. Produktet bør ikke anvendes til diegivende dyr, medmindre afbrydelse af diegivningen er påkrævet.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</w:p>
    <w:p w:rsidR="00F30BE9" w:rsidRPr="004509C6" w:rsidRDefault="00F30BE9" w:rsidP="00F30BE9">
      <w:pPr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4.8</w:t>
      </w:r>
      <w:r w:rsidRPr="004509C6">
        <w:rPr>
          <w:b/>
          <w:sz w:val="24"/>
          <w:szCs w:val="24"/>
        </w:rPr>
        <w:tab/>
        <w:t>Interaktion med andre lægemidler og andre former for interaktion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  <w:r w:rsidRPr="004509C6">
        <w:rPr>
          <w:sz w:val="24"/>
          <w:szCs w:val="24"/>
        </w:rPr>
        <w:tab/>
        <w:t xml:space="preserve">Da </w:t>
      </w:r>
      <w:proofErr w:type="spellStart"/>
      <w:r w:rsidRPr="004509C6">
        <w:rPr>
          <w:sz w:val="24"/>
          <w:szCs w:val="24"/>
        </w:rPr>
        <w:t>cabergolin</w:t>
      </w:r>
      <w:proofErr w:type="spellEnd"/>
      <w:r w:rsidRPr="004509C6">
        <w:rPr>
          <w:sz w:val="24"/>
          <w:szCs w:val="24"/>
        </w:rPr>
        <w:t xml:space="preserve"> udøver sin terapeutiske virkning ved direkte stimulering af dopaminreceptorer, bør produktet ikke indgives samtidig med lægemidler med dopaminantagonist-aktivitet (såsom </w:t>
      </w:r>
      <w:proofErr w:type="spellStart"/>
      <w:r w:rsidRPr="004509C6">
        <w:rPr>
          <w:sz w:val="24"/>
          <w:szCs w:val="24"/>
        </w:rPr>
        <w:t>phenothiaziner</w:t>
      </w:r>
      <w:proofErr w:type="spellEnd"/>
      <w:r w:rsidRPr="004509C6">
        <w:rPr>
          <w:sz w:val="24"/>
          <w:szCs w:val="24"/>
        </w:rPr>
        <w:t xml:space="preserve">, </w:t>
      </w:r>
      <w:proofErr w:type="spellStart"/>
      <w:r w:rsidRPr="004509C6">
        <w:rPr>
          <w:sz w:val="24"/>
          <w:szCs w:val="24"/>
        </w:rPr>
        <w:t>butyrophenoner</w:t>
      </w:r>
      <w:proofErr w:type="spellEnd"/>
      <w:r w:rsidRPr="004509C6">
        <w:rPr>
          <w:sz w:val="24"/>
          <w:szCs w:val="24"/>
        </w:rPr>
        <w:t xml:space="preserve">, </w:t>
      </w:r>
      <w:proofErr w:type="spellStart"/>
      <w:r w:rsidRPr="004509C6">
        <w:rPr>
          <w:sz w:val="24"/>
          <w:szCs w:val="24"/>
        </w:rPr>
        <w:t>metoclopramid</w:t>
      </w:r>
      <w:proofErr w:type="spellEnd"/>
      <w:r w:rsidRPr="004509C6">
        <w:rPr>
          <w:sz w:val="24"/>
          <w:szCs w:val="24"/>
        </w:rPr>
        <w:t xml:space="preserve">), da dette kan reducere den </w:t>
      </w:r>
      <w:proofErr w:type="spellStart"/>
      <w:r w:rsidRPr="004509C6">
        <w:rPr>
          <w:sz w:val="24"/>
          <w:szCs w:val="24"/>
        </w:rPr>
        <w:t>prolaktinhæmmende</w:t>
      </w:r>
      <w:proofErr w:type="spellEnd"/>
      <w:r w:rsidRPr="004509C6">
        <w:rPr>
          <w:sz w:val="24"/>
          <w:szCs w:val="24"/>
        </w:rPr>
        <w:t xml:space="preserve"> virkning.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</w:p>
    <w:p w:rsidR="00F30BE9" w:rsidRPr="004509C6" w:rsidRDefault="00F30BE9" w:rsidP="00F30BE9">
      <w:pPr>
        <w:ind w:left="851"/>
        <w:rPr>
          <w:sz w:val="24"/>
          <w:szCs w:val="24"/>
        </w:rPr>
      </w:pPr>
      <w:r w:rsidRPr="004509C6">
        <w:rPr>
          <w:sz w:val="24"/>
          <w:szCs w:val="24"/>
        </w:rPr>
        <w:t>Produktet b</w:t>
      </w:r>
      <w:r w:rsidR="00A03054">
        <w:rPr>
          <w:sz w:val="24"/>
          <w:szCs w:val="24"/>
        </w:rPr>
        <w:t>ø</w:t>
      </w:r>
      <w:r w:rsidRPr="004509C6">
        <w:rPr>
          <w:sz w:val="24"/>
          <w:szCs w:val="24"/>
        </w:rPr>
        <w:t xml:space="preserve">r ikke anvendes til dyr, der samtidig behandles med blodtrykssænkende medicin, da </w:t>
      </w:r>
      <w:proofErr w:type="spellStart"/>
      <w:r w:rsidRPr="004509C6">
        <w:rPr>
          <w:sz w:val="24"/>
          <w:szCs w:val="24"/>
        </w:rPr>
        <w:t>cabergolin</w:t>
      </w:r>
      <w:proofErr w:type="spellEnd"/>
      <w:r w:rsidRPr="004509C6">
        <w:rPr>
          <w:sz w:val="24"/>
          <w:szCs w:val="24"/>
        </w:rPr>
        <w:t xml:space="preserve"> kan medføre forbigående hypotension. 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</w:p>
    <w:p w:rsidR="00F30BE9" w:rsidRPr="004509C6" w:rsidRDefault="00F30BE9" w:rsidP="00F30BE9">
      <w:pPr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4.9</w:t>
      </w:r>
      <w:r w:rsidRPr="004509C6">
        <w:rPr>
          <w:b/>
          <w:sz w:val="24"/>
          <w:szCs w:val="24"/>
        </w:rPr>
        <w:tab/>
        <w:t>Dosering og indgivelsesmåde</w:t>
      </w:r>
    </w:p>
    <w:p w:rsidR="00DF2018" w:rsidRPr="004509C6" w:rsidRDefault="00F30BE9" w:rsidP="00DF2018">
      <w:pPr>
        <w:ind w:left="851" w:hanging="851"/>
        <w:rPr>
          <w:sz w:val="24"/>
          <w:szCs w:val="24"/>
        </w:rPr>
      </w:pPr>
      <w:r w:rsidRPr="004509C6">
        <w:rPr>
          <w:sz w:val="24"/>
          <w:szCs w:val="24"/>
        </w:rPr>
        <w:tab/>
      </w:r>
      <w:r w:rsidR="00DF2018">
        <w:rPr>
          <w:sz w:val="24"/>
          <w:szCs w:val="24"/>
        </w:rPr>
        <w:t>Dette veterinærlægemiddel</w:t>
      </w:r>
      <w:r w:rsidR="00DF2018" w:rsidRPr="004509C6">
        <w:rPr>
          <w:sz w:val="24"/>
          <w:szCs w:val="24"/>
        </w:rPr>
        <w:t xml:space="preserve"> er til oral anvendelse enten direkte i munden eller blandet i maden.</w:t>
      </w:r>
    </w:p>
    <w:p w:rsidR="00DF2018" w:rsidRPr="004509C6" w:rsidRDefault="00DF2018" w:rsidP="00DF2018">
      <w:pPr>
        <w:ind w:left="851" w:hanging="851"/>
        <w:rPr>
          <w:sz w:val="24"/>
          <w:szCs w:val="24"/>
        </w:rPr>
      </w:pPr>
    </w:p>
    <w:p w:rsidR="00DF2018" w:rsidRPr="004509C6" w:rsidRDefault="00DF2018" w:rsidP="00DF2018">
      <w:pPr>
        <w:ind w:left="851"/>
        <w:rPr>
          <w:sz w:val="24"/>
          <w:szCs w:val="24"/>
        </w:rPr>
      </w:pPr>
      <w:r w:rsidRPr="004509C6">
        <w:rPr>
          <w:sz w:val="24"/>
          <w:szCs w:val="24"/>
        </w:rPr>
        <w:t xml:space="preserve">Doseringen er 0,1 ml/kg legemsvægt (svarende til 5 mikrogram </w:t>
      </w:r>
      <w:proofErr w:type="spellStart"/>
      <w:r w:rsidRPr="004509C6">
        <w:rPr>
          <w:sz w:val="24"/>
          <w:szCs w:val="24"/>
        </w:rPr>
        <w:t>cabergolin</w:t>
      </w:r>
      <w:proofErr w:type="spellEnd"/>
      <w:r w:rsidRPr="004509C6">
        <w:rPr>
          <w:sz w:val="24"/>
          <w:szCs w:val="24"/>
        </w:rPr>
        <w:t xml:space="preserve"> per kg legemsvægt) én gang dagligt i 4-6 dage i træk, afhængigt af den kliniske tilstands sværhedsgrad.</w:t>
      </w:r>
    </w:p>
    <w:p w:rsidR="00DF2018" w:rsidRPr="004509C6" w:rsidRDefault="00DF2018" w:rsidP="00DF2018">
      <w:pPr>
        <w:ind w:left="851" w:hanging="851"/>
        <w:rPr>
          <w:sz w:val="24"/>
          <w:szCs w:val="24"/>
        </w:rPr>
      </w:pPr>
    </w:p>
    <w:p w:rsidR="00DF2018" w:rsidRDefault="00DF2018" w:rsidP="00DF2018">
      <w:pPr>
        <w:ind w:left="851"/>
        <w:rPr>
          <w:sz w:val="24"/>
          <w:szCs w:val="24"/>
        </w:rPr>
      </w:pPr>
      <w:r w:rsidRPr="004509C6">
        <w:rPr>
          <w:sz w:val="24"/>
          <w:szCs w:val="24"/>
        </w:rPr>
        <w:t>Hvis symptomerne ikke forsvinder efter et enkelt behandlingsforløb, eller hvis de kommer igen efter afslutningen af behandlingen, kan behandlingsforløbet gentages.</w:t>
      </w:r>
    </w:p>
    <w:p w:rsidR="00DF2018" w:rsidRDefault="00DF2018" w:rsidP="00DF2018">
      <w:pPr>
        <w:ind w:left="851"/>
        <w:rPr>
          <w:sz w:val="24"/>
          <w:szCs w:val="24"/>
        </w:rPr>
      </w:pPr>
    </w:p>
    <w:p w:rsidR="00DF2018" w:rsidRPr="004509C6" w:rsidRDefault="00DF2018" w:rsidP="00DF2018">
      <w:pPr>
        <w:ind w:left="851"/>
        <w:rPr>
          <w:sz w:val="24"/>
          <w:szCs w:val="24"/>
        </w:rPr>
      </w:pPr>
      <w:r w:rsidRPr="00F151CB">
        <w:rPr>
          <w:sz w:val="24"/>
          <w:szCs w:val="24"/>
        </w:rPr>
        <w:t>Det behandlede dyrs vægt skal bestemmes nøjagtigt, inden medicinen gives.</w:t>
      </w:r>
    </w:p>
    <w:p w:rsidR="00DF2018" w:rsidRPr="004509C6" w:rsidRDefault="00DF2018" w:rsidP="00DF2018">
      <w:pPr>
        <w:ind w:left="851" w:hanging="851"/>
        <w:rPr>
          <w:sz w:val="24"/>
          <w:szCs w:val="24"/>
        </w:rPr>
      </w:pPr>
    </w:p>
    <w:p w:rsidR="00DF2018" w:rsidRDefault="00DF2018" w:rsidP="00DF2018">
      <w:pPr>
        <w:pStyle w:val="Pa7"/>
        <w:spacing w:line="240" w:lineRule="auto"/>
        <w:ind w:left="851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98401033"/>
      <w:bookmarkStart w:id="1" w:name="_Hlk98400793"/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Sådan optrækkes det anbefalede volumen fra hætteglasset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:rsidR="00DF2018" w:rsidRDefault="00DF2018" w:rsidP="00DF2018">
      <w:pPr>
        <w:ind w:left="1276" w:hanging="425"/>
        <w:rPr>
          <w:sz w:val="24"/>
          <w:szCs w:val="24"/>
        </w:rPr>
      </w:pPr>
    </w:p>
    <w:p w:rsidR="00DF2018" w:rsidRDefault="00DF2018" w:rsidP="00DF2018">
      <w:pPr>
        <w:ind w:left="851"/>
        <w:rPr>
          <w:sz w:val="24"/>
          <w:szCs w:val="24"/>
        </w:rPr>
      </w:pPr>
      <w:r w:rsidRPr="00E54C7B">
        <w:rPr>
          <w:sz w:val="24"/>
          <w:szCs w:val="24"/>
        </w:rPr>
        <w:t>Det anbefales at bruge hætteglasadapteren og sprøjten, der følger med emballagen, til at trække veterinærlægemidlet ud af hætteglasset. Til det formål er følgende trin nødvendige:</w:t>
      </w:r>
    </w:p>
    <w:p w:rsidR="00DF2018" w:rsidRDefault="00DF2018" w:rsidP="00DF2018">
      <w:pPr>
        <w:ind w:left="1276" w:hanging="425"/>
        <w:rPr>
          <w:sz w:val="24"/>
          <w:szCs w:val="24"/>
        </w:rPr>
      </w:pPr>
    </w:p>
    <w:p w:rsidR="00DF2018" w:rsidRDefault="00DF2018" w:rsidP="00DF2018">
      <w:pPr>
        <w:pStyle w:val="Listeafsnit"/>
        <w:ind w:left="1276" w:hanging="425"/>
        <w:rPr>
          <w:color w:val="000000"/>
          <w:sz w:val="24"/>
          <w:szCs w:val="24"/>
          <w:u w:val="single"/>
        </w:rPr>
      </w:pPr>
      <w:bookmarkStart w:id="2" w:name="_Hlk98401092"/>
      <w:r>
        <w:rPr>
          <w:color w:val="000000"/>
          <w:sz w:val="24"/>
          <w:szCs w:val="24"/>
          <w:u w:val="single"/>
        </w:rPr>
        <w:t>Forberedelse af hætteglasset inden brug:</w:t>
      </w:r>
    </w:p>
    <w:p w:rsidR="00DF2018" w:rsidRDefault="00DF2018" w:rsidP="00DF2018">
      <w:pPr>
        <w:pStyle w:val="Listeafsnit"/>
        <w:ind w:left="851"/>
        <w:rPr>
          <w:color w:val="000000"/>
          <w:sz w:val="24"/>
          <w:szCs w:val="24"/>
        </w:rPr>
      </w:pPr>
      <w:r>
        <w:rPr>
          <w:sz w:val="24"/>
          <w:szCs w:val="24"/>
        </w:rPr>
        <w:t>Placer hætteglasset</w:t>
      </w:r>
      <w:r>
        <w:rPr>
          <w:color w:val="000000"/>
          <w:sz w:val="24"/>
          <w:szCs w:val="24"/>
        </w:rPr>
        <w:t xml:space="preserve"> på </w:t>
      </w:r>
      <w:r>
        <w:rPr>
          <w:sz w:val="24"/>
          <w:szCs w:val="24"/>
        </w:rPr>
        <w:t>en plan overflade. Placer adapteren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lige ovenfra på hætteglasset, så spidsen på adapteren gennemborer proppen midt på. Fikser</w:t>
      </w:r>
      <w:r>
        <w:rPr>
          <w:color w:val="000000"/>
          <w:sz w:val="24"/>
          <w:szCs w:val="24"/>
        </w:rPr>
        <w:t xml:space="preserve"> adapteren på hætteglasset ved at trykke ned, indtil</w:t>
      </w:r>
      <w:r>
        <w:rPr>
          <w:sz w:val="24"/>
          <w:szCs w:val="24"/>
        </w:rPr>
        <w:t xml:space="preserve"> den sidder godt fast</w:t>
      </w:r>
      <w:r>
        <w:rPr>
          <w:color w:val="000000"/>
          <w:sz w:val="24"/>
          <w:szCs w:val="24"/>
        </w:rPr>
        <w:t xml:space="preserve">. </w:t>
      </w:r>
    </w:p>
    <w:p w:rsidR="00DF2018" w:rsidRDefault="00DF2018" w:rsidP="00DF2018">
      <w:pPr>
        <w:pStyle w:val="Listeafsnit"/>
        <w:ind w:left="851"/>
        <w:rPr>
          <w:sz w:val="24"/>
          <w:szCs w:val="24"/>
        </w:rPr>
      </w:pPr>
      <w:r>
        <w:rPr>
          <w:sz w:val="24"/>
          <w:szCs w:val="24"/>
        </w:rPr>
        <w:t>Adapteren er nu sat permanent fast på hætteglasset. Den forsegler hætteglasset forsvarligt og gør, at produktet er klar til brug indtil hætteglasset er tømt.</w:t>
      </w:r>
    </w:p>
    <w:p w:rsidR="00DF2018" w:rsidRDefault="00DF2018" w:rsidP="00DF2018">
      <w:pPr>
        <w:pStyle w:val="Listeafsnit"/>
        <w:ind w:left="1276" w:hanging="425"/>
        <w:rPr>
          <w:color w:val="000000"/>
          <w:sz w:val="24"/>
          <w:szCs w:val="24"/>
        </w:rPr>
      </w:pPr>
    </w:p>
    <w:p w:rsidR="00DF2018" w:rsidRDefault="00DF2018" w:rsidP="00DF2018">
      <w:pPr>
        <w:pStyle w:val="Listeafsnit"/>
        <w:ind w:left="1276" w:hanging="425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Optrækning af den påkrævede/ordinerede mængde:</w:t>
      </w:r>
    </w:p>
    <w:p w:rsidR="00DF2018" w:rsidRDefault="00DF2018" w:rsidP="00DF2018">
      <w:pPr>
        <w:pStyle w:val="Listeafsnit"/>
        <w:ind w:left="1276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</w:t>
      </w:r>
      <w:r>
        <w:rPr>
          <w:color w:val="000000"/>
          <w:sz w:val="24"/>
          <w:szCs w:val="24"/>
        </w:rPr>
        <w:tab/>
        <w:t xml:space="preserve">Sæt sprøjten </w:t>
      </w:r>
      <w:r>
        <w:rPr>
          <w:sz w:val="24"/>
          <w:szCs w:val="24"/>
        </w:rPr>
        <w:t xml:space="preserve">på </w:t>
      </w:r>
      <w:r>
        <w:rPr>
          <w:color w:val="000000"/>
          <w:sz w:val="24"/>
          <w:szCs w:val="24"/>
        </w:rPr>
        <w:t xml:space="preserve">adapteren ved at trykke sprøjten fast ind i hætteglasadapteren </w:t>
      </w:r>
      <w:r>
        <w:rPr>
          <w:sz w:val="24"/>
          <w:szCs w:val="24"/>
        </w:rPr>
        <w:t xml:space="preserve">og </w:t>
      </w:r>
      <w:r>
        <w:rPr>
          <w:color w:val="000000"/>
          <w:sz w:val="24"/>
          <w:szCs w:val="24"/>
        </w:rPr>
        <w:t xml:space="preserve">undgå </w:t>
      </w:r>
      <w:r>
        <w:rPr>
          <w:sz w:val="24"/>
          <w:szCs w:val="24"/>
        </w:rPr>
        <w:t xml:space="preserve">derved </w:t>
      </w:r>
      <w:r>
        <w:rPr>
          <w:color w:val="000000"/>
          <w:sz w:val="24"/>
          <w:szCs w:val="24"/>
        </w:rPr>
        <w:t>udsivning af produktet, når dosen trækkes op fra hætteglasset.</w:t>
      </w:r>
    </w:p>
    <w:p w:rsidR="00DF2018" w:rsidRDefault="00DF2018" w:rsidP="00DF2018">
      <w:pPr>
        <w:pStyle w:val="Listeafsnit"/>
        <w:ind w:left="1276" w:hanging="4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b)</w:t>
      </w:r>
      <w:r>
        <w:rPr>
          <w:color w:val="000000"/>
          <w:sz w:val="24"/>
          <w:szCs w:val="24"/>
        </w:rPr>
        <w:tab/>
        <w:t>Træk lægemidlet fra hætteglasset op i sprøjten, mens hætteglasset holdes på hovedet.</w:t>
      </w:r>
    </w:p>
    <w:p w:rsidR="00DF2018" w:rsidRDefault="00DF2018" w:rsidP="00DF2018">
      <w:pPr>
        <w:ind w:left="1276" w:hanging="425"/>
        <w:rPr>
          <w:sz w:val="24"/>
          <w:szCs w:val="24"/>
        </w:rPr>
      </w:pPr>
      <w:r>
        <w:rPr>
          <w:sz w:val="24"/>
          <w:szCs w:val="24"/>
        </w:rPr>
        <w:t>c)</w:t>
      </w:r>
      <w:r>
        <w:rPr>
          <w:sz w:val="24"/>
          <w:szCs w:val="24"/>
        </w:rPr>
        <w:tab/>
        <w:t xml:space="preserve">Fjern sprøjten fra adapteren i opret stilling. Lad adapteren blive siddende på hætteglasset. </w:t>
      </w:r>
    </w:p>
    <w:p w:rsidR="00DF2018" w:rsidRDefault="00DF2018" w:rsidP="00DF2018">
      <w:pPr>
        <w:pStyle w:val="Listeafsnit"/>
        <w:ind w:left="1276" w:hanging="425"/>
        <w:rPr>
          <w:sz w:val="24"/>
          <w:szCs w:val="24"/>
        </w:rPr>
      </w:pPr>
      <w:r>
        <w:rPr>
          <w:sz w:val="24"/>
          <w:szCs w:val="24"/>
        </w:rPr>
        <w:t>d)</w:t>
      </w:r>
      <w:r>
        <w:rPr>
          <w:sz w:val="24"/>
          <w:szCs w:val="24"/>
        </w:rPr>
        <w:tab/>
        <w:t xml:space="preserve">Lægemidlet er nu klar til brug. </w:t>
      </w:r>
    </w:p>
    <w:p w:rsidR="00DF2018" w:rsidRDefault="00DF2018" w:rsidP="00DF2018">
      <w:pPr>
        <w:ind w:left="851"/>
        <w:rPr>
          <w:sz w:val="24"/>
          <w:szCs w:val="24"/>
        </w:rPr>
      </w:pPr>
    </w:p>
    <w:p w:rsidR="00DF2018" w:rsidRDefault="00DF2018" w:rsidP="00DF2018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Det anbefales at skylle og tørre sprøjten efter hver anvendelse. Start med trin a ved den næste optrækning.</w:t>
      </w:r>
    </w:p>
    <w:bookmarkEnd w:id="1"/>
    <w:bookmarkEnd w:id="2"/>
    <w:p w:rsidR="00DF2018" w:rsidRDefault="00DF2018" w:rsidP="00DF2018">
      <w:pPr>
        <w:ind w:left="851" w:hanging="851"/>
        <w:jc w:val="both"/>
        <w:rPr>
          <w:sz w:val="24"/>
          <w:szCs w:val="24"/>
        </w:rPr>
      </w:pPr>
    </w:p>
    <w:p w:rsidR="00DF2018" w:rsidRDefault="00DF2018" w:rsidP="00DF2018">
      <w:pPr>
        <w:ind w:left="851" w:firstLine="453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da-DK"/>
        </w:rPr>
        <w:lastRenderedPageBreak/>
        <w:drawing>
          <wp:inline distT="0" distB="0" distL="0" distR="0" wp14:anchorId="79A36A63" wp14:editId="0D3557DF">
            <wp:extent cx="3695700" cy="876300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3"/>
                    <a:stretch/>
                  </pic:blipFill>
                  <pic:spPr bwMode="auto">
                    <a:xfrm>
                      <a:off x="0" y="0"/>
                      <a:ext cx="3695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F2018" w:rsidRDefault="00DF2018" w:rsidP="00DF2018">
      <w:pPr>
        <w:tabs>
          <w:tab w:val="left" w:pos="1985"/>
          <w:tab w:val="left" w:pos="3402"/>
          <w:tab w:val="left" w:pos="4962"/>
          <w:tab w:val="left" w:pos="6379"/>
          <w:tab w:val="left" w:pos="8080"/>
          <w:tab w:val="left" w:pos="9356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a.</w:t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  <w:t>c.</w:t>
      </w:r>
      <w:r>
        <w:rPr>
          <w:sz w:val="24"/>
          <w:szCs w:val="24"/>
        </w:rPr>
        <w:tab/>
        <w:t>d.</w:t>
      </w:r>
    </w:p>
    <w:p w:rsidR="001C2138" w:rsidRDefault="001C2138" w:rsidP="00DF2018">
      <w:pPr>
        <w:ind w:left="851" w:hanging="851"/>
        <w:rPr>
          <w:sz w:val="24"/>
          <w:szCs w:val="24"/>
        </w:rPr>
      </w:pPr>
    </w:p>
    <w:p w:rsidR="00F30BE9" w:rsidRPr="004509C6" w:rsidRDefault="00F30BE9" w:rsidP="00F30BE9">
      <w:pPr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4.10</w:t>
      </w:r>
      <w:r w:rsidRPr="004509C6">
        <w:rPr>
          <w:b/>
          <w:sz w:val="24"/>
          <w:szCs w:val="24"/>
        </w:rPr>
        <w:tab/>
        <w:t>Overdosering</w:t>
      </w:r>
    </w:p>
    <w:p w:rsidR="00F30BE9" w:rsidRPr="004509C6" w:rsidRDefault="00F30BE9" w:rsidP="00F30BE9">
      <w:pPr>
        <w:pStyle w:val="Brdtekst2"/>
        <w:ind w:left="851" w:hanging="851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509C6">
        <w:rPr>
          <w:rFonts w:ascii="Times New Roman" w:hAnsi="Times New Roman" w:cs="Times New Roman"/>
          <w:sz w:val="24"/>
          <w:szCs w:val="24"/>
        </w:rPr>
        <w:tab/>
      </w:r>
      <w:r w:rsidRPr="004509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Eksperimentelle data indikerer, at en enkelt overdosis med </w:t>
      </w:r>
      <w:proofErr w:type="spellStart"/>
      <w:r w:rsidRPr="004509C6">
        <w:rPr>
          <w:rFonts w:ascii="Times New Roman" w:hAnsi="Times New Roman" w:cs="Times New Roman"/>
          <w:b w:val="0"/>
          <w:bCs w:val="0"/>
          <w:sz w:val="24"/>
          <w:szCs w:val="24"/>
        </w:rPr>
        <w:t>cabergolin</w:t>
      </w:r>
      <w:proofErr w:type="spellEnd"/>
      <w:r w:rsidRPr="004509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kan resultere i en øget sandsynlighed for opkastning efter behandling, </w:t>
      </w:r>
      <w:r w:rsidR="00A03054" w:rsidRPr="004509C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og muligvis en </w:t>
      </w:r>
      <w:r w:rsidR="00A03054" w:rsidRPr="00AA301E">
        <w:rPr>
          <w:rFonts w:ascii="Times New Roman" w:hAnsi="Times New Roman" w:cs="Times New Roman"/>
          <w:b w:val="0"/>
          <w:bCs w:val="0"/>
          <w:sz w:val="24"/>
          <w:szCs w:val="24"/>
        </w:rPr>
        <w:t>forstærkning af</w:t>
      </w:r>
      <w:r w:rsidR="00A03054" w:rsidRPr="00AA301E" w:rsidDel="00AA301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A03054" w:rsidRPr="004509C6">
        <w:rPr>
          <w:rFonts w:ascii="Times New Roman" w:hAnsi="Times New Roman" w:cs="Times New Roman"/>
          <w:b w:val="0"/>
          <w:bCs w:val="0"/>
          <w:sz w:val="24"/>
          <w:szCs w:val="24"/>
        </w:rPr>
        <w:t>hypotension efter behandling.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</w:p>
    <w:p w:rsidR="00F30BE9" w:rsidRPr="004509C6" w:rsidRDefault="00F30BE9" w:rsidP="00F30BE9">
      <w:pPr>
        <w:ind w:left="851"/>
        <w:rPr>
          <w:sz w:val="24"/>
          <w:szCs w:val="24"/>
        </w:rPr>
      </w:pPr>
      <w:r w:rsidRPr="004509C6">
        <w:rPr>
          <w:sz w:val="24"/>
          <w:szCs w:val="24"/>
        </w:rPr>
        <w:t xml:space="preserve">Generel understøttende behandling bør iværksættes for at fjerne ikke-absorberet lægemiddel og opretholde blodtrykket, hvis det er nødvendigt. Som en modgift kan parental indgift af en dopaminantagonist såsom </w:t>
      </w:r>
      <w:proofErr w:type="spellStart"/>
      <w:r w:rsidRPr="004509C6">
        <w:rPr>
          <w:sz w:val="24"/>
          <w:szCs w:val="24"/>
        </w:rPr>
        <w:t>metoclopramid</w:t>
      </w:r>
      <w:proofErr w:type="spellEnd"/>
      <w:r w:rsidRPr="004509C6">
        <w:rPr>
          <w:sz w:val="24"/>
          <w:szCs w:val="24"/>
        </w:rPr>
        <w:t xml:space="preserve"> overvejes.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</w:p>
    <w:p w:rsidR="00F30BE9" w:rsidRPr="004509C6" w:rsidRDefault="00F30BE9" w:rsidP="00F30BE9">
      <w:pPr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4.11</w:t>
      </w:r>
      <w:r w:rsidRPr="004509C6">
        <w:rPr>
          <w:b/>
          <w:sz w:val="24"/>
          <w:szCs w:val="24"/>
        </w:rPr>
        <w:tab/>
        <w:t>Tilbageholdelsestid</w:t>
      </w:r>
    </w:p>
    <w:p w:rsidR="00F30BE9" w:rsidRPr="004509C6" w:rsidRDefault="00F30BE9" w:rsidP="00F30BE9">
      <w:pPr>
        <w:ind w:left="851" w:hanging="851"/>
        <w:jc w:val="both"/>
        <w:rPr>
          <w:sz w:val="24"/>
          <w:szCs w:val="24"/>
        </w:rPr>
      </w:pPr>
      <w:r w:rsidRPr="004509C6">
        <w:rPr>
          <w:sz w:val="24"/>
          <w:szCs w:val="24"/>
        </w:rPr>
        <w:tab/>
        <w:t>Ikke relevant.</w:t>
      </w:r>
    </w:p>
    <w:p w:rsidR="00F30BE9" w:rsidRPr="004509C6" w:rsidRDefault="00F30BE9" w:rsidP="00F30BE9">
      <w:pPr>
        <w:pStyle w:val="Sidehoved"/>
        <w:tabs>
          <w:tab w:val="clear" w:pos="4819"/>
          <w:tab w:val="clear" w:pos="9638"/>
        </w:tabs>
        <w:ind w:left="851" w:hanging="851"/>
        <w:jc w:val="both"/>
        <w:rPr>
          <w:szCs w:val="24"/>
        </w:rPr>
      </w:pPr>
    </w:p>
    <w:p w:rsidR="00F30BE9" w:rsidRPr="004509C6" w:rsidRDefault="00F30BE9" w:rsidP="00F30BE9">
      <w:pPr>
        <w:ind w:left="851" w:hanging="851"/>
        <w:jc w:val="both"/>
        <w:rPr>
          <w:sz w:val="24"/>
          <w:szCs w:val="24"/>
        </w:rPr>
      </w:pPr>
    </w:p>
    <w:p w:rsidR="00F30BE9" w:rsidRPr="00821758" w:rsidRDefault="00F30BE9" w:rsidP="00F30BE9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821758">
        <w:rPr>
          <w:b/>
          <w:sz w:val="24"/>
          <w:szCs w:val="24"/>
        </w:rPr>
        <w:t>FARMAKOLOGISKE EGENSKABER</w:t>
      </w:r>
    </w:p>
    <w:p w:rsidR="00F30BE9" w:rsidRPr="00821758" w:rsidRDefault="00F30BE9" w:rsidP="00F30BE9">
      <w:pPr>
        <w:ind w:left="851"/>
        <w:rPr>
          <w:b/>
          <w:bCs/>
          <w:sz w:val="24"/>
          <w:szCs w:val="24"/>
        </w:rPr>
      </w:pPr>
      <w:proofErr w:type="spellStart"/>
      <w:r w:rsidRPr="00821758">
        <w:rPr>
          <w:sz w:val="24"/>
          <w:szCs w:val="24"/>
        </w:rPr>
        <w:t>Farmakoterapeutisk</w:t>
      </w:r>
      <w:proofErr w:type="spellEnd"/>
      <w:r w:rsidRPr="00821758">
        <w:rPr>
          <w:sz w:val="24"/>
          <w:szCs w:val="24"/>
        </w:rPr>
        <w:t xml:space="preserve"> </w:t>
      </w:r>
      <w:r>
        <w:rPr>
          <w:sz w:val="24"/>
          <w:szCs w:val="24"/>
        </w:rPr>
        <w:t>gruppe</w:t>
      </w:r>
      <w:r w:rsidRPr="00821758">
        <w:rPr>
          <w:sz w:val="24"/>
          <w:szCs w:val="24"/>
        </w:rPr>
        <w:t>:</w:t>
      </w:r>
      <w:r w:rsidRPr="00821758">
        <w:rPr>
          <w:b/>
          <w:sz w:val="24"/>
          <w:szCs w:val="24"/>
        </w:rPr>
        <w:t xml:space="preserve"> </w:t>
      </w:r>
      <w:proofErr w:type="spellStart"/>
      <w:r w:rsidRPr="00821758">
        <w:rPr>
          <w:sz w:val="24"/>
          <w:szCs w:val="24"/>
        </w:rPr>
        <w:t>prolaktin</w:t>
      </w:r>
      <w:proofErr w:type="spellEnd"/>
      <w:r w:rsidRPr="00821758">
        <w:rPr>
          <w:sz w:val="24"/>
          <w:szCs w:val="24"/>
        </w:rPr>
        <w:t xml:space="preserve"> hæmmer tilhørende </w:t>
      </w:r>
      <w:proofErr w:type="spellStart"/>
      <w:r w:rsidRPr="00821758">
        <w:rPr>
          <w:sz w:val="24"/>
          <w:szCs w:val="24"/>
        </w:rPr>
        <w:t>ergolinderivat</w:t>
      </w:r>
      <w:proofErr w:type="spellEnd"/>
      <w:r w:rsidRPr="00821758">
        <w:rPr>
          <w:sz w:val="24"/>
          <w:szCs w:val="24"/>
        </w:rPr>
        <w:t xml:space="preserve"> gruppen, som virker ved dopaminagonist-aktivitet.</w:t>
      </w:r>
    </w:p>
    <w:p w:rsidR="00F30BE9" w:rsidRPr="00821758" w:rsidRDefault="00F30BE9" w:rsidP="00F30BE9">
      <w:pPr>
        <w:ind w:left="851"/>
        <w:rPr>
          <w:b/>
          <w:bCs/>
          <w:sz w:val="24"/>
          <w:szCs w:val="24"/>
        </w:rPr>
      </w:pPr>
      <w:proofErr w:type="spellStart"/>
      <w:r w:rsidRPr="00821758">
        <w:rPr>
          <w:sz w:val="24"/>
          <w:szCs w:val="24"/>
        </w:rPr>
        <w:t>ATCvet</w:t>
      </w:r>
      <w:proofErr w:type="spellEnd"/>
      <w:r w:rsidRPr="00821758">
        <w:rPr>
          <w:sz w:val="24"/>
          <w:szCs w:val="24"/>
        </w:rPr>
        <w:t>-kode: QG02CB03.</w:t>
      </w:r>
    </w:p>
    <w:p w:rsidR="00F30BE9" w:rsidRPr="00821758" w:rsidRDefault="00F30BE9" w:rsidP="00F30BE9">
      <w:pPr>
        <w:ind w:left="851" w:hanging="851"/>
        <w:rPr>
          <w:sz w:val="24"/>
          <w:szCs w:val="24"/>
        </w:rPr>
      </w:pPr>
    </w:p>
    <w:p w:rsidR="00F30BE9" w:rsidRPr="004509C6" w:rsidRDefault="00F30BE9" w:rsidP="00F30BE9">
      <w:pPr>
        <w:ind w:left="851" w:hanging="851"/>
        <w:rPr>
          <w:b/>
          <w:sz w:val="24"/>
          <w:szCs w:val="24"/>
        </w:rPr>
      </w:pPr>
      <w:r w:rsidRPr="00821758">
        <w:rPr>
          <w:b/>
          <w:sz w:val="24"/>
          <w:szCs w:val="24"/>
        </w:rPr>
        <w:t>5.1</w:t>
      </w:r>
      <w:r w:rsidRPr="00821758">
        <w:rPr>
          <w:b/>
          <w:sz w:val="24"/>
          <w:szCs w:val="24"/>
        </w:rPr>
        <w:tab/>
      </w:r>
      <w:proofErr w:type="spellStart"/>
      <w:r w:rsidRPr="00821758">
        <w:rPr>
          <w:b/>
          <w:sz w:val="24"/>
          <w:szCs w:val="24"/>
        </w:rPr>
        <w:t>Farmakodynamiske</w:t>
      </w:r>
      <w:proofErr w:type="spellEnd"/>
      <w:r w:rsidRPr="00821758">
        <w:rPr>
          <w:b/>
          <w:sz w:val="24"/>
          <w:szCs w:val="24"/>
        </w:rPr>
        <w:t xml:space="preserve"> egenskaber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  <w:r w:rsidRPr="004509C6">
        <w:rPr>
          <w:sz w:val="24"/>
          <w:szCs w:val="24"/>
        </w:rPr>
        <w:tab/>
      </w:r>
      <w:proofErr w:type="spellStart"/>
      <w:r w:rsidRPr="004509C6">
        <w:rPr>
          <w:sz w:val="24"/>
          <w:szCs w:val="24"/>
        </w:rPr>
        <w:t>Cabergolins</w:t>
      </w:r>
      <w:proofErr w:type="spellEnd"/>
      <w:r w:rsidRPr="004509C6">
        <w:rPr>
          <w:sz w:val="24"/>
          <w:szCs w:val="24"/>
        </w:rPr>
        <w:t xml:space="preserve"> </w:t>
      </w:r>
      <w:proofErr w:type="spellStart"/>
      <w:r w:rsidRPr="004509C6">
        <w:rPr>
          <w:sz w:val="24"/>
          <w:szCs w:val="24"/>
        </w:rPr>
        <w:t>farmakodynamik</w:t>
      </w:r>
      <w:proofErr w:type="spellEnd"/>
      <w:r w:rsidRPr="004509C6">
        <w:rPr>
          <w:sz w:val="24"/>
          <w:szCs w:val="24"/>
        </w:rPr>
        <w:t xml:space="preserve"> er blevet undersøgt i forskellige </w:t>
      </w:r>
      <w:r w:rsidRPr="004509C6">
        <w:rPr>
          <w:i/>
          <w:sz w:val="24"/>
          <w:szCs w:val="24"/>
        </w:rPr>
        <w:t>in-</w:t>
      </w:r>
      <w:proofErr w:type="spellStart"/>
      <w:r w:rsidRPr="004509C6">
        <w:rPr>
          <w:i/>
          <w:sz w:val="24"/>
          <w:szCs w:val="24"/>
        </w:rPr>
        <w:t>vitro</w:t>
      </w:r>
      <w:proofErr w:type="spellEnd"/>
      <w:r w:rsidRPr="004509C6">
        <w:rPr>
          <w:sz w:val="24"/>
          <w:szCs w:val="24"/>
        </w:rPr>
        <w:t xml:space="preserve"> og </w:t>
      </w:r>
      <w:r w:rsidRPr="004509C6">
        <w:rPr>
          <w:i/>
          <w:sz w:val="24"/>
          <w:szCs w:val="24"/>
        </w:rPr>
        <w:t>in-</w:t>
      </w:r>
      <w:proofErr w:type="spellStart"/>
      <w:r w:rsidRPr="004509C6">
        <w:rPr>
          <w:i/>
          <w:sz w:val="24"/>
          <w:szCs w:val="24"/>
        </w:rPr>
        <w:t>vivo</w:t>
      </w:r>
      <w:proofErr w:type="spellEnd"/>
      <w:r w:rsidRPr="004509C6">
        <w:rPr>
          <w:sz w:val="24"/>
          <w:szCs w:val="24"/>
        </w:rPr>
        <w:t xml:space="preserve"> systemer. De væsentligste resultater kan sammenfattes som følger:</w:t>
      </w:r>
    </w:p>
    <w:p w:rsidR="00F30BE9" w:rsidRPr="004509C6" w:rsidRDefault="00F30BE9" w:rsidP="00F30BE9">
      <w:pPr>
        <w:numPr>
          <w:ilvl w:val="0"/>
          <w:numId w:val="4"/>
        </w:numPr>
        <w:tabs>
          <w:tab w:val="clear" w:pos="360"/>
        </w:tabs>
        <w:ind w:left="1276" w:hanging="425"/>
        <w:rPr>
          <w:sz w:val="24"/>
          <w:szCs w:val="24"/>
        </w:rPr>
      </w:pPr>
      <w:proofErr w:type="spellStart"/>
      <w:r w:rsidRPr="004509C6">
        <w:rPr>
          <w:sz w:val="24"/>
          <w:szCs w:val="24"/>
        </w:rPr>
        <w:t>Cabergolin</w:t>
      </w:r>
      <w:proofErr w:type="spellEnd"/>
      <w:r w:rsidRPr="004509C6">
        <w:rPr>
          <w:sz w:val="24"/>
          <w:szCs w:val="24"/>
        </w:rPr>
        <w:t xml:space="preserve"> er en potent hæmmer af </w:t>
      </w:r>
      <w:proofErr w:type="spellStart"/>
      <w:r w:rsidRPr="004509C6">
        <w:rPr>
          <w:sz w:val="24"/>
          <w:szCs w:val="24"/>
        </w:rPr>
        <w:t>prolaktinsekretion</w:t>
      </w:r>
      <w:proofErr w:type="spellEnd"/>
      <w:r w:rsidRPr="004509C6">
        <w:rPr>
          <w:sz w:val="24"/>
          <w:szCs w:val="24"/>
        </w:rPr>
        <w:t xml:space="preserve"> fra hypofysen, og hæmmer som følge her af </w:t>
      </w:r>
      <w:proofErr w:type="spellStart"/>
      <w:r w:rsidRPr="004509C6">
        <w:rPr>
          <w:sz w:val="24"/>
          <w:szCs w:val="24"/>
        </w:rPr>
        <w:t>prolaktinsekretionafhængige</w:t>
      </w:r>
      <w:proofErr w:type="spellEnd"/>
      <w:r w:rsidRPr="004509C6">
        <w:rPr>
          <w:sz w:val="24"/>
          <w:szCs w:val="24"/>
        </w:rPr>
        <w:t xml:space="preserve"> processer som diegivning. </w:t>
      </w:r>
    </w:p>
    <w:p w:rsidR="00F30BE9" w:rsidRPr="004509C6" w:rsidRDefault="00F30BE9" w:rsidP="00F30BE9">
      <w:pPr>
        <w:numPr>
          <w:ilvl w:val="0"/>
          <w:numId w:val="4"/>
        </w:numPr>
        <w:tabs>
          <w:tab w:val="clear" w:pos="360"/>
        </w:tabs>
        <w:ind w:left="1276" w:hanging="425"/>
        <w:rPr>
          <w:sz w:val="24"/>
          <w:szCs w:val="24"/>
        </w:rPr>
      </w:pPr>
      <w:proofErr w:type="spellStart"/>
      <w:r w:rsidRPr="004509C6">
        <w:rPr>
          <w:sz w:val="24"/>
          <w:szCs w:val="24"/>
        </w:rPr>
        <w:t>Cabergolins</w:t>
      </w:r>
      <w:proofErr w:type="spellEnd"/>
      <w:r w:rsidRPr="004509C6">
        <w:rPr>
          <w:sz w:val="24"/>
          <w:szCs w:val="24"/>
        </w:rPr>
        <w:t xml:space="preserve"> virkningsmekanisme er via direkte interaktion med den </w:t>
      </w:r>
      <w:proofErr w:type="spellStart"/>
      <w:r w:rsidRPr="004509C6">
        <w:rPr>
          <w:sz w:val="24"/>
          <w:szCs w:val="24"/>
        </w:rPr>
        <w:t>dopaminerge</w:t>
      </w:r>
      <w:proofErr w:type="spellEnd"/>
      <w:r w:rsidRPr="004509C6">
        <w:rPr>
          <w:sz w:val="24"/>
          <w:szCs w:val="24"/>
        </w:rPr>
        <w:t xml:space="preserve"> receptor D-2 på hypofyse</w:t>
      </w:r>
      <w:r w:rsidR="00A03054">
        <w:rPr>
          <w:sz w:val="24"/>
          <w:szCs w:val="24"/>
        </w:rPr>
        <w:t>ns</w:t>
      </w:r>
      <w:r w:rsidRPr="004509C6">
        <w:rPr>
          <w:sz w:val="24"/>
          <w:szCs w:val="24"/>
        </w:rPr>
        <w:t xml:space="preserve"> </w:t>
      </w:r>
      <w:proofErr w:type="spellStart"/>
      <w:r w:rsidRPr="004509C6">
        <w:rPr>
          <w:sz w:val="24"/>
          <w:szCs w:val="24"/>
        </w:rPr>
        <w:t>la</w:t>
      </w:r>
      <w:r w:rsidR="00A03054">
        <w:rPr>
          <w:sz w:val="24"/>
          <w:szCs w:val="24"/>
        </w:rPr>
        <w:t>k</w:t>
      </w:r>
      <w:r w:rsidRPr="004509C6">
        <w:rPr>
          <w:sz w:val="24"/>
          <w:szCs w:val="24"/>
        </w:rPr>
        <w:t>totrop</w:t>
      </w:r>
      <w:r w:rsidR="00A03054">
        <w:rPr>
          <w:sz w:val="24"/>
          <w:szCs w:val="24"/>
        </w:rPr>
        <w:t>e</w:t>
      </w:r>
      <w:proofErr w:type="spellEnd"/>
      <w:r w:rsidRPr="004509C6">
        <w:rPr>
          <w:sz w:val="24"/>
          <w:szCs w:val="24"/>
        </w:rPr>
        <w:t>-celler og denne interaktion er en vedvarende effekt.</w:t>
      </w:r>
    </w:p>
    <w:p w:rsidR="00F30BE9" w:rsidRPr="004509C6" w:rsidRDefault="00F30BE9" w:rsidP="00F30BE9">
      <w:pPr>
        <w:numPr>
          <w:ilvl w:val="0"/>
          <w:numId w:val="4"/>
        </w:numPr>
        <w:tabs>
          <w:tab w:val="clear" w:pos="360"/>
        </w:tabs>
        <w:ind w:left="1276" w:hanging="425"/>
        <w:rPr>
          <w:sz w:val="24"/>
          <w:szCs w:val="24"/>
        </w:rPr>
      </w:pPr>
      <w:proofErr w:type="spellStart"/>
      <w:r w:rsidRPr="004509C6">
        <w:rPr>
          <w:sz w:val="24"/>
          <w:szCs w:val="24"/>
        </w:rPr>
        <w:t>Cabergolin</w:t>
      </w:r>
      <w:proofErr w:type="spellEnd"/>
      <w:r w:rsidRPr="004509C6">
        <w:rPr>
          <w:sz w:val="24"/>
          <w:szCs w:val="24"/>
        </w:rPr>
        <w:t xml:space="preserve"> har en vis affinitet til </w:t>
      </w:r>
      <w:proofErr w:type="spellStart"/>
      <w:r w:rsidRPr="004509C6">
        <w:rPr>
          <w:sz w:val="24"/>
          <w:szCs w:val="24"/>
        </w:rPr>
        <w:t>noradrenerge</w:t>
      </w:r>
      <w:proofErr w:type="spellEnd"/>
      <w:r w:rsidRPr="004509C6">
        <w:rPr>
          <w:sz w:val="24"/>
          <w:szCs w:val="24"/>
        </w:rPr>
        <w:t xml:space="preserve"> receptorer, men påvirker ikke noradrenalin- og serotoninmetabolisme.</w:t>
      </w:r>
    </w:p>
    <w:p w:rsidR="00F30BE9" w:rsidRPr="004509C6" w:rsidRDefault="00F30BE9" w:rsidP="00F30BE9">
      <w:pPr>
        <w:numPr>
          <w:ilvl w:val="0"/>
          <w:numId w:val="4"/>
        </w:numPr>
        <w:tabs>
          <w:tab w:val="clear" w:pos="360"/>
        </w:tabs>
        <w:ind w:left="1276" w:hanging="425"/>
        <w:rPr>
          <w:sz w:val="24"/>
          <w:szCs w:val="24"/>
        </w:rPr>
      </w:pPr>
      <w:r w:rsidRPr="004509C6">
        <w:rPr>
          <w:sz w:val="24"/>
          <w:szCs w:val="24"/>
        </w:rPr>
        <w:t xml:space="preserve">Som andre </w:t>
      </w:r>
      <w:proofErr w:type="spellStart"/>
      <w:r w:rsidRPr="004509C6">
        <w:rPr>
          <w:sz w:val="24"/>
          <w:szCs w:val="24"/>
        </w:rPr>
        <w:t>ergolinderivater</w:t>
      </w:r>
      <w:proofErr w:type="spellEnd"/>
      <w:r w:rsidRPr="004509C6">
        <w:rPr>
          <w:sz w:val="24"/>
          <w:szCs w:val="24"/>
        </w:rPr>
        <w:t xml:space="preserve">, har </w:t>
      </w:r>
      <w:proofErr w:type="spellStart"/>
      <w:r w:rsidRPr="004509C6">
        <w:rPr>
          <w:sz w:val="24"/>
          <w:szCs w:val="24"/>
        </w:rPr>
        <w:t>cabergolin</w:t>
      </w:r>
      <w:proofErr w:type="spellEnd"/>
      <w:r w:rsidRPr="004509C6">
        <w:rPr>
          <w:sz w:val="24"/>
          <w:szCs w:val="24"/>
        </w:rPr>
        <w:t xml:space="preserve"> </w:t>
      </w:r>
      <w:proofErr w:type="spellStart"/>
      <w:r w:rsidRPr="004509C6">
        <w:rPr>
          <w:sz w:val="24"/>
          <w:szCs w:val="24"/>
        </w:rPr>
        <w:t>emetisk</w:t>
      </w:r>
      <w:proofErr w:type="spellEnd"/>
      <w:r w:rsidRPr="004509C6">
        <w:rPr>
          <w:sz w:val="24"/>
          <w:szCs w:val="24"/>
        </w:rPr>
        <w:t xml:space="preserve"> virkning (svarende i styrke til den hos </w:t>
      </w:r>
      <w:proofErr w:type="spellStart"/>
      <w:r w:rsidRPr="004509C6">
        <w:rPr>
          <w:sz w:val="24"/>
          <w:szCs w:val="24"/>
        </w:rPr>
        <w:t>pergolid</w:t>
      </w:r>
      <w:proofErr w:type="spellEnd"/>
      <w:r w:rsidRPr="004509C6">
        <w:rPr>
          <w:sz w:val="24"/>
          <w:szCs w:val="24"/>
        </w:rPr>
        <w:t xml:space="preserve"> og </w:t>
      </w:r>
      <w:proofErr w:type="spellStart"/>
      <w:r w:rsidRPr="004509C6">
        <w:rPr>
          <w:sz w:val="24"/>
          <w:szCs w:val="24"/>
        </w:rPr>
        <w:t>bromocriptin</w:t>
      </w:r>
      <w:proofErr w:type="spellEnd"/>
      <w:r w:rsidRPr="004509C6">
        <w:rPr>
          <w:sz w:val="24"/>
          <w:szCs w:val="24"/>
        </w:rPr>
        <w:t>).</w:t>
      </w:r>
    </w:p>
    <w:p w:rsidR="00F30BE9" w:rsidRPr="004509C6" w:rsidRDefault="00F30BE9" w:rsidP="00F30BE9">
      <w:pPr>
        <w:numPr>
          <w:ilvl w:val="0"/>
          <w:numId w:val="4"/>
        </w:numPr>
        <w:tabs>
          <w:tab w:val="clear" w:pos="360"/>
        </w:tabs>
        <w:ind w:left="1276" w:hanging="425"/>
        <w:rPr>
          <w:b/>
          <w:bCs/>
          <w:sz w:val="24"/>
          <w:szCs w:val="24"/>
        </w:rPr>
      </w:pPr>
      <w:r w:rsidRPr="004509C6">
        <w:rPr>
          <w:sz w:val="24"/>
          <w:szCs w:val="24"/>
        </w:rPr>
        <w:t xml:space="preserve">Ved høje orale doser forårsager </w:t>
      </w:r>
      <w:proofErr w:type="spellStart"/>
      <w:r w:rsidRPr="004509C6">
        <w:rPr>
          <w:sz w:val="24"/>
          <w:szCs w:val="24"/>
        </w:rPr>
        <w:t>cabergolin</w:t>
      </w:r>
      <w:proofErr w:type="spellEnd"/>
      <w:r w:rsidRPr="004509C6">
        <w:rPr>
          <w:sz w:val="24"/>
          <w:szCs w:val="24"/>
        </w:rPr>
        <w:t xml:space="preserve"> en reduktion i blodtrykket.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</w:p>
    <w:p w:rsidR="00F30BE9" w:rsidRPr="004509C6" w:rsidRDefault="00F30BE9" w:rsidP="00F30BE9">
      <w:pPr>
        <w:ind w:left="851" w:hanging="851"/>
        <w:rPr>
          <w:b/>
          <w:sz w:val="24"/>
          <w:szCs w:val="24"/>
        </w:rPr>
      </w:pPr>
      <w:r w:rsidRPr="00821758">
        <w:rPr>
          <w:b/>
          <w:sz w:val="24"/>
          <w:szCs w:val="24"/>
        </w:rPr>
        <w:t>5.2</w:t>
      </w:r>
      <w:r w:rsidRPr="00821758">
        <w:rPr>
          <w:b/>
          <w:sz w:val="24"/>
          <w:szCs w:val="24"/>
        </w:rPr>
        <w:tab/>
      </w:r>
      <w:proofErr w:type="spellStart"/>
      <w:r w:rsidRPr="00821758">
        <w:rPr>
          <w:b/>
          <w:sz w:val="24"/>
          <w:szCs w:val="24"/>
        </w:rPr>
        <w:t>Farmakokinetiske</w:t>
      </w:r>
      <w:proofErr w:type="spellEnd"/>
      <w:r w:rsidRPr="00821758">
        <w:rPr>
          <w:b/>
          <w:sz w:val="24"/>
          <w:szCs w:val="24"/>
        </w:rPr>
        <w:t xml:space="preserve"> egenskaber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  <w:r w:rsidRPr="004509C6">
        <w:rPr>
          <w:sz w:val="24"/>
          <w:szCs w:val="24"/>
        </w:rPr>
        <w:tab/>
        <w:t xml:space="preserve">Der er ingen tilgængelige </w:t>
      </w:r>
      <w:proofErr w:type="spellStart"/>
      <w:r w:rsidRPr="004509C6">
        <w:rPr>
          <w:sz w:val="24"/>
          <w:szCs w:val="24"/>
        </w:rPr>
        <w:t>farmakokinetiske</w:t>
      </w:r>
      <w:proofErr w:type="spellEnd"/>
      <w:r w:rsidRPr="004509C6">
        <w:rPr>
          <w:sz w:val="24"/>
          <w:szCs w:val="24"/>
        </w:rPr>
        <w:t xml:space="preserve"> data for den anbefalede dosering hos hunde og katte.</w:t>
      </w:r>
    </w:p>
    <w:p w:rsidR="00F30BE9" w:rsidRPr="00821758" w:rsidRDefault="00F30BE9" w:rsidP="00F30BE9">
      <w:pPr>
        <w:ind w:left="851"/>
        <w:rPr>
          <w:sz w:val="24"/>
          <w:szCs w:val="24"/>
        </w:rPr>
      </w:pPr>
      <w:r w:rsidRPr="00821758">
        <w:rPr>
          <w:sz w:val="24"/>
          <w:szCs w:val="24"/>
        </w:rPr>
        <w:t xml:space="preserve">Der er blevet udført </w:t>
      </w:r>
      <w:proofErr w:type="spellStart"/>
      <w:r w:rsidRPr="00821758">
        <w:rPr>
          <w:sz w:val="24"/>
          <w:szCs w:val="24"/>
        </w:rPr>
        <w:t>farmakokinetiske</w:t>
      </w:r>
      <w:proofErr w:type="spellEnd"/>
      <w:r w:rsidRPr="00821758">
        <w:rPr>
          <w:sz w:val="24"/>
          <w:szCs w:val="24"/>
        </w:rPr>
        <w:t xml:space="preserve"> undersøgelser hos hunde med en daglig dosis på 80 mikrogram/kg legemsvægt (16 gange den anbefalede dosis). Hundene blev behandlet i 30 dage; </w:t>
      </w:r>
      <w:proofErr w:type="spellStart"/>
      <w:r w:rsidRPr="00821758">
        <w:rPr>
          <w:sz w:val="24"/>
          <w:szCs w:val="24"/>
        </w:rPr>
        <w:t>farmakokinetiske</w:t>
      </w:r>
      <w:proofErr w:type="spellEnd"/>
      <w:r w:rsidRPr="00821758">
        <w:rPr>
          <w:sz w:val="24"/>
          <w:szCs w:val="24"/>
        </w:rPr>
        <w:t xml:space="preserve"> vurderinger blev foretaget på dag 1 og 28. </w:t>
      </w:r>
    </w:p>
    <w:p w:rsidR="00F30BE9" w:rsidRDefault="00F30BE9" w:rsidP="00F30BE9">
      <w:pPr>
        <w:ind w:firstLine="851"/>
        <w:rPr>
          <w:sz w:val="24"/>
          <w:szCs w:val="24"/>
        </w:rPr>
      </w:pPr>
    </w:p>
    <w:p w:rsidR="00F30BE9" w:rsidRPr="00821758" w:rsidRDefault="00F30BE9" w:rsidP="00F30BE9">
      <w:pPr>
        <w:ind w:firstLine="851"/>
        <w:rPr>
          <w:i/>
          <w:sz w:val="24"/>
          <w:szCs w:val="24"/>
        </w:rPr>
      </w:pPr>
      <w:r w:rsidRPr="00821758">
        <w:rPr>
          <w:i/>
          <w:sz w:val="24"/>
          <w:szCs w:val="24"/>
        </w:rPr>
        <w:t xml:space="preserve">Absorption: </w:t>
      </w:r>
    </w:p>
    <w:p w:rsidR="00F30BE9" w:rsidRPr="000A1445" w:rsidRDefault="00F30BE9" w:rsidP="00F30BE9">
      <w:pPr>
        <w:pStyle w:val="Listeafsnit"/>
        <w:numPr>
          <w:ilvl w:val="0"/>
          <w:numId w:val="6"/>
        </w:numPr>
        <w:tabs>
          <w:tab w:val="left" w:pos="1560"/>
        </w:tabs>
        <w:ind w:left="1560" w:hanging="426"/>
        <w:rPr>
          <w:sz w:val="24"/>
          <w:szCs w:val="24"/>
        </w:rPr>
      </w:pPr>
      <w:proofErr w:type="spellStart"/>
      <w:r w:rsidRPr="000A1445">
        <w:rPr>
          <w:sz w:val="24"/>
          <w:szCs w:val="24"/>
        </w:rPr>
        <w:t>T</w:t>
      </w:r>
      <w:r w:rsidRPr="000A1445">
        <w:rPr>
          <w:sz w:val="24"/>
          <w:szCs w:val="24"/>
          <w:vertAlign w:val="subscript"/>
        </w:rPr>
        <w:t>max</w:t>
      </w:r>
      <w:proofErr w:type="spellEnd"/>
      <w:r w:rsidRPr="000A1445">
        <w:rPr>
          <w:sz w:val="24"/>
          <w:szCs w:val="24"/>
        </w:rPr>
        <w:t xml:space="preserve"> = 1 time på dag 1 og 0,5-2 timer (gennemsnit 75 minutter) på dag 28,</w:t>
      </w:r>
    </w:p>
    <w:p w:rsidR="00F30BE9" w:rsidRPr="000A1445" w:rsidRDefault="00F30BE9" w:rsidP="00F30BE9">
      <w:pPr>
        <w:pStyle w:val="Listeafsnit"/>
        <w:numPr>
          <w:ilvl w:val="0"/>
          <w:numId w:val="6"/>
        </w:numPr>
        <w:tabs>
          <w:tab w:val="left" w:pos="1560"/>
        </w:tabs>
        <w:ind w:left="1560" w:hanging="426"/>
        <w:rPr>
          <w:sz w:val="24"/>
          <w:szCs w:val="24"/>
        </w:rPr>
      </w:pPr>
      <w:proofErr w:type="spellStart"/>
      <w:r w:rsidRPr="000A1445">
        <w:rPr>
          <w:sz w:val="24"/>
          <w:szCs w:val="24"/>
        </w:rPr>
        <w:t>C</w:t>
      </w:r>
      <w:r w:rsidRPr="000A1445">
        <w:rPr>
          <w:sz w:val="24"/>
          <w:szCs w:val="24"/>
          <w:vertAlign w:val="subscript"/>
        </w:rPr>
        <w:t>max</w:t>
      </w:r>
      <w:proofErr w:type="spellEnd"/>
      <w:r w:rsidRPr="000A1445">
        <w:rPr>
          <w:sz w:val="24"/>
          <w:szCs w:val="24"/>
        </w:rPr>
        <w:t xml:space="preserve"> varierede fra 1140 til 3155 </w:t>
      </w:r>
      <w:proofErr w:type="spellStart"/>
      <w:r w:rsidRPr="000A1445">
        <w:rPr>
          <w:sz w:val="24"/>
          <w:szCs w:val="24"/>
        </w:rPr>
        <w:t>pg</w:t>
      </w:r>
      <w:proofErr w:type="spellEnd"/>
      <w:r w:rsidRPr="000A1445">
        <w:rPr>
          <w:sz w:val="24"/>
          <w:szCs w:val="24"/>
        </w:rPr>
        <w:t xml:space="preserve">/ml (gennemsnit 2147 </w:t>
      </w:r>
      <w:proofErr w:type="spellStart"/>
      <w:r w:rsidRPr="000A1445">
        <w:rPr>
          <w:sz w:val="24"/>
          <w:szCs w:val="24"/>
        </w:rPr>
        <w:t>pg</w:t>
      </w:r>
      <w:proofErr w:type="spellEnd"/>
      <w:r w:rsidRPr="000A1445">
        <w:rPr>
          <w:sz w:val="24"/>
          <w:szCs w:val="24"/>
        </w:rPr>
        <w:t xml:space="preserve">/ml) på dag 1 og fra 455 til 4217 </w:t>
      </w:r>
      <w:proofErr w:type="spellStart"/>
      <w:r w:rsidRPr="000A1445">
        <w:rPr>
          <w:sz w:val="24"/>
          <w:szCs w:val="24"/>
        </w:rPr>
        <w:t>pg</w:t>
      </w:r>
      <w:proofErr w:type="spellEnd"/>
      <w:r w:rsidRPr="000A1445">
        <w:rPr>
          <w:sz w:val="24"/>
          <w:szCs w:val="24"/>
        </w:rPr>
        <w:t xml:space="preserve">/ml (gennemsnit 2336 </w:t>
      </w:r>
      <w:proofErr w:type="spellStart"/>
      <w:r w:rsidRPr="000A1445">
        <w:rPr>
          <w:sz w:val="24"/>
          <w:szCs w:val="24"/>
        </w:rPr>
        <w:t>pg</w:t>
      </w:r>
      <w:proofErr w:type="spellEnd"/>
      <w:r w:rsidRPr="000A1445">
        <w:rPr>
          <w:sz w:val="24"/>
          <w:szCs w:val="24"/>
        </w:rPr>
        <w:t>/ml) på dag 28,</w:t>
      </w:r>
    </w:p>
    <w:p w:rsidR="00F30BE9" w:rsidRPr="000A1445" w:rsidRDefault="00F30BE9" w:rsidP="00F30BE9">
      <w:pPr>
        <w:pStyle w:val="Listeafsnit"/>
        <w:numPr>
          <w:ilvl w:val="0"/>
          <w:numId w:val="6"/>
        </w:numPr>
        <w:tabs>
          <w:tab w:val="left" w:pos="1560"/>
        </w:tabs>
        <w:ind w:left="1560" w:hanging="426"/>
        <w:rPr>
          <w:sz w:val="24"/>
          <w:szCs w:val="24"/>
        </w:rPr>
      </w:pPr>
      <w:r w:rsidRPr="000A1445">
        <w:rPr>
          <w:sz w:val="24"/>
          <w:szCs w:val="24"/>
        </w:rPr>
        <w:lastRenderedPageBreak/>
        <w:t xml:space="preserve">AUC </w:t>
      </w:r>
      <w:r w:rsidRPr="000A1445">
        <w:rPr>
          <w:sz w:val="24"/>
          <w:szCs w:val="24"/>
          <w:vertAlign w:val="subscript"/>
        </w:rPr>
        <w:t xml:space="preserve">(0-24 h) </w:t>
      </w:r>
      <w:r w:rsidRPr="000A1445">
        <w:rPr>
          <w:sz w:val="24"/>
          <w:szCs w:val="24"/>
        </w:rPr>
        <w:t>på dag 1 varierede fra 3896 til 10216 pg.h.ml</w:t>
      </w:r>
      <w:r w:rsidRPr="000A1445">
        <w:rPr>
          <w:sz w:val="24"/>
          <w:szCs w:val="24"/>
          <w:vertAlign w:val="superscript"/>
        </w:rPr>
        <w:t>-1</w:t>
      </w:r>
      <w:r w:rsidRPr="000A1445">
        <w:rPr>
          <w:sz w:val="24"/>
          <w:szCs w:val="24"/>
        </w:rPr>
        <w:t xml:space="preserve"> (gennemsnit 7056 pg.h.ml</w:t>
      </w:r>
      <w:r w:rsidRPr="000A1445">
        <w:rPr>
          <w:sz w:val="24"/>
          <w:szCs w:val="24"/>
          <w:vertAlign w:val="superscript"/>
        </w:rPr>
        <w:t>-1</w:t>
      </w:r>
      <w:r w:rsidRPr="000A1445">
        <w:rPr>
          <w:sz w:val="24"/>
          <w:szCs w:val="24"/>
        </w:rPr>
        <w:t>) og på dag 28 fra 3231 til 19043 pg.h.ml</w:t>
      </w:r>
      <w:r w:rsidRPr="000A1445">
        <w:rPr>
          <w:sz w:val="24"/>
          <w:szCs w:val="24"/>
          <w:vertAlign w:val="superscript"/>
        </w:rPr>
        <w:t>-1</w:t>
      </w:r>
      <w:r w:rsidRPr="000A1445">
        <w:rPr>
          <w:sz w:val="24"/>
          <w:szCs w:val="24"/>
        </w:rPr>
        <w:t xml:space="preserve"> (gennemsnit 11137 pg.h.ml</w:t>
      </w:r>
      <w:r w:rsidRPr="000A1445">
        <w:rPr>
          <w:sz w:val="24"/>
          <w:szCs w:val="24"/>
          <w:vertAlign w:val="superscript"/>
        </w:rPr>
        <w:t>-1</w:t>
      </w:r>
      <w:r w:rsidRPr="000A1445">
        <w:rPr>
          <w:sz w:val="24"/>
          <w:szCs w:val="24"/>
        </w:rPr>
        <w:t>).</w:t>
      </w:r>
    </w:p>
    <w:p w:rsidR="00F30BE9" w:rsidRDefault="00F30BE9" w:rsidP="00F30BE9">
      <w:pPr>
        <w:rPr>
          <w:sz w:val="24"/>
          <w:szCs w:val="24"/>
        </w:rPr>
      </w:pPr>
    </w:p>
    <w:p w:rsidR="00F30BE9" w:rsidRPr="00821758" w:rsidRDefault="00F30BE9" w:rsidP="00F30BE9">
      <w:pPr>
        <w:ind w:firstLine="851"/>
        <w:rPr>
          <w:i/>
          <w:sz w:val="24"/>
          <w:szCs w:val="24"/>
        </w:rPr>
      </w:pPr>
      <w:r w:rsidRPr="00821758">
        <w:rPr>
          <w:i/>
          <w:sz w:val="24"/>
          <w:szCs w:val="24"/>
        </w:rPr>
        <w:t>Eliminering:</w:t>
      </w:r>
    </w:p>
    <w:p w:rsidR="00F30BE9" w:rsidRPr="000A1445" w:rsidRDefault="00F30BE9" w:rsidP="00F30BE9">
      <w:pPr>
        <w:pStyle w:val="Listeafsnit"/>
        <w:numPr>
          <w:ilvl w:val="0"/>
          <w:numId w:val="7"/>
        </w:numPr>
        <w:tabs>
          <w:tab w:val="left" w:pos="1560"/>
        </w:tabs>
        <w:ind w:left="1560" w:hanging="425"/>
        <w:rPr>
          <w:sz w:val="24"/>
          <w:szCs w:val="24"/>
        </w:rPr>
      </w:pPr>
      <w:r w:rsidRPr="000A1445">
        <w:rPr>
          <w:sz w:val="24"/>
          <w:szCs w:val="24"/>
        </w:rPr>
        <w:t xml:space="preserve">Plasmahalveringstiden hos hunde, t½, var på dag 1 ~ 19 timer; t½ var på dag 28 ~ 10 timer. 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</w:p>
    <w:p w:rsidR="00F30BE9" w:rsidRPr="004509C6" w:rsidRDefault="00F30BE9" w:rsidP="00F30BE9">
      <w:pPr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5.3</w:t>
      </w:r>
      <w:r w:rsidRPr="004509C6">
        <w:rPr>
          <w:b/>
          <w:sz w:val="24"/>
          <w:szCs w:val="24"/>
        </w:rPr>
        <w:tab/>
        <w:t>Miljømæssige forhold</w:t>
      </w:r>
    </w:p>
    <w:p w:rsidR="00F30BE9" w:rsidRPr="004509C6" w:rsidRDefault="00F30BE9" w:rsidP="00F30BE9">
      <w:pPr>
        <w:ind w:left="851" w:hanging="851"/>
        <w:jc w:val="both"/>
        <w:rPr>
          <w:sz w:val="24"/>
          <w:szCs w:val="24"/>
        </w:rPr>
      </w:pPr>
      <w:r w:rsidRPr="004509C6">
        <w:rPr>
          <w:sz w:val="24"/>
          <w:szCs w:val="24"/>
        </w:rPr>
        <w:tab/>
        <w:t>-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</w:p>
    <w:p w:rsidR="00F30BE9" w:rsidRPr="004509C6" w:rsidRDefault="00F30BE9" w:rsidP="00F30BE9">
      <w:pPr>
        <w:ind w:left="851" w:hanging="851"/>
        <w:jc w:val="both"/>
        <w:rPr>
          <w:sz w:val="24"/>
          <w:szCs w:val="24"/>
        </w:rPr>
      </w:pPr>
    </w:p>
    <w:p w:rsidR="00F30BE9" w:rsidRPr="004509C6" w:rsidRDefault="00F30BE9" w:rsidP="00F30BE9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FARMACEUTISKE OPLYSNINGER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</w:p>
    <w:p w:rsidR="00F30BE9" w:rsidRPr="004509C6" w:rsidRDefault="00F30BE9" w:rsidP="00F30BE9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Hjælpestoffer</w:t>
      </w:r>
    </w:p>
    <w:p w:rsidR="00F30BE9" w:rsidRPr="004509C6" w:rsidRDefault="00F30BE9" w:rsidP="00F30BE9">
      <w:pPr>
        <w:pStyle w:val="DsPara"/>
        <w:autoSpaceDE/>
        <w:spacing w:before="0"/>
        <w:ind w:left="851" w:hanging="851"/>
        <w:rPr>
          <w:rFonts w:ascii="Times New Roman" w:hAnsi="Times New Roman" w:cs="Times New Roman"/>
          <w:sz w:val="24"/>
          <w:szCs w:val="24"/>
        </w:rPr>
      </w:pPr>
      <w:r w:rsidRPr="004509C6">
        <w:rPr>
          <w:rFonts w:ascii="Times New Roman" w:hAnsi="Times New Roman" w:cs="Times New Roman"/>
          <w:sz w:val="24"/>
          <w:szCs w:val="24"/>
        </w:rPr>
        <w:tab/>
        <w:t xml:space="preserve">Triglycerider, mellemlange kæder </w:t>
      </w:r>
    </w:p>
    <w:p w:rsidR="00F30BE9" w:rsidRDefault="00F30BE9" w:rsidP="00F30BE9">
      <w:pPr>
        <w:ind w:left="851"/>
        <w:rPr>
          <w:sz w:val="24"/>
          <w:szCs w:val="24"/>
        </w:rPr>
      </w:pPr>
      <w:r w:rsidRPr="007F0AFD">
        <w:rPr>
          <w:sz w:val="24"/>
          <w:szCs w:val="24"/>
        </w:rPr>
        <w:t xml:space="preserve">Nitrogen, </w:t>
      </w:r>
      <w:proofErr w:type="gramStart"/>
      <w:r w:rsidRPr="007F0AFD">
        <w:rPr>
          <w:sz w:val="24"/>
          <w:szCs w:val="24"/>
        </w:rPr>
        <w:t>lav oxygen</w:t>
      </w:r>
      <w:proofErr w:type="gramEnd"/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</w:p>
    <w:p w:rsidR="00F30BE9" w:rsidRPr="004509C6" w:rsidRDefault="00F30BE9" w:rsidP="00F30BE9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Uforligeligheder</w:t>
      </w:r>
    </w:p>
    <w:p w:rsidR="00F30BE9" w:rsidRPr="004509C6" w:rsidRDefault="00F30BE9" w:rsidP="00F30BE9">
      <w:pPr>
        <w:pStyle w:val="Brdtekst2"/>
        <w:ind w:left="851" w:hanging="851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509C6">
        <w:rPr>
          <w:rFonts w:ascii="Times New Roman" w:hAnsi="Times New Roman" w:cs="Times New Roman"/>
          <w:sz w:val="24"/>
          <w:szCs w:val="24"/>
        </w:rPr>
        <w:tab/>
      </w:r>
      <w:r w:rsidRPr="004509C6">
        <w:rPr>
          <w:rFonts w:ascii="Times New Roman" w:hAnsi="Times New Roman" w:cs="Times New Roman"/>
          <w:b w:val="0"/>
          <w:sz w:val="24"/>
          <w:szCs w:val="24"/>
        </w:rPr>
        <w:t>Må ikke blandes med vandige opløsninger (</w:t>
      </w:r>
      <w:r w:rsidR="00A03054">
        <w:rPr>
          <w:rFonts w:ascii="Times New Roman" w:hAnsi="Times New Roman" w:cs="Times New Roman"/>
          <w:b w:val="0"/>
          <w:sz w:val="24"/>
          <w:szCs w:val="24"/>
        </w:rPr>
        <w:t>f.</w:t>
      </w:r>
      <w:r w:rsidRPr="004509C6">
        <w:rPr>
          <w:rFonts w:ascii="Times New Roman" w:hAnsi="Times New Roman" w:cs="Times New Roman"/>
          <w:b w:val="0"/>
          <w:sz w:val="24"/>
          <w:szCs w:val="24"/>
        </w:rPr>
        <w:t>eks. mælk)</w:t>
      </w:r>
    </w:p>
    <w:p w:rsidR="00F30BE9" w:rsidRPr="004509C6" w:rsidRDefault="00F30BE9" w:rsidP="00F30BE9">
      <w:pPr>
        <w:ind w:left="851"/>
        <w:rPr>
          <w:sz w:val="24"/>
          <w:szCs w:val="24"/>
        </w:rPr>
      </w:pPr>
      <w:r w:rsidRPr="004509C6">
        <w:rPr>
          <w:sz w:val="24"/>
          <w:szCs w:val="24"/>
        </w:rPr>
        <w:t xml:space="preserve">Da der ikke foreligger undersøgelser vedrørende eventuelle uforligeligheder, bør dette lægemiddel ikke blandes med andre </w:t>
      </w:r>
      <w:r>
        <w:rPr>
          <w:sz w:val="24"/>
          <w:szCs w:val="24"/>
        </w:rPr>
        <w:t>lægemidler</w:t>
      </w:r>
      <w:r w:rsidRPr="004509C6">
        <w:rPr>
          <w:sz w:val="24"/>
          <w:szCs w:val="24"/>
        </w:rPr>
        <w:t>.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</w:p>
    <w:p w:rsidR="00F30BE9" w:rsidRPr="004509C6" w:rsidRDefault="00F30BE9" w:rsidP="00F30BE9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Opbevaringstid</w:t>
      </w:r>
    </w:p>
    <w:p w:rsidR="00F30BE9" w:rsidRPr="007F0AFD" w:rsidRDefault="00F30BE9" w:rsidP="00F30BE9">
      <w:pPr>
        <w:ind w:left="851" w:hanging="851"/>
        <w:rPr>
          <w:sz w:val="24"/>
          <w:szCs w:val="24"/>
        </w:rPr>
      </w:pPr>
      <w:r w:rsidRPr="004509C6">
        <w:rPr>
          <w:sz w:val="24"/>
          <w:szCs w:val="24"/>
        </w:rPr>
        <w:tab/>
      </w:r>
      <w:r w:rsidRPr="007F0AFD">
        <w:rPr>
          <w:sz w:val="24"/>
          <w:szCs w:val="24"/>
        </w:rPr>
        <w:t>Opbevaringstid for veterinærlægemidlet i salgspakning: 2 år.</w:t>
      </w:r>
    </w:p>
    <w:p w:rsidR="00F30BE9" w:rsidRPr="004509C6" w:rsidRDefault="00F30BE9" w:rsidP="00F30BE9">
      <w:pPr>
        <w:ind w:left="851"/>
        <w:rPr>
          <w:sz w:val="24"/>
          <w:szCs w:val="24"/>
        </w:rPr>
      </w:pPr>
      <w:r w:rsidRPr="007F0AFD">
        <w:rPr>
          <w:sz w:val="24"/>
          <w:szCs w:val="24"/>
        </w:rPr>
        <w:t>Opbevaringstid efter første åbning af den indre emballage: 14 dage.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</w:p>
    <w:p w:rsidR="00F30BE9" w:rsidRPr="004509C6" w:rsidRDefault="00F30BE9" w:rsidP="00F30BE9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Særlige opbevaringsforhold</w:t>
      </w:r>
    </w:p>
    <w:p w:rsidR="00F30BE9" w:rsidRPr="004509C6" w:rsidRDefault="00F30BE9" w:rsidP="00F30BE9">
      <w:pPr>
        <w:ind w:left="851" w:hanging="851"/>
        <w:jc w:val="both"/>
        <w:rPr>
          <w:sz w:val="24"/>
          <w:szCs w:val="24"/>
        </w:rPr>
      </w:pPr>
      <w:r w:rsidRPr="004509C6">
        <w:rPr>
          <w:sz w:val="24"/>
          <w:szCs w:val="24"/>
        </w:rPr>
        <w:tab/>
        <w:t>I salgspakning: Opbevares i køleskab (2 °C - 8 °C).</w:t>
      </w:r>
    </w:p>
    <w:p w:rsidR="00F30BE9" w:rsidRPr="004509C6" w:rsidRDefault="00F30BE9" w:rsidP="00F30BE9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4509C6">
        <w:rPr>
          <w:sz w:val="24"/>
          <w:szCs w:val="24"/>
        </w:rPr>
        <w:t>Efter første åbning af den indre emballage: Opbevares ved temperaturer under 25 °C.</w:t>
      </w:r>
    </w:p>
    <w:p w:rsidR="00F30BE9" w:rsidRPr="004509C6" w:rsidRDefault="00F30BE9" w:rsidP="00F30BE9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4509C6">
        <w:rPr>
          <w:sz w:val="24"/>
          <w:szCs w:val="24"/>
        </w:rPr>
        <w:t>Opbevares i opretstående stilling.</w:t>
      </w:r>
    </w:p>
    <w:p w:rsidR="00F30BE9" w:rsidRPr="004509C6" w:rsidRDefault="00F30BE9" w:rsidP="00F30BE9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4509C6">
        <w:rPr>
          <w:sz w:val="24"/>
          <w:szCs w:val="24"/>
        </w:rPr>
        <w:t>Hætteglasset opbevares</w:t>
      </w:r>
      <w:r w:rsidR="00A03054">
        <w:rPr>
          <w:sz w:val="24"/>
          <w:szCs w:val="24"/>
        </w:rPr>
        <w:t xml:space="preserve"> tæt tillukket</w:t>
      </w:r>
      <w:r w:rsidRPr="004509C6">
        <w:rPr>
          <w:sz w:val="24"/>
          <w:szCs w:val="24"/>
        </w:rPr>
        <w:t xml:space="preserve"> i den ydre karton for at beskytte mod lys.</w:t>
      </w:r>
    </w:p>
    <w:p w:rsidR="00F30BE9" w:rsidRPr="004509C6" w:rsidRDefault="00F30BE9" w:rsidP="00F30BE9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4509C6">
        <w:rPr>
          <w:sz w:val="24"/>
          <w:szCs w:val="24"/>
        </w:rPr>
        <w:t>Må ikke nedfryses.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</w:p>
    <w:p w:rsidR="00F30BE9" w:rsidRPr="004509C6" w:rsidRDefault="00F30BE9" w:rsidP="00F30BE9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Emballage</w:t>
      </w:r>
    </w:p>
    <w:p w:rsidR="00F30BE9" w:rsidRDefault="00F30BE9" w:rsidP="00F30BE9">
      <w:pPr>
        <w:ind w:left="851"/>
        <w:jc w:val="both"/>
        <w:rPr>
          <w:sz w:val="24"/>
          <w:szCs w:val="24"/>
        </w:rPr>
      </w:pPr>
    </w:p>
    <w:p w:rsidR="00A03054" w:rsidRPr="004509C6" w:rsidRDefault="00A03054" w:rsidP="00A03054">
      <w:pPr>
        <w:ind w:left="851"/>
        <w:rPr>
          <w:sz w:val="24"/>
          <w:szCs w:val="24"/>
        </w:rPr>
      </w:pPr>
      <w:r w:rsidRPr="004509C6">
        <w:rPr>
          <w:sz w:val="24"/>
          <w:szCs w:val="24"/>
          <w:u w:val="single"/>
        </w:rPr>
        <w:t>Indre emballage</w:t>
      </w:r>
      <w:r w:rsidRPr="004509C6">
        <w:rPr>
          <w:sz w:val="24"/>
          <w:szCs w:val="24"/>
        </w:rPr>
        <w:t xml:space="preserve">: </w:t>
      </w:r>
    </w:p>
    <w:p w:rsidR="00A03054" w:rsidRPr="004509C6" w:rsidRDefault="00A03054" w:rsidP="00A03054">
      <w:pPr>
        <w:pStyle w:val="DsPara"/>
        <w:autoSpaceDE/>
        <w:spacing w:before="0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509C6">
        <w:rPr>
          <w:rFonts w:ascii="Times New Roman" w:hAnsi="Times New Roman" w:cs="Times New Roman"/>
          <w:sz w:val="24"/>
          <w:szCs w:val="24"/>
        </w:rPr>
        <w:t xml:space="preserve">Ravfarvede hætteglas af type III-glas på 15 ml (indeholder 7 eller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4509C6">
        <w:rPr>
          <w:rFonts w:ascii="Times New Roman" w:hAnsi="Times New Roman" w:cs="Times New Roman"/>
          <w:sz w:val="24"/>
          <w:szCs w:val="24"/>
        </w:rPr>
        <w:t xml:space="preserve"> ml) eller type II-hætteglas på 30 ml (indeholder 24 ml) med grå </w:t>
      </w:r>
      <w:proofErr w:type="spellStart"/>
      <w:r w:rsidRPr="004509C6">
        <w:rPr>
          <w:rFonts w:ascii="Times New Roman" w:hAnsi="Times New Roman" w:cs="Times New Roman"/>
          <w:sz w:val="24"/>
          <w:szCs w:val="24"/>
        </w:rPr>
        <w:t>bromobutylgummi</w:t>
      </w:r>
      <w:r>
        <w:rPr>
          <w:rFonts w:ascii="Times New Roman" w:hAnsi="Times New Roman" w:cs="Times New Roman"/>
          <w:sz w:val="24"/>
          <w:szCs w:val="24"/>
        </w:rPr>
        <w:t>prop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og </w:t>
      </w:r>
      <w:r w:rsidRPr="00BF2C13">
        <w:rPr>
          <w:rFonts w:ascii="Times New Roman" w:hAnsi="Times New Roman" w:cs="Times New Roman"/>
          <w:sz w:val="24"/>
          <w:szCs w:val="24"/>
        </w:rPr>
        <w:t>aluminiumshætte</w:t>
      </w:r>
      <w:r w:rsidRPr="004509C6">
        <w:rPr>
          <w:rFonts w:ascii="Times New Roman" w:hAnsi="Times New Roman" w:cs="Times New Roman"/>
          <w:sz w:val="24"/>
          <w:szCs w:val="24"/>
        </w:rPr>
        <w:t xml:space="preserve">, leveret med hætteglasadapter og HDPP-doseringssprøjte (1 ml sprøjte med 7 ml pakninger, og 3 ml sprøjte med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4509C6">
        <w:rPr>
          <w:rFonts w:ascii="Times New Roman" w:hAnsi="Times New Roman" w:cs="Times New Roman"/>
          <w:sz w:val="24"/>
          <w:szCs w:val="24"/>
        </w:rPr>
        <w:t xml:space="preserve"> og 24 ml pakninger).</w:t>
      </w:r>
    </w:p>
    <w:p w:rsidR="00A03054" w:rsidRDefault="00A03054" w:rsidP="00A03054">
      <w:pPr>
        <w:ind w:left="851" w:hanging="851"/>
        <w:rPr>
          <w:sz w:val="24"/>
          <w:szCs w:val="24"/>
          <w:u w:val="single"/>
        </w:rPr>
      </w:pPr>
    </w:p>
    <w:p w:rsidR="00A03054" w:rsidRPr="004509C6" w:rsidRDefault="00A03054" w:rsidP="00A03054">
      <w:pPr>
        <w:ind w:left="851"/>
        <w:rPr>
          <w:sz w:val="24"/>
          <w:szCs w:val="24"/>
        </w:rPr>
      </w:pPr>
      <w:r w:rsidRPr="004509C6">
        <w:rPr>
          <w:sz w:val="24"/>
          <w:szCs w:val="24"/>
          <w:u w:val="single"/>
        </w:rPr>
        <w:t>Sekundær emballage</w:t>
      </w:r>
      <w:r w:rsidRPr="004509C6">
        <w:rPr>
          <w:sz w:val="24"/>
          <w:szCs w:val="24"/>
        </w:rPr>
        <w:t>:</w:t>
      </w:r>
    </w:p>
    <w:p w:rsidR="00A03054" w:rsidRPr="004509C6" w:rsidRDefault="00A03054" w:rsidP="00A03054">
      <w:pPr>
        <w:ind w:left="851"/>
        <w:rPr>
          <w:sz w:val="24"/>
          <w:szCs w:val="24"/>
        </w:rPr>
      </w:pPr>
      <w:r w:rsidRPr="004509C6">
        <w:rPr>
          <w:sz w:val="24"/>
          <w:szCs w:val="24"/>
        </w:rPr>
        <w:t xml:space="preserve">Papæske indeholdende et enkelt hætteglas med 7 ml, </w:t>
      </w:r>
      <w:r>
        <w:rPr>
          <w:sz w:val="24"/>
          <w:szCs w:val="24"/>
        </w:rPr>
        <w:t>14</w:t>
      </w:r>
      <w:r w:rsidRPr="004509C6">
        <w:rPr>
          <w:sz w:val="24"/>
          <w:szCs w:val="24"/>
        </w:rPr>
        <w:t xml:space="preserve"> ml eller 24 ml.</w:t>
      </w:r>
    </w:p>
    <w:p w:rsidR="00A03054" w:rsidRPr="004509C6" w:rsidRDefault="00A03054" w:rsidP="00A03054">
      <w:pPr>
        <w:ind w:left="851" w:hanging="851"/>
        <w:rPr>
          <w:sz w:val="24"/>
          <w:szCs w:val="24"/>
        </w:rPr>
      </w:pPr>
    </w:p>
    <w:p w:rsidR="00A03054" w:rsidRPr="004509C6" w:rsidRDefault="00A03054" w:rsidP="00A03054">
      <w:pPr>
        <w:ind w:left="851"/>
        <w:rPr>
          <w:sz w:val="24"/>
          <w:szCs w:val="24"/>
        </w:rPr>
      </w:pPr>
      <w:r w:rsidRPr="004509C6">
        <w:rPr>
          <w:sz w:val="24"/>
          <w:szCs w:val="24"/>
        </w:rPr>
        <w:t>Ikke alle pakningsstørrelser er nødvendigvis markedsfør</w:t>
      </w:r>
      <w:r>
        <w:rPr>
          <w:sz w:val="24"/>
          <w:szCs w:val="24"/>
        </w:rPr>
        <w:t>t.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</w:p>
    <w:p w:rsidR="00F30BE9" w:rsidRPr="004509C6" w:rsidRDefault="00F30BE9" w:rsidP="00F30BE9">
      <w:pPr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6.6</w:t>
      </w:r>
      <w:r w:rsidRPr="004509C6">
        <w:rPr>
          <w:b/>
          <w:sz w:val="24"/>
          <w:szCs w:val="24"/>
        </w:rPr>
        <w:tab/>
        <w:t>Særlige forholdsregler ved bortskaffelse af rester af lægemidlet eller affald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  <w:r w:rsidRPr="004509C6">
        <w:rPr>
          <w:sz w:val="24"/>
          <w:szCs w:val="24"/>
        </w:rPr>
        <w:tab/>
        <w:t>Ikke anvendte veterinærlægemidler, samt affald heraf bør destrueres i henhold til lokale retningslinjer.</w:t>
      </w:r>
    </w:p>
    <w:p w:rsidR="00F30BE9" w:rsidRDefault="00F30BE9" w:rsidP="00F30BE9">
      <w:pPr>
        <w:ind w:left="851" w:hanging="851"/>
        <w:rPr>
          <w:sz w:val="24"/>
          <w:szCs w:val="24"/>
        </w:rPr>
      </w:pPr>
    </w:p>
    <w:p w:rsidR="00EC710E" w:rsidRPr="00014F59" w:rsidRDefault="00EC710E" w:rsidP="00F30BE9">
      <w:pPr>
        <w:ind w:left="851" w:hanging="851"/>
        <w:rPr>
          <w:sz w:val="24"/>
          <w:szCs w:val="24"/>
        </w:rPr>
      </w:pPr>
    </w:p>
    <w:p w:rsidR="00F30BE9" w:rsidRPr="004509C6" w:rsidRDefault="00F30BE9" w:rsidP="00F30BE9">
      <w:pPr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lastRenderedPageBreak/>
        <w:t>7.</w:t>
      </w:r>
      <w:r w:rsidRPr="004509C6">
        <w:rPr>
          <w:b/>
          <w:sz w:val="24"/>
          <w:szCs w:val="24"/>
        </w:rPr>
        <w:tab/>
        <w:t>INDEHAVER AF MARKEDSFØRINGSTILLADELSEN</w:t>
      </w:r>
    </w:p>
    <w:p w:rsidR="00C129DF" w:rsidRPr="00C129DF" w:rsidRDefault="00F30BE9" w:rsidP="00C129DF">
      <w:pPr>
        <w:ind w:left="851" w:hanging="851"/>
        <w:jc w:val="both"/>
        <w:rPr>
          <w:sz w:val="24"/>
          <w:szCs w:val="24"/>
        </w:rPr>
      </w:pPr>
      <w:r w:rsidRPr="004509C6">
        <w:rPr>
          <w:sz w:val="24"/>
          <w:szCs w:val="24"/>
        </w:rPr>
        <w:tab/>
      </w:r>
      <w:proofErr w:type="spellStart"/>
      <w:r w:rsidR="00C129DF" w:rsidRPr="00C129DF">
        <w:rPr>
          <w:sz w:val="24"/>
          <w:szCs w:val="24"/>
        </w:rPr>
        <w:t>Veyx</w:t>
      </w:r>
      <w:proofErr w:type="spellEnd"/>
      <w:r w:rsidR="00C129DF" w:rsidRPr="00C129DF">
        <w:rPr>
          <w:sz w:val="24"/>
          <w:szCs w:val="24"/>
        </w:rPr>
        <w:t>-Pharma GmbH</w:t>
      </w:r>
    </w:p>
    <w:p w:rsidR="00C129DF" w:rsidRPr="00C129DF" w:rsidRDefault="00C129DF" w:rsidP="00C129DF">
      <w:pPr>
        <w:ind w:left="851"/>
        <w:jc w:val="both"/>
        <w:rPr>
          <w:sz w:val="24"/>
          <w:szCs w:val="24"/>
        </w:rPr>
      </w:pPr>
      <w:proofErr w:type="spellStart"/>
      <w:r w:rsidRPr="00C129DF">
        <w:rPr>
          <w:sz w:val="24"/>
          <w:szCs w:val="24"/>
        </w:rPr>
        <w:t>Söhreweg</w:t>
      </w:r>
      <w:proofErr w:type="spellEnd"/>
      <w:r w:rsidRPr="00C129DF">
        <w:rPr>
          <w:sz w:val="24"/>
          <w:szCs w:val="24"/>
        </w:rPr>
        <w:t xml:space="preserve"> 6</w:t>
      </w:r>
    </w:p>
    <w:p w:rsidR="00C129DF" w:rsidRPr="00C129DF" w:rsidRDefault="00C129DF" w:rsidP="00C129DF">
      <w:pPr>
        <w:ind w:left="851"/>
        <w:jc w:val="both"/>
        <w:rPr>
          <w:sz w:val="24"/>
          <w:szCs w:val="24"/>
        </w:rPr>
      </w:pPr>
      <w:r w:rsidRPr="00C129DF">
        <w:rPr>
          <w:sz w:val="24"/>
          <w:szCs w:val="24"/>
        </w:rPr>
        <w:t xml:space="preserve">34639 </w:t>
      </w:r>
      <w:proofErr w:type="spellStart"/>
      <w:r w:rsidRPr="00C129DF">
        <w:rPr>
          <w:sz w:val="24"/>
          <w:szCs w:val="24"/>
        </w:rPr>
        <w:t>Schwarzenborn</w:t>
      </w:r>
      <w:proofErr w:type="spellEnd"/>
    </w:p>
    <w:p w:rsidR="00F30BE9" w:rsidRPr="004509C6" w:rsidRDefault="00C129DF" w:rsidP="00C129DF">
      <w:pPr>
        <w:ind w:left="851"/>
        <w:jc w:val="both"/>
        <w:rPr>
          <w:sz w:val="24"/>
          <w:szCs w:val="24"/>
        </w:rPr>
      </w:pPr>
      <w:r w:rsidRPr="00C129DF">
        <w:rPr>
          <w:sz w:val="24"/>
          <w:szCs w:val="24"/>
        </w:rPr>
        <w:t>Tyskland</w:t>
      </w:r>
    </w:p>
    <w:p w:rsidR="00F30BE9" w:rsidRDefault="00F30BE9" w:rsidP="00F30BE9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:rsidR="00F30BE9" w:rsidRDefault="00F30BE9" w:rsidP="00F30BE9">
      <w:pPr>
        <w:ind w:left="851"/>
        <w:rPr>
          <w:b/>
          <w:sz w:val="24"/>
          <w:szCs w:val="24"/>
        </w:rPr>
      </w:pPr>
      <w:r w:rsidRPr="00C129DF">
        <w:rPr>
          <w:b/>
          <w:sz w:val="24"/>
          <w:szCs w:val="24"/>
        </w:rPr>
        <w:t>Repræsentant</w:t>
      </w:r>
    </w:p>
    <w:p w:rsidR="00C129DF" w:rsidRPr="00C129DF" w:rsidRDefault="00C129DF" w:rsidP="00C129DF">
      <w:pPr>
        <w:ind w:left="851"/>
        <w:rPr>
          <w:sz w:val="24"/>
          <w:szCs w:val="24"/>
        </w:rPr>
      </w:pPr>
      <w:proofErr w:type="spellStart"/>
      <w:r w:rsidRPr="00C129DF">
        <w:rPr>
          <w:sz w:val="24"/>
          <w:szCs w:val="24"/>
        </w:rPr>
        <w:t>proVET</w:t>
      </w:r>
      <w:proofErr w:type="spellEnd"/>
      <w:r w:rsidRPr="00C129DF">
        <w:rPr>
          <w:sz w:val="24"/>
          <w:szCs w:val="24"/>
        </w:rPr>
        <w:t xml:space="preserve"> Nordic ApS</w:t>
      </w:r>
    </w:p>
    <w:p w:rsidR="00C129DF" w:rsidRPr="00C129DF" w:rsidRDefault="00C129DF" w:rsidP="00C129DF">
      <w:pPr>
        <w:ind w:left="851"/>
        <w:rPr>
          <w:sz w:val="24"/>
          <w:szCs w:val="24"/>
        </w:rPr>
      </w:pPr>
      <w:r w:rsidRPr="00C129DF">
        <w:rPr>
          <w:sz w:val="24"/>
          <w:szCs w:val="24"/>
        </w:rPr>
        <w:t>Industrivej 5</w:t>
      </w:r>
    </w:p>
    <w:p w:rsidR="00C129DF" w:rsidRPr="00C129DF" w:rsidRDefault="00C129DF" w:rsidP="00C129DF">
      <w:pPr>
        <w:ind w:left="851"/>
        <w:rPr>
          <w:sz w:val="24"/>
          <w:szCs w:val="24"/>
        </w:rPr>
      </w:pPr>
      <w:r w:rsidRPr="00C129DF">
        <w:rPr>
          <w:sz w:val="24"/>
          <w:szCs w:val="24"/>
        </w:rPr>
        <w:t>6640 Lunderskov</w:t>
      </w:r>
    </w:p>
    <w:p w:rsidR="00F30BE9" w:rsidRPr="006D6933" w:rsidRDefault="00F30BE9" w:rsidP="00C129DF">
      <w:pPr>
        <w:ind w:left="851" w:hanging="851"/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:rsidR="00F30BE9" w:rsidRPr="004509C6" w:rsidRDefault="00F30BE9" w:rsidP="00F30BE9">
      <w:pPr>
        <w:numPr>
          <w:ilvl w:val="0"/>
          <w:numId w:val="3"/>
        </w:numPr>
        <w:tabs>
          <w:tab w:val="clear" w:pos="360"/>
        </w:tabs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MARKEDSFØRINGSTILLADELSESNUMMER (NUMRE)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  <w:r w:rsidRPr="004509C6">
        <w:rPr>
          <w:sz w:val="24"/>
          <w:szCs w:val="24"/>
        </w:rPr>
        <w:tab/>
        <w:t>48957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</w:p>
    <w:p w:rsidR="00F30BE9" w:rsidRPr="004509C6" w:rsidRDefault="00F30BE9" w:rsidP="00F30BE9">
      <w:pPr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9.</w:t>
      </w:r>
      <w:r w:rsidRPr="004509C6">
        <w:rPr>
          <w:b/>
          <w:sz w:val="24"/>
          <w:szCs w:val="24"/>
        </w:rPr>
        <w:tab/>
        <w:t>DATO FOR FØRSTE MARKEDSFØRINGSTILLADELSE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  <w:r w:rsidRPr="004509C6">
        <w:rPr>
          <w:sz w:val="24"/>
          <w:szCs w:val="24"/>
        </w:rPr>
        <w:tab/>
        <w:t>12. marts 2012</w:t>
      </w:r>
    </w:p>
    <w:p w:rsidR="00F30BE9" w:rsidRDefault="00F30BE9" w:rsidP="00F30BE9">
      <w:pPr>
        <w:ind w:left="851" w:hanging="851"/>
        <w:rPr>
          <w:sz w:val="24"/>
          <w:szCs w:val="24"/>
        </w:rPr>
      </w:pPr>
    </w:p>
    <w:p w:rsidR="00F30BE9" w:rsidRPr="004509C6" w:rsidRDefault="00F30BE9" w:rsidP="00F30BE9">
      <w:pPr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10.</w:t>
      </w:r>
      <w:r w:rsidRPr="004509C6">
        <w:rPr>
          <w:b/>
          <w:sz w:val="24"/>
          <w:szCs w:val="24"/>
        </w:rPr>
        <w:tab/>
        <w:t>DATO FOR ÆNDRING AF TEKSTEN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  <w:r w:rsidRPr="004509C6">
        <w:rPr>
          <w:sz w:val="24"/>
          <w:szCs w:val="24"/>
        </w:rPr>
        <w:tab/>
      </w:r>
      <w:r w:rsidR="00391855">
        <w:rPr>
          <w:sz w:val="24"/>
          <w:szCs w:val="24"/>
        </w:rPr>
        <w:t>31</w:t>
      </w:r>
      <w:r w:rsidR="00C129DF">
        <w:rPr>
          <w:sz w:val="24"/>
          <w:szCs w:val="24"/>
        </w:rPr>
        <w:t xml:space="preserve">. </w:t>
      </w:r>
      <w:r w:rsidR="00391855">
        <w:rPr>
          <w:sz w:val="24"/>
          <w:szCs w:val="24"/>
        </w:rPr>
        <w:t>juli</w:t>
      </w:r>
      <w:r w:rsidR="00C129DF">
        <w:rPr>
          <w:sz w:val="24"/>
          <w:szCs w:val="24"/>
        </w:rPr>
        <w:t xml:space="preserve"> 202</w:t>
      </w:r>
      <w:r w:rsidR="008B6139">
        <w:rPr>
          <w:sz w:val="24"/>
          <w:szCs w:val="24"/>
        </w:rPr>
        <w:t>3</w:t>
      </w:r>
      <w:bookmarkStart w:id="3" w:name="_GoBack"/>
      <w:bookmarkEnd w:id="3"/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</w:p>
    <w:p w:rsidR="00F30BE9" w:rsidRPr="004509C6" w:rsidRDefault="00F30BE9" w:rsidP="00F30BE9">
      <w:pPr>
        <w:ind w:left="851" w:hanging="851"/>
        <w:rPr>
          <w:b/>
          <w:sz w:val="24"/>
          <w:szCs w:val="24"/>
        </w:rPr>
      </w:pPr>
      <w:r w:rsidRPr="004509C6">
        <w:rPr>
          <w:b/>
          <w:sz w:val="24"/>
          <w:szCs w:val="24"/>
        </w:rPr>
        <w:t>11.</w:t>
      </w:r>
      <w:r w:rsidRPr="004509C6">
        <w:rPr>
          <w:b/>
          <w:sz w:val="24"/>
          <w:szCs w:val="24"/>
        </w:rPr>
        <w:tab/>
        <w:t>UDLEVERINGSBESTEMMELSE</w:t>
      </w:r>
    </w:p>
    <w:p w:rsidR="00F30BE9" w:rsidRPr="004509C6" w:rsidRDefault="00F30BE9" w:rsidP="00F30BE9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4509C6">
        <w:rPr>
          <w:szCs w:val="24"/>
        </w:rPr>
        <w:tab/>
        <w:t>B</w:t>
      </w:r>
    </w:p>
    <w:p w:rsidR="00F30BE9" w:rsidRPr="004509C6" w:rsidRDefault="00F30BE9" w:rsidP="00F30BE9">
      <w:pPr>
        <w:ind w:left="851" w:hanging="851"/>
        <w:rPr>
          <w:sz w:val="24"/>
          <w:szCs w:val="24"/>
        </w:rPr>
      </w:pPr>
    </w:p>
    <w:p w:rsidR="00F30BE9" w:rsidRPr="00BB1C51" w:rsidRDefault="00F30BE9" w:rsidP="00F30BE9"/>
    <w:p w:rsidR="0003527F" w:rsidRPr="00F30BE9" w:rsidRDefault="0003527F" w:rsidP="00F30BE9"/>
    <w:sectPr w:rsidR="0003527F" w:rsidRPr="00F30BE9" w:rsidSect="00C479B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BE9" w:rsidRDefault="00F30BE9">
      <w:r>
        <w:separator/>
      </w:r>
    </w:p>
  </w:endnote>
  <w:endnote w:type="continuationSeparator" w:id="0">
    <w:p w:rsidR="00F30BE9" w:rsidRDefault="00F30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C129DF">
    <w:pPr>
      <w:pStyle w:val="Sidefod"/>
      <w:tabs>
        <w:tab w:val="clear" w:pos="4819"/>
        <w:tab w:val="left" w:pos="8647"/>
      </w:tabs>
      <w:rPr>
        <w:i/>
        <w:sz w:val="18"/>
      </w:rPr>
    </w:pPr>
    <w:proofErr w:type="spellStart"/>
    <w:r w:rsidRPr="00C129DF">
      <w:rPr>
        <w:i/>
        <w:snapToGrid w:val="0"/>
        <w:sz w:val="18"/>
      </w:rPr>
      <w:t>Kelactin</w:t>
    </w:r>
    <w:proofErr w:type="spellEnd"/>
    <w:r w:rsidRPr="00C129DF">
      <w:rPr>
        <w:i/>
        <w:snapToGrid w:val="0"/>
        <w:sz w:val="18"/>
      </w:rPr>
      <w:t xml:space="preserve"> </w:t>
    </w:r>
    <w:proofErr w:type="spellStart"/>
    <w:r w:rsidRPr="00C129DF">
      <w:rPr>
        <w:i/>
        <w:snapToGrid w:val="0"/>
        <w:sz w:val="18"/>
      </w:rPr>
      <w:t>Vet</w:t>
    </w:r>
    <w:proofErr w:type="spellEnd"/>
    <w:r w:rsidRPr="00C129DF">
      <w:rPr>
        <w:i/>
        <w:snapToGrid w:val="0"/>
        <w:sz w:val="18"/>
      </w:rPr>
      <w:t>., oral opløsning 50 mikrogram-ml</w:t>
    </w:r>
    <w:r w:rsidR="004A62CC">
      <w:rPr>
        <w:i/>
        <w:snapToGrid w:val="0"/>
        <w:sz w:val="18"/>
      </w:rPr>
      <w:tab/>
      <w:t xml:space="preserve">Side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F30BE9">
      <w:rPr>
        <w:i/>
        <w:noProof/>
        <w:snapToGrid w:val="0"/>
        <w:sz w:val="18"/>
      </w:rPr>
      <w:t>Dokument444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BE9" w:rsidRDefault="00F30BE9">
      <w:r>
        <w:separator/>
      </w:r>
    </w:p>
  </w:footnote>
  <w:footnote w:type="continuationSeparator" w:id="0">
    <w:p w:rsidR="00F30BE9" w:rsidRDefault="00F30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A31FE"/>
    <w:multiLevelType w:val="hybridMultilevel"/>
    <w:tmpl w:val="2D3EF05A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54E00EB"/>
    <w:multiLevelType w:val="hybridMultilevel"/>
    <w:tmpl w:val="44C0E1D0"/>
    <w:lvl w:ilvl="0" w:tplc="67B02194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B022B6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E32155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4C4961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59E0BAC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45263A6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0DE598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DB66D06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E562725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2E85B69"/>
    <w:multiLevelType w:val="hybridMultilevel"/>
    <w:tmpl w:val="4E5EFCB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E167D"/>
    <w:multiLevelType w:val="hybridMultilevel"/>
    <w:tmpl w:val="B7E2F14E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BE9"/>
    <w:rsid w:val="0003527F"/>
    <w:rsid w:val="00065C7D"/>
    <w:rsid w:val="000C6CD4"/>
    <w:rsid w:val="00114293"/>
    <w:rsid w:val="001577E4"/>
    <w:rsid w:val="001858CA"/>
    <w:rsid w:val="001C2138"/>
    <w:rsid w:val="001C4AEF"/>
    <w:rsid w:val="001D3CC5"/>
    <w:rsid w:val="00237013"/>
    <w:rsid w:val="002A7AE1"/>
    <w:rsid w:val="002C76D1"/>
    <w:rsid w:val="00322BDE"/>
    <w:rsid w:val="00355A02"/>
    <w:rsid w:val="00391855"/>
    <w:rsid w:val="00406EE7"/>
    <w:rsid w:val="00407013"/>
    <w:rsid w:val="00420827"/>
    <w:rsid w:val="004A62CC"/>
    <w:rsid w:val="00565A74"/>
    <w:rsid w:val="005B0036"/>
    <w:rsid w:val="005B2737"/>
    <w:rsid w:val="005F5831"/>
    <w:rsid w:val="00662012"/>
    <w:rsid w:val="00666B01"/>
    <w:rsid w:val="006B1539"/>
    <w:rsid w:val="006D4B41"/>
    <w:rsid w:val="006E57AD"/>
    <w:rsid w:val="006F5621"/>
    <w:rsid w:val="007E2A00"/>
    <w:rsid w:val="008010F2"/>
    <w:rsid w:val="008760ED"/>
    <w:rsid w:val="008B6139"/>
    <w:rsid w:val="008C31CE"/>
    <w:rsid w:val="009202AE"/>
    <w:rsid w:val="00932676"/>
    <w:rsid w:val="009355DA"/>
    <w:rsid w:val="009478CC"/>
    <w:rsid w:val="009D66C6"/>
    <w:rsid w:val="00A03054"/>
    <w:rsid w:val="00A96525"/>
    <w:rsid w:val="00AE29E5"/>
    <w:rsid w:val="00AE5757"/>
    <w:rsid w:val="00B25EB8"/>
    <w:rsid w:val="00BC634B"/>
    <w:rsid w:val="00BF2AE0"/>
    <w:rsid w:val="00BF39AE"/>
    <w:rsid w:val="00C129DF"/>
    <w:rsid w:val="00C479BF"/>
    <w:rsid w:val="00D567AA"/>
    <w:rsid w:val="00DD6D71"/>
    <w:rsid w:val="00DF2018"/>
    <w:rsid w:val="00DF32BE"/>
    <w:rsid w:val="00E14F0A"/>
    <w:rsid w:val="00EB5778"/>
    <w:rsid w:val="00EC710E"/>
    <w:rsid w:val="00EE5253"/>
    <w:rsid w:val="00EF481C"/>
    <w:rsid w:val="00F26402"/>
    <w:rsid w:val="00F30BE9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3A20EC9"/>
  <w15:chartTrackingRefBased/>
  <w15:docId w15:val="{CBE6E0FA-CF2A-48AE-ADE8-554F5127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customStyle="1" w:styleId="DsPara">
    <w:name w:val="DsPara"/>
    <w:basedOn w:val="Normal"/>
    <w:uiPriority w:val="99"/>
    <w:rsid w:val="00F30BE9"/>
    <w:pPr>
      <w:autoSpaceDE w:val="0"/>
      <w:autoSpaceDN w:val="0"/>
      <w:spacing w:before="80"/>
      <w:jc w:val="both"/>
    </w:pPr>
    <w:rPr>
      <w:rFonts w:ascii="Helvetica" w:hAnsi="Helvetica" w:cs="Helvetica"/>
      <w:sz w:val="20"/>
    </w:rPr>
  </w:style>
  <w:style w:type="paragraph" w:styleId="Brdtekst2">
    <w:name w:val="Body Text 2"/>
    <w:basedOn w:val="Normal"/>
    <w:link w:val="Brdtekst2Tegn"/>
    <w:unhideWhenUsed/>
    <w:rsid w:val="00F30BE9"/>
    <w:pPr>
      <w:jc w:val="both"/>
    </w:pPr>
    <w:rPr>
      <w:rFonts w:ascii="Verdana" w:hAnsi="Verdana" w:cs="Verdana"/>
      <w:b/>
      <w:bCs/>
      <w:sz w:val="20"/>
      <w:lang w:eastAsia="nl-NL"/>
    </w:rPr>
  </w:style>
  <w:style w:type="character" w:customStyle="1" w:styleId="Brdtekst2Tegn">
    <w:name w:val="Brødtekst 2 Tegn"/>
    <w:basedOn w:val="Standardskrifttypeiafsnit"/>
    <w:link w:val="Brdtekst2"/>
    <w:rsid w:val="00F30BE9"/>
    <w:rPr>
      <w:rFonts w:ascii="Verdana" w:hAnsi="Verdana" w:cs="Verdana"/>
      <w:b/>
      <w:bCs/>
      <w:lang w:eastAsia="nl-NL"/>
    </w:rPr>
  </w:style>
  <w:style w:type="paragraph" w:customStyle="1" w:styleId="Pa7">
    <w:name w:val="Pa7"/>
    <w:basedOn w:val="Normal"/>
    <w:next w:val="Normal"/>
    <w:uiPriority w:val="99"/>
    <w:rsid w:val="00F30BE9"/>
    <w:pPr>
      <w:autoSpaceDE w:val="0"/>
      <w:autoSpaceDN w:val="0"/>
      <w:adjustRightInd w:val="0"/>
      <w:spacing w:line="161" w:lineRule="atLeast"/>
    </w:pPr>
    <w:rPr>
      <w:rFonts w:ascii="Arial" w:hAnsi="Arial" w:cs="Arial"/>
      <w:sz w:val="20"/>
      <w:lang w:eastAsia="nl-NL"/>
    </w:rPr>
  </w:style>
  <w:style w:type="paragraph" w:styleId="Listeafsnit">
    <w:name w:val="List Paragraph"/>
    <w:basedOn w:val="Normal"/>
    <w:uiPriority w:val="34"/>
    <w:qFormat/>
    <w:rsid w:val="00F30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0</TotalTime>
  <Pages>6</Pages>
  <Words>1398</Words>
  <Characters>9494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Skov</dc:creator>
  <cp:keywords/>
  <dc:description>2023051953_x000d_
SPC pkt. 4.9. Change in supplier of packaging components or devices.</dc:description>
  <cp:lastModifiedBy>Kristine Skov Hansen</cp:lastModifiedBy>
  <cp:revision>2</cp:revision>
  <dcterms:created xsi:type="dcterms:W3CDTF">2023-07-31T09:52:00Z</dcterms:created>
  <dcterms:modified xsi:type="dcterms:W3CDTF">2023-07-31T09:52:00Z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