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36" w:rsidRPr="008F49E1" w:rsidRDefault="005B0036" w:rsidP="005B0036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417F1A69" wp14:editId="578A875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BF" w:rsidRDefault="00C479BF" w:rsidP="005B0036">
      <w:pPr>
        <w:rPr>
          <w:sz w:val="24"/>
          <w:szCs w:val="24"/>
        </w:rPr>
      </w:pPr>
    </w:p>
    <w:p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F66A8">
        <w:rPr>
          <w:b/>
          <w:sz w:val="24"/>
          <w:szCs w:val="24"/>
        </w:rPr>
        <w:t>16. juli 2021</w:t>
      </w:r>
    </w:p>
    <w:p w:rsidR="005B0036" w:rsidRPr="00406EE7" w:rsidRDefault="005B0036" w:rsidP="005B0036">
      <w:pPr>
        <w:rPr>
          <w:sz w:val="24"/>
          <w:szCs w:val="24"/>
        </w:rPr>
      </w:pPr>
    </w:p>
    <w:p w:rsidR="00C479BF" w:rsidRDefault="00C479BF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565A74" w:rsidRDefault="001C1EA8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Kelafen</w:t>
      </w:r>
      <w:proofErr w:type="spellEnd"/>
      <w:r>
        <w:rPr>
          <w:b/>
          <w:sz w:val="24"/>
          <w:szCs w:val="24"/>
        </w:rPr>
        <w:t>, injektionsvæske, opløsning</w:t>
      </w:r>
    </w:p>
    <w:p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5B0036" w:rsidRPr="00406EE7" w:rsidRDefault="00C15927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31995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5B0036" w:rsidRPr="00406EE7" w:rsidRDefault="00740981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Kelafen</w:t>
      </w:r>
      <w:proofErr w:type="spellEnd"/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740981" w:rsidRPr="00740981" w:rsidRDefault="00BF66A8" w:rsidP="0074098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Hver ml indeholder:</w:t>
      </w:r>
    </w:p>
    <w:p w:rsidR="00740981" w:rsidRPr="00740981" w:rsidRDefault="00740981" w:rsidP="00740981">
      <w:pPr>
        <w:tabs>
          <w:tab w:val="left" w:pos="8222"/>
        </w:tabs>
        <w:ind w:left="851"/>
        <w:rPr>
          <w:sz w:val="24"/>
          <w:szCs w:val="24"/>
        </w:rPr>
      </w:pPr>
    </w:p>
    <w:p w:rsidR="00740981" w:rsidRPr="00BF66A8" w:rsidRDefault="00740981" w:rsidP="00740981">
      <w:pPr>
        <w:tabs>
          <w:tab w:val="left" w:pos="8222"/>
        </w:tabs>
        <w:ind w:left="851"/>
        <w:rPr>
          <w:b/>
          <w:sz w:val="24"/>
          <w:szCs w:val="24"/>
        </w:rPr>
      </w:pPr>
      <w:r w:rsidRPr="00BF66A8">
        <w:rPr>
          <w:b/>
          <w:sz w:val="24"/>
          <w:szCs w:val="24"/>
        </w:rPr>
        <w:t>Aktivt stof</w:t>
      </w:r>
    </w:p>
    <w:p w:rsidR="00740981" w:rsidRPr="00740981" w:rsidRDefault="00740981" w:rsidP="00740981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740981">
        <w:rPr>
          <w:sz w:val="24"/>
          <w:szCs w:val="24"/>
        </w:rPr>
        <w:t>Ketoprofen</w:t>
      </w:r>
      <w:proofErr w:type="spellEnd"/>
      <w:r w:rsidRPr="00740981">
        <w:rPr>
          <w:sz w:val="24"/>
          <w:szCs w:val="24"/>
        </w:rPr>
        <w:t xml:space="preserve"> 100 mg</w:t>
      </w:r>
      <w:r w:rsidR="001750B2">
        <w:rPr>
          <w:sz w:val="24"/>
          <w:szCs w:val="24"/>
        </w:rPr>
        <w:t>.</w:t>
      </w:r>
    </w:p>
    <w:p w:rsidR="00740981" w:rsidRPr="00740981" w:rsidRDefault="00740981" w:rsidP="00740981">
      <w:pPr>
        <w:tabs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ab/>
      </w:r>
    </w:p>
    <w:p w:rsidR="00740981" w:rsidRPr="00BF66A8" w:rsidRDefault="00740981" w:rsidP="00740981">
      <w:pPr>
        <w:tabs>
          <w:tab w:val="left" w:pos="8222"/>
        </w:tabs>
        <w:ind w:left="851"/>
        <w:rPr>
          <w:b/>
          <w:sz w:val="24"/>
          <w:szCs w:val="24"/>
        </w:rPr>
      </w:pPr>
      <w:r w:rsidRPr="00BF66A8">
        <w:rPr>
          <w:b/>
          <w:sz w:val="24"/>
          <w:szCs w:val="24"/>
        </w:rPr>
        <w:t>Hjælpestoffer</w:t>
      </w:r>
    </w:p>
    <w:p w:rsidR="00740981" w:rsidRPr="00740981" w:rsidRDefault="00740981" w:rsidP="00740981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740981">
        <w:rPr>
          <w:sz w:val="24"/>
          <w:szCs w:val="24"/>
        </w:rPr>
        <w:t>Benzylalkohol</w:t>
      </w:r>
      <w:proofErr w:type="spellEnd"/>
      <w:r w:rsidRPr="00740981">
        <w:rPr>
          <w:sz w:val="24"/>
          <w:szCs w:val="24"/>
        </w:rPr>
        <w:t xml:space="preserve"> (E1519) 10 mg</w:t>
      </w:r>
      <w:r w:rsidR="001750B2">
        <w:rPr>
          <w:sz w:val="24"/>
          <w:szCs w:val="24"/>
        </w:rPr>
        <w:t>.</w:t>
      </w:r>
    </w:p>
    <w:p w:rsidR="00740981" w:rsidRPr="00740981" w:rsidRDefault="00740981" w:rsidP="00740981">
      <w:pPr>
        <w:tabs>
          <w:tab w:val="left" w:pos="8222"/>
        </w:tabs>
        <w:ind w:left="851"/>
        <w:rPr>
          <w:sz w:val="24"/>
          <w:szCs w:val="24"/>
        </w:rPr>
      </w:pPr>
    </w:p>
    <w:p w:rsidR="00740981" w:rsidRPr="00740981" w:rsidRDefault="001750B2" w:rsidP="0074098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Alle hjælpestoffer er anført under</w:t>
      </w:r>
      <w:r w:rsidR="00740981" w:rsidRPr="00740981">
        <w:rPr>
          <w:sz w:val="24"/>
          <w:szCs w:val="24"/>
        </w:rPr>
        <w:t xml:space="preserve"> </w:t>
      </w:r>
      <w:r w:rsidR="00740981">
        <w:rPr>
          <w:sz w:val="24"/>
          <w:szCs w:val="24"/>
        </w:rPr>
        <w:t>pkt.</w:t>
      </w:r>
      <w:r w:rsidR="00740981" w:rsidRPr="00740981">
        <w:rPr>
          <w:sz w:val="24"/>
          <w:szCs w:val="24"/>
        </w:rPr>
        <w:t xml:space="preserve"> 6.1</w:t>
      </w:r>
      <w:r>
        <w:rPr>
          <w:sz w:val="24"/>
          <w:szCs w:val="24"/>
        </w:rPr>
        <w:t>.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>Injektionsvæske, opløsning</w:t>
      </w:r>
    </w:p>
    <w:p w:rsidR="00766BA2" w:rsidRPr="00740981" w:rsidRDefault="00766BA2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>Klar, farveløs eller gullig opløsning.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766BA2" w:rsidRDefault="00740981" w:rsidP="00740981">
      <w:pPr>
        <w:tabs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>Hest</w:t>
      </w:r>
    </w:p>
    <w:p w:rsidR="00766BA2" w:rsidRDefault="00766BA2" w:rsidP="0074098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K</w:t>
      </w:r>
      <w:r w:rsidR="00740981" w:rsidRPr="00740981">
        <w:rPr>
          <w:sz w:val="24"/>
          <w:szCs w:val="24"/>
        </w:rPr>
        <w:t>væg</w:t>
      </w:r>
    </w:p>
    <w:p w:rsidR="00740981" w:rsidRPr="00740981" w:rsidRDefault="00766BA2" w:rsidP="0074098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="00740981" w:rsidRPr="00740981">
        <w:rPr>
          <w:sz w:val="24"/>
          <w:szCs w:val="24"/>
        </w:rPr>
        <w:t>vin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740981" w:rsidRPr="00740981" w:rsidRDefault="00740981" w:rsidP="00740981">
      <w:pPr>
        <w:pStyle w:val="Sidehoved"/>
        <w:tabs>
          <w:tab w:val="left" w:pos="8222"/>
        </w:tabs>
        <w:ind w:left="851"/>
        <w:rPr>
          <w:szCs w:val="24"/>
        </w:rPr>
      </w:pPr>
    </w:p>
    <w:p w:rsidR="00740981" w:rsidRPr="00185EEE" w:rsidRDefault="00740981" w:rsidP="00740981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185EEE">
        <w:rPr>
          <w:szCs w:val="24"/>
          <w:u w:val="single"/>
        </w:rPr>
        <w:t>Hest</w:t>
      </w:r>
    </w:p>
    <w:p w:rsidR="00740981" w:rsidRPr="00740981" w:rsidRDefault="00740981" w:rsidP="00185EEE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  <w:t xml:space="preserve">lindring af betændelse og smerter forbundet med </w:t>
      </w:r>
      <w:proofErr w:type="spellStart"/>
      <w:r w:rsidRPr="00740981">
        <w:rPr>
          <w:szCs w:val="24"/>
        </w:rPr>
        <w:t>muskuloskeletale</w:t>
      </w:r>
      <w:proofErr w:type="spellEnd"/>
      <w:r w:rsidRPr="00740981">
        <w:rPr>
          <w:szCs w:val="24"/>
        </w:rPr>
        <w:t xml:space="preserve"> lidelser;</w:t>
      </w:r>
    </w:p>
    <w:p w:rsidR="00740981" w:rsidRPr="00740981" w:rsidRDefault="00740981" w:rsidP="00185EEE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  <w:t xml:space="preserve">lindring af </w:t>
      </w:r>
      <w:proofErr w:type="spellStart"/>
      <w:r w:rsidRPr="00740981">
        <w:rPr>
          <w:szCs w:val="24"/>
        </w:rPr>
        <w:t>viceral</w:t>
      </w:r>
      <w:r w:rsidR="00185EEE">
        <w:rPr>
          <w:szCs w:val="24"/>
        </w:rPr>
        <w:t>e</w:t>
      </w:r>
      <w:proofErr w:type="spellEnd"/>
      <w:r w:rsidR="00185EEE">
        <w:rPr>
          <w:szCs w:val="24"/>
        </w:rPr>
        <w:t xml:space="preserve"> </w:t>
      </w:r>
      <w:r w:rsidRPr="00740981">
        <w:rPr>
          <w:szCs w:val="24"/>
        </w:rPr>
        <w:t>smerter forbundet med kolik.</w:t>
      </w:r>
    </w:p>
    <w:p w:rsidR="00740981" w:rsidRPr="00740981" w:rsidRDefault="00740981" w:rsidP="00740981">
      <w:pPr>
        <w:pStyle w:val="Sidehoved"/>
        <w:tabs>
          <w:tab w:val="left" w:pos="8222"/>
        </w:tabs>
        <w:ind w:left="851"/>
        <w:rPr>
          <w:szCs w:val="24"/>
        </w:rPr>
      </w:pPr>
    </w:p>
    <w:p w:rsidR="00740981" w:rsidRPr="00185EEE" w:rsidRDefault="00740981" w:rsidP="00740981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185EEE">
        <w:rPr>
          <w:szCs w:val="24"/>
          <w:u w:val="single"/>
        </w:rPr>
        <w:lastRenderedPageBreak/>
        <w:t>Kvæg</w:t>
      </w:r>
    </w:p>
    <w:p w:rsidR="00740981" w:rsidRPr="00740981" w:rsidRDefault="00740981" w:rsidP="00185EEE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  <w:t xml:space="preserve">understøttende behandling af </w:t>
      </w:r>
      <w:proofErr w:type="spellStart"/>
      <w:r w:rsidRPr="00740981">
        <w:rPr>
          <w:szCs w:val="24"/>
        </w:rPr>
        <w:t>parurient</w:t>
      </w:r>
      <w:proofErr w:type="spellEnd"/>
      <w:r w:rsidRPr="00740981">
        <w:rPr>
          <w:szCs w:val="24"/>
        </w:rPr>
        <w:t xml:space="preserve"> parese forbundet med kælvning;</w:t>
      </w:r>
    </w:p>
    <w:p w:rsidR="00740981" w:rsidRPr="00740981" w:rsidRDefault="00740981" w:rsidP="00185EEE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  <w:t xml:space="preserve">reduktion af </w:t>
      </w:r>
      <w:proofErr w:type="spellStart"/>
      <w:r w:rsidRPr="00740981">
        <w:rPr>
          <w:szCs w:val="24"/>
        </w:rPr>
        <w:t>pyreksi</w:t>
      </w:r>
      <w:proofErr w:type="spellEnd"/>
      <w:r w:rsidRPr="00740981">
        <w:rPr>
          <w:szCs w:val="24"/>
        </w:rPr>
        <w:t xml:space="preserve"> og </w:t>
      </w:r>
      <w:r w:rsidR="009060E4">
        <w:rPr>
          <w:szCs w:val="24"/>
        </w:rPr>
        <w:t>lidelse</w:t>
      </w:r>
      <w:r w:rsidRPr="00740981">
        <w:rPr>
          <w:szCs w:val="24"/>
        </w:rPr>
        <w:t xml:space="preserve"> forbundet med bakteriel respiratorisk sygdom, når det bruges i forbindelse med antimikrobiel terapi efter behov;</w:t>
      </w:r>
    </w:p>
    <w:p w:rsidR="00740981" w:rsidRPr="00740981" w:rsidRDefault="00740981" w:rsidP="00185EEE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  <w:t xml:space="preserve">forbedring af restitutionsgraden ved akut klinisk </w:t>
      </w:r>
      <w:proofErr w:type="spellStart"/>
      <w:r w:rsidRPr="00740981">
        <w:rPr>
          <w:szCs w:val="24"/>
        </w:rPr>
        <w:t>mastitis</w:t>
      </w:r>
      <w:proofErr w:type="spellEnd"/>
      <w:r w:rsidRPr="00740981">
        <w:rPr>
          <w:szCs w:val="24"/>
        </w:rPr>
        <w:t xml:space="preserve">, herunder akut endotoksin </w:t>
      </w:r>
      <w:proofErr w:type="spellStart"/>
      <w:r w:rsidRPr="00740981">
        <w:rPr>
          <w:szCs w:val="24"/>
        </w:rPr>
        <w:t>mastitis</w:t>
      </w:r>
      <w:proofErr w:type="spellEnd"/>
      <w:r w:rsidRPr="00740981">
        <w:rPr>
          <w:szCs w:val="24"/>
        </w:rPr>
        <w:t>, forårsaget af gramnegative mikroorganismer i forbindelse med antimikrobiel terapi;</w:t>
      </w:r>
    </w:p>
    <w:p w:rsidR="00BF66A8" w:rsidRDefault="00740981" w:rsidP="00BF66A8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  <w:t>reduktion af ødemer i yveret forbundet med kælvning</w:t>
      </w:r>
      <w:r w:rsidR="00BF66A8">
        <w:rPr>
          <w:szCs w:val="24"/>
        </w:rPr>
        <w:t>;</w:t>
      </w:r>
    </w:p>
    <w:p w:rsidR="00BF66A8" w:rsidRDefault="00BF66A8" w:rsidP="00BF66A8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</w:r>
      <w:r>
        <w:rPr>
          <w:szCs w:val="24"/>
        </w:rPr>
        <w:t xml:space="preserve">reducere smerte forbundet med </w:t>
      </w:r>
      <w:proofErr w:type="spellStart"/>
      <w:r>
        <w:rPr>
          <w:szCs w:val="24"/>
        </w:rPr>
        <w:t>halthed</w:t>
      </w:r>
      <w:proofErr w:type="spellEnd"/>
      <w:r>
        <w:rPr>
          <w:szCs w:val="24"/>
        </w:rPr>
        <w:t>.</w:t>
      </w:r>
    </w:p>
    <w:p w:rsidR="00740981" w:rsidRPr="00740981" w:rsidRDefault="00740981" w:rsidP="00740981">
      <w:pPr>
        <w:pStyle w:val="Sidehoved"/>
        <w:tabs>
          <w:tab w:val="left" w:pos="8222"/>
        </w:tabs>
        <w:ind w:left="851"/>
        <w:rPr>
          <w:szCs w:val="24"/>
        </w:rPr>
      </w:pPr>
    </w:p>
    <w:p w:rsidR="00740981" w:rsidRPr="009060E4" w:rsidRDefault="00740981" w:rsidP="00740981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9060E4">
        <w:rPr>
          <w:szCs w:val="24"/>
          <w:u w:val="single"/>
        </w:rPr>
        <w:t>Svin</w:t>
      </w:r>
    </w:p>
    <w:p w:rsidR="00740981" w:rsidRPr="00740981" w:rsidRDefault="00740981" w:rsidP="009060E4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  <w:t xml:space="preserve">reduktion af </w:t>
      </w:r>
      <w:proofErr w:type="spellStart"/>
      <w:r w:rsidRPr="00740981">
        <w:rPr>
          <w:szCs w:val="24"/>
        </w:rPr>
        <w:t>pyreksi</w:t>
      </w:r>
      <w:proofErr w:type="spellEnd"/>
      <w:r w:rsidRPr="00740981">
        <w:rPr>
          <w:szCs w:val="24"/>
        </w:rPr>
        <w:t xml:space="preserve"> og åndedrætsfrekvens, der er forbundet med bakteriel eller viral respiratorisk sygdom, når det bruges i forbindelse med antimikrobiel terapi efter behov;</w:t>
      </w:r>
    </w:p>
    <w:p w:rsidR="00740981" w:rsidRPr="00740981" w:rsidRDefault="00740981" w:rsidP="009060E4">
      <w:pPr>
        <w:pStyle w:val="Sidehoved"/>
        <w:tabs>
          <w:tab w:val="left" w:pos="8222"/>
        </w:tabs>
        <w:ind w:left="1134" w:hanging="283"/>
        <w:rPr>
          <w:szCs w:val="24"/>
        </w:rPr>
      </w:pPr>
      <w:r w:rsidRPr="00740981">
        <w:rPr>
          <w:szCs w:val="24"/>
        </w:rPr>
        <w:t>-</w:t>
      </w:r>
      <w:r w:rsidRPr="00740981">
        <w:rPr>
          <w:szCs w:val="24"/>
        </w:rPr>
        <w:tab/>
        <w:t xml:space="preserve">understøttende behandling af </w:t>
      </w:r>
      <w:proofErr w:type="spellStart"/>
      <w:r w:rsidRPr="00740981">
        <w:rPr>
          <w:szCs w:val="24"/>
        </w:rPr>
        <w:t>mastitis</w:t>
      </w:r>
      <w:proofErr w:type="spellEnd"/>
      <w:r w:rsidR="00EB79DB">
        <w:rPr>
          <w:szCs w:val="24"/>
        </w:rPr>
        <w:t>-</w:t>
      </w:r>
      <w:proofErr w:type="spellStart"/>
      <w:r w:rsidRPr="00740981">
        <w:rPr>
          <w:szCs w:val="24"/>
        </w:rPr>
        <w:t>metritis</w:t>
      </w:r>
      <w:proofErr w:type="spellEnd"/>
      <w:r w:rsidR="00EB79DB">
        <w:rPr>
          <w:szCs w:val="24"/>
        </w:rPr>
        <w:t>-</w:t>
      </w:r>
      <w:proofErr w:type="spellStart"/>
      <w:r w:rsidR="00EB79DB">
        <w:rPr>
          <w:szCs w:val="24"/>
        </w:rPr>
        <w:t>a</w:t>
      </w:r>
      <w:r w:rsidRPr="00740981">
        <w:rPr>
          <w:szCs w:val="24"/>
        </w:rPr>
        <w:t>glactia</w:t>
      </w:r>
      <w:proofErr w:type="spellEnd"/>
      <w:r w:rsidR="00EB79DB">
        <w:rPr>
          <w:szCs w:val="24"/>
        </w:rPr>
        <w:t>-</w:t>
      </w:r>
      <w:r w:rsidRPr="00740981">
        <w:rPr>
          <w:szCs w:val="24"/>
        </w:rPr>
        <w:t>syndrom hos søer sammen med antimikrobiel terapi efter behov.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740981" w:rsidRPr="00740981" w:rsidRDefault="00EB79DB" w:rsidP="00740981">
      <w:pPr>
        <w:pStyle w:val="Sidehoved"/>
        <w:tabs>
          <w:tab w:val="left" w:pos="8222"/>
        </w:tabs>
        <w:ind w:left="851"/>
        <w:rPr>
          <w:szCs w:val="24"/>
        </w:rPr>
      </w:pPr>
      <w:r>
        <w:rPr>
          <w:szCs w:val="24"/>
        </w:rPr>
        <w:t>Bør</w:t>
      </w:r>
      <w:r w:rsidR="00740981" w:rsidRPr="00740981">
        <w:rPr>
          <w:szCs w:val="24"/>
        </w:rPr>
        <w:t xml:space="preserve"> ikke anvendes til dyr med kendt overfølsomhed over for de aktive stoffer eller over for et eller flere af hjælpestofferne. </w:t>
      </w:r>
    </w:p>
    <w:p w:rsidR="00740981" w:rsidRPr="00740981" w:rsidRDefault="00740981" w:rsidP="00740981">
      <w:pPr>
        <w:pStyle w:val="Sidehoved"/>
        <w:tabs>
          <w:tab w:val="left" w:pos="8222"/>
        </w:tabs>
        <w:ind w:left="851"/>
        <w:rPr>
          <w:szCs w:val="24"/>
        </w:rPr>
      </w:pPr>
    </w:p>
    <w:p w:rsidR="00740981" w:rsidRPr="00740981" w:rsidRDefault="00F811B5" w:rsidP="00740981">
      <w:pPr>
        <w:pStyle w:val="Sidehoved"/>
        <w:tabs>
          <w:tab w:val="left" w:pos="8222"/>
        </w:tabs>
        <w:ind w:left="851"/>
        <w:rPr>
          <w:szCs w:val="24"/>
        </w:rPr>
      </w:pPr>
      <w:r>
        <w:rPr>
          <w:szCs w:val="24"/>
        </w:rPr>
        <w:t>Anvend</w:t>
      </w:r>
      <w:r w:rsidR="00740981" w:rsidRPr="00740981">
        <w:rPr>
          <w:szCs w:val="24"/>
        </w:rPr>
        <w:t xml:space="preserve"> ikke andre </w:t>
      </w:r>
      <w:r w:rsidR="00B3026D">
        <w:rPr>
          <w:szCs w:val="24"/>
        </w:rPr>
        <w:t>non</w:t>
      </w:r>
      <w:r w:rsidR="00740981" w:rsidRPr="00740981">
        <w:rPr>
          <w:szCs w:val="24"/>
        </w:rPr>
        <w:t>-</w:t>
      </w:r>
      <w:proofErr w:type="spellStart"/>
      <w:r w:rsidR="00740981" w:rsidRPr="00740981">
        <w:rPr>
          <w:szCs w:val="24"/>
        </w:rPr>
        <w:t>steroide</w:t>
      </w:r>
      <w:proofErr w:type="spellEnd"/>
      <w:r w:rsidR="00740981" w:rsidRPr="00740981">
        <w:rPr>
          <w:szCs w:val="24"/>
        </w:rPr>
        <w:t xml:space="preserve"> antiinflammatoriske lægemidler (</w:t>
      </w:r>
      <w:proofErr w:type="spellStart"/>
      <w:r w:rsidR="00740981" w:rsidRPr="00740981">
        <w:rPr>
          <w:szCs w:val="24"/>
        </w:rPr>
        <w:t>NSAIDer</w:t>
      </w:r>
      <w:proofErr w:type="spellEnd"/>
      <w:r w:rsidR="00740981" w:rsidRPr="00740981">
        <w:rPr>
          <w:szCs w:val="24"/>
        </w:rPr>
        <w:t xml:space="preserve">) samtidigt eller inden for 24 timer efter hinanden, </w:t>
      </w:r>
      <w:proofErr w:type="spellStart"/>
      <w:r w:rsidR="00740981" w:rsidRPr="00740981">
        <w:rPr>
          <w:szCs w:val="24"/>
        </w:rPr>
        <w:t>kortikosteroider</w:t>
      </w:r>
      <w:proofErr w:type="spellEnd"/>
      <w:r w:rsidR="00740981" w:rsidRPr="00740981">
        <w:rPr>
          <w:szCs w:val="24"/>
        </w:rPr>
        <w:t xml:space="preserve">, </w:t>
      </w:r>
      <w:proofErr w:type="spellStart"/>
      <w:r w:rsidR="00740981" w:rsidRPr="00740981">
        <w:rPr>
          <w:szCs w:val="24"/>
        </w:rPr>
        <w:t>diuretika</w:t>
      </w:r>
      <w:proofErr w:type="spellEnd"/>
      <w:r w:rsidR="00740981" w:rsidRPr="00740981">
        <w:rPr>
          <w:szCs w:val="24"/>
        </w:rPr>
        <w:t xml:space="preserve"> og </w:t>
      </w:r>
      <w:proofErr w:type="spellStart"/>
      <w:r w:rsidR="00740981" w:rsidRPr="00740981">
        <w:rPr>
          <w:szCs w:val="24"/>
        </w:rPr>
        <w:t>antikoagulantia</w:t>
      </w:r>
      <w:proofErr w:type="spellEnd"/>
      <w:r w:rsidR="00740981" w:rsidRPr="00740981">
        <w:rPr>
          <w:szCs w:val="24"/>
        </w:rPr>
        <w:t>.</w:t>
      </w:r>
    </w:p>
    <w:p w:rsidR="00740981" w:rsidRPr="00740981" w:rsidRDefault="00740981" w:rsidP="00740981">
      <w:pPr>
        <w:pStyle w:val="Sidehoved"/>
        <w:tabs>
          <w:tab w:val="left" w:pos="8222"/>
        </w:tabs>
        <w:ind w:left="851"/>
        <w:rPr>
          <w:szCs w:val="24"/>
        </w:rPr>
      </w:pPr>
    </w:p>
    <w:p w:rsidR="00740981" w:rsidRPr="00740981" w:rsidRDefault="00740981" w:rsidP="00740981">
      <w:pPr>
        <w:pStyle w:val="Sidehoved"/>
        <w:tabs>
          <w:tab w:val="left" w:pos="8222"/>
        </w:tabs>
        <w:ind w:left="851"/>
        <w:rPr>
          <w:szCs w:val="24"/>
        </w:rPr>
      </w:pPr>
      <w:r w:rsidRPr="00740981">
        <w:rPr>
          <w:szCs w:val="24"/>
        </w:rPr>
        <w:t>Må ikke anvendes til dyr, der lider af hjertesygdom, lever- eller nyresygdom, hvor der er mulighed for mave-</w:t>
      </w:r>
      <w:r w:rsidR="00F811B5">
        <w:rPr>
          <w:szCs w:val="24"/>
        </w:rPr>
        <w:t xml:space="preserve"> eller </w:t>
      </w:r>
      <w:r w:rsidRPr="00740981">
        <w:rPr>
          <w:szCs w:val="24"/>
        </w:rPr>
        <w:t>tarm</w:t>
      </w:r>
      <w:r w:rsidR="00F811B5">
        <w:rPr>
          <w:szCs w:val="24"/>
        </w:rPr>
        <w:t>læsioner</w:t>
      </w:r>
      <w:r w:rsidRPr="00740981">
        <w:rPr>
          <w:szCs w:val="24"/>
        </w:rPr>
        <w:t xml:space="preserve"> eller blødning, eller hvor der er tegn på </w:t>
      </w:r>
      <w:proofErr w:type="spellStart"/>
      <w:r w:rsidRPr="00740981">
        <w:rPr>
          <w:szCs w:val="24"/>
        </w:rPr>
        <w:t>bloddys</w:t>
      </w:r>
      <w:r w:rsidR="00D86489">
        <w:rPr>
          <w:szCs w:val="24"/>
        </w:rPr>
        <w:t>k</w:t>
      </w:r>
      <w:r w:rsidRPr="00740981">
        <w:rPr>
          <w:szCs w:val="24"/>
        </w:rPr>
        <w:t>rasi</w:t>
      </w:r>
      <w:proofErr w:type="spellEnd"/>
      <w:r w:rsidRPr="00740981">
        <w:rPr>
          <w:szCs w:val="24"/>
        </w:rPr>
        <w:t>.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5B0036" w:rsidRPr="00406EE7" w:rsidRDefault="00740981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5B0036" w:rsidRPr="002374D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BF66A8" w:rsidRDefault="00BF66A8" w:rsidP="00BF66A8">
      <w:pPr>
        <w:ind w:left="567" w:firstLine="284"/>
        <w:rPr>
          <w:sz w:val="22"/>
          <w:u w:val="single"/>
        </w:rPr>
      </w:pPr>
      <w:r>
        <w:rPr>
          <w:u w:val="single"/>
        </w:rPr>
        <w:t>Særlige forsigtighedsregler vedrørende brug til dyr</w:t>
      </w: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 xml:space="preserve">Brug af </w:t>
      </w:r>
      <w:proofErr w:type="spellStart"/>
      <w:r w:rsidRPr="00740981">
        <w:rPr>
          <w:sz w:val="24"/>
          <w:szCs w:val="24"/>
        </w:rPr>
        <w:t>ketoprofen</w:t>
      </w:r>
      <w:proofErr w:type="spellEnd"/>
      <w:r w:rsidRPr="00740981">
        <w:rPr>
          <w:sz w:val="24"/>
          <w:szCs w:val="24"/>
        </w:rPr>
        <w:t xml:space="preserve"> anbefales ikke til føl</w:t>
      </w:r>
      <w:r w:rsidR="00791E3E">
        <w:rPr>
          <w:sz w:val="24"/>
          <w:szCs w:val="24"/>
        </w:rPr>
        <w:t>, som er yngre end</w:t>
      </w:r>
      <w:r w:rsidRPr="00740981">
        <w:rPr>
          <w:sz w:val="24"/>
          <w:szCs w:val="24"/>
        </w:rPr>
        <w:t xml:space="preserve"> 15 dage. Brug til ethvert dyr under 6 uger eller </w:t>
      </w:r>
      <w:r w:rsidR="002A3943">
        <w:rPr>
          <w:sz w:val="24"/>
          <w:szCs w:val="24"/>
        </w:rPr>
        <w:t>til</w:t>
      </w:r>
      <w:r w:rsidRPr="00740981">
        <w:rPr>
          <w:sz w:val="24"/>
          <w:szCs w:val="24"/>
        </w:rPr>
        <w:t xml:space="preserve"> ældre dyr kan medføre yderligere risiko. Hvis en sådan brug ikke kan undgås, kan dyr kræve en reduceret dosis og omhyggelig håndtering.</w:t>
      </w: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 xml:space="preserve">Undgå brug til </w:t>
      </w:r>
      <w:r w:rsidR="002A3943">
        <w:rPr>
          <w:sz w:val="24"/>
          <w:szCs w:val="24"/>
        </w:rPr>
        <w:t>dehydrerede</w:t>
      </w:r>
      <w:r w:rsidRPr="00740981">
        <w:rPr>
          <w:sz w:val="24"/>
          <w:szCs w:val="24"/>
        </w:rPr>
        <w:t xml:space="preserve">, </w:t>
      </w:r>
      <w:proofErr w:type="spellStart"/>
      <w:r w:rsidRPr="00740981">
        <w:rPr>
          <w:sz w:val="24"/>
          <w:szCs w:val="24"/>
        </w:rPr>
        <w:t>hypovolæmiske</w:t>
      </w:r>
      <w:proofErr w:type="spellEnd"/>
      <w:r w:rsidRPr="00740981">
        <w:rPr>
          <w:sz w:val="24"/>
          <w:szCs w:val="24"/>
        </w:rPr>
        <w:t xml:space="preserve"> eller </w:t>
      </w:r>
      <w:proofErr w:type="spellStart"/>
      <w:r w:rsidRPr="00740981">
        <w:rPr>
          <w:sz w:val="24"/>
          <w:szCs w:val="24"/>
        </w:rPr>
        <w:t>hypotensive</w:t>
      </w:r>
      <w:proofErr w:type="spellEnd"/>
      <w:r w:rsidRPr="00740981">
        <w:rPr>
          <w:sz w:val="24"/>
          <w:szCs w:val="24"/>
        </w:rPr>
        <w:t xml:space="preserve"> dyr, da der er en potentiel risiko for </w:t>
      </w:r>
      <w:r w:rsidR="002A3943">
        <w:rPr>
          <w:sz w:val="24"/>
          <w:szCs w:val="24"/>
        </w:rPr>
        <w:t>forhøjet</w:t>
      </w:r>
      <w:r w:rsidRPr="00740981">
        <w:rPr>
          <w:sz w:val="24"/>
          <w:szCs w:val="24"/>
        </w:rPr>
        <w:t xml:space="preserve"> nyretoksicitet.</w:t>
      </w: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 xml:space="preserve">Undgå </w:t>
      </w:r>
      <w:proofErr w:type="spellStart"/>
      <w:r w:rsidRPr="00740981">
        <w:rPr>
          <w:sz w:val="24"/>
          <w:szCs w:val="24"/>
        </w:rPr>
        <w:t>intra</w:t>
      </w:r>
      <w:proofErr w:type="spellEnd"/>
      <w:r w:rsidRPr="00740981">
        <w:rPr>
          <w:sz w:val="24"/>
          <w:szCs w:val="24"/>
        </w:rPr>
        <w:t>-arteriel injektion.</w:t>
      </w: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>Overskrid ikke den angivne dosis eller behandlingsvarighed.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BF66A8" w:rsidRDefault="00BF66A8" w:rsidP="00BF66A8">
      <w:pPr>
        <w:ind w:left="567" w:firstLine="284"/>
        <w:rPr>
          <w:sz w:val="22"/>
          <w:u w:val="single"/>
        </w:rPr>
      </w:pPr>
      <w:r>
        <w:rPr>
          <w:u w:val="single"/>
        </w:rPr>
        <w:t>Særlige forsigtighedsregler for personer, som indgiver lægemidlet til dyr</w:t>
      </w: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 xml:space="preserve">Personer med kendt overfølsomhed over for det aktive stof og/eller </w:t>
      </w:r>
      <w:proofErr w:type="spellStart"/>
      <w:r w:rsidRPr="00740981">
        <w:rPr>
          <w:sz w:val="24"/>
          <w:szCs w:val="24"/>
        </w:rPr>
        <w:t>benzylalkohol</w:t>
      </w:r>
      <w:proofErr w:type="spellEnd"/>
      <w:r w:rsidRPr="00740981">
        <w:rPr>
          <w:sz w:val="24"/>
          <w:szCs w:val="24"/>
        </w:rPr>
        <w:t xml:space="preserve"> bør undgå kontakt med veterinærlægemidlet.</w:t>
      </w: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 xml:space="preserve">I tilfælde af selvinjektion </w:t>
      </w:r>
      <w:r w:rsidR="0014182A">
        <w:rPr>
          <w:sz w:val="24"/>
          <w:szCs w:val="24"/>
        </w:rPr>
        <w:t>ved hændeligt uheld</w:t>
      </w:r>
      <w:r w:rsidR="00456713">
        <w:rPr>
          <w:sz w:val="24"/>
          <w:szCs w:val="24"/>
        </w:rPr>
        <w:t xml:space="preserve"> skal der straks søges</w:t>
      </w:r>
      <w:r w:rsidRPr="00740981">
        <w:rPr>
          <w:sz w:val="24"/>
          <w:szCs w:val="24"/>
        </w:rPr>
        <w:t xml:space="preserve"> lægehjælp</w:t>
      </w:r>
      <w:r w:rsidR="00456713">
        <w:rPr>
          <w:sz w:val="24"/>
          <w:szCs w:val="24"/>
        </w:rPr>
        <w:t xml:space="preserve">, </w:t>
      </w:r>
      <w:r w:rsidRPr="00740981">
        <w:rPr>
          <w:sz w:val="24"/>
          <w:szCs w:val="24"/>
        </w:rPr>
        <w:t>og</w:t>
      </w:r>
      <w:r w:rsidR="00456713">
        <w:rPr>
          <w:sz w:val="24"/>
          <w:szCs w:val="24"/>
        </w:rPr>
        <w:t xml:space="preserve"> </w:t>
      </w:r>
      <w:r w:rsidRPr="00740981">
        <w:rPr>
          <w:sz w:val="24"/>
          <w:szCs w:val="24"/>
        </w:rPr>
        <w:t xml:space="preserve">indlægssedlen eller etiketten </w:t>
      </w:r>
      <w:r w:rsidR="00456713">
        <w:rPr>
          <w:sz w:val="24"/>
          <w:szCs w:val="24"/>
        </w:rPr>
        <w:t xml:space="preserve">bør vises </w:t>
      </w:r>
      <w:r w:rsidRPr="00740981">
        <w:rPr>
          <w:sz w:val="24"/>
          <w:szCs w:val="24"/>
        </w:rPr>
        <w:t>til lægen.</w:t>
      </w: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>Vask hænder efter brug.</w:t>
      </w:r>
    </w:p>
    <w:p w:rsidR="00740981" w:rsidRPr="00740981" w:rsidRDefault="00740981" w:rsidP="0074098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40981">
        <w:rPr>
          <w:sz w:val="24"/>
          <w:szCs w:val="24"/>
        </w:rPr>
        <w:t xml:space="preserve">Undgå stænk på hud og i øjne. Vask det berørte område grundigt med vand, hvis dette </w:t>
      </w:r>
      <w:r w:rsidR="00456713">
        <w:rPr>
          <w:sz w:val="24"/>
          <w:szCs w:val="24"/>
        </w:rPr>
        <w:t>forekommer</w:t>
      </w:r>
      <w:r w:rsidRPr="00740981">
        <w:rPr>
          <w:sz w:val="24"/>
          <w:szCs w:val="24"/>
        </w:rPr>
        <w:t>. Hvis irritationen fortsætter, skal d</w:t>
      </w:r>
      <w:r w:rsidR="00456713">
        <w:rPr>
          <w:sz w:val="24"/>
          <w:szCs w:val="24"/>
        </w:rPr>
        <w:t>er søges</w:t>
      </w:r>
      <w:r w:rsidRPr="00740981">
        <w:rPr>
          <w:sz w:val="24"/>
          <w:szCs w:val="24"/>
        </w:rPr>
        <w:t xml:space="preserve"> læge.</w:t>
      </w:r>
    </w:p>
    <w:p w:rsidR="0033450C" w:rsidRDefault="003345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4D55BC" w:rsidRPr="004D55BC" w:rsidRDefault="004D55BC" w:rsidP="004D55B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4D55BC" w:rsidRPr="004D55BC" w:rsidRDefault="004D55BC" w:rsidP="004D55B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D55BC">
        <w:rPr>
          <w:sz w:val="24"/>
          <w:szCs w:val="24"/>
        </w:rPr>
        <w:t xml:space="preserve">I meget sjældne tilfælde som følge af virkningen med hæmning af </w:t>
      </w:r>
      <w:proofErr w:type="spellStart"/>
      <w:r w:rsidRPr="004D55BC">
        <w:rPr>
          <w:sz w:val="24"/>
          <w:szCs w:val="24"/>
        </w:rPr>
        <w:t>prostaglandinsyntese</w:t>
      </w:r>
      <w:proofErr w:type="spellEnd"/>
      <w:r w:rsidRPr="004D55BC">
        <w:rPr>
          <w:sz w:val="24"/>
          <w:szCs w:val="24"/>
        </w:rPr>
        <w:t xml:space="preserve"> kan der være visse muligheder for gastrisk eller </w:t>
      </w:r>
      <w:proofErr w:type="spellStart"/>
      <w:r w:rsidRPr="004D55BC">
        <w:rPr>
          <w:sz w:val="24"/>
          <w:szCs w:val="24"/>
        </w:rPr>
        <w:t>renal</w:t>
      </w:r>
      <w:proofErr w:type="spellEnd"/>
      <w:r w:rsidRPr="004D55BC">
        <w:rPr>
          <w:sz w:val="24"/>
          <w:szCs w:val="24"/>
        </w:rPr>
        <w:t xml:space="preserve"> intolerance hos visse individer. </w:t>
      </w:r>
    </w:p>
    <w:p w:rsidR="004D55BC" w:rsidRPr="004D55BC" w:rsidRDefault="004D55BC" w:rsidP="004D55B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D55BC">
        <w:rPr>
          <w:sz w:val="24"/>
          <w:szCs w:val="24"/>
        </w:rPr>
        <w:t>I meget sjældne tilfælde kan der forekomme allergiske reaktioner.</w:t>
      </w:r>
    </w:p>
    <w:p w:rsidR="009A5323" w:rsidRDefault="009A5323" w:rsidP="004D55B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BF66A8" w:rsidRDefault="00BF66A8" w:rsidP="00BF66A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 er defineret som:</w:t>
      </w:r>
    </w:p>
    <w:p w:rsidR="00BF66A8" w:rsidRDefault="00BF66A8" w:rsidP="00BF66A8">
      <w:pPr>
        <w:tabs>
          <w:tab w:val="left" w:pos="1134"/>
          <w:tab w:val="left" w:pos="8222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Meget almindelige (flere end 1 ud af 10 </w:t>
      </w:r>
      <w:r>
        <w:rPr>
          <w:szCs w:val="22"/>
        </w:rPr>
        <w:t xml:space="preserve">behandlede </w:t>
      </w:r>
      <w:r>
        <w:rPr>
          <w:sz w:val="24"/>
          <w:szCs w:val="24"/>
        </w:rPr>
        <w:t>dyr, der viser bivirkninger i løbet af en behandling).</w:t>
      </w:r>
    </w:p>
    <w:p w:rsidR="00BF66A8" w:rsidRDefault="00BF66A8" w:rsidP="00BF66A8">
      <w:pPr>
        <w:tabs>
          <w:tab w:val="left" w:pos="1134"/>
          <w:tab w:val="left" w:pos="8222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Almindelige (flere end 1, men færre end 10 dyr af 100 behandlede dyr).</w:t>
      </w:r>
    </w:p>
    <w:p w:rsidR="00BF66A8" w:rsidRDefault="00BF66A8" w:rsidP="00BF66A8">
      <w:pPr>
        <w:tabs>
          <w:tab w:val="left" w:pos="1134"/>
          <w:tab w:val="left" w:pos="8222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Ikke almindelige (flere end 1, men færre end 10 dyr af 1.000 behandlede dyr). </w:t>
      </w:r>
    </w:p>
    <w:p w:rsidR="00BF66A8" w:rsidRDefault="00BF66A8" w:rsidP="00BF66A8">
      <w:pPr>
        <w:tabs>
          <w:tab w:val="left" w:pos="1134"/>
          <w:tab w:val="left" w:pos="8222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Sjældne (flere end 1, men færre end 10 dyr ud af 10.000 behandlede dyr). </w:t>
      </w:r>
    </w:p>
    <w:p w:rsidR="005B0036" w:rsidRDefault="00BF66A8" w:rsidP="00BF66A8">
      <w:pPr>
        <w:tabs>
          <w:tab w:val="left" w:pos="1134"/>
          <w:tab w:val="left" w:pos="8222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Meget sjældne (færre end 1 dyr ud af 10.000 behandlede dyr, herunder isolerede rapporter).</w:t>
      </w:r>
    </w:p>
    <w:p w:rsidR="00BF66A8" w:rsidRPr="00406EE7" w:rsidRDefault="00BF66A8" w:rsidP="00BF66A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130533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7502FC">
        <w:rPr>
          <w:sz w:val="24"/>
          <w:szCs w:val="24"/>
        </w:rPr>
        <w:t>Ketoprofens</w:t>
      </w:r>
      <w:proofErr w:type="spellEnd"/>
      <w:r w:rsidRPr="007502FC">
        <w:rPr>
          <w:sz w:val="24"/>
          <w:szCs w:val="24"/>
        </w:rPr>
        <w:t xml:space="preserve"> sikkerhed er undersøgt hos drægtige laboratoriedyr (rotter, mus og kaniner) og hos kvæg og viste ingen </w:t>
      </w:r>
      <w:proofErr w:type="spellStart"/>
      <w:r w:rsidRPr="007502FC">
        <w:rPr>
          <w:sz w:val="24"/>
          <w:szCs w:val="24"/>
        </w:rPr>
        <w:t>teratogene</w:t>
      </w:r>
      <w:proofErr w:type="spellEnd"/>
      <w:r w:rsidRPr="007502FC">
        <w:rPr>
          <w:sz w:val="24"/>
          <w:szCs w:val="24"/>
        </w:rPr>
        <w:t xml:space="preserve"> eller embryotoksiske virkninger. Pr</w:t>
      </w:r>
      <w:r w:rsidR="008420C2">
        <w:rPr>
          <w:sz w:val="24"/>
          <w:szCs w:val="24"/>
        </w:rPr>
        <w:t>æparatet</w:t>
      </w:r>
      <w:r w:rsidRPr="007502FC">
        <w:rPr>
          <w:sz w:val="24"/>
          <w:szCs w:val="24"/>
        </w:rPr>
        <w:t xml:space="preserve"> kan gives til drægtige og </w:t>
      </w:r>
      <w:r w:rsidR="00130533">
        <w:rPr>
          <w:sz w:val="24"/>
          <w:szCs w:val="24"/>
        </w:rPr>
        <w:t xml:space="preserve">diegivende </w:t>
      </w:r>
      <w:r w:rsidRPr="007502FC">
        <w:rPr>
          <w:sz w:val="24"/>
          <w:szCs w:val="24"/>
        </w:rPr>
        <w:t xml:space="preserve">kvæg og </w:t>
      </w:r>
      <w:r w:rsidR="008633CF">
        <w:rPr>
          <w:sz w:val="24"/>
          <w:szCs w:val="24"/>
        </w:rPr>
        <w:t xml:space="preserve">diegivende </w:t>
      </w:r>
      <w:r w:rsidRPr="007502FC">
        <w:rPr>
          <w:sz w:val="24"/>
          <w:szCs w:val="24"/>
        </w:rPr>
        <w:t>søer.</w:t>
      </w:r>
    </w:p>
    <w:p w:rsidR="00130533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Da virkningerne af </w:t>
      </w:r>
      <w:proofErr w:type="spellStart"/>
      <w:r w:rsidRPr="007502FC">
        <w:rPr>
          <w:sz w:val="24"/>
          <w:szCs w:val="24"/>
        </w:rPr>
        <w:t>ketoprofen</w:t>
      </w:r>
      <w:proofErr w:type="spellEnd"/>
      <w:r w:rsidRPr="007502FC">
        <w:rPr>
          <w:sz w:val="24"/>
          <w:szCs w:val="24"/>
        </w:rPr>
        <w:t xml:space="preserve"> på hestenes fertilitet, graviditet eller </w:t>
      </w:r>
      <w:proofErr w:type="spellStart"/>
      <w:r w:rsidRPr="007502FC">
        <w:rPr>
          <w:sz w:val="24"/>
          <w:szCs w:val="24"/>
        </w:rPr>
        <w:t>føtal</w:t>
      </w:r>
      <w:proofErr w:type="spellEnd"/>
      <w:r w:rsidRPr="007502FC">
        <w:rPr>
          <w:sz w:val="24"/>
          <w:szCs w:val="24"/>
        </w:rPr>
        <w:t xml:space="preserve"> sundhed ikke er bestemt, bør pr</w:t>
      </w:r>
      <w:r w:rsidR="00130533">
        <w:rPr>
          <w:sz w:val="24"/>
          <w:szCs w:val="24"/>
        </w:rPr>
        <w:t>æparatet</w:t>
      </w:r>
      <w:r w:rsidRPr="007502FC">
        <w:rPr>
          <w:sz w:val="24"/>
          <w:szCs w:val="24"/>
        </w:rPr>
        <w:t xml:space="preserve"> ikke gives til drægtige heste.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Da sikkerheden ved </w:t>
      </w:r>
      <w:proofErr w:type="spellStart"/>
      <w:r w:rsidRPr="007502FC">
        <w:rPr>
          <w:sz w:val="24"/>
          <w:szCs w:val="24"/>
        </w:rPr>
        <w:t>ketoprofen</w:t>
      </w:r>
      <w:proofErr w:type="spellEnd"/>
      <w:r w:rsidRPr="007502FC">
        <w:rPr>
          <w:sz w:val="24"/>
          <w:szCs w:val="24"/>
        </w:rPr>
        <w:t xml:space="preserve"> ikke er blevet vurderet hos drægtige søer, bør pr</w:t>
      </w:r>
      <w:r w:rsidR="00130533">
        <w:rPr>
          <w:sz w:val="24"/>
          <w:szCs w:val="24"/>
        </w:rPr>
        <w:t xml:space="preserve">æparatet </w:t>
      </w:r>
      <w:r w:rsidR="00D2579F">
        <w:rPr>
          <w:sz w:val="24"/>
          <w:szCs w:val="24"/>
        </w:rPr>
        <w:t xml:space="preserve">i disse tilfælde </w:t>
      </w:r>
      <w:r w:rsidRPr="007502FC">
        <w:rPr>
          <w:sz w:val="24"/>
          <w:szCs w:val="24"/>
        </w:rPr>
        <w:t xml:space="preserve">kun anvendes i </w:t>
      </w:r>
      <w:r w:rsidR="003E0370">
        <w:rPr>
          <w:sz w:val="24"/>
          <w:szCs w:val="24"/>
        </w:rPr>
        <w:t xml:space="preserve">overensstemmelse med den ansvarlige dyrlæges vurdering af </w:t>
      </w:r>
      <w:proofErr w:type="spellStart"/>
      <w:r w:rsidR="003E0370">
        <w:rPr>
          <w:sz w:val="24"/>
          <w:szCs w:val="24"/>
        </w:rPr>
        <w:t>risk</w:t>
      </w:r>
      <w:proofErr w:type="spellEnd"/>
      <w:r w:rsidR="003E0370">
        <w:rPr>
          <w:sz w:val="24"/>
          <w:szCs w:val="24"/>
        </w:rPr>
        <w:t>-benefit-forholdet</w:t>
      </w:r>
      <w:r w:rsidRPr="007502FC">
        <w:rPr>
          <w:sz w:val="24"/>
          <w:szCs w:val="24"/>
        </w:rPr>
        <w:t>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Må ikke gives sammen med andre </w:t>
      </w:r>
      <w:r w:rsidR="00B3026D">
        <w:rPr>
          <w:sz w:val="24"/>
          <w:szCs w:val="24"/>
        </w:rPr>
        <w:t>non</w:t>
      </w:r>
      <w:r w:rsidRPr="007502FC">
        <w:rPr>
          <w:sz w:val="24"/>
          <w:szCs w:val="24"/>
        </w:rPr>
        <w:t>-</w:t>
      </w:r>
      <w:proofErr w:type="spellStart"/>
      <w:r w:rsidRPr="007502FC">
        <w:rPr>
          <w:sz w:val="24"/>
          <w:szCs w:val="24"/>
        </w:rPr>
        <w:t>steroide</w:t>
      </w:r>
      <w:proofErr w:type="spellEnd"/>
      <w:r w:rsidRPr="007502FC">
        <w:rPr>
          <w:sz w:val="24"/>
          <w:szCs w:val="24"/>
        </w:rPr>
        <w:t xml:space="preserve"> antiinflammatoriske lægemidler (</w:t>
      </w:r>
      <w:proofErr w:type="spellStart"/>
      <w:r w:rsidRPr="007502FC">
        <w:rPr>
          <w:sz w:val="24"/>
          <w:szCs w:val="24"/>
        </w:rPr>
        <w:t>NSAIDer</w:t>
      </w:r>
      <w:proofErr w:type="spellEnd"/>
      <w:r w:rsidRPr="007502FC">
        <w:rPr>
          <w:sz w:val="24"/>
          <w:szCs w:val="24"/>
        </w:rPr>
        <w:t xml:space="preserve">) samtidigt eller inden for 24 timer efter hinanden, </w:t>
      </w:r>
      <w:proofErr w:type="spellStart"/>
      <w:r w:rsidRPr="007502FC">
        <w:rPr>
          <w:sz w:val="24"/>
          <w:szCs w:val="24"/>
        </w:rPr>
        <w:t>kortikosteroider</w:t>
      </w:r>
      <w:proofErr w:type="spellEnd"/>
      <w:r w:rsidRPr="007502FC">
        <w:rPr>
          <w:sz w:val="24"/>
          <w:szCs w:val="24"/>
        </w:rPr>
        <w:t xml:space="preserve">, </w:t>
      </w:r>
      <w:proofErr w:type="spellStart"/>
      <w:r w:rsidRPr="007502FC">
        <w:rPr>
          <w:sz w:val="24"/>
          <w:szCs w:val="24"/>
        </w:rPr>
        <w:t>diuretika</w:t>
      </w:r>
      <w:proofErr w:type="spellEnd"/>
      <w:r w:rsidRPr="007502FC">
        <w:rPr>
          <w:sz w:val="24"/>
          <w:szCs w:val="24"/>
        </w:rPr>
        <w:t xml:space="preserve"> eller </w:t>
      </w:r>
      <w:proofErr w:type="spellStart"/>
      <w:r w:rsidRPr="007502FC">
        <w:rPr>
          <w:sz w:val="24"/>
          <w:szCs w:val="24"/>
        </w:rPr>
        <w:t>antikoagulantia</w:t>
      </w:r>
      <w:proofErr w:type="spellEnd"/>
      <w:r w:rsidRPr="007502FC">
        <w:rPr>
          <w:sz w:val="24"/>
          <w:szCs w:val="24"/>
        </w:rPr>
        <w:t>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Nogle </w:t>
      </w:r>
      <w:proofErr w:type="spellStart"/>
      <w:r w:rsidRPr="007502FC">
        <w:rPr>
          <w:sz w:val="24"/>
          <w:szCs w:val="24"/>
        </w:rPr>
        <w:t>NSAIDer</w:t>
      </w:r>
      <w:proofErr w:type="spellEnd"/>
      <w:r w:rsidRPr="007502FC">
        <w:rPr>
          <w:sz w:val="24"/>
          <w:szCs w:val="24"/>
        </w:rPr>
        <w:t xml:space="preserve"> kan være stærkt bundet til plasmaproteiner og konkurrere med andre stærkt bundne lægemidler, som kan føre til toksiske virkninger.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Undgå </w:t>
      </w:r>
      <w:r w:rsidR="00DD23BA">
        <w:rPr>
          <w:sz w:val="24"/>
          <w:szCs w:val="24"/>
        </w:rPr>
        <w:t>administration s</w:t>
      </w:r>
      <w:r w:rsidRPr="007502FC">
        <w:rPr>
          <w:sz w:val="24"/>
          <w:szCs w:val="24"/>
        </w:rPr>
        <w:t xml:space="preserve">amtidig med </w:t>
      </w:r>
      <w:proofErr w:type="spellStart"/>
      <w:r w:rsidRPr="007502FC">
        <w:rPr>
          <w:sz w:val="24"/>
          <w:szCs w:val="24"/>
        </w:rPr>
        <w:t>nefrotoksiske</w:t>
      </w:r>
      <w:proofErr w:type="spellEnd"/>
      <w:r w:rsidRPr="007502FC">
        <w:rPr>
          <w:sz w:val="24"/>
          <w:szCs w:val="24"/>
        </w:rPr>
        <w:t xml:space="preserve"> lægemidler.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>Det anbefales at bruge en udtømningsnål, når man behandler store grupper af dyr.</w:t>
      </w:r>
    </w:p>
    <w:p w:rsidR="007502FC" w:rsidRPr="007502FC" w:rsidRDefault="00191A2F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  <w:r w:rsidR="007502FC" w:rsidRPr="007502FC">
        <w:rPr>
          <w:sz w:val="24"/>
          <w:szCs w:val="24"/>
        </w:rPr>
        <w:t>eholderen</w:t>
      </w:r>
      <w:r>
        <w:rPr>
          <w:sz w:val="24"/>
          <w:szCs w:val="24"/>
        </w:rPr>
        <w:t>s prop må ikke gennembrydes</w:t>
      </w:r>
      <w:r w:rsidR="007502FC" w:rsidRPr="007502FC">
        <w:rPr>
          <w:sz w:val="24"/>
          <w:szCs w:val="24"/>
        </w:rPr>
        <w:t xml:space="preserve"> mere end 33 gange.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502FC" w:rsidRPr="00E91477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E91477">
        <w:rPr>
          <w:sz w:val="24"/>
          <w:szCs w:val="24"/>
          <w:u w:val="single"/>
        </w:rPr>
        <w:t>Hest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Intravenøs </w:t>
      </w:r>
      <w:r w:rsidR="00E91477">
        <w:rPr>
          <w:sz w:val="24"/>
          <w:szCs w:val="24"/>
        </w:rPr>
        <w:t>anvendelse</w:t>
      </w:r>
      <w:r w:rsidRPr="007502FC">
        <w:rPr>
          <w:sz w:val="24"/>
          <w:szCs w:val="24"/>
        </w:rPr>
        <w:t>.</w:t>
      </w:r>
    </w:p>
    <w:p w:rsidR="00EE0FB1" w:rsidRDefault="00EE0FB1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502FC" w:rsidRPr="00EE0FB1" w:rsidRDefault="007502FC" w:rsidP="007502FC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EE0FB1">
        <w:rPr>
          <w:i/>
          <w:sz w:val="24"/>
          <w:szCs w:val="24"/>
        </w:rPr>
        <w:t xml:space="preserve">Til brug </w:t>
      </w:r>
      <w:r w:rsidR="00EE0FB1" w:rsidRPr="00EE0FB1">
        <w:rPr>
          <w:i/>
          <w:sz w:val="24"/>
          <w:szCs w:val="24"/>
        </w:rPr>
        <w:t xml:space="preserve">ved </w:t>
      </w:r>
      <w:proofErr w:type="spellStart"/>
      <w:r w:rsidRPr="00EE0FB1">
        <w:rPr>
          <w:i/>
          <w:sz w:val="24"/>
          <w:szCs w:val="24"/>
        </w:rPr>
        <w:t>muskuloskeletale</w:t>
      </w:r>
      <w:proofErr w:type="spellEnd"/>
      <w:r w:rsidRPr="00EE0FB1">
        <w:rPr>
          <w:i/>
          <w:sz w:val="24"/>
          <w:szCs w:val="24"/>
        </w:rPr>
        <w:t xml:space="preserve"> </w:t>
      </w:r>
      <w:r w:rsidR="00EE0FB1" w:rsidRPr="00EE0FB1">
        <w:rPr>
          <w:i/>
          <w:sz w:val="24"/>
          <w:szCs w:val="24"/>
        </w:rPr>
        <w:t>lidelser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2,2 mg </w:t>
      </w:r>
      <w:proofErr w:type="spellStart"/>
      <w:r w:rsidRPr="007502FC">
        <w:rPr>
          <w:sz w:val="24"/>
          <w:szCs w:val="24"/>
        </w:rPr>
        <w:t>ketoprofen</w:t>
      </w:r>
      <w:proofErr w:type="spellEnd"/>
      <w:r w:rsidRPr="007502FC">
        <w:rPr>
          <w:sz w:val="24"/>
          <w:szCs w:val="24"/>
        </w:rPr>
        <w:t>/kg</w:t>
      </w:r>
      <w:r w:rsidR="00091332">
        <w:rPr>
          <w:sz w:val="24"/>
          <w:szCs w:val="24"/>
        </w:rPr>
        <w:t>,</w:t>
      </w:r>
      <w:r w:rsidRPr="007502FC">
        <w:rPr>
          <w:sz w:val="24"/>
          <w:szCs w:val="24"/>
        </w:rPr>
        <w:t xml:space="preserve"> </w:t>
      </w:r>
      <w:r w:rsidR="00EE0FB1">
        <w:rPr>
          <w:sz w:val="24"/>
          <w:szCs w:val="24"/>
        </w:rPr>
        <w:t>dvs.</w:t>
      </w:r>
      <w:r w:rsidRPr="007502FC">
        <w:rPr>
          <w:sz w:val="24"/>
          <w:szCs w:val="24"/>
        </w:rPr>
        <w:t xml:space="preserve"> 1 ml produkt pr. 45 kg kropsvægt, administreret ved intravenøs injektion en gang daglig i op til 3 til 5 dage.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502FC" w:rsidRPr="00EE0FB1" w:rsidRDefault="007502FC" w:rsidP="007502FC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EE0FB1">
        <w:rPr>
          <w:i/>
          <w:sz w:val="24"/>
          <w:szCs w:val="24"/>
        </w:rPr>
        <w:t>Til brug ved hestekolik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2,2 mg/kg (1 ml/45 kg) kropsvægt, givet ved intravenøs injektion </w:t>
      </w:r>
      <w:r w:rsidR="00091332">
        <w:rPr>
          <w:sz w:val="24"/>
          <w:szCs w:val="24"/>
        </w:rPr>
        <w:t>for</w:t>
      </w:r>
      <w:r w:rsidRPr="007502FC">
        <w:rPr>
          <w:sz w:val="24"/>
          <w:szCs w:val="24"/>
        </w:rPr>
        <w:t xml:space="preserve"> øjeblikkelig virkning.  En anden injektion kan gives, hvis kolik</w:t>
      </w:r>
      <w:r w:rsidR="00091332">
        <w:rPr>
          <w:sz w:val="24"/>
          <w:szCs w:val="24"/>
        </w:rPr>
        <w:t>ken vender tilbage</w:t>
      </w:r>
      <w:r w:rsidRPr="007502FC">
        <w:rPr>
          <w:sz w:val="24"/>
          <w:szCs w:val="24"/>
        </w:rPr>
        <w:t>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502FC" w:rsidRPr="00E91477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E91477">
        <w:rPr>
          <w:sz w:val="24"/>
          <w:szCs w:val="24"/>
          <w:u w:val="single"/>
        </w:rPr>
        <w:lastRenderedPageBreak/>
        <w:t>Kvæg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Intravenøs eller intramuskulær </w:t>
      </w:r>
      <w:r w:rsidR="00091332">
        <w:rPr>
          <w:sz w:val="24"/>
          <w:szCs w:val="24"/>
        </w:rPr>
        <w:t>anvendelse</w:t>
      </w:r>
      <w:r w:rsidRPr="007502FC">
        <w:rPr>
          <w:sz w:val="24"/>
          <w:szCs w:val="24"/>
        </w:rPr>
        <w:t>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3 mg </w:t>
      </w:r>
      <w:proofErr w:type="spellStart"/>
      <w:r w:rsidRPr="007502FC">
        <w:rPr>
          <w:sz w:val="24"/>
          <w:szCs w:val="24"/>
        </w:rPr>
        <w:t>ketoprofen</w:t>
      </w:r>
      <w:proofErr w:type="spellEnd"/>
      <w:r w:rsidRPr="007502FC">
        <w:rPr>
          <w:sz w:val="24"/>
          <w:szCs w:val="24"/>
        </w:rPr>
        <w:t xml:space="preserve">/kg kropsvægt, </w:t>
      </w:r>
      <w:r w:rsidR="00091332">
        <w:rPr>
          <w:sz w:val="24"/>
          <w:szCs w:val="24"/>
        </w:rPr>
        <w:t>dvs.</w:t>
      </w:r>
      <w:r w:rsidRPr="007502FC">
        <w:rPr>
          <w:sz w:val="24"/>
          <w:szCs w:val="24"/>
        </w:rPr>
        <w:t xml:space="preserve"> 1 ml produkt pr. 33 kg kropsvægt, administreret ved intravenøs eller dyb intramuskulær injektion en gang daglig i op til 3 dage.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502FC" w:rsidRPr="00C33D60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C33D60">
        <w:rPr>
          <w:sz w:val="24"/>
          <w:szCs w:val="24"/>
          <w:u w:val="single"/>
        </w:rPr>
        <w:t>Svin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Intramuskulær </w:t>
      </w:r>
      <w:r w:rsidR="00C33D60">
        <w:rPr>
          <w:sz w:val="24"/>
          <w:szCs w:val="24"/>
        </w:rPr>
        <w:t>anvendelse</w:t>
      </w:r>
      <w:r w:rsidRPr="007502FC">
        <w:rPr>
          <w:sz w:val="24"/>
          <w:szCs w:val="24"/>
        </w:rPr>
        <w:t>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3 mg </w:t>
      </w:r>
      <w:proofErr w:type="spellStart"/>
      <w:r w:rsidRPr="007502FC">
        <w:rPr>
          <w:sz w:val="24"/>
          <w:szCs w:val="24"/>
        </w:rPr>
        <w:t>ketoprofen</w:t>
      </w:r>
      <w:proofErr w:type="spellEnd"/>
      <w:r w:rsidRPr="007502FC">
        <w:rPr>
          <w:sz w:val="24"/>
          <w:szCs w:val="24"/>
        </w:rPr>
        <w:t xml:space="preserve">/kg kropsvægt, </w:t>
      </w:r>
      <w:r w:rsidR="00C33D60">
        <w:rPr>
          <w:sz w:val="24"/>
          <w:szCs w:val="24"/>
        </w:rPr>
        <w:t>dvs</w:t>
      </w:r>
      <w:r w:rsidRPr="007502FC">
        <w:rPr>
          <w:sz w:val="24"/>
          <w:szCs w:val="24"/>
        </w:rPr>
        <w:t xml:space="preserve">. 1 ml produkt pr. 33 kg kropsvægt, administreret </w:t>
      </w:r>
      <w:r w:rsidR="001D6070">
        <w:rPr>
          <w:sz w:val="24"/>
          <w:szCs w:val="24"/>
        </w:rPr>
        <w:t>én</w:t>
      </w:r>
      <w:r w:rsidRPr="007502FC">
        <w:rPr>
          <w:sz w:val="24"/>
          <w:szCs w:val="24"/>
        </w:rPr>
        <w:t xml:space="preserve"> gang ved dyb intramuskulær injektion.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502FC">
        <w:rPr>
          <w:sz w:val="24"/>
          <w:szCs w:val="24"/>
        </w:rPr>
        <w:t xml:space="preserve">Der blev ikke observeret kliniske tegn, når </w:t>
      </w:r>
      <w:proofErr w:type="spellStart"/>
      <w:r w:rsidRPr="007502FC">
        <w:rPr>
          <w:sz w:val="24"/>
          <w:szCs w:val="24"/>
        </w:rPr>
        <w:t>ketoprofen</w:t>
      </w:r>
      <w:proofErr w:type="spellEnd"/>
      <w:r w:rsidRPr="007502FC">
        <w:rPr>
          <w:sz w:val="24"/>
          <w:szCs w:val="24"/>
        </w:rPr>
        <w:t xml:space="preserve"> blev administreret til heste 5 gange den anbefalede dosis i 15 dage, til kvæg med 5 gange den anbefalede dosis i 5 dage eller til svin med 3 gange den anbefalede dosis i 3 dage.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1D6070" w:rsidRPr="001D6070" w:rsidRDefault="001D6070" w:rsidP="001D607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1D6070">
        <w:rPr>
          <w:sz w:val="24"/>
          <w:szCs w:val="24"/>
          <w:u w:val="single"/>
          <w:lang w:eastAsia="da-DK"/>
        </w:rPr>
        <w:t>Hest</w:t>
      </w:r>
    </w:p>
    <w:p w:rsidR="001D6070" w:rsidRPr="007502FC" w:rsidRDefault="001D6070" w:rsidP="001D607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Slagtning</w:t>
      </w:r>
      <w:r w:rsidRPr="007502FC">
        <w:rPr>
          <w:sz w:val="24"/>
          <w:szCs w:val="24"/>
          <w:lang w:eastAsia="da-DK"/>
        </w:rPr>
        <w:t>: 1 dag</w:t>
      </w:r>
      <w:r>
        <w:rPr>
          <w:sz w:val="24"/>
          <w:szCs w:val="24"/>
          <w:lang w:eastAsia="da-DK"/>
        </w:rPr>
        <w:t>.</w:t>
      </w:r>
    </w:p>
    <w:p w:rsidR="001D6070" w:rsidRPr="007502FC" w:rsidRDefault="001D6070" w:rsidP="001D6070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7502FC">
        <w:rPr>
          <w:sz w:val="24"/>
          <w:szCs w:val="24"/>
          <w:lang w:eastAsia="da-DK"/>
        </w:rPr>
        <w:t xml:space="preserve">Mælk: Må ikke anvendes til dyr, </w:t>
      </w:r>
      <w:r w:rsidR="00C6732C">
        <w:rPr>
          <w:sz w:val="24"/>
          <w:szCs w:val="24"/>
          <w:lang w:eastAsia="da-DK"/>
        </w:rPr>
        <w:t>hvis</w:t>
      </w:r>
      <w:r w:rsidRPr="007502FC">
        <w:rPr>
          <w:sz w:val="24"/>
          <w:szCs w:val="24"/>
          <w:lang w:eastAsia="da-DK"/>
        </w:rPr>
        <w:t xml:space="preserve"> mælk </w:t>
      </w:r>
      <w:r w:rsidR="00C6732C">
        <w:rPr>
          <w:sz w:val="24"/>
          <w:szCs w:val="24"/>
          <w:lang w:eastAsia="da-DK"/>
        </w:rPr>
        <w:t xml:space="preserve">er bestemt </w:t>
      </w:r>
      <w:r w:rsidRPr="007502FC">
        <w:rPr>
          <w:sz w:val="24"/>
          <w:szCs w:val="24"/>
          <w:lang w:eastAsia="da-DK"/>
        </w:rPr>
        <w:t xml:space="preserve">til </w:t>
      </w:r>
      <w:r w:rsidR="00C6732C">
        <w:rPr>
          <w:sz w:val="24"/>
          <w:szCs w:val="24"/>
          <w:lang w:eastAsia="da-DK"/>
        </w:rPr>
        <w:t>menneskeføde.</w:t>
      </w:r>
    </w:p>
    <w:p w:rsidR="001D6070" w:rsidRPr="007502FC" w:rsidRDefault="001D6070" w:rsidP="007502F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7502FC" w:rsidRPr="001D6070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1D6070">
        <w:rPr>
          <w:sz w:val="24"/>
          <w:szCs w:val="24"/>
          <w:u w:val="single"/>
          <w:lang w:eastAsia="da-DK"/>
        </w:rPr>
        <w:t>Kvæg</w:t>
      </w:r>
    </w:p>
    <w:p w:rsidR="007502FC" w:rsidRDefault="00C6732C" w:rsidP="00C6732C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Slagtning:</w:t>
      </w:r>
      <w:r>
        <w:rPr>
          <w:sz w:val="24"/>
          <w:szCs w:val="24"/>
          <w:lang w:eastAsia="da-DK"/>
        </w:rPr>
        <w:tab/>
      </w:r>
      <w:r w:rsidR="007502FC" w:rsidRPr="007502FC">
        <w:rPr>
          <w:sz w:val="24"/>
          <w:szCs w:val="24"/>
          <w:lang w:eastAsia="da-DK"/>
        </w:rPr>
        <w:t xml:space="preserve">- efter intravenøs </w:t>
      </w:r>
      <w:r w:rsidR="002706E8">
        <w:rPr>
          <w:sz w:val="24"/>
          <w:szCs w:val="24"/>
          <w:lang w:eastAsia="da-DK"/>
        </w:rPr>
        <w:t>anvendelse</w:t>
      </w:r>
      <w:r w:rsidR="007502FC" w:rsidRPr="007502FC">
        <w:rPr>
          <w:sz w:val="24"/>
          <w:szCs w:val="24"/>
          <w:lang w:eastAsia="da-DK"/>
        </w:rPr>
        <w:t>: 1 dag</w:t>
      </w:r>
      <w:r>
        <w:rPr>
          <w:sz w:val="24"/>
          <w:szCs w:val="24"/>
          <w:lang w:eastAsia="da-DK"/>
        </w:rPr>
        <w:t>.</w:t>
      </w:r>
    </w:p>
    <w:p w:rsidR="007502FC" w:rsidRPr="007502FC" w:rsidRDefault="00C6732C" w:rsidP="00C6732C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ab/>
        <w:t>- eft</w:t>
      </w:r>
      <w:r w:rsidR="007502FC" w:rsidRPr="007502FC">
        <w:rPr>
          <w:sz w:val="24"/>
          <w:szCs w:val="24"/>
          <w:lang w:eastAsia="da-DK"/>
        </w:rPr>
        <w:t xml:space="preserve">er intramuskulær </w:t>
      </w:r>
      <w:proofErr w:type="spellStart"/>
      <w:r w:rsidR="002706E8">
        <w:rPr>
          <w:sz w:val="24"/>
          <w:szCs w:val="24"/>
          <w:lang w:eastAsia="da-DK"/>
        </w:rPr>
        <w:t>avendelse</w:t>
      </w:r>
      <w:proofErr w:type="spellEnd"/>
      <w:r w:rsidR="007502FC" w:rsidRPr="007502FC">
        <w:rPr>
          <w:sz w:val="24"/>
          <w:szCs w:val="24"/>
          <w:lang w:eastAsia="da-DK"/>
        </w:rPr>
        <w:t>: 2 dage</w:t>
      </w:r>
      <w:r w:rsidR="002706E8">
        <w:rPr>
          <w:sz w:val="24"/>
          <w:szCs w:val="24"/>
          <w:lang w:eastAsia="da-DK"/>
        </w:rPr>
        <w:t>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7502FC">
        <w:rPr>
          <w:sz w:val="24"/>
          <w:szCs w:val="24"/>
          <w:lang w:eastAsia="da-DK"/>
        </w:rPr>
        <w:t xml:space="preserve">Mælk: </w:t>
      </w:r>
      <w:r w:rsidR="002706E8">
        <w:rPr>
          <w:sz w:val="24"/>
          <w:szCs w:val="24"/>
          <w:lang w:eastAsia="da-DK"/>
        </w:rPr>
        <w:t>0</w:t>
      </w:r>
      <w:r w:rsidRPr="007502FC">
        <w:rPr>
          <w:sz w:val="24"/>
          <w:szCs w:val="24"/>
          <w:lang w:eastAsia="da-DK"/>
        </w:rPr>
        <w:t xml:space="preserve"> timer</w:t>
      </w:r>
      <w:r w:rsidR="002706E8">
        <w:rPr>
          <w:sz w:val="24"/>
          <w:szCs w:val="24"/>
          <w:lang w:eastAsia="da-DK"/>
        </w:rPr>
        <w:t>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7502FC" w:rsidRPr="001D6070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 w:rsidRPr="001D6070">
        <w:rPr>
          <w:sz w:val="24"/>
          <w:szCs w:val="24"/>
          <w:u w:val="single"/>
          <w:lang w:eastAsia="da-DK"/>
        </w:rPr>
        <w:t>Svin</w:t>
      </w:r>
    </w:p>
    <w:p w:rsidR="007502FC" w:rsidRPr="007502FC" w:rsidRDefault="002706E8" w:rsidP="007502F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Slagtning</w:t>
      </w:r>
      <w:r w:rsidR="007502FC" w:rsidRPr="007502FC">
        <w:rPr>
          <w:sz w:val="24"/>
          <w:szCs w:val="24"/>
          <w:lang w:eastAsia="da-DK"/>
        </w:rPr>
        <w:t>: 2 dage</w:t>
      </w:r>
      <w:r>
        <w:rPr>
          <w:sz w:val="24"/>
          <w:szCs w:val="24"/>
          <w:lang w:eastAsia="da-DK"/>
        </w:rPr>
        <w:t>.</w:t>
      </w:r>
    </w:p>
    <w:p w:rsidR="007502FC" w:rsidRPr="007502FC" w:rsidRDefault="007502FC" w:rsidP="007502FC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E0C6A">
        <w:rPr>
          <w:b/>
          <w:sz w:val="24"/>
          <w:szCs w:val="24"/>
        </w:rPr>
        <w:t>5.</w:t>
      </w:r>
      <w:r w:rsidRPr="005E0C6A">
        <w:rPr>
          <w:b/>
          <w:sz w:val="24"/>
          <w:szCs w:val="24"/>
        </w:rPr>
        <w:tab/>
        <w:t>FARMAKOLOGISKE EGENSKABER</w:t>
      </w:r>
    </w:p>
    <w:p w:rsidR="005B003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2173D2" w:rsidRPr="002173D2" w:rsidRDefault="002173D2" w:rsidP="002173D2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2173D2">
        <w:rPr>
          <w:sz w:val="24"/>
          <w:szCs w:val="24"/>
        </w:rPr>
        <w:t>Farmakoterapeutisk</w:t>
      </w:r>
      <w:proofErr w:type="spellEnd"/>
      <w:r w:rsidRPr="002173D2">
        <w:rPr>
          <w:sz w:val="24"/>
          <w:szCs w:val="24"/>
        </w:rPr>
        <w:t xml:space="preserve"> gruppe: Antiinflammatoriske, </w:t>
      </w:r>
      <w:proofErr w:type="spellStart"/>
      <w:r w:rsidRPr="002173D2">
        <w:rPr>
          <w:sz w:val="24"/>
          <w:szCs w:val="24"/>
        </w:rPr>
        <w:t>antirheumatiske</w:t>
      </w:r>
      <w:proofErr w:type="spellEnd"/>
      <w:r w:rsidRPr="002173D2">
        <w:rPr>
          <w:sz w:val="24"/>
          <w:szCs w:val="24"/>
        </w:rPr>
        <w:t xml:space="preserve"> produkter, </w:t>
      </w:r>
      <w:r w:rsidR="00763A5A">
        <w:rPr>
          <w:sz w:val="24"/>
          <w:szCs w:val="24"/>
        </w:rPr>
        <w:t>non</w:t>
      </w:r>
      <w:r w:rsidRPr="002173D2">
        <w:rPr>
          <w:sz w:val="24"/>
          <w:szCs w:val="24"/>
        </w:rPr>
        <w:t xml:space="preserve">-steroider, </w:t>
      </w:r>
      <w:proofErr w:type="spellStart"/>
      <w:r w:rsidRPr="002173D2">
        <w:rPr>
          <w:sz w:val="24"/>
          <w:szCs w:val="24"/>
        </w:rPr>
        <w:t>propionsyre</w:t>
      </w:r>
      <w:proofErr w:type="spellEnd"/>
      <w:r w:rsidR="00013E29">
        <w:rPr>
          <w:sz w:val="24"/>
          <w:szCs w:val="24"/>
        </w:rPr>
        <w:t>-</w:t>
      </w:r>
      <w:r w:rsidRPr="002173D2">
        <w:rPr>
          <w:sz w:val="24"/>
          <w:szCs w:val="24"/>
        </w:rPr>
        <w:t>derivater.</w:t>
      </w:r>
    </w:p>
    <w:p w:rsidR="002173D2" w:rsidRPr="002173D2" w:rsidRDefault="002173D2" w:rsidP="002173D2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2173D2">
        <w:rPr>
          <w:sz w:val="24"/>
          <w:szCs w:val="24"/>
        </w:rPr>
        <w:t>ATCvet</w:t>
      </w:r>
      <w:proofErr w:type="spellEnd"/>
      <w:r w:rsidR="00013E29">
        <w:rPr>
          <w:sz w:val="24"/>
          <w:szCs w:val="24"/>
        </w:rPr>
        <w:t>-</w:t>
      </w:r>
      <w:r w:rsidRPr="002173D2">
        <w:rPr>
          <w:sz w:val="24"/>
          <w:szCs w:val="24"/>
        </w:rPr>
        <w:t>kode: QM</w:t>
      </w:r>
      <w:r w:rsidR="00013E29">
        <w:rPr>
          <w:sz w:val="24"/>
          <w:szCs w:val="24"/>
        </w:rPr>
        <w:t xml:space="preserve"> </w:t>
      </w:r>
      <w:r w:rsidRPr="002173D2">
        <w:rPr>
          <w:sz w:val="24"/>
          <w:szCs w:val="24"/>
        </w:rPr>
        <w:t>01</w:t>
      </w:r>
      <w:r w:rsidR="00013E29">
        <w:rPr>
          <w:sz w:val="24"/>
          <w:szCs w:val="24"/>
        </w:rPr>
        <w:t xml:space="preserve"> </w:t>
      </w:r>
      <w:r w:rsidRPr="002173D2">
        <w:rPr>
          <w:sz w:val="24"/>
          <w:szCs w:val="24"/>
        </w:rPr>
        <w:t>AE</w:t>
      </w:r>
      <w:r w:rsidR="00013E29">
        <w:rPr>
          <w:sz w:val="24"/>
          <w:szCs w:val="24"/>
        </w:rPr>
        <w:t xml:space="preserve"> </w:t>
      </w:r>
      <w:r w:rsidRPr="002173D2">
        <w:rPr>
          <w:sz w:val="24"/>
          <w:szCs w:val="24"/>
        </w:rPr>
        <w:t>03</w:t>
      </w:r>
      <w:r w:rsidR="00013E29">
        <w:rPr>
          <w:sz w:val="24"/>
          <w:szCs w:val="24"/>
        </w:rPr>
        <w:t>.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5E0C6A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E0C6A">
        <w:rPr>
          <w:b/>
          <w:sz w:val="24"/>
          <w:szCs w:val="24"/>
        </w:rPr>
        <w:t>5.1</w:t>
      </w:r>
      <w:r w:rsidRPr="005E0C6A">
        <w:rPr>
          <w:b/>
          <w:sz w:val="24"/>
          <w:szCs w:val="24"/>
        </w:rPr>
        <w:tab/>
      </w:r>
      <w:proofErr w:type="spellStart"/>
      <w:r w:rsidRPr="005E0C6A">
        <w:rPr>
          <w:b/>
          <w:sz w:val="24"/>
          <w:szCs w:val="24"/>
        </w:rPr>
        <w:t>Farmakodynamiske</w:t>
      </w:r>
      <w:proofErr w:type="spellEnd"/>
      <w:r w:rsidRPr="005E0C6A">
        <w:rPr>
          <w:b/>
          <w:sz w:val="24"/>
          <w:szCs w:val="24"/>
        </w:rPr>
        <w:t xml:space="preserve"> egenskaber</w:t>
      </w:r>
    </w:p>
    <w:p w:rsidR="002173D2" w:rsidRPr="005E0C6A" w:rsidRDefault="002173D2" w:rsidP="002173D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5E0C6A">
        <w:rPr>
          <w:sz w:val="24"/>
          <w:szCs w:val="24"/>
        </w:rPr>
        <w:t>Ketoprofen</w:t>
      </w:r>
      <w:proofErr w:type="spellEnd"/>
      <w:r w:rsidRPr="005E0C6A">
        <w:rPr>
          <w:sz w:val="24"/>
          <w:szCs w:val="24"/>
        </w:rPr>
        <w:t xml:space="preserve"> er et derivat af </w:t>
      </w:r>
      <w:proofErr w:type="spellStart"/>
      <w:r w:rsidRPr="005E0C6A">
        <w:rPr>
          <w:sz w:val="24"/>
          <w:szCs w:val="24"/>
        </w:rPr>
        <w:t>phenylpropionsyre</w:t>
      </w:r>
      <w:proofErr w:type="spellEnd"/>
      <w:r w:rsidRPr="005E0C6A">
        <w:rPr>
          <w:sz w:val="24"/>
          <w:szCs w:val="24"/>
        </w:rPr>
        <w:t xml:space="preserve"> og hører til de </w:t>
      </w:r>
      <w:r w:rsidR="005E0C6A">
        <w:rPr>
          <w:sz w:val="24"/>
          <w:szCs w:val="24"/>
        </w:rPr>
        <w:t>non</w:t>
      </w:r>
      <w:r w:rsidRPr="005E0C6A">
        <w:rPr>
          <w:sz w:val="24"/>
          <w:szCs w:val="24"/>
        </w:rPr>
        <w:t>-</w:t>
      </w:r>
      <w:proofErr w:type="spellStart"/>
      <w:r w:rsidRPr="005E0C6A">
        <w:rPr>
          <w:sz w:val="24"/>
          <w:szCs w:val="24"/>
        </w:rPr>
        <w:t>steroide</w:t>
      </w:r>
      <w:proofErr w:type="spellEnd"/>
      <w:r w:rsidRPr="005E0C6A">
        <w:rPr>
          <w:sz w:val="24"/>
          <w:szCs w:val="24"/>
        </w:rPr>
        <w:t xml:space="preserve"> antiinflammatoriske lægemidler. Som </w:t>
      </w:r>
      <w:r w:rsidR="005E0C6A">
        <w:rPr>
          <w:sz w:val="24"/>
          <w:szCs w:val="24"/>
        </w:rPr>
        <w:t xml:space="preserve">for </w:t>
      </w:r>
      <w:r w:rsidRPr="005E0C6A">
        <w:rPr>
          <w:sz w:val="24"/>
          <w:szCs w:val="24"/>
        </w:rPr>
        <w:t xml:space="preserve">alle sådanne stoffer er dets vigtigste farmakologiske virkninger antiinflammatorisk, smertestillende og </w:t>
      </w:r>
      <w:proofErr w:type="spellStart"/>
      <w:r w:rsidRPr="005E0C6A">
        <w:rPr>
          <w:sz w:val="24"/>
          <w:szCs w:val="24"/>
        </w:rPr>
        <w:t>antipyretisk</w:t>
      </w:r>
      <w:proofErr w:type="spellEnd"/>
      <w:r w:rsidRPr="005E0C6A">
        <w:rPr>
          <w:sz w:val="24"/>
          <w:szCs w:val="24"/>
        </w:rPr>
        <w:t xml:space="preserve">. Virkemekanismen er relateret til </w:t>
      </w:r>
      <w:proofErr w:type="spellStart"/>
      <w:r w:rsidRPr="005E0C6A">
        <w:rPr>
          <w:sz w:val="24"/>
          <w:szCs w:val="24"/>
        </w:rPr>
        <w:t>ketoprofen</w:t>
      </w:r>
      <w:r w:rsidR="003E47C0">
        <w:rPr>
          <w:sz w:val="24"/>
          <w:szCs w:val="24"/>
        </w:rPr>
        <w:t>s</w:t>
      </w:r>
      <w:proofErr w:type="spellEnd"/>
      <w:r w:rsidR="003E47C0">
        <w:rPr>
          <w:sz w:val="24"/>
          <w:szCs w:val="24"/>
        </w:rPr>
        <w:t xml:space="preserve"> evne til at</w:t>
      </w:r>
      <w:r w:rsidRPr="005E0C6A">
        <w:rPr>
          <w:sz w:val="24"/>
          <w:szCs w:val="24"/>
        </w:rPr>
        <w:t xml:space="preserve"> </w:t>
      </w:r>
      <w:r w:rsidR="00EC7818">
        <w:rPr>
          <w:sz w:val="24"/>
          <w:szCs w:val="24"/>
        </w:rPr>
        <w:t>påvirke</w:t>
      </w:r>
      <w:r w:rsidRPr="005E0C6A">
        <w:rPr>
          <w:sz w:val="24"/>
          <w:szCs w:val="24"/>
        </w:rPr>
        <w:t xml:space="preserve"> syntesen af </w:t>
      </w:r>
      <w:proofErr w:type="spellStart"/>
      <w:r w:rsidRPr="005E0C6A">
        <w:rPr>
          <w:sz w:val="24"/>
          <w:szCs w:val="24"/>
        </w:rPr>
        <w:t>prostaglandiner</w:t>
      </w:r>
      <w:proofErr w:type="spellEnd"/>
      <w:r w:rsidRPr="005E0C6A">
        <w:rPr>
          <w:sz w:val="24"/>
          <w:szCs w:val="24"/>
        </w:rPr>
        <w:t xml:space="preserve"> fra forstadier, såsom </w:t>
      </w:r>
      <w:proofErr w:type="spellStart"/>
      <w:r w:rsidRPr="005E0C6A">
        <w:rPr>
          <w:sz w:val="24"/>
          <w:szCs w:val="24"/>
        </w:rPr>
        <w:t>arachidonsyre</w:t>
      </w:r>
      <w:proofErr w:type="spellEnd"/>
      <w:r w:rsidRPr="005E0C6A">
        <w:rPr>
          <w:sz w:val="24"/>
          <w:szCs w:val="24"/>
        </w:rPr>
        <w:t>.</w:t>
      </w:r>
    </w:p>
    <w:p w:rsidR="005B0036" w:rsidRPr="005E0C6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5E0C6A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E0C6A">
        <w:rPr>
          <w:b/>
          <w:sz w:val="24"/>
          <w:szCs w:val="24"/>
        </w:rPr>
        <w:t>5.2</w:t>
      </w:r>
      <w:r w:rsidRPr="005E0C6A">
        <w:rPr>
          <w:b/>
          <w:sz w:val="24"/>
          <w:szCs w:val="24"/>
        </w:rPr>
        <w:tab/>
      </w:r>
      <w:proofErr w:type="spellStart"/>
      <w:r w:rsidRPr="005E0C6A">
        <w:rPr>
          <w:b/>
          <w:sz w:val="24"/>
          <w:szCs w:val="24"/>
        </w:rPr>
        <w:t>Farmakokinetiske</w:t>
      </w:r>
      <w:proofErr w:type="spellEnd"/>
      <w:r w:rsidRPr="005E0C6A">
        <w:rPr>
          <w:b/>
          <w:sz w:val="24"/>
          <w:szCs w:val="24"/>
        </w:rPr>
        <w:t xml:space="preserve"> egenskaber</w:t>
      </w:r>
    </w:p>
    <w:p w:rsidR="002173D2" w:rsidRPr="002173D2" w:rsidRDefault="002173D2" w:rsidP="002173D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5E0C6A">
        <w:rPr>
          <w:sz w:val="24"/>
          <w:szCs w:val="24"/>
        </w:rPr>
        <w:t>Ketoprofen</w:t>
      </w:r>
      <w:proofErr w:type="spellEnd"/>
      <w:r w:rsidRPr="005E0C6A">
        <w:rPr>
          <w:sz w:val="24"/>
          <w:szCs w:val="24"/>
        </w:rPr>
        <w:t xml:space="preserve"> absorberes hurtigt. Den maksimale plasmakoncentration nås på mindre end en</w:t>
      </w:r>
      <w:r w:rsidRPr="002173D2">
        <w:rPr>
          <w:sz w:val="24"/>
          <w:szCs w:val="24"/>
        </w:rPr>
        <w:t xml:space="preserve"> time efter parenteral administration. Biotilgængeligheden er ca. 80 til 95 %. </w:t>
      </w:r>
      <w:proofErr w:type="spellStart"/>
      <w:r w:rsidRPr="002173D2">
        <w:rPr>
          <w:sz w:val="24"/>
          <w:szCs w:val="24"/>
        </w:rPr>
        <w:t>Ketoprofen</w:t>
      </w:r>
      <w:proofErr w:type="spellEnd"/>
      <w:r w:rsidRPr="002173D2">
        <w:rPr>
          <w:sz w:val="24"/>
          <w:szCs w:val="24"/>
        </w:rPr>
        <w:t xml:space="preserve"> binder stærkt til plasmaproteiner (ca. 95 %), hvilket tillader det ophobning i </w:t>
      </w:r>
      <w:proofErr w:type="spellStart"/>
      <w:r w:rsidRPr="002173D2">
        <w:rPr>
          <w:sz w:val="24"/>
          <w:szCs w:val="24"/>
        </w:rPr>
        <w:t>ekssudatet</w:t>
      </w:r>
      <w:proofErr w:type="spellEnd"/>
      <w:r w:rsidRPr="002173D2">
        <w:rPr>
          <w:sz w:val="24"/>
          <w:szCs w:val="24"/>
        </w:rPr>
        <w:t xml:space="preserve"> på inflammationsstedet.</w:t>
      </w:r>
    </w:p>
    <w:p w:rsidR="002173D2" w:rsidRPr="002173D2" w:rsidRDefault="002173D2" w:rsidP="002173D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173D2">
        <w:rPr>
          <w:sz w:val="24"/>
          <w:szCs w:val="24"/>
        </w:rPr>
        <w:t xml:space="preserve">Handlingen er længere end hvad der skulle forventes fra plasmahalveringstiden, der varierer mellem en og fire timer afhængigt af </w:t>
      </w:r>
      <w:r w:rsidR="00E37799">
        <w:rPr>
          <w:sz w:val="24"/>
          <w:szCs w:val="24"/>
        </w:rPr>
        <w:t>dyre</w:t>
      </w:r>
      <w:r w:rsidRPr="002173D2">
        <w:rPr>
          <w:sz w:val="24"/>
          <w:szCs w:val="24"/>
        </w:rPr>
        <w:t xml:space="preserve">arten. </w:t>
      </w:r>
      <w:proofErr w:type="spellStart"/>
      <w:r w:rsidRPr="002173D2">
        <w:rPr>
          <w:sz w:val="24"/>
          <w:szCs w:val="24"/>
        </w:rPr>
        <w:t>Ketoprofen</w:t>
      </w:r>
      <w:proofErr w:type="spellEnd"/>
      <w:r w:rsidRPr="002173D2">
        <w:rPr>
          <w:sz w:val="24"/>
          <w:szCs w:val="24"/>
        </w:rPr>
        <w:t xml:space="preserve"> kommer ind i </w:t>
      </w:r>
      <w:proofErr w:type="spellStart"/>
      <w:r w:rsidRPr="002173D2">
        <w:rPr>
          <w:sz w:val="24"/>
          <w:szCs w:val="24"/>
        </w:rPr>
        <w:lastRenderedPageBreak/>
        <w:t>synovialvæsken</w:t>
      </w:r>
      <w:proofErr w:type="spellEnd"/>
      <w:r w:rsidRPr="002173D2">
        <w:rPr>
          <w:sz w:val="24"/>
          <w:szCs w:val="24"/>
        </w:rPr>
        <w:t xml:space="preserve"> og forbliver der i højere niveauer end i plasma, med en halveringstid to til tre gange højere end i plasma.</w:t>
      </w:r>
    </w:p>
    <w:p w:rsidR="002173D2" w:rsidRPr="002173D2" w:rsidRDefault="002173D2" w:rsidP="002173D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2173D2">
        <w:rPr>
          <w:sz w:val="24"/>
          <w:szCs w:val="24"/>
        </w:rPr>
        <w:t>Ketoprofen</w:t>
      </w:r>
      <w:proofErr w:type="spellEnd"/>
      <w:r w:rsidRPr="002173D2">
        <w:rPr>
          <w:sz w:val="24"/>
          <w:szCs w:val="24"/>
        </w:rPr>
        <w:t xml:space="preserve"> </w:t>
      </w:r>
      <w:proofErr w:type="spellStart"/>
      <w:r w:rsidRPr="002173D2">
        <w:rPr>
          <w:sz w:val="24"/>
          <w:szCs w:val="24"/>
        </w:rPr>
        <w:t>metaboliseres</w:t>
      </w:r>
      <w:proofErr w:type="spellEnd"/>
      <w:r w:rsidRPr="002173D2">
        <w:rPr>
          <w:sz w:val="24"/>
          <w:szCs w:val="24"/>
        </w:rPr>
        <w:t xml:space="preserve"> i leveren</w:t>
      </w:r>
      <w:r w:rsidR="00E37799">
        <w:rPr>
          <w:sz w:val="24"/>
          <w:szCs w:val="24"/>
        </w:rPr>
        <w:t>,</w:t>
      </w:r>
      <w:r w:rsidRPr="002173D2">
        <w:rPr>
          <w:sz w:val="24"/>
          <w:szCs w:val="24"/>
        </w:rPr>
        <w:t xml:space="preserve"> og 90 procent udskilles i urinen og er </w:t>
      </w:r>
      <w:r w:rsidR="00E37799">
        <w:rPr>
          <w:sz w:val="24"/>
          <w:szCs w:val="24"/>
        </w:rPr>
        <w:t>elimineret</w:t>
      </w:r>
      <w:r w:rsidRPr="002173D2">
        <w:rPr>
          <w:sz w:val="24"/>
          <w:szCs w:val="24"/>
        </w:rPr>
        <w:t xml:space="preserve"> efter 96 timer.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5.3</w:t>
      </w:r>
      <w:r w:rsidRPr="00406EE7">
        <w:rPr>
          <w:b/>
          <w:sz w:val="24"/>
          <w:szCs w:val="24"/>
        </w:rPr>
        <w:tab/>
        <w:t>Miljømæssige forhold</w:t>
      </w:r>
    </w:p>
    <w:p w:rsidR="005B0036" w:rsidRPr="00406EE7" w:rsidRDefault="00E37799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2173D2" w:rsidRPr="002173D2" w:rsidRDefault="002173D2" w:rsidP="002173D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173D2">
        <w:rPr>
          <w:sz w:val="24"/>
          <w:szCs w:val="24"/>
        </w:rPr>
        <w:t>L-</w:t>
      </w:r>
      <w:proofErr w:type="spellStart"/>
      <w:r w:rsidRPr="002173D2">
        <w:rPr>
          <w:sz w:val="24"/>
          <w:szCs w:val="24"/>
        </w:rPr>
        <w:t>Arginin</w:t>
      </w:r>
      <w:proofErr w:type="spellEnd"/>
      <w:r w:rsidRPr="002173D2">
        <w:rPr>
          <w:sz w:val="24"/>
          <w:szCs w:val="24"/>
        </w:rPr>
        <w:t xml:space="preserve"> </w:t>
      </w:r>
    </w:p>
    <w:p w:rsidR="002173D2" w:rsidRPr="002173D2" w:rsidRDefault="002173D2" w:rsidP="002173D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2173D2">
        <w:rPr>
          <w:sz w:val="24"/>
          <w:szCs w:val="24"/>
        </w:rPr>
        <w:t>Benzyl</w:t>
      </w:r>
      <w:r w:rsidR="00E37799">
        <w:rPr>
          <w:sz w:val="24"/>
          <w:szCs w:val="24"/>
        </w:rPr>
        <w:t>a</w:t>
      </w:r>
      <w:r w:rsidRPr="002173D2">
        <w:rPr>
          <w:sz w:val="24"/>
          <w:szCs w:val="24"/>
        </w:rPr>
        <w:t>lkohol</w:t>
      </w:r>
      <w:proofErr w:type="spellEnd"/>
      <w:r w:rsidRPr="002173D2">
        <w:rPr>
          <w:sz w:val="24"/>
          <w:szCs w:val="24"/>
        </w:rPr>
        <w:t xml:space="preserve"> (E1519)</w:t>
      </w:r>
    </w:p>
    <w:p w:rsidR="002173D2" w:rsidRPr="002173D2" w:rsidRDefault="002173D2" w:rsidP="002173D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173D2">
        <w:rPr>
          <w:sz w:val="24"/>
          <w:szCs w:val="24"/>
        </w:rPr>
        <w:t>Citronsyre-monohydrat (til pH-justering)</w:t>
      </w:r>
    </w:p>
    <w:p w:rsidR="002173D2" w:rsidRPr="002173D2" w:rsidRDefault="002173D2" w:rsidP="002173D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173D2">
        <w:rPr>
          <w:sz w:val="24"/>
          <w:szCs w:val="24"/>
        </w:rPr>
        <w:t>Vand til injektion</w:t>
      </w:r>
      <w:r w:rsidR="005F0DC9">
        <w:rPr>
          <w:sz w:val="24"/>
          <w:szCs w:val="24"/>
        </w:rPr>
        <w:t>svæsker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5B0036" w:rsidRDefault="000133F5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Da der ikke foreligger undersøgelser </w:t>
      </w:r>
      <w:r>
        <w:t xml:space="preserve">vedrørende </w:t>
      </w:r>
      <w:r>
        <w:rPr>
          <w:sz w:val="24"/>
          <w:szCs w:val="24"/>
        </w:rPr>
        <w:t xml:space="preserve">eventuelle uforligeligheder, bør dette lægemiddel ikke blandes med andre </w:t>
      </w:r>
      <w:r>
        <w:t>lægemidler</w:t>
      </w:r>
      <w:r>
        <w:rPr>
          <w:sz w:val="24"/>
          <w:szCs w:val="24"/>
        </w:rPr>
        <w:t>.</w:t>
      </w:r>
    </w:p>
    <w:p w:rsidR="000133F5" w:rsidRPr="00406EE7" w:rsidRDefault="000133F5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0133F5" w:rsidRPr="000133F5" w:rsidRDefault="000133F5" w:rsidP="000133F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133F5">
        <w:rPr>
          <w:sz w:val="24"/>
          <w:szCs w:val="24"/>
        </w:rPr>
        <w:t>Opbevaringstid for veterinærlægemidlet i salgspakning: 30 måneder.</w:t>
      </w:r>
    </w:p>
    <w:p w:rsidR="000133F5" w:rsidRPr="000133F5" w:rsidRDefault="000133F5" w:rsidP="000133F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0133F5">
        <w:rPr>
          <w:sz w:val="24"/>
          <w:szCs w:val="24"/>
        </w:rPr>
        <w:t>Opbevaringstid efter første åbning af den indre emballage: 28 dage.</w:t>
      </w:r>
    </w:p>
    <w:p w:rsidR="005B0036" w:rsidRPr="000133F5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3457FD" w:rsidRPr="003457FD" w:rsidRDefault="003457FD" w:rsidP="003457F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457FD">
        <w:rPr>
          <w:sz w:val="24"/>
          <w:szCs w:val="24"/>
        </w:rPr>
        <w:t xml:space="preserve">Må ikke </w:t>
      </w:r>
      <w:r w:rsidR="00A84B95">
        <w:rPr>
          <w:sz w:val="24"/>
          <w:szCs w:val="24"/>
        </w:rPr>
        <w:t xml:space="preserve">opbevares i </w:t>
      </w:r>
      <w:r w:rsidRPr="003457FD">
        <w:rPr>
          <w:sz w:val="24"/>
          <w:szCs w:val="24"/>
        </w:rPr>
        <w:t>køle</w:t>
      </w:r>
      <w:r w:rsidR="00A84B95">
        <w:rPr>
          <w:sz w:val="24"/>
          <w:szCs w:val="24"/>
        </w:rPr>
        <w:t>skab eller ned</w:t>
      </w:r>
      <w:r w:rsidRPr="003457FD">
        <w:rPr>
          <w:sz w:val="24"/>
          <w:szCs w:val="24"/>
        </w:rPr>
        <w:t>fryses.</w:t>
      </w:r>
    </w:p>
    <w:p w:rsidR="003457FD" w:rsidRPr="003457FD" w:rsidRDefault="00D01A94" w:rsidP="003457F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Hætteglasset opbevares i ydre karton for at beskytte</w:t>
      </w:r>
      <w:r w:rsidR="003457FD" w:rsidRPr="003457FD">
        <w:rPr>
          <w:sz w:val="24"/>
          <w:szCs w:val="24"/>
        </w:rPr>
        <w:t xml:space="preserve"> mod lys.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3457FD" w:rsidRPr="003457FD" w:rsidRDefault="003457FD" w:rsidP="003457F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457FD">
        <w:rPr>
          <w:sz w:val="24"/>
          <w:szCs w:val="24"/>
        </w:rPr>
        <w:t xml:space="preserve">Ravfarvet </w:t>
      </w:r>
      <w:r w:rsidR="00733EB1">
        <w:rPr>
          <w:sz w:val="24"/>
          <w:szCs w:val="24"/>
        </w:rPr>
        <w:t xml:space="preserve">Type II </w:t>
      </w:r>
      <w:r w:rsidRPr="003457FD">
        <w:rPr>
          <w:sz w:val="24"/>
          <w:szCs w:val="24"/>
        </w:rPr>
        <w:t xml:space="preserve">hætteglas på 50, 100 </w:t>
      </w:r>
      <w:r w:rsidR="00733EB1">
        <w:rPr>
          <w:sz w:val="24"/>
          <w:szCs w:val="24"/>
        </w:rPr>
        <w:t>eller</w:t>
      </w:r>
      <w:r w:rsidRPr="003457FD">
        <w:rPr>
          <w:sz w:val="24"/>
          <w:szCs w:val="24"/>
        </w:rPr>
        <w:t xml:space="preserve"> 250 ml, lukket med </w:t>
      </w:r>
      <w:proofErr w:type="spellStart"/>
      <w:r w:rsidRPr="003457FD">
        <w:rPr>
          <w:sz w:val="24"/>
          <w:szCs w:val="24"/>
        </w:rPr>
        <w:t>bromobutylgummiprop</w:t>
      </w:r>
      <w:proofErr w:type="spellEnd"/>
      <w:r w:rsidRPr="003457FD">
        <w:rPr>
          <w:sz w:val="24"/>
          <w:szCs w:val="24"/>
        </w:rPr>
        <w:t xml:space="preserve"> og aluminiumshætte</w:t>
      </w:r>
      <w:r w:rsidR="00733EB1">
        <w:rPr>
          <w:sz w:val="24"/>
          <w:szCs w:val="24"/>
        </w:rPr>
        <w:t xml:space="preserve"> og</w:t>
      </w:r>
      <w:r w:rsidRPr="003457FD">
        <w:rPr>
          <w:sz w:val="24"/>
          <w:szCs w:val="24"/>
        </w:rPr>
        <w:t xml:space="preserve"> pakket i en ydre karton</w:t>
      </w:r>
      <w:r w:rsidR="006E0F00">
        <w:rPr>
          <w:sz w:val="24"/>
          <w:szCs w:val="24"/>
        </w:rPr>
        <w:t>æske</w:t>
      </w:r>
      <w:r w:rsidRPr="003457FD">
        <w:rPr>
          <w:sz w:val="24"/>
          <w:szCs w:val="24"/>
        </w:rPr>
        <w:t>.</w:t>
      </w:r>
    </w:p>
    <w:p w:rsidR="00E56C35" w:rsidRDefault="00E56C35" w:rsidP="003457FD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</w:p>
    <w:p w:rsidR="003457FD" w:rsidRPr="003457FD" w:rsidRDefault="003457FD" w:rsidP="003457FD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3457FD">
        <w:rPr>
          <w:sz w:val="24"/>
          <w:szCs w:val="24"/>
          <w:u w:val="single"/>
        </w:rPr>
        <w:t>Pakningsstørrelser</w:t>
      </w:r>
    </w:p>
    <w:p w:rsidR="003457FD" w:rsidRPr="003457FD" w:rsidRDefault="000133F5" w:rsidP="003457F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Kartonæsker med 1, 6, 10 og 12 hætteglas på 50 ml, 100 ml og 250 ml.</w:t>
      </w:r>
    </w:p>
    <w:p w:rsidR="00733EB1" w:rsidRDefault="00733EB1" w:rsidP="003457F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3457FD" w:rsidRPr="003457FD" w:rsidRDefault="003457FD" w:rsidP="003457F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3457FD">
        <w:rPr>
          <w:sz w:val="24"/>
          <w:szCs w:val="24"/>
        </w:rPr>
        <w:t>Ikke alle pakningsstørrelser er nødvendigvis markedsført.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50033C" w:rsidRPr="0050033C" w:rsidRDefault="0050033C" w:rsidP="0050033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0033C">
        <w:rPr>
          <w:sz w:val="24"/>
          <w:szCs w:val="24"/>
        </w:rPr>
        <w:t xml:space="preserve">Ikke anvendte veterinærlægemidler samt affald heraf bør destrueres i henhold til lokale </w:t>
      </w:r>
      <w:proofErr w:type="spellStart"/>
      <w:r w:rsidRPr="0050033C">
        <w:rPr>
          <w:sz w:val="24"/>
          <w:szCs w:val="24"/>
        </w:rPr>
        <w:t>retningslinier</w:t>
      </w:r>
      <w:proofErr w:type="spellEnd"/>
      <w:r w:rsidRPr="0050033C">
        <w:rPr>
          <w:sz w:val="24"/>
          <w:szCs w:val="24"/>
        </w:rPr>
        <w:t>.</w:t>
      </w:r>
    </w:p>
    <w:p w:rsidR="005B0036" w:rsidRPr="0007072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50033C" w:rsidRDefault="00C11FDD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C11FDD">
        <w:rPr>
          <w:sz w:val="24"/>
          <w:szCs w:val="24"/>
        </w:rPr>
        <w:t>K</w:t>
      </w:r>
      <w:r w:rsidR="0050033C">
        <w:rPr>
          <w:sz w:val="24"/>
          <w:szCs w:val="24"/>
        </w:rPr>
        <w:t>ela</w:t>
      </w:r>
      <w:proofErr w:type="spellEnd"/>
      <w:r w:rsidR="0050033C">
        <w:rPr>
          <w:sz w:val="24"/>
          <w:szCs w:val="24"/>
        </w:rPr>
        <w:t xml:space="preserve"> </w:t>
      </w:r>
      <w:r w:rsidRPr="00C11FDD">
        <w:rPr>
          <w:sz w:val="24"/>
          <w:szCs w:val="24"/>
        </w:rPr>
        <w:t>N.V.</w:t>
      </w:r>
    </w:p>
    <w:p w:rsidR="0050033C" w:rsidRDefault="00C11FDD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11FDD">
        <w:rPr>
          <w:sz w:val="24"/>
          <w:szCs w:val="24"/>
        </w:rPr>
        <w:t xml:space="preserve">St. </w:t>
      </w:r>
      <w:proofErr w:type="spellStart"/>
      <w:r w:rsidRPr="00C11FDD">
        <w:rPr>
          <w:sz w:val="24"/>
          <w:szCs w:val="24"/>
        </w:rPr>
        <w:t>Lenaartseweg</w:t>
      </w:r>
      <w:proofErr w:type="spellEnd"/>
      <w:r w:rsidRPr="00C11FDD">
        <w:rPr>
          <w:sz w:val="24"/>
          <w:szCs w:val="24"/>
        </w:rPr>
        <w:t xml:space="preserve"> 48</w:t>
      </w:r>
    </w:p>
    <w:p w:rsidR="0050033C" w:rsidRDefault="00C11FDD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11FDD">
        <w:rPr>
          <w:sz w:val="24"/>
          <w:szCs w:val="24"/>
        </w:rPr>
        <w:t xml:space="preserve">2320 </w:t>
      </w:r>
      <w:proofErr w:type="spellStart"/>
      <w:r w:rsidRPr="00C11FDD">
        <w:rPr>
          <w:sz w:val="24"/>
          <w:szCs w:val="24"/>
        </w:rPr>
        <w:t>Hoogstraten</w:t>
      </w:r>
      <w:proofErr w:type="spellEnd"/>
    </w:p>
    <w:p w:rsidR="00C11FDD" w:rsidRDefault="00C11FDD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11FDD">
        <w:rPr>
          <w:sz w:val="24"/>
          <w:szCs w:val="24"/>
        </w:rPr>
        <w:t>B</w:t>
      </w:r>
      <w:r w:rsidR="0050033C">
        <w:rPr>
          <w:sz w:val="24"/>
          <w:szCs w:val="24"/>
        </w:rPr>
        <w:t>elgien</w:t>
      </w:r>
    </w:p>
    <w:p w:rsidR="00C74E6A" w:rsidRDefault="00C74E6A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C74E6A" w:rsidRDefault="00C74E6A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C74E6A" w:rsidRDefault="00C74E6A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C74E6A" w:rsidRDefault="00C74E6A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C74E6A" w:rsidRDefault="00C74E6A" w:rsidP="00C11FD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Repræsentant</w:t>
      </w:r>
    </w:p>
    <w:p w:rsidR="00C74E6A" w:rsidRPr="00C74E6A" w:rsidRDefault="00C74E6A" w:rsidP="00C74E6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C74E6A">
        <w:rPr>
          <w:sz w:val="24"/>
          <w:szCs w:val="24"/>
        </w:rPr>
        <w:t>Huvepharma</w:t>
      </w:r>
      <w:proofErr w:type="spellEnd"/>
      <w:r w:rsidRPr="00C74E6A">
        <w:rPr>
          <w:sz w:val="24"/>
          <w:szCs w:val="24"/>
        </w:rPr>
        <w:t xml:space="preserve"> NV</w:t>
      </w:r>
    </w:p>
    <w:p w:rsidR="00C74E6A" w:rsidRPr="00C74E6A" w:rsidRDefault="00C74E6A" w:rsidP="00C74E6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C74E6A">
        <w:rPr>
          <w:sz w:val="24"/>
          <w:szCs w:val="24"/>
        </w:rPr>
        <w:t>Uitbreidingsstraat</w:t>
      </w:r>
      <w:proofErr w:type="spellEnd"/>
      <w:r w:rsidRPr="00C74E6A">
        <w:rPr>
          <w:sz w:val="24"/>
          <w:szCs w:val="24"/>
        </w:rPr>
        <w:t xml:space="preserve"> 80</w:t>
      </w:r>
    </w:p>
    <w:p w:rsidR="00C74E6A" w:rsidRPr="00C74E6A" w:rsidRDefault="00C74E6A" w:rsidP="00C74E6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74E6A">
        <w:rPr>
          <w:sz w:val="24"/>
          <w:szCs w:val="24"/>
        </w:rPr>
        <w:t>2600 Antwerpen</w:t>
      </w:r>
    </w:p>
    <w:p w:rsidR="00C74E6A" w:rsidRPr="00C74E6A" w:rsidRDefault="00C74E6A" w:rsidP="00C74E6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C74E6A">
        <w:rPr>
          <w:sz w:val="24"/>
          <w:szCs w:val="24"/>
        </w:rPr>
        <w:t>Belgien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5B0036" w:rsidRPr="00406EE7" w:rsidRDefault="00034D0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64159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5B0036" w:rsidRPr="00406EE7" w:rsidRDefault="00034D0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24. september 2020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5B0036" w:rsidRPr="00406EE7" w:rsidRDefault="00BF66A8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F66A8">
        <w:rPr>
          <w:sz w:val="24"/>
          <w:szCs w:val="24"/>
        </w:rPr>
        <w:t>16. juli 2021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03527F" w:rsidRPr="00744874" w:rsidRDefault="00034D0D" w:rsidP="00744874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sectPr w:rsidR="0003527F" w:rsidRPr="00744874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EA8" w:rsidRDefault="001C1EA8">
      <w:r>
        <w:separator/>
      </w:r>
    </w:p>
  </w:endnote>
  <w:endnote w:type="continuationSeparator" w:id="0">
    <w:p w:rsidR="001C1EA8" w:rsidRDefault="001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33CF">
      <w:rPr>
        <w:i/>
        <w:noProof/>
        <w:snapToGrid w:val="0"/>
        <w:sz w:val="18"/>
      </w:rPr>
      <w:t>Kelafen, injektionsvæske, opløsning 100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33CF">
      <w:rPr>
        <w:i/>
        <w:noProof/>
        <w:snapToGrid w:val="0"/>
        <w:sz w:val="18"/>
      </w:rPr>
      <w:t>Kelafen, injektionsvæske, opløsning 100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EA8" w:rsidRDefault="001C1EA8">
      <w:r>
        <w:separator/>
      </w:r>
    </w:p>
  </w:footnote>
  <w:footnote w:type="continuationSeparator" w:id="0">
    <w:p w:rsidR="001C1EA8" w:rsidRDefault="001C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A8"/>
    <w:rsid w:val="000133F5"/>
    <w:rsid w:val="00013E29"/>
    <w:rsid w:val="00034D0D"/>
    <w:rsid w:val="0003527F"/>
    <w:rsid w:val="00065C7D"/>
    <w:rsid w:val="00091332"/>
    <w:rsid w:val="000C6CD4"/>
    <w:rsid w:val="00130533"/>
    <w:rsid w:val="0014182A"/>
    <w:rsid w:val="001577E4"/>
    <w:rsid w:val="001750B2"/>
    <w:rsid w:val="001858CA"/>
    <w:rsid w:val="00185EEE"/>
    <w:rsid w:val="00191A2F"/>
    <w:rsid w:val="001C1EA8"/>
    <w:rsid w:val="001C4AEF"/>
    <w:rsid w:val="001D3CC5"/>
    <w:rsid w:val="001D4965"/>
    <w:rsid w:val="001D6070"/>
    <w:rsid w:val="002173D2"/>
    <w:rsid w:val="002706E8"/>
    <w:rsid w:val="002A07DE"/>
    <w:rsid w:val="002A3943"/>
    <w:rsid w:val="002E2818"/>
    <w:rsid w:val="00322BDE"/>
    <w:rsid w:val="0033450C"/>
    <w:rsid w:val="003457FD"/>
    <w:rsid w:val="003C5975"/>
    <w:rsid w:val="003E0370"/>
    <w:rsid w:val="003E47C0"/>
    <w:rsid w:val="00406EE7"/>
    <w:rsid w:val="00407013"/>
    <w:rsid w:val="00456713"/>
    <w:rsid w:val="00481E81"/>
    <w:rsid w:val="004A62CC"/>
    <w:rsid w:val="004D55BC"/>
    <w:rsid w:val="0050033C"/>
    <w:rsid w:val="00565A74"/>
    <w:rsid w:val="005B0036"/>
    <w:rsid w:val="005E0C6A"/>
    <w:rsid w:val="005F0DC9"/>
    <w:rsid w:val="005F5831"/>
    <w:rsid w:val="00662012"/>
    <w:rsid w:val="00666B01"/>
    <w:rsid w:val="006B1539"/>
    <w:rsid w:val="006E0F00"/>
    <w:rsid w:val="006F5621"/>
    <w:rsid w:val="007076C7"/>
    <w:rsid w:val="00733EB1"/>
    <w:rsid w:val="00740981"/>
    <w:rsid w:val="00744874"/>
    <w:rsid w:val="007502FC"/>
    <w:rsid w:val="00763A5A"/>
    <w:rsid w:val="00766BA2"/>
    <w:rsid w:val="00791E3E"/>
    <w:rsid w:val="007E2A00"/>
    <w:rsid w:val="008010F2"/>
    <w:rsid w:val="008420C2"/>
    <w:rsid w:val="008633CF"/>
    <w:rsid w:val="008A368F"/>
    <w:rsid w:val="009060E4"/>
    <w:rsid w:val="009202AE"/>
    <w:rsid w:val="009A5323"/>
    <w:rsid w:val="009D66C6"/>
    <w:rsid w:val="00A3283D"/>
    <w:rsid w:val="00A84B95"/>
    <w:rsid w:val="00A96525"/>
    <w:rsid w:val="00AE29E5"/>
    <w:rsid w:val="00AE5757"/>
    <w:rsid w:val="00B25EB8"/>
    <w:rsid w:val="00B3026D"/>
    <w:rsid w:val="00BA694E"/>
    <w:rsid w:val="00BC634B"/>
    <w:rsid w:val="00BF2AE0"/>
    <w:rsid w:val="00BF66A8"/>
    <w:rsid w:val="00C11FDD"/>
    <w:rsid w:val="00C15927"/>
    <w:rsid w:val="00C33D60"/>
    <w:rsid w:val="00C479BF"/>
    <w:rsid w:val="00C6732C"/>
    <w:rsid w:val="00C74E6A"/>
    <w:rsid w:val="00D01A94"/>
    <w:rsid w:val="00D2579F"/>
    <w:rsid w:val="00D86489"/>
    <w:rsid w:val="00DD23BA"/>
    <w:rsid w:val="00DD6D71"/>
    <w:rsid w:val="00DF32BE"/>
    <w:rsid w:val="00E14F0A"/>
    <w:rsid w:val="00E37799"/>
    <w:rsid w:val="00E56C35"/>
    <w:rsid w:val="00E75B25"/>
    <w:rsid w:val="00E91477"/>
    <w:rsid w:val="00EB5778"/>
    <w:rsid w:val="00EB79DB"/>
    <w:rsid w:val="00EC6C90"/>
    <w:rsid w:val="00EC7818"/>
    <w:rsid w:val="00EE0FB1"/>
    <w:rsid w:val="00EE5253"/>
    <w:rsid w:val="00F811B5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CB966"/>
  <w15:chartTrackingRefBased/>
  <w15:docId w15:val="{AB2D77FE-1A7D-45D0-AE39-059F9CD3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9-00-SKB%20SPC%20Vet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009-00-SKB SPC Vet skabelon</Template>
  <TotalTime>7</TotalTime>
  <Pages>6</Pages>
  <Words>1254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2020111448_x000d_
SPC pkt. 2, 4.2, 4.5, 4.6, 6.2, 6.3, 6.5</dc:description>
  <cp:lastModifiedBy>Betty Winther Andersen</cp:lastModifiedBy>
  <cp:revision>6</cp:revision>
  <cp:lastPrinted>2020-09-24T13:13:00Z</cp:lastPrinted>
  <dcterms:created xsi:type="dcterms:W3CDTF">2021-07-14T11:13:00Z</dcterms:created>
  <dcterms:modified xsi:type="dcterms:W3CDTF">2021-07-14T11:21:00Z</dcterms:modified>
</cp:coreProperties>
</file>