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04F0" w14:textId="77777777" w:rsidR="008203A8" w:rsidRPr="006943CC" w:rsidRDefault="008203A8" w:rsidP="008203A8">
      <w:pPr>
        <w:rPr>
          <w:sz w:val="24"/>
          <w:szCs w:val="24"/>
        </w:rPr>
      </w:pPr>
      <w:r w:rsidRPr="006943CC">
        <w:rPr>
          <w:noProof/>
          <w:sz w:val="24"/>
          <w:szCs w:val="24"/>
          <w:lang w:eastAsia="da-DK"/>
        </w:rPr>
        <w:drawing>
          <wp:inline distT="0" distB="0" distL="0" distR="0" wp14:anchorId="0EDB8ED7" wp14:editId="18039344">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4A4C3391" w14:textId="77777777" w:rsidR="008203A8" w:rsidRPr="006943CC" w:rsidRDefault="008203A8" w:rsidP="008203A8">
      <w:pPr>
        <w:rPr>
          <w:sz w:val="24"/>
          <w:szCs w:val="24"/>
        </w:rPr>
      </w:pPr>
    </w:p>
    <w:p w14:paraId="68632D58" w14:textId="42906732" w:rsidR="008203A8" w:rsidRPr="006943CC" w:rsidRDefault="008203A8" w:rsidP="008203A8">
      <w:pPr>
        <w:tabs>
          <w:tab w:val="right" w:pos="9356"/>
        </w:tabs>
        <w:rPr>
          <w:b/>
          <w:sz w:val="24"/>
          <w:szCs w:val="24"/>
        </w:rPr>
      </w:pPr>
      <w:r w:rsidRPr="006943CC">
        <w:rPr>
          <w:b/>
          <w:sz w:val="24"/>
          <w:szCs w:val="24"/>
        </w:rPr>
        <w:tab/>
      </w:r>
      <w:r w:rsidR="00F153F0">
        <w:rPr>
          <w:b/>
          <w:sz w:val="24"/>
          <w:szCs w:val="24"/>
        </w:rPr>
        <w:t xml:space="preserve">7. </w:t>
      </w:r>
      <w:r w:rsidR="00BB2FD0">
        <w:rPr>
          <w:b/>
          <w:sz w:val="24"/>
          <w:szCs w:val="24"/>
        </w:rPr>
        <w:t xml:space="preserve">april </w:t>
      </w:r>
      <w:r w:rsidR="00F153F0">
        <w:rPr>
          <w:b/>
          <w:sz w:val="24"/>
          <w:szCs w:val="24"/>
        </w:rPr>
        <w:t>2026</w:t>
      </w:r>
    </w:p>
    <w:p w14:paraId="3FCF89D9" w14:textId="77777777" w:rsidR="008203A8" w:rsidRPr="006943CC" w:rsidRDefault="008203A8" w:rsidP="008203A8">
      <w:pPr>
        <w:rPr>
          <w:sz w:val="24"/>
          <w:szCs w:val="24"/>
        </w:rPr>
      </w:pPr>
    </w:p>
    <w:p w14:paraId="51CCF501" w14:textId="77777777" w:rsidR="00A04634" w:rsidRDefault="00A04634" w:rsidP="008203A8">
      <w:pPr>
        <w:rPr>
          <w:sz w:val="24"/>
          <w:szCs w:val="24"/>
        </w:rPr>
      </w:pPr>
    </w:p>
    <w:p w14:paraId="5DC1F119" w14:textId="77777777" w:rsidR="00BB2FD0" w:rsidRPr="006943CC" w:rsidRDefault="00BB2FD0" w:rsidP="008203A8">
      <w:pPr>
        <w:rPr>
          <w:sz w:val="24"/>
          <w:szCs w:val="24"/>
        </w:rPr>
      </w:pPr>
    </w:p>
    <w:p w14:paraId="3C5A7570" w14:textId="77777777" w:rsidR="008203A8" w:rsidRPr="006943CC" w:rsidRDefault="008203A8" w:rsidP="008203A8">
      <w:pPr>
        <w:jc w:val="center"/>
        <w:rPr>
          <w:b/>
          <w:sz w:val="24"/>
          <w:szCs w:val="24"/>
        </w:rPr>
      </w:pPr>
      <w:r w:rsidRPr="006943CC">
        <w:rPr>
          <w:b/>
          <w:sz w:val="24"/>
          <w:szCs w:val="24"/>
        </w:rPr>
        <w:t>PRODUKTRESUMÉ</w:t>
      </w:r>
    </w:p>
    <w:p w14:paraId="75581B48" w14:textId="77777777" w:rsidR="008203A8" w:rsidRPr="006943CC" w:rsidRDefault="008203A8" w:rsidP="008203A8">
      <w:pPr>
        <w:jc w:val="center"/>
        <w:rPr>
          <w:b/>
          <w:sz w:val="24"/>
          <w:szCs w:val="24"/>
        </w:rPr>
      </w:pPr>
    </w:p>
    <w:p w14:paraId="501B91F1" w14:textId="77777777" w:rsidR="008203A8" w:rsidRPr="006943CC" w:rsidRDefault="008203A8" w:rsidP="008203A8">
      <w:pPr>
        <w:jc w:val="center"/>
        <w:rPr>
          <w:b/>
          <w:sz w:val="24"/>
          <w:szCs w:val="24"/>
        </w:rPr>
      </w:pPr>
      <w:r w:rsidRPr="006943CC">
        <w:rPr>
          <w:b/>
          <w:sz w:val="24"/>
          <w:szCs w:val="24"/>
        </w:rPr>
        <w:t>for</w:t>
      </w:r>
    </w:p>
    <w:p w14:paraId="4CBA9CE6" w14:textId="77777777" w:rsidR="008203A8" w:rsidRPr="006943CC" w:rsidRDefault="008203A8" w:rsidP="008203A8">
      <w:pPr>
        <w:jc w:val="center"/>
        <w:rPr>
          <w:b/>
          <w:sz w:val="24"/>
          <w:szCs w:val="24"/>
        </w:rPr>
      </w:pPr>
    </w:p>
    <w:p w14:paraId="2E21EEEF" w14:textId="7327AE52" w:rsidR="008203A8" w:rsidRPr="006943CC" w:rsidRDefault="00695FC6" w:rsidP="008203A8">
      <w:pPr>
        <w:jc w:val="center"/>
        <w:rPr>
          <w:b/>
          <w:sz w:val="24"/>
          <w:szCs w:val="24"/>
        </w:rPr>
      </w:pPr>
      <w:proofErr w:type="spellStart"/>
      <w:r w:rsidRPr="006943CC">
        <w:rPr>
          <w:b/>
          <w:sz w:val="24"/>
          <w:szCs w:val="24"/>
        </w:rPr>
        <w:t>Ketiva</w:t>
      </w:r>
      <w:proofErr w:type="spellEnd"/>
      <w:r w:rsidRPr="006943CC">
        <w:rPr>
          <w:b/>
          <w:sz w:val="24"/>
          <w:szCs w:val="24"/>
        </w:rPr>
        <w:t xml:space="preserve"> </w:t>
      </w:r>
      <w:proofErr w:type="spellStart"/>
      <w:r w:rsidRPr="006943CC">
        <w:rPr>
          <w:b/>
          <w:sz w:val="24"/>
          <w:szCs w:val="24"/>
        </w:rPr>
        <w:t>Vet</w:t>
      </w:r>
      <w:proofErr w:type="spellEnd"/>
      <w:r w:rsidRPr="006943CC">
        <w:rPr>
          <w:b/>
          <w:sz w:val="24"/>
          <w:szCs w:val="24"/>
        </w:rPr>
        <w:t>., injektionsvæske, opløsning</w:t>
      </w:r>
    </w:p>
    <w:p w14:paraId="0ADD3D48" w14:textId="77777777" w:rsidR="008203A8" w:rsidRPr="006943CC" w:rsidRDefault="008203A8" w:rsidP="008203A8">
      <w:pPr>
        <w:jc w:val="both"/>
        <w:rPr>
          <w:sz w:val="24"/>
          <w:szCs w:val="24"/>
        </w:rPr>
      </w:pPr>
    </w:p>
    <w:p w14:paraId="64849F70" w14:textId="77777777" w:rsidR="008203A8" w:rsidRPr="006943CC" w:rsidRDefault="008203A8" w:rsidP="008203A8">
      <w:pPr>
        <w:jc w:val="both"/>
        <w:rPr>
          <w:sz w:val="24"/>
          <w:szCs w:val="24"/>
        </w:rPr>
      </w:pPr>
    </w:p>
    <w:p w14:paraId="4EE572F0" w14:textId="77777777" w:rsidR="008203A8" w:rsidRPr="006943CC" w:rsidRDefault="008203A8" w:rsidP="008203A8">
      <w:pPr>
        <w:ind w:left="851" w:hanging="851"/>
        <w:rPr>
          <w:b/>
          <w:sz w:val="24"/>
          <w:szCs w:val="24"/>
        </w:rPr>
      </w:pPr>
      <w:r w:rsidRPr="006943CC">
        <w:rPr>
          <w:b/>
          <w:sz w:val="24"/>
          <w:szCs w:val="24"/>
        </w:rPr>
        <w:t>0.</w:t>
      </w:r>
      <w:r w:rsidRPr="006943CC">
        <w:rPr>
          <w:b/>
          <w:sz w:val="24"/>
          <w:szCs w:val="24"/>
        </w:rPr>
        <w:tab/>
        <w:t>D.SP.NR.</w:t>
      </w:r>
    </w:p>
    <w:p w14:paraId="53774691" w14:textId="711FA1CB" w:rsidR="008203A8" w:rsidRPr="006943CC" w:rsidRDefault="00695FC6" w:rsidP="008203A8">
      <w:pPr>
        <w:ind w:left="851"/>
        <w:rPr>
          <w:sz w:val="24"/>
          <w:szCs w:val="24"/>
        </w:rPr>
      </w:pPr>
      <w:r w:rsidRPr="006943CC">
        <w:rPr>
          <w:sz w:val="24"/>
          <w:szCs w:val="24"/>
        </w:rPr>
        <w:t>34508</w:t>
      </w:r>
    </w:p>
    <w:p w14:paraId="21DAF94D" w14:textId="77777777" w:rsidR="008203A8" w:rsidRPr="006943CC" w:rsidRDefault="008203A8" w:rsidP="008203A8">
      <w:pPr>
        <w:ind w:left="851"/>
        <w:rPr>
          <w:sz w:val="24"/>
          <w:szCs w:val="24"/>
        </w:rPr>
      </w:pPr>
    </w:p>
    <w:p w14:paraId="689AC388" w14:textId="77777777" w:rsidR="008203A8" w:rsidRPr="006943CC" w:rsidRDefault="008203A8" w:rsidP="008203A8">
      <w:pPr>
        <w:ind w:left="851" w:hanging="851"/>
        <w:rPr>
          <w:b/>
          <w:sz w:val="24"/>
          <w:szCs w:val="24"/>
        </w:rPr>
      </w:pPr>
      <w:r w:rsidRPr="006943CC">
        <w:rPr>
          <w:b/>
          <w:sz w:val="24"/>
          <w:szCs w:val="24"/>
        </w:rPr>
        <w:t>1.</w:t>
      </w:r>
      <w:r w:rsidRPr="006943CC">
        <w:rPr>
          <w:b/>
          <w:sz w:val="24"/>
          <w:szCs w:val="24"/>
        </w:rPr>
        <w:tab/>
        <w:t>VETERINÆRLÆGEMIDLETS NAVN</w:t>
      </w:r>
    </w:p>
    <w:p w14:paraId="144C19F7" w14:textId="6AA1E167" w:rsidR="008203A8" w:rsidRPr="006943CC" w:rsidRDefault="00695FC6" w:rsidP="008203A8">
      <w:pPr>
        <w:ind w:left="851"/>
        <w:rPr>
          <w:sz w:val="24"/>
          <w:szCs w:val="24"/>
        </w:rPr>
      </w:pPr>
      <w:proofErr w:type="spellStart"/>
      <w:r w:rsidRPr="006943CC">
        <w:rPr>
          <w:sz w:val="24"/>
          <w:szCs w:val="24"/>
        </w:rPr>
        <w:t>Ketiva</w:t>
      </w:r>
      <w:proofErr w:type="spellEnd"/>
      <w:r w:rsidRPr="006943CC">
        <w:rPr>
          <w:sz w:val="24"/>
          <w:szCs w:val="24"/>
        </w:rPr>
        <w:t xml:space="preserve"> </w:t>
      </w:r>
      <w:proofErr w:type="spellStart"/>
      <w:r w:rsidRPr="006943CC">
        <w:rPr>
          <w:sz w:val="24"/>
          <w:szCs w:val="24"/>
        </w:rPr>
        <w:t>Vet</w:t>
      </w:r>
      <w:proofErr w:type="spellEnd"/>
      <w:r w:rsidRPr="006943CC">
        <w:rPr>
          <w:sz w:val="24"/>
          <w:szCs w:val="24"/>
        </w:rPr>
        <w:t>.</w:t>
      </w:r>
    </w:p>
    <w:p w14:paraId="468CDF3D" w14:textId="77777777" w:rsidR="008203A8" w:rsidRPr="006943CC" w:rsidRDefault="008203A8" w:rsidP="008203A8">
      <w:pPr>
        <w:ind w:left="851"/>
        <w:rPr>
          <w:sz w:val="24"/>
          <w:szCs w:val="24"/>
        </w:rPr>
      </w:pPr>
    </w:p>
    <w:p w14:paraId="255CFE14" w14:textId="57A04C22" w:rsidR="008203A8" w:rsidRPr="006943CC" w:rsidRDefault="008203A8" w:rsidP="008203A8">
      <w:pPr>
        <w:ind w:left="851"/>
        <w:rPr>
          <w:sz w:val="24"/>
          <w:szCs w:val="24"/>
        </w:rPr>
      </w:pPr>
      <w:r w:rsidRPr="006943CC">
        <w:rPr>
          <w:sz w:val="24"/>
          <w:szCs w:val="24"/>
        </w:rPr>
        <w:t xml:space="preserve">Lægemiddelform: </w:t>
      </w:r>
      <w:r w:rsidR="00695FC6" w:rsidRPr="006943CC">
        <w:rPr>
          <w:sz w:val="24"/>
          <w:szCs w:val="24"/>
        </w:rPr>
        <w:t>Injektionsvæske, opløsning</w:t>
      </w:r>
    </w:p>
    <w:p w14:paraId="7B8C13B6" w14:textId="0865535A" w:rsidR="008203A8" w:rsidRPr="006943CC" w:rsidRDefault="008203A8" w:rsidP="008203A8">
      <w:pPr>
        <w:ind w:left="851"/>
        <w:rPr>
          <w:sz w:val="24"/>
          <w:szCs w:val="24"/>
        </w:rPr>
      </w:pPr>
      <w:r w:rsidRPr="006943CC">
        <w:rPr>
          <w:sz w:val="24"/>
          <w:szCs w:val="24"/>
        </w:rPr>
        <w:t xml:space="preserve">Styrke(r): </w:t>
      </w:r>
      <w:r w:rsidR="00695FC6" w:rsidRPr="006943CC">
        <w:rPr>
          <w:sz w:val="24"/>
          <w:szCs w:val="24"/>
        </w:rPr>
        <w:t>150 mg/ml</w:t>
      </w:r>
    </w:p>
    <w:p w14:paraId="47DD3423" w14:textId="77777777" w:rsidR="008203A8" w:rsidRPr="006943CC" w:rsidRDefault="008203A8" w:rsidP="008203A8">
      <w:pPr>
        <w:ind w:left="851"/>
        <w:rPr>
          <w:sz w:val="24"/>
          <w:szCs w:val="24"/>
        </w:rPr>
      </w:pPr>
    </w:p>
    <w:p w14:paraId="0C2608D8" w14:textId="77777777" w:rsidR="008203A8" w:rsidRPr="006943CC" w:rsidRDefault="008203A8" w:rsidP="008203A8">
      <w:pPr>
        <w:ind w:left="851" w:hanging="851"/>
        <w:rPr>
          <w:b/>
          <w:sz w:val="24"/>
          <w:szCs w:val="24"/>
        </w:rPr>
      </w:pPr>
      <w:r w:rsidRPr="006943CC">
        <w:rPr>
          <w:b/>
          <w:sz w:val="24"/>
          <w:szCs w:val="24"/>
        </w:rPr>
        <w:t>2.</w:t>
      </w:r>
      <w:r w:rsidRPr="006943CC">
        <w:rPr>
          <w:b/>
          <w:sz w:val="24"/>
          <w:szCs w:val="24"/>
        </w:rPr>
        <w:tab/>
        <w:t>KVALITATIV OG KVANTITATIV SAMMENSÆTNING</w:t>
      </w:r>
    </w:p>
    <w:p w14:paraId="0A8DFA08" w14:textId="77777777" w:rsidR="00A04D4B" w:rsidRPr="00A04D4B" w:rsidRDefault="00A04D4B" w:rsidP="00A04D4B">
      <w:pPr>
        <w:ind w:left="851"/>
        <w:rPr>
          <w:sz w:val="24"/>
          <w:szCs w:val="24"/>
        </w:rPr>
      </w:pPr>
      <w:r w:rsidRPr="00A04D4B">
        <w:rPr>
          <w:sz w:val="24"/>
          <w:szCs w:val="24"/>
        </w:rPr>
        <w:t>Hver ml indeholder:</w:t>
      </w:r>
    </w:p>
    <w:p w14:paraId="03BDBF81" w14:textId="77777777" w:rsidR="00A04D4B" w:rsidRPr="00A04D4B" w:rsidRDefault="00A04D4B" w:rsidP="00A04D4B">
      <w:pPr>
        <w:ind w:left="851"/>
        <w:rPr>
          <w:sz w:val="24"/>
          <w:szCs w:val="24"/>
        </w:rPr>
      </w:pPr>
    </w:p>
    <w:p w14:paraId="21686CFD" w14:textId="77777777" w:rsidR="00A04D4B" w:rsidRPr="00A04D4B" w:rsidRDefault="00A04D4B" w:rsidP="00A04D4B">
      <w:pPr>
        <w:ind w:left="851"/>
        <w:rPr>
          <w:b/>
          <w:sz w:val="24"/>
          <w:szCs w:val="24"/>
        </w:rPr>
      </w:pPr>
      <w:r w:rsidRPr="00A04D4B">
        <w:rPr>
          <w:b/>
          <w:sz w:val="24"/>
          <w:szCs w:val="24"/>
        </w:rPr>
        <w:t>Aktivt stof:</w:t>
      </w:r>
    </w:p>
    <w:p w14:paraId="3E29F76F" w14:textId="77777777" w:rsidR="00A04D4B" w:rsidRPr="00A04D4B" w:rsidRDefault="00A04D4B" w:rsidP="00A04D4B">
      <w:pPr>
        <w:ind w:left="851"/>
        <w:rPr>
          <w:iCs/>
          <w:sz w:val="24"/>
          <w:szCs w:val="24"/>
        </w:rPr>
      </w:pPr>
    </w:p>
    <w:p w14:paraId="6B0628C6" w14:textId="77777777" w:rsidR="00A04D4B" w:rsidRPr="00A04D4B" w:rsidRDefault="00A04D4B" w:rsidP="00A04D4B">
      <w:pPr>
        <w:ind w:left="851"/>
        <w:rPr>
          <w:iCs/>
          <w:sz w:val="24"/>
          <w:szCs w:val="24"/>
        </w:rPr>
      </w:pPr>
      <w:proofErr w:type="spellStart"/>
      <w:r w:rsidRPr="00A04D4B">
        <w:rPr>
          <w:iCs/>
          <w:sz w:val="24"/>
          <w:szCs w:val="24"/>
        </w:rPr>
        <w:t>Ketoprofen</w:t>
      </w:r>
      <w:proofErr w:type="spellEnd"/>
      <w:r w:rsidRPr="00A04D4B">
        <w:rPr>
          <w:iCs/>
          <w:sz w:val="24"/>
          <w:szCs w:val="24"/>
        </w:rPr>
        <w:tab/>
      </w:r>
      <w:r w:rsidRPr="00A04D4B">
        <w:rPr>
          <w:iCs/>
          <w:sz w:val="24"/>
          <w:szCs w:val="24"/>
        </w:rPr>
        <w:tab/>
        <w:t>150 mg</w:t>
      </w:r>
    </w:p>
    <w:p w14:paraId="665730C2" w14:textId="77777777" w:rsidR="00A04D4B" w:rsidRPr="00A04D4B" w:rsidRDefault="00A04D4B" w:rsidP="00A04D4B">
      <w:pPr>
        <w:ind w:left="851"/>
        <w:rPr>
          <w:sz w:val="24"/>
          <w:szCs w:val="24"/>
        </w:rPr>
      </w:pPr>
    </w:p>
    <w:p w14:paraId="39F673FE" w14:textId="77777777" w:rsidR="00A04D4B" w:rsidRPr="00A04D4B" w:rsidRDefault="00A04D4B" w:rsidP="00A04D4B">
      <w:pPr>
        <w:ind w:left="851"/>
        <w:rPr>
          <w:sz w:val="24"/>
          <w:szCs w:val="24"/>
        </w:rPr>
      </w:pPr>
      <w:r w:rsidRPr="00A04D4B">
        <w:rPr>
          <w:b/>
          <w:sz w:val="24"/>
          <w:szCs w:val="24"/>
        </w:rPr>
        <w:t>Hjælpestoffer:</w:t>
      </w:r>
    </w:p>
    <w:p w14:paraId="3ECCB83B" w14:textId="77777777" w:rsidR="00A04D4B" w:rsidRPr="00A04D4B" w:rsidRDefault="00A04D4B" w:rsidP="00A04D4B">
      <w:pPr>
        <w:ind w:left="851"/>
        <w:rPr>
          <w:sz w:val="24"/>
          <w:szCs w:val="24"/>
        </w:rPr>
      </w:pPr>
    </w:p>
    <w:tbl>
      <w:tblPr>
        <w:tblW w:w="893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gridCol w:w="4402"/>
      </w:tblGrid>
      <w:tr w:rsidR="00A04D4B" w:rsidRPr="00A04D4B" w14:paraId="0AC41C6F" w14:textId="77777777" w:rsidTr="00A04634">
        <w:tc>
          <w:tcPr>
            <w:tcW w:w="4528" w:type="dxa"/>
            <w:tcBorders>
              <w:top w:val="single" w:sz="4" w:space="0" w:color="000000"/>
              <w:left w:val="single" w:sz="4" w:space="0" w:color="000000"/>
              <w:bottom w:val="single" w:sz="4" w:space="0" w:color="000000"/>
              <w:right w:val="single" w:sz="4" w:space="0" w:color="000000"/>
            </w:tcBorders>
            <w:vAlign w:val="center"/>
            <w:hideMark/>
          </w:tcPr>
          <w:p w14:paraId="4EC48AEC" w14:textId="77777777" w:rsidR="00A04D4B" w:rsidRPr="00A04D4B" w:rsidRDefault="00A04D4B" w:rsidP="00A04634">
            <w:pPr>
              <w:ind w:left="32"/>
              <w:rPr>
                <w:iCs/>
                <w:sz w:val="24"/>
                <w:szCs w:val="24"/>
              </w:rPr>
            </w:pPr>
            <w:r w:rsidRPr="00A04D4B">
              <w:rPr>
                <w:b/>
                <w:bCs/>
                <w:iCs/>
                <w:sz w:val="24"/>
                <w:szCs w:val="24"/>
              </w:rPr>
              <w:t>Kvalitativ sammensætning af hjælpestoffer og andre bestanddele</w:t>
            </w:r>
          </w:p>
        </w:tc>
        <w:tc>
          <w:tcPr>
            <w:tcW w:w="4402" w:type="dxa"/>
            <w:tcBorders>
              <w:top w:val="single" w:sz="4" w:space="0" w:color="000000"/>
              <w:left w:val="single" w:sz="4" w:space="0" w:color="000000"/>
              <w:bottom w:val="single" w:sz="4" w:space="0" w:color="000000"/>
              <w:right w:val="single" w:sz="4" w:space="0" w:color="000000"/>
            </w:tcBorders>
            <w:vAlign w:val="center"/>
            <w:hideMark/>
          </w:tcPr>
          <w:p w14:paraId="65125141" w14:textId="77777777" w:rsidR="00A04D4B" w:rsidRPr="00A04D4B" w:rsidRDefault="00A04D4B" w:rsidP="00A04634">
            <w:pPr>
              <w:ind w:left="32"/>
              <w:rPr>
                <w:i/>
                <w:iCs/>
                <w:sz w:val="24"/>
                <w:szCs w:val="24"/>
              </w:rPr>
            </w:pPr>
            <w:r w:rsidRPr="00A04D4B">
              <w:rPr>
                <w:b/>
                <w:bCs/>
                <w:iCs/>
                <w:sz w:val="24"/>
                <w:szCs w:val="24"/>
              </w:rPr>
              <w:t>Kvantitativ sammensætning, hvis oplysningen er vigtig for korrekt administration af veterinærlægemidlet</w:t>
            </w:r>
          </w:p>
        </w:tc>
      </w:tr>
      <w:tr w:rsidR="00A04D4B" w:rsidRPr="00A04D4B" w14:paraId="6A7C32C0" w14:textId="77777777" w:rsidTr="00A04634">
        <w:tc>
          <w:tcPr>
            <w:tcW w:w="4528" w:type="dxa"/>
            <w:tcBorders>
              <w:top w:val="single" w:sz="4" w:space="0" w:color="000000"/>
              <w:left w:val="single" w:sz="4" w:space="0" w:color="000000"/>
              <w:bottom w:val="single" w:sz="4" w:space="0" w:color="000000"/>
              <w:right w:val="single" w:sz="4" w:space="0" w:color="000000"/>
            </w:tcBorders>
            <w:vAlign w:val="center"/>
            <w:hideMark/>
          </w:tcPr>
          <w:p w14:paraId="20837E6E" w14:textId="77777777" w:rsidR="00A04D4B" w:rsidRPr="00A04D4B" w:rsidRDefault="00A04D4B" w:rsidP="00A04634">
            <w:pPr>
              <w:ind w:left="32"/>
              <w:rPr>
                <w:iCs/>
                <w:sz w:val="24"/>
                <w:szCs w:val="24"/>
              </w:rPr>
            </w:pPr>
            <w:proofErr w:type="spellStart"/>
            <w:r w:rsidRPr="00A04D4B">
              <w:rPr>
                <w:iCs/>
                <w:sz w:val="24"/>
                <w:szCs w:val="24"/>
              </w:rPr>
              <w:t>Benzylalkohol</w:t>
            </w:r>
            <w:proofErr w:type="spellEnd"/>
            <w:r w:rsidRPr="00A04D4B">
              <w:rPr>
                <w:iCs/>
                <w:sz w:val="24"/>
                <w:szCs w:val="24"/>
              </w:rPr>
              <w:t xml:space="preserve"> E1519</w:t>
            </w:r>
          </w:p>
        </w:tc>
        <w:tc>
          <w:tcPr>
            <w:tcW w:w="4402" w:type="dxa"/>
            <w:tcBorders>
              <w:top w:val="single" w:sz="4" w:space="0" w:color="000000"/>
              <w:left w:val="single" w:sz="4" w:space="0" w:color="000000"/>
              <w:bottom w:val="single" w:sz="4" w:space="0" w:color="000000"/>
              <w:right w:val="single" w:sz="4" w:space="0" w:color="000000"/>
            </w:tcBorders>
            <w:vAlign w:val="center"/>
            <w:hideMark/>
          </w:tcPr>
          <w:p w14:paraId="6F960CF6" w14:textId="77777777" w:rsidR="00A04D4B" w:rsidRPr="00A04D4B" w:rsidRDefault="00A04D4B" w:rsidP="00A04634">
            <w:pPr>
              <w:ind w:left="32"/>
              <w:rPr>
                <w:iCs/>
                <w:sz w:val="24"/>
                <w:szCs w:val="24"/>
              </w:rPr>
            </w:pPr>
            <w:r w:rsidRPr="00A04D4B">
              <w:rPr>
                <w:iCs/>
                <w:sz w:val="24"/>
                <w:szCs w:val="24"/>
              </w:rPr>
              <w:t>15 mg</w:t>
            </w:r>
          </w:p>
        </w:tc>
      </w:tr>
      <w:tr w:rsidR="00A04D4B" w:rsidRPr="00A04D4B" w14:paraId="16C9E901" w14:textId="77777777" w:rsidTr="00A04634">
        <w:tc>
          <w:tcPr>
            <w:tcW w:w="4528" w:type="dxa"/>
            <w:tcBorders>
              <w:top w:val="single" w:sz="4" w:space="0" w:color="000000"/>
              <w:left w:val="single" w:sz="4" w:space="0" w:color="000000"/>
              <w:bottom w:val="single" w:sz="4" w:space="0" w:color="000000"/>
              <w:right w:val="single" w:sz="4" w:space="0" w:color="000000"/>
            </w:tcBorders>
            <w:vAlign w:val="center"/>
            <w:hideMark/>
          </w:tcPr>
          <w:p w14:paraId="39B3D37B" w14:textId="77777777" w:rsidR="00A04D4B" w:rsidRPr="00A04D4B" w:rsidRDefault="00A04D4B" w:rsidP="00A04634">
            <w:pPr>
              <w:ind w:left="32"/>
              <w:rPr>
                <w:iCs/>
                <w:sz w:val="24"/>
                <w:szCs w:val="24"/>
              </w:rPr>
            </w:pPr>
            <w:proofErr w:type="spellStart"/>
            <w:r w:rsidRPr="00A04D4B">
              <w:rPr>
                <w:iCs/>
                <w:sz w:val="24"/>
                <w:szCs w:val="24"/>
              </w:rPr>
              <w:t>Arginin</w:t>
            </w:r>
            <w:proofErr w:type="spellEnd"/>
          </w:p>
        </w:tc>
        <w:tc>
          <w:tcPr>
            <w:tcW w:w="4402" w:type="dxa"/>
            <w:tcBorders>
              <w:top w:val="single" w:sz="4" w:space="0" w:color="000000"/>
              <w:left w:val="single" w:sz="4" w:space="0" w:color="000000"/>
              <w:bottom w:val="single" w:sz="4" w:space="0" w:color="000000"/>
              <w:right w:val="single" w:sz="4" w:space="0" w:color="000000"/>
            </w:tcBorders>
            <w:vAlign w:val="center"/>
          </w:tcPr>
          <w:p w14:paraId="42C4E675" w14:textId="77777777" w:rsidR="00A04D4B" w:rsidRPr="00A04D4B" w:rsidRDefault="00A04D4B" w:rsidP="00A04634">
            <w:pPr>
              <w:ind w:left="32"/>
              <w:rPr>
                <w:iCs/>
                <w:sz w:val="24"/>
                <w:szCs w:val="24"/>
              </w:rPr>
            </w:pPr>
          </w:p>
        </w:tc>
      </w:tr>
      <w:tr w:rsidR="00A04D4B" w:rsidRPr="00A04D4B" w14:paraId="0134F974" w14:textId="77777777" w:rsidTr="00A04634">
        <w:tc>
          <w:tcPr>
            <w:tcW w:w="4528" w:type="dxa"/>
            <w:tcBorders>
              <w:top w:val="single" w:sz="4" w:space="0" w:color="000000"/>
              <w:left w:val="single" w:sz="4" w:space="0" w:color="000000"/>
              <w:bottom w:val="single" w:sz="4" w:space="0" w:color="000000"/>
              <w:right w:val="single" w:sz="4" w:space="0" w:color="000000"/>
            </w:tcBorders>
            <w:vAlign w:val="center"/>
            <w:hideMark/>
          </w:tcPr>
          <w:p w14:paraId="5AFC7E50" w14:textId="77777777" w:rsidR="00A04D4B" w:rsidRPr="00A04D4B" w:rsidRDefault="00A04D4B" w:rsidP="00A04634">
            <w:pPr>
              <w:ind w:left="32"/>
              <w:rPr>
                <w:iCs/>
                <w:sz w:val="24"/>
                <w:szCs w:val="24"/>
              </w:rPr>
            </w:pPr>
            <w:r w:rsidRPr="00A04D4B">
              <w:rPr>
                <w:iCs/>
                <w:sz w:val="24"/>
                <w:szCs w:val="24"/>
              </w:rPr>
              <w:t>Citronsyremonohydrat (til pH-justering)</w:t>
            </w:r>
          </w:p>
        </w:tc>
        <w:tc>
          <w:tcPr>
            <w:tcW w:w="4402" w:type="dxa"/>
            <w:tcBorders>
              <w:top w:val="single" w:sz="4" w:space="0" w:color="000000"/>
              <w:left w:val="single" w:sz="4" w:space="0" w:color="000000"/>
              <w:bottom w:val="single" w:sz="4" w:space="0" w:color="000000"/>
              <w:right w:val="single" w:sz="4" w:space="0" w:color="000000"/>
            </w:tcBorders>
            <w:vAlign w:val="center"/>
          </w:tcPr>
          <w:p w14:paraId="2386B0AF" w14:textId="77777777" w:rsidR="00A04D4B" w:rsidRPr="00A04D4B" w:rsidRDefault="00A04D4B" w:rsidP="00A04634">
            <w:pPr>
              <w:ind w:left="32"/>
              <w:rPr>
                <w:iCs/>
                <w:sz w:val="24"/>
                <w:szCs w:val="24"/>
              </w:rPr>
            </w:pPr>
          </w:p>
        </w:tc>
      </w:tr>
      <w:tr w:rsidR="00A04D4B" w:rsidRPr="00A04D4B" w14:paraId="58997D2A" w14:textId="77777777" w:rsidTr="00A04634">
        <w:tc>
          <w:tcPr>
            <w:tcW w:w="4528" w:type="dxa"/>
            <w:tcBorders>
              <w:top w:val="single" w:sz="4" w:space="0" w:color="000000"/>
              <w:left w:val="single" w:sz="4" w:space="0" w:color="000000"/>
              <w:bottom w:val="single" w:sz="4" w:space="0" w:color="000000"/>
              <w:right w:val="single" w:sz="4" w:space="0" w:color="000000"/>
            </w:tcBorders>
            <w:vAlign w:val="center"/>
            <w:hideMark/>
          </w:tcPr>
          <w:p w14:paraId="68527C61" w14:textId="77777777" w:rsidR="00A04D4B" w:rsidRPr="00A04D4B" w:rsidRDefault="00A04D4B" w:rsidP="00A04634">
            <w:pPr>
              <w:ind w:left="32"/>
              <w:rPr>
                <w:iCs/>
                <w:sz w:val="24"/>
                <w:szCs w:val="24"/>
              </w:rPr>
            </w:pPr>
            <w:r w:rsidRPr="00A04D4B">
              <w:rPr>
                <w:iCs/>
                <w:sz w:val="24"/>
                <w:szCs w:val="24"/>
              </w:rPr>
              <w:t>Vand til injektionsvæsker</w:t>
            </w:r>
          </w:p>
        </w:tc>
        <w:tc>
          <w:tcPr>
            <w:tcW w:w="4402" w:type="dxa"/>
            <w:tcBorders>
              <w:top w:val="single" w:sz="4" w:space="0" w:color="000000"/>
              <w:left w:val="single" w:sz="4" w:space="0" w:color="000000"/>
              <w:bottom w:val="single" w:sz="4" w:space="0" w:color="000000"/>
              <w:right w:val="single" w:sz="4" w:space="0" w:color="000000"/>
            </w:tcBorders>
            <w:vAlign w:val="center"/>
          </w:tcPr>
          <w:p w14:paraId="3F7A79A5" w14:textId="77777777" w:rsidR="00A04D4B" w:rsidRPr="00A04D4B" w:rsidRDefault="00A04D4B" w:rsidP="00A04634">
            <w:pPr>
              <w:ind w:left="32"/>
              <w:rPr>
                <w:iCs/>
                <w:sz w:val="24"/>
                <w:szCs w:val="24"/>
              </w:rPr>
            </w:pPr>
          </w:p>
        </w:tc>
      </w:tr>
    </w:tbl>
    <w:p w14:paraId="1363A660" w14:textId="77777777" w:rsidR="00A04D4B" w:rsidRPr="00A04D4B" w:rsidRDefault="00A04D4B" w:rsidP="00A04D4B">
      <w:pPr>
        <w:ind w:left="851"/>
        <w:rPr>
          <w:sz w:val="24"/>
          <w:szCs w:val="24"/>
        </w:rPr>
      </w:pPr>
    </w:p>
    <w:p w14:paraId="70F27CDA" w14:textId="77777777" w:rsidR="00A04D4B" w:rsidRPr="00A04D4B" w:rsidRDefault="00A04D4B" w:rsidP="00A04D4B">
      <w:pPr>
        <w:ind w:left="851"/>
        <w:rPr>
          <w:sz w:val="24"/>
          <w:szCs w:val="24"/>
        </w:rPr>
      </w:pPr>
      <w:r w:rsidRPr="00A04D4B">
        <w:rPr>
          <w:sz w:val="24"/>
          <w:szCs w:val="24"/>
        </w:rPr>
        <w:t>Klar, farveløst til næsten farveløs eller let gullig eller gulgrøn opløsning.</w:t>
      </w:r>
    </w:p>
    <w:p w14:paraId="442A846F" w14:textId="77777777" w:rsidR="008203A8" w:rsidRPr="006943CC" w:rsidRDefault="008203A8" w:rsidP="008203A8">
      <w:pPr>
        <w:ind w:left="851"/>
        <w:rPr>
          <w:sz w:val="24"/>
          <w:szCs w:val="24"/>
        </w:rPr>
      </w:pPr>
    </w:p>
    <w:p w14:paraId="2E277BA1" w14:textId="77777777" w:rsidR="008203A8" w:rsidRPr="006943CC" w:rsidRDefault="008203A8" w:rsidP="008203A8">
      <w:pPr>
        <w:ind w:left="851"/>
        <w:rPr>
          <w:sz w:val="24"/>
          <w:szCs w:val="24"/>
        </w:rPr>
      </w:pPr>
    </w:p>
    <w:p w14:paraId="3BBE9925" w14:textId="77777777" w:rsidR="008203A8" w:rsidRPr="006943CC" w:rsidRDefault="008203A8" w:rsidP="008203A8">
      <w:pPr>
        <w:ind w:left="851" w:hanging="851"/>
        <w:rPr>
          <w:b/>
          <w:sz w:val="24"/>
          <w:szCs w:val="24"/>
        </w:rPr>
      </w:pPr>
      <w:r w:rsidRPr="006943CC">
        <w:rPr>
          <w:b/>
          <w:sz w:val="24"/>
          <w:szCs w:val="24"/>
        </w:rPr>
        <w:t>3.</w:t>
      </w:r>
      <w:r w:rsidRPr="006943CC">
        <w:rPr>
          <w:b/>
          <w:sz w:val="24"/>
          <w:szCs w:val="24"/>
        </w:rPr>
        <w:tab/>
        <w:t>KLINISKE OPLYSNINGER</w:t>
      </w:r>
    </w:p>
    <w:p w14:paraId="1A05E920" w14:textId="77777777" w:rsidR="008203A8" w:rsidRPr="006943CC" w:rsidRDefault="008203A8" w:rsidP="008203A8">
      <w:pPr>
        <w:tabs>
          <w:tab w:val="left" w:pos="851"/>
        </w:tabs>
        <w:ind w:left="851"/>
        <w:rPr>
          <w:sz w:val="24"/>
          <w:szCs w:val="24"/>
        </w:rPr>
      </w:pPr>
    </w:p>
    <w:p w14:paraId="6FCD2B71" w14:textId="77777777" w:rsidR="008203A8" w:rsidRPr="006943CC" w:rsidRDefault="008203A8" w:rsidP="008203A8">
      <w:pPr>
        <w:ind w:left="851" w:hanging="851"/>
        <w:rPr>
          <w:b/>
          <w:sz w:val="24"/>
          <w:szCs w:val="24"/>
          <w:u w:val="single"/>
        </w:rPr>
      </w:pPr>
      <w:r w:rsidRPr="006943CC">
        <w:rPr>
          <w:b/>
          <w:sz w:val="24"/>
          <w:szCs w:val="24"/>
        </w:rPr>
        <w:t>3.1</w:t>
      </w:r>
      <w:r w:rsidRPr="006943CC">
        <w:rPr>
          <w:b/>
          <w:sz w:val="24"/>
          <w:szCs w:val="24"/>
        </w:rPr>
        <w:tab/>
        <w:t>Dyrearter, som lægemidlet er beregnet til</w:t>
      </w:r>
    </w:p>
    <w:p w14:paraId="702F7D8A" w14:textId="77777777" w:rsidR="00A04D4B" w:rsidRPr="00A04D4B" w:rsidRDefault="00A04D4B" w:rsidP="00A04D4B">
      <w:pPr>
        <w:ind w:left="851"/>
        <w:rPr>
          <w:sz w:val="24"/>
          <w:szCs w:val="24"/>
        </w:rPr>
      </w:pPr>
      <w:r w:rsidRPr="00A04D4B">
        <w:rPr>
          <w:sz w:val="24"/>
          <w:szCs w:val="24"/>
        </w:rPr>
        <w:t xml:space="preserve">Kvæg </w:t>
      </w:r>
    </w:p>
    <w:p w14:paraId="68EFFEE8" w14:textId="77777777" w:rsidR="00A04D4B" w:rsidRPr="00A04D4B" w:rsidRDefault="00A04D4B" w:rsidP="00A04D4B">
      <w:pPr>
        <w:ind w:left="851"/>
        <w:rPr>
          <w:sz w:val="24"/>
          <w:szCs w:val="24"/>
        </w:rPr>
      </w:pPr>
      <w:r w:rsidRPr="00A04D4B">
        <w:rPr>
          <w:sz w:val="24"/>
          <w:szCs w:val="24"/>
        </w:rPr>
        <w:t xml:space="preserve">Svin </w:t>
      </w:r>
    </w:p>
    <w:p w14:paraId="5A12FA26" w14:textId="77777777" w:rsidR="00A04D4B" w:rsidRPr="00A04D4B" w:rsidRDefault="00A04D4B" w:rsidP="00A04D4B">
      <w:pPr>
        <w:ind w:left="851"/>
        <w:rPr>
          <w:sz w:val="24"/>
          <w:szCs w:val="24"/>
        </w:rPr>
      </w:pPr>
      <w:r w:rsidRPr="00A04D4B">
        <w:rPr>
          <w:sz w:val="24"/>
          <w:szCs w:val="24"/>
        </w:rPr>
        <w:lastRenderedPageBreak/>
        <w:t>Hest</w:t>
      </w:r>
    </w:p>
    <w:p w14:paraId="39E7A093" w14:textId="77777777" w:rsidR="008203A8" w:rsidRPr="006943CC" w:rsidRDefault="008203A8" w:rsidP="008203A8">
      <w:pPr>
        <w:ind w:left="851"/>
        <w:rPr>
          <w:sz w:val="24"/>
          <w:szCs w:val="24"/>
        </w:rPr>
      </w:pPr>
    </w:p>
    <w:p w14:paraId="0607F3FC" w14:textId="77777777" w:rsidR="008203A8" w:rsidRPr="006943CC" w:rsidRDefault="008203A8" w:rsidP="008203A8">
      <w:pPr>
        <w:pStyle w:val="Sidehoved"/>
        <w:tabs>
          <w:tab w:val="clear" w:pos="4819"/>
        </w:tabs>
        <w:ind w:left="851" w:hanging="851"/>
        <w:rPr>
          <w:b/>
          <w:szCs w:val="24"/>
        </w:rPr>
      </w:pPr>
      <w:r w:rsidRPr="006943CC">
        <w:rPr>
          <w:b/>
          <w:szCs w:val="24"/>
        </w:rPr>
        <w:t>3.2</w:t>
      </w:r>
      <w:r w:rsidRPr="006943CC">
        <w:rPr>
          <w:b/>
          <w:szCs w:val="24"/>
        </w:rPr>
        <w:tab/>
        <w:t>Terapeutiske indikationer for hver dyreart, som lægemidlet er beregnet til</w:t>
      </w:r>
    </w:p>
    <w:p w14:paraId="01027846" w14:textId="77777777" w:rsidR="00A04634" w:rsidRPr="006943CC" w:rsidRDefault="00A04634" w:rsidP="00A04D4B">
      <w:pPr>
        <w:pStyle w:val="Sidehoved"/>
        <w:ind w:left="851"/>
        <w:rPr>
          <w:szCs w:val="24"/>
          <w:u w:val="single"/>
        </w:rPr>
      </w:pPr>
      <w:bookmarkStart w:id="0" w:name="_Hlk177725475"/>
    </w:p>
    <w:p w14:paraId="623D22B9" w14:textId="53FBE163" w:rsidR="00A04D4B" w:rsidRPr="00A04D4B" w:rsidRDefault="00A04D4B" w:rsidP="00A04D4B">
      <w:pPr>
        <w:pStyle w:val="Sidehoved"/>
        <w:ind w:left="851"/>
        <w:rPr>
          <w:szCs w:val="24"/>
          <w:u w:val="single"/>
        </w:rPr>
      </w:pPr>
      <w:r w:rsidRPr="00A04D4B">
        <w:rPr>
          <w:szCs w:val="24"/>
          <w:u w:val="single"/>
        </w:rPr>
        <w:t>Kvæg:</w:t>
      </w:r>
    </w:p>
    <w:p w14:paraId="5E69FE34" w14:textId="6F29580E" w:rsidR="00A04D4B" w:rsidRPr="00A04D4B" w:rsidRDefault="00A04D4B" w:rsidP="00A04634">
      <w:pPr>
        <w:pStyle w:val="Sidehoved"/>
        <w:numPr>
          <w:ilvl w:val="0"/>
          <w:numId w:val="6"/>
        </w:numPr>
        <w:ind w:left="1276" w:hanging="425"/>
        <w:rPr>
          <w:szCs w:val="24"/>
        </w:rPr>
      </w:pPr>
      <w:r w:rsidRPr="00A04D4B">
        <w:rPr>
          <w:szCs w:val="24"/>
        </w:rPr>
        <w:t xml:space="preserve">Reduktion af inflammation og smerter i forbindelse med </w:t>
      </w:r>
      <w:proofErr w:type="spellStart"/>
      <w:r w:rsidRPr="00A04D4B">
        <w:rPr>
          <w:szCs w:val="24"/>
        </w:rPr>
        <w:t>postpartum</w:t>
      </w:r>
      <w:proofErr w:type="spellEnd"/>
      <w:r w:rsidRPr="00A04D4B">
        <w:rPr>
          <w:szCs w:val="24"/>
        </w:rPr>
        <w:t xml:space="preserve">, </w:t>
      </w:r>
      <w:proofErr w:type="spellStart"/>
      <w:r w:rsidRPr="00A04D4B">
        <w:rPr>
          <w:szCs w:val="24"/>
        </w:rPr>
        <w:t>muskuloskeletale</w:t>
      </w:r>
      <w:proofErr w:type="spellEnd"/>
      <w:r w:rsidRPr="00A04D4B">
        <w:rPr>
          <w:szCs w:val="24"/>
        </w:rPr>
        <w:t xml:space="preserve"> problemer og </w:t>
      </w:r>
      <w:proofErr w:type="spellStart"/>
      <w:r w:rsidRPr="00A04D4B">
        <w:rPr>
          <w:szCs w:val="24"/>
        </w:rPr>
        <w:t>halthed</w:t>
      </w:r>
      <w:proofErr w:type="spellEnd"/>
      <w:r w:rsidRPr="00A04D4B">
        <w:rPr>
          <w:szCs w:val="24"/>
        </w:rPr>
        <w:t>.</w:t>
      </w:r>
    </w:p>
    <w:p w14:paraId="2349F96B" w14:textId="29055E64" w:rsidR="00A04D4B" w:rsidRPr="00A04D4B" w:rsidRDefault="00A04D4B" w:rsidP="00A04634">
      <w:pPr>
        <w:pStyle w:val="Sidehoved"/>
        <w:numPr>
          <w:ilvl w:val="0"/>
          <w:numId w:val="6"/>
        </w:numPr>
        <w:ind w:left="1276" w:hanging="425"/>
        <w:rPr>
          <w:szCs w:val="24"/>
        </w:rPr>
      </w:pPr>
      <w:r w:rsidRPr="00A04D4B">
        <w:rPr>
          <w:szCs w:val="24"/>
        </w:rPr>
        <w:t xml:space="preserve">Reduktion af feber i forbindelse med </w:t>
      </w:r>
      <w:proofErr w:type="spellStart"/>
      <w:r w:rsidRPr="00A04D4B">
        <w:rPr>
          <w:szCs w:val="24"/>
        </w:rPr>
        <w:t>bovin</w:t>
      </w:r>
      <w:proofErr w:type="spellEnd"/>
      <w:r w:rsidRPr="00A04D4B">
        <w:rPr>
          <w:szCs w:val="24"/>
        </w:rPr>
        <w:t xml:space="preserve"> respiratorisk sygdom.</w:t>
      </w:r>
    </w:p>
    <w:p w14:paraId="67F24041" w14:textId="4E02E550" w:rsidR="00A04D4B" w:rsidRPr="00A04D4B" w:rsidRDefault="00A04D4B" w:rsidP="00A04634">
      <w:pPr>
        <w:pStyle w:val="Sidehoved"/>
        <w:numPr>
          <w:ilvl w:val="0"/>
          <w:numId w:val="6"/>
        </w:numPr>
        <w:ind w:left="1276" w:hanging="425"/>
        <w:rPr>
          <w:szCs w:val="24"/>
        </w:rPr>
      </w:pPr>
      <w:r w:rsidRPr="00A04D4B">
        <w:rPr>
          <w:szCs w:val="24"/>
        </w:rPr>
        <w:t xml:space="preserve">Reduktion af inflammation, feber og smerter ved akut klinisk </w:t>
      </w:r>
      <w:proofErr w:type="spellStart"/>
      <w:r w:rsidRPr="00A04D4B">
        <w:rPr>
          <w:szCs w:val="24"/>
        </w:rPr>
        <w:t>mastitis</w:t>
      </w:r>
      <w:proofErr w:type="spellEnd"/>
      <w:r w:rsidRPr="00A04D4B">
        <w:rPr>
          <w:szCs w:val="24"/>
        </w:rPr>
        <w:t xml:space="preserve"> i kombination med antimikrobiel behandling, hvis nødvendigt.</w:t>
      </w:r>
    </w:p>
    <w:p w14:paraId="5397FB44" w14:textId="602416BC" w:rsidR="00A04D4B" w:rsidRPr="00A04D4B" w:rsidRDefault="00A04D4B" w:rsidP="00A04634">
      <w:pPr>
        <w:pStyle w:val="Sidehoved"/>
        <w:numPr>
          <w:ilvl w:val="0"/>
          <w:numId w:val="6"/>
        </w:numPr>
        <w:ind w:left="1276" w:hanging="425"/>
        <w:rPr>
          <w:szCs w:val="24"/>
        </w:rPr>
      </w:pPr>
      <w:r w:rsidRPr="00A04D4B">
        <w:rPr>
          <w:szCs w:val="24"/>
        </w:rPr>
        <w:t>Reduktion af postoperative smerter i forbindelse med afhorning af kalve.</w:t>
      </w:r>
    </w:p>
    <w:p w14:paraId="088F5100" w14:textId="77777777" w:rsidR="00A04D4B" w:rsidRPr="00A04D4B" w:rsidRDefault="00A04D4B" w:rsidP="00A04D4B">
      <w:pPr>
        <w:pStyle w:val="Sidehoved"/>
        <w:ind w:left="851"/>
        <w:rPr>
          <w:szCs w:val="24"/>
        </w:rPr>
      </w:pPr>
    </w:p>
    <w:p w14:paraId="7D2312AF" w14:textId="77777777" w:rsidR="00A04D4B" w:rsidRPr="00A04D4B" w:rsidRDefault="00A04D4B" w:rsidP="00A04D4B">
      <w:pPr>
        <w:pStyle w:val="Sidehoved"/>
        <w:ind w:left="851"/>
        <w:rPr>
          <w:szCs w:val="24"/>
          <w:u w:val="single"/>
        </w:rPr>
      </w:pPr>
      <w:r w:rsidRPr="00A04D4B">
        <w:rPr>
          <w:szCs w:val="24"/>
          <w:u w:val="single"/>
        </w:rPr>
        <w:t>Svin:</w:t>
      </w:r>
    </w:p>
    <w:p w14:paraId="4590D1CA" w14:textId="2744771F" w:rsidR="00A04D4B" w:rsidRPr="00A04D4B" w:rsidRDefault="00A04D4B" w:rsidP="00A04634">
      <w:pPr>
        <w:pStyle w:val="Sidehoved"/>
        <w:numPr>
          <w:ilvl w:val="0"/>
          <w:numId w:val="6"/>
        </w:numPr>
        <w:ind w:left="1276" w:hanging="425"/>
        <w:rPr>
          <w:szCs w:val="24"/>
        </w:rPr>
      </w:pPr>
      <w:r w:rsidRPr="00A04D4B">
        <w:rPr>
          <w:szCs w:val="24"/>
        </w:rPr>
        <w:t xml:space="preserve">Reduktion af feber i tilfælde af respiratorisk lidelse og </w:t>
      </w:r>
      <w:proofErr w:type="spellStart"/>
      <w:r w:rsidRPr="00A04D4B">
        <w:rPr>
          <w:szCs w:val="24"/>
        </w:rPr>
        <w:t>Postpartum</w:t>
      </w:r>
      <w:proofErr w:type="spellEnd"/>
      <w:r w:rsidRPr="00A04D4B">
        <w:rPr>
          <w:szCs w:val="24"/>
        </w:rPr>
        <w:t xml:space="preserve"> </w:t>
      </w:r>
      <w:proofErr w:type="spellStart"/>
      <w:r w:rsidRPr="00A04D4B">
        <w:rPr>
          <w:szCs w:val="24"/>
        </w:rPr>
        <w:t>Dysgalactia</w:t>
      </w:r>
      <w:proofErr w:type="spellEnd"/>
      <w:r w:rsidRPr="00A04D4B">
        <w:rPr>
          <w:szCs w:val="24"/>
        </w:rPr>
        <w:t xml:space="preserve"> -Syndrom PDS (</w:t>
      </w:r>
      <w:proofErr w:type="spellStart"/>
      <w:r w:rsidRPr="00A04D4B">
        <w:rPr>
          <w:szCs w:val="24"/>
        </w:rPr>
        <w:t>Metritis</w:t>
      </w:r>
      <w:proofErr w:type="spellEnd"/>
      <w:r w:rsidRPr="00A04D4B">
        <w:rPr>
          <w:szCs w:val="24"/>
        </w:rPr>
        <w:t xml:space="preserve"> </w:t>
      </w:r>
      <w:proofErr w:type="spellStart"/>
      <w:r w:rsidRPr="00A04D4B">
        <w:rPr>
          <w:szCs w:val="24"/>
        </w:rPr>
        <w:t>Mastitis</w:t>
      </w:r>
      <w:proofErr w:type="spellEnd"/>
      <w:r w:rsidRPr="00A04D4B">
        <w:rPr>
          <w:szCs w:val="24"/>
        </w:rPr>
        <w:t xml:space="preserve"> </w:t>
      </w:r>
      <w:proofErr w:type="spellStart"/>
      <w:r w:rsidRPr="00A04D4B">
        <w:rPr>
          <w:szCs w:val="24"/>
        </w:rPr>
        <w:t>Agalactia</w:t>
      </w:r>
      <w:proofErr w:type="spellEnd"/>
      <w:r w:rsidRPr="00A04D4B">
        <w:rPr>
          <w:szCs w:val="24"/>
        </w:rPr>
        <w:t>-syndrom) hos søer i kombination med antimikrobiel behandling, hvis nødvendigt.</w:t>
      </w:r>
    </w:p>
    <w:p w14:paraId="5FCD02EE" w14:textId="77777777" w:rsidR="00A04D4B" w:rsidRPr="00A04D4B" w:rsidRDefault="00A04D4B" w:rsidP="00A04D4B">
      <w:pPr>
        <w:pStyle w:val="Sidehoved"/>
        <w:ind w:left="851"/>
        <w:rPr>
          <w:szCs w:val="24"/>
        </w:rPr>
      </w:pPr>
    </w:p>
    <w:p w14:paraId="56F6486A" w14:textId="77777777" w:rsidR="00A04D4B" w:rsidRPr="00A04D4B" w:rsidRDefault="00A04D4B" w:rsidP="00A04D4B">
      <w:pPr>
        <w:pStyle w:val="Sidehoved"/>
        <w:ind w:left="851"/>
        <w:rPr>
          <w:szCs w:val="24"/>
          <w:u w:val="single"/>
        </w:rPr>
      </w:pPr>
      <w:r w:rsidRPr="00A04D4B">
        <w:rPr>
          <w:szCs w:val="24"/>
          <w:u w:val="single"/>
        </w:rPr>
        <w:t>Hest:</w:t>
      </w:r>
    </w:p>
    <w:p w14:paraId="4144F030" w14:textId="2E4683B0" w:rsidR="00A04D4B" w:rsidRPr="00A04D4B" w:rsidRDefault="00A04D4B" w:rsidP="00A04634">
      <w:pPr>
        <w:pStyle w:val="Sidehoved"/>
        <w:numPr>
          <w:ilvl w:val="0"/>
          <w:numId w:val="6"/>
        </w:numPr>
        <w:ind w:left="1276" w:hanging="425"/>
        <w:rPr>
          <w:szCs w:val="24"/>
        </w:rPr>
      </w:pPr>
      <w:r w:rsidRPr="00A04D4B">
        <w:rPr>
          <w:szCs w:val="24"/>
        </w:rPr>
        <w:t xml:space="preserve">Reduktion af inflammation og smerter i forbindelse med </w:t>
      </w:r>
      <w:proofErr w:type="spellStart"/>
      <w:r w:rsidRPr="00A04D4B">
        <w:rPr>
          <w:szCs w:val="24"/>
        </w:rPr>
        <w:t>osteoartikulære</w:t>
      </w:r>
      <w:proofErr w:type="spellEnd"/>
      <w:r w:rsidRPr="00A04D4B">
        <w:rPr>
          <w:szCs w:val="24"/>
        </w:rPr>
        <w:t xml:space="preserve"> og </w:t>
      </w:r>
      <w:proofErr w:type="spellStart"/>
      <w:r w:rsidRPr="00A04D4B">
        <w:rPr>
          <w:szCs w:val="24"/>
        </w:rPr>
        <w:t>muskuloskeletale</w:t>
      </w:r>
      <w:proofErr w:type="spellEnd"/>
      <w:r w:rsidRPr="00A04D4B">
        <w:rPr>
          <w:szCs w:val="24"/>
        </w:rPr>
        <w:t xml:space="preserve"> lidelser (</w:t>
      </w:r>
      <w:proofErr w:type="spellStart"/>
      <w:r w:rsidRPr="00A04D4B">
        <w:rPr>
          <w:szCs w:val="24"/>
        </w:rPr>
        <w:t>halthed</w:t>
      </w:r>
      <w:proofErr w:type="spellEnd"/>
      <w:r w:rsidRPr="00A04D4B">
        <w:rPr>
          <w:szCs w:val="24"/>
        </w:rPr>
        <w:t xml:space="preserve">, </w:t>
      </w:r>
      <w:proofErr w:type="spellStart"/>
      <w:r w:rsidRPr="00A04D4B">
        <w:rPr>
          <w:szCs w:val="24"/>
        </w:rPr>
        <w:t>laminitis</w:t>
      </w:r>
      <w:proofErr w:type="spellEnd"/>
      <w:r w:rsidRPr="00A04D4B">
        <w:rPr>
          <w:szCs w:val="24"/>
        </w:rPr>
        <w:t xml:space="preserve">, </w:t>
      </w:r>
      <w:proofErr w:type="spellStart"/>
      <w:r w:rsidRPr="00A04D4B">
        <w:rPr>
          <w:szCs w:val="24"/>
        </w:rPr>
        <w:t>osteoarthritis</w:t>
      </w:r>
      <w:proofErr w:type="spellEnd"/>
      <w:r w:rsidRPr="00A04D4B">
        <w:rPr>
          <w:szCs w:val="24"/>
        </w:rPr>
        <w:t xml:space="preserve">, </w:t>
      </w:r>
      <w:proofErr w:type="spellStart"/>
      <w:r w:rsidRPr="00A04D4B">
        <w:rPr>
          <w:szCs w:val="24"/>
        </w:rPr>
        <w:t>synovitis</w:t>
      </w:r>
      <w:proofErr w:type="spellEnd"/>
      <w:r w:rsidRPr="00A04D4B">
        <w:rPr>
          <w:szCs w:val="24"/>
        </w:rPr>
        <w:t xml:space="preserve">, </w:t>
      </w:r>
      <w:proofErr w:type="spellStart"/>
      <w:r w:rsidRPr="00A04D4B">
        <w:rPr>
          <w:szCs w:val="24"/>
        </w:rPr>
        <w:t>tendinitis</w:t>
      </w:r>
      <w:proofErr w:type="spellEnd"/>
      <w:r w:rsidRPr="00A04D4B">
        <w:rPr>
          <w:szCs w:val="24"/>
        </w:rPr>
        <w:t xml:space="preserve"> osv.).</w:t>
      </w:r>
    </w:p>
    <w:p w14:paraId="0CBF2793" w14:textId="6236C23D" w:rsidR="00A04D4B" w:rsidRPr="00A04D4B" w:rsidRDefault="00A04D4B" w:rsidP="00A04634">
      <w:pPr>
        <w:pStyle w:val="Sidehoved"/>
        <w:numPr>
          <w:ilvl w:val="0"/>
          <w:numId w:val="6"/>
        </w:numPr>
        <w:ind w:left="1276" w:hanging="425"/>
        <w:rPr>
          <w:szCs w:val="24"/>
        </w:rPr>
      </w:pPr>
      <w:r w:rsidRPr="00A04D4B">
        <w:rPr>
          <w:szCs w:val="24"/>
        </w:rPr>
        <w:t xml:space="preserve">Reduktion af postoperative smerter og inflammation. </w:t>
      </w:r>
    </w:p>
    <w:p w14:paraId="1C5DE67B" w14:textId="69C68D0D" w:rsidR="00A04D4B" w:rsidRPr="00A04D4B" w:rsidRDefault="00A04D4B" w:rsidP="00A04634">
      <w:pPr>
        <w:pStyle w:val="Sidehoved"/>
        <w:numPr>
          <w:ilvl w:val="0"/>
          <w:numId w:val="6"/>
        </w:numPr>
        <w:ind w:left="1276" w:hanging="425"/>
        <w:rPr>
          <w:szCs w:val="24"/>
        </w:rPr>
      </w:pPr>
      <w:r w:rsidRPr="00A04D4B">
        <w:rPr>
          <w:szCs w:val="24"/>
        </w:rPr>
        <w:t xml:space="preserve">Reduktion af </w:t>
      </w:r>
      <w:proofErr w:type="spellStart"/>
      <w:r w:rsidRPr="00A04D4B">
        <w:rPr>
          <w:szCs w:val="24"/>
        </w:rPr>
        <w:t>viscerale</w:t>
      </w:r>
      <w:proofErr w:type="spellEnd"/>
      <w:r w:rsidRPr="00A04D4B">
        <w:rPr>
          <w:szCs w:val="24"/>
        </w:rPr>
        <w:t xml:space="preserve"> smerter i forbindelse med kolik.</w:t>
      </w:r>
      <w:bookmarkEnd w:id="0"/>
    </w:p>
    <w:p w14:paraId="5F9B15E8" w14:textId="77777777" w:rsidR="008203A8" w:rsidRPr="006943CC" w:rsidRDefault="008203A8" w:rsidP="008203A8">
      <w:pPr>
        <w:pStyle w:val="Sidehoved"/>
        <w:ind w:left="851"/>
        <w:rPr>
          <w:szCs w:val="24"/>
        </w:rPr>
      </w:pPr>
    </w:p>
    <w:p w14:paraId="5BA43DEC" w14:textId="77777777" w:rsidR="008203A8" w:rsidRPr="006943CC" w:rsidRDefault="008203A8" w:rsidP="008203A8">
      <w:pPr>
        <w:pStyle w:val="Sidehoved"/>
        <w:tabs>
          <w:tab w:val="clear" w:pos="4819"/>
          <w:tab w:val="left" w:pos="851"/>
        </w:tabs>
        <w:ind w:left="851" w:hanging="851"/>
        <w:rPr>
          <w:b/>
          <w:szCs w:val="24"/>
        </w:rPr>
      </w:pPr>
      <w:r w:rsidRPr="006943CC">
        <w:rPr>
          <w:b/>
          <w:szCs w:val="24"/>
        </w:rPr>
        <w:t>3.3</w:t>
      </w:r>
      <w:r w:rsidRPr="006943CC">
        <w:rPr>
          <w:b/>
          <w:szCs w:val="24"/>
        </w:rPr>
        <w:tab/>
        <w:t>Kontraindikationer</w:t>
      </w:r>
    </w:p>
    <w:p w14:paraId="02A28CEC" w14:textId="77777777" w:rsidR="00A04D4B" w:rsidRPr="00A04D4B" w:rsidRDefault="00A04D4B" w:rsidP="00A04D4B">
      <w:pPr>
        <w:pStyle w:val="Sidehoved"/>
        <w:ind w:left="851"/>
        <w:rPr>
          <w:szCs w:val="24"/>
        </w:rPr>
      </w:pPr>
      <w:r w:rsidRPr="00A04D4B">
        <w:rPr>
          <w:szCs w:val="24"/>
        </w:rPr>
        <w:t xml:space="preserve">Må ikke anvendes til dyr, hvor der er risiko for </w:t>
      </w:r>
      <w:proofErr w:type="spellStart"/>
      <w:r w:rsidRPr="00A04D4B">
        <w:rPr>
          <w:szCs w:val="24"/>
        </w:rPr>
        <w:t>gastrointestinal</w:t>
      </w:r>
      <w:proofErr w:type="spellEnd"/>
      <w:r w:rsidRPr="00A04D4B">
        <w:rPr>
          <w:szCs w:val="24"/>
        </w:rPr>
        <w:t xml:space="preserve"> </w:t>
      </w:r>
      <w:proofErr w:type="spellStart"/>
      <w:r w:rsidRPr="00A04D4B">
        <w:rPr>
          <w:szCs w:val="24"/>
        </w:rPr>
        <w:t>ulceration</w:t>
      </w:r>
      <w:proofErr w:type="spellEnd"/>
      <w:r w:rsidRPr="00A04D4B">
        <w:rPr>
          <w:szCs w:val="24"/>
        </w:rPr>
        <w:t xml:space="preserve"> eller blødning, for ikke at forværre deres tilstand.</w:t>
      </w:r>
    </w:p>
    <w:p w14:paraId="3104F1B5" w14:textId="77777777" w:rsidR="00A04D4B" w:rsidRPr="00A04D4B" w:rsidRDefault="00A04D4B" w:rsidP="00A04D4B">
      <w:pPr>
        <w:pStyle w:val="Sidehoved"/>
        <w:ind w:left="851"/>
        <w:rPr>
          <w:szCs w:val="24"/>
        </w:rPr>
      </w:pPr>
      <w:r w:rsidRPr="00A04D4B">
        <w:rPr>
          <w:szCs w:val="24"/>
        </w:rPr>
        <w:t>Må ikke anvendes til dyr, der lider af hjerte-, lever- eller nyresygdom.</w:t>
      </w:r>
    </w:p>
    <w:p w14:paraId="25B97A89" w14:textId="77777777" w:rsidR="00A04D4B" w:rsidRPr="00A04D4B" w:rsidRDefault="00A04D4B" w:rsidP="00A04D4B">
      <w:pPr>
        <w:pStyle w:val="Sidehoved"/>
        <w:ind w:left="851"/>
        <w:rPr>
          <w:szCs w:val="24"/>
        </w:rPr>
      </w:pPr>
      <w:r w:rsidRPr="00A04D4B">
        <w:rPr>
          <w:szCs w:val="24"/>
        </w:rPr>
        <w:t>Må ikke anvendes i tilfælde af overfølsomhed over for det aktive stof eller over for et eller flere af hjælpestofferne.</w:t>
      </w:r>
    </w:p>
    <w:p w14:paraId="579E92B7" w14:textId="77777777" w:rsidR="00A04D4B" w:rsidRPr="00A04D4B" w:rsidRDefault="00A04D4B" w:rsidP="00A04D4B">
      <w:pPr>
        <w:pStyle w:val="Sidehoved"/>
        <w:ind w:left="851"/>
        <w:rPr>
          <w:szCs w:val="24"/>
        </w:rPr>
      </w:pPr>
      <w:r w:rsidRPr="00A04D4B">
        <w:rPr>
          <w:szCs w:val="24"/>
        </w:rPr>
        <w:t xml:space="preserve">Må ikke anvendes til dyr med tegn på </w:t>
      </w:r>
      <w:proofErr w:type="spellStart"/>
      <w:r w:rsidRPr="00A04D4B">
        <w:rPr>
          <w:szCs w:val="24"/>
        </w:rPr>
        <w:t>bloddyskrasi</w:t>
      </w:r>
      <w:proofErr w:type="spellEnd"/>
      <w:r w:rsidRPr="00A04D4B">
        <w:rPr>
          <w:szCs w:val="24"/>
        </w:rPr>
        <w:t xml:space="preserve"> eller </w:t>
      </w:r>
      <w:proofErr w:type="spellStart"/>
      <w:r w:rsidRPr="00A04D4B">
        <w:rPr>
          <w:szCs w:val="24"/>
        </w:rPr>
        <w:t>koagulopati</w:t>
      </w:r>
      <w:proofErr w:type="spellEnd"/>
      <w:r w:rsidRPr="00A04D4B">
        <w:rPr>
          <w:szCs w:val="24"/>
        </w:rPr>
        <w:t>.</w:t>
      </w:r>
    </w:p>
    <w:p w14:paraId="796F521D" w14:textId="77777777" w:rsidR="00A04D4B" w:rsidRPr="00A04D4B" w:rsidRDefault="00A04D4B" w:rsidP="00A04D4B">
      <w:pPr>
        <w:pStyle w:val="Sidehoved"/>
        <w:ind w:left="851"/>
        <w:rPr>
          <w:szCs w:val="24"/>
        </w:rPr>
      </w:pPr>
      <w:r w:rsidRPr="00A04D4B">
        <w:rPr>
          <w:szCs w:val="24"/>
        </w:rPr>
        <w:t xml:space="preserve">Må ikke anvendes samtidig med eller inden for 24 timer af andre </w:t>
      </w:r>
      <w:proofErr w:type="spellStart"/>
      <w:r w:rsidRPr="00A04D4B">
        <w:rPr>
          <w:szCs w:val="24"/>
        </w:rPr>
        <w:t>nonsteroide</w:t>
      </w:r>
      <w:proofErr w:type="spellEnd"/>
      <w:r w:rsidRPr="00A04D4B">
        <w:rPr>
          <w:szCs w:val="24"/>
        </w:rPr>
        <w:t xml:space="preserve"> antiinflammatoriske lægemidler (</w:t>
      </w:r>
      <w:proofErr w:type="spellStart"/>
      <w:r w:rsidRPr="00A04D4B">
        <w:rPr>
          <w:szCs w:val="24"/>
        </w:rPr>
        <w:t>NSAID’er</w:t>
      </w:r>
      <w:proofErr w:type="spellEnd"/>
      <w:r w:rsidRPr="00A04D4B">
        <w:rPr>
          <w:szCs w:val="24"/>
        </w:rPr>
        <w:t xml:space="preserve">) </w:t>
      </w:r>
    </w:p>
    <w:p w14:paraId="5B1E60F6" w14:textId="77777777" w:rsidR="008203A8" w:rsidRPr="006943CC" w:rsidRDefault="008203A8" w:rsidP="008203A8">
      <w:pPr>
        <w:pStyle w:val="Sidehoved"/>
        <w:tabs>
          <w:tab w:val="clear" w:pos="4819"/>
        </w:tabs>
        <w:ind w:left="851"/>
        <w:rPr>
          <w:szCs w:val="24"/>
        </w:rPr>
      </w:pPr>
    </w:p>
    <w:p w14:paraId="377AABF6" w14:textId="77777777" w:rsidR="008203A8" w:rsidRPr="006943CC" w:rsidRDefault="008203A8" w:rsidP="008203A8">
      <w:pPr>
        <w:tabs>
          <w:tab w:val="left" w:pos="851"/>
        </w:tabs>
        <w:ind w:left="851" w:hanging="851"/>
        <w:rPr>
          <w:b/>
          <w:sz w:val="24"/>
          <w:szCs w:val="24"/>
        </w:rPr>
      </w:pPr>
      <w:r w:rsidRPr="006943CC">
        <w:rPr>
          <w:b/>
          <w:sz w:val="24"/>
          <w:szCs w:val="24"/>
        </w:rPr>
        <w:t>3.4</w:t>
      </w:r>
      <w:r w:rsidRPr="006943CC">
        <w:rPr>
          <w:b/>
          <w:sz w:val="24"/>
          <w:szCs w:val="24"/>
        </w:rPr>
        <w:tab/>
        <w:t>Særlige advarsler</w:t>
      </w:r>
    </w:p>
    <w:p w14:paraId="48C5B3E9" w14:textId="77777777" w:rsidR="00A04D4B" w:rsidRPr="00A04D4B" w:rsidRDefault="00A04D4B" w:rsidP="00A04D4B">
      <w:pPr>
        <w:pStyle w:val="Sidehoved"/>
        <w:ind w:left="851"/>
        <w:rPr>
          <w:szCs w:val="24"/>
        </w:rPr>
      </w:pPr>
      <w:r w:rsidRPr="00A04D4B">
        <w:rPr>
          <w:szCs w:val="24"/>
        </w:rPr>
        <w:t xml:space="preserve">Behandling af kalve med </w:t>
      </w:r>
      <w:proofErr w:type="spellStart"/>
      <w:r w:rsidRPr="00A04D4B">
        <w:rPr>
          <w:szCs w:val="24"/>
        </w:rPr>
        <w:t>ketoprofen</w:t>
      </w:r>
      <w:proofErr w:type="spellEnd"/>
      <w:r w:rsidRPr="00A04D4B">
        <w:rPr>
          <w:szCs w:val="24"/>
        </w:rPr>
        <w:t xml:space="preserve"> 10-30 minutter før afhorning reducerer postoperative smerter. </w:t>
      </w:r>
      <w:proofErr w:type="spellStart"/>
      <w:r w:rsidRPr="00A04D4B">
        <w:rPr>
          <w:szCs w:val="24"/>
        </w:rPr>
        <w:t>Ketoprofen</w:t>
      </w:r>
      <w:proofErr w:type="spellEnd"/>
      <w:r w:rsidRPr="00A04D4B">
        <w:rPr>
          <w:szCs w:val="24"/>
        </w:rPr>
        <w:t xml:space="preserve"> alene vil ikke give tilstrækkelig smertelindring under afhorningsproceduren. For at opnå tilstrækkelig smertelindring under afhorning er yderligere medicinering med et passende </w:t>
      </w:r>
      <w:proofErr w:type="spellStart"/>
      <w:r w:rsidRPr="00A04D4B">
        <w:rPr>
          <w:szCs w:val="24"/>
        </w:rPr>
        <w:t>lokalanæstetikum</w:t>
      </w:r>
      <w:proofErr w:type="spellEnd"/>
      <w:r w:rsidRPr="00A04D4B">
        <w:rPr>
          <w:szCs w:val="24"/>
        </w:rPr>
        <w:t xml:space="preserve"> nødvendigt.</w:t>
      </w:r>
    </w:p>
    <w:p w14:paraId="1272FA34" w14:textId="77777777" w:rsidR="008203A8" w:rsidRPr="006943CC" w:rsidRDefault="008203A8" w:rsidP="008203A8">
      <w:pPr>
        <w:pStyle w:val="Sidehoved"/>
        <w:tabs>
          <w:tab w:val="clear" w:pos="4819"/>
        </w:tabs>
        <w:ind w:left="851"/>
        <w:rPr>
          <w:szCs w:val="24"/>
        </w:rPr>
      </w:pPr>
    </w:p>
    <w:p w14:paraId="5FF55FF3" w14:textId="77777777" w:rsidR="008203A8" w:rsidRPr="006943CC" w:rsidRDefault="008203A8" w:rsidP="008203A8">
      <w:pPr>
        <w:tabs>
          <w:tab w:val="left" w:pos="851"/>
        </w:tabs>
        <w:ind w:left="851" w:hanging="851"/>
        <w:rPr>
          <w:b/>
          <w:sz w:val="24"/>
          <w:szCs w:val="24"/>
        </w:rPr>
      </w:pPr>
      <w:r w:rsidRPr="006943CC">
        <w:rPr>
          <w:b/>
          <w:sz w:val="24"/>
          <w:szCs w:val="24"/>
        </w:rPr>
        <w:t>3.5</w:t>
      </w:r>
      <w:r w:rsidRPr="006943CC">
        <w:rPr>
          <w:b/>
          <w:sz w:val="24"/>
          <w:szCs w:val="24"/>
        </w:rPr>
        <w:tab/>
        <w:t>Særlige forholdsregler vedrørende brugen</w:t>
      </w:r>
    </w:p>
    <w:p w14:paraId="636EDCEB" w14:textId="77777777" w:rsidR="008203A8" w:rsidRPr="006943CC" w:rsidRDefault="008203A8" w:rsidP="008203A8">
      <w:pPr>
        <w:tabs>
          <w:tab w:val="left" w:pos="851"/>
        </w:tabs>
        <w:ind w:left="851"/>
        <w:rPr>
          <w:sz w:val="24"/>
          <w:szCs w:val="24"/>
        </w:rPr>
      </w:pPr>
    </w:p>
    <w:p w14:paraId="2F1E15F0" w14:textId="77777777" w:rsidR="008203A8" w:rsidRPr="006943CC" w:rsidRDefault="008203A8" w:rsidP="00A04634">
      <w:pPr>
        <w:ind w:left="851"/>
        <w:rPr>
          <w:sz w:val="24"/>
          <w:szCs w:val="24"/>
          <w:u w:val="single"/>
        </w:rPr>
      </w:pPr>
      <w:r w:rsidRPr="006943CC">
        <w:rPr>
          <w:sz w:val="24"/>
          <w:szCs w:val="24"/>
          <w:u w:val="single"/>
        </w:rPr>
        <w:t>Særlige forholdsregler vedrørende sikker brug hos de dyrearter, som lægemidlet er beregnet til</w:t>
      </w:r>
    </w:p>
    <w:p w14:paraId="59957B00" w14:textId="77777777" w:rsidR="00A04D4B" w:rsidRPr="00A04D4B" w:rsidRDefault="00A04D4B" w:rsidP="00A04634">
      <w:pPr>
        <w:ind w:left="851"/>
        <w:rPr>
          <w:sz w:val="24"/>
          <w:szCs w:val="24"/>
        </w:rPr>
      </w:pPr>
      <w:r w:rsidRPr="00A04D4B">
        <w:rPr>
          <w:sz w:val="24"/>
          <w:szCs w:val="24"/>
        </w:rPr>
        <w:t>Undgå intraarteriel injektion. Overskrid ikke den anbefalede dosis og behandlingsperiode.</w:t>
      </w:r>
    </w:p>
    <w:p w14:paraId="569C98A6" w14:textId="77777777" w:rsidR="00A04D4B" w:rsidRPr="00A04D4B" w:rsidRDefault="00A04D4B" w:rsidP="00A04634">
      <w:pPr>
        <w:ind w:left="851"/>
        <w:rPr>
          <w:sz w:val="24"/>
          <w:szCs w:val="24"/>
        </w:rPr>
      </w:pPr>
      <w:proofErr w:type="spellStart"/>
      <w:r w:rsidRPr="00A04D4B">
        <w:rPr>
          <w:sz w:val="24"/>
          <w:szCs w:val="24"/>
        </w:rPr>
        <w:t>Ketoprofen</w:t>
      </w:r>
      <w:proofErr w:type="spellEnd"/>
      <w:r w:rsidRPr="00A04D4B">
        <w:rPr>
          <w:sz w:val="24"/>
          <w:szCs w:val="24"/>
        </w:rPr>
        <w:t xml:space="preserve"> bør ikke anvendes til føl, der er under 1 måned gamle. Ved administrering til dyr, der er yngre end 6 uger, til ponyer eller til gamle dyr er det nødvendigt at justere dosis nøjagtigt samt at foretage en tæt klinisk opfølgning.</w:t>
      </w:r>
    </w:p>
    <w:p w14:paraId="5098F67D" w14:textId="77777777" w:rsidR="00A04D4B" w:rsidRPr="00A04D4B" w:rsidRDefault="00A04D4B" w:rsidP="00A04634">
      <w:pPr>
        <w:ind w:left="851"/>
        <w:rPr>
          <w:sz w:val="24"/>
          <w:szCs w:val="24"/>
        </w:rPr>
      </w:pPr>
      <w:r w:rsidRPr="00A04D4B">
        <w:rPr>
          <w:sz w:val="24"/>
          <w:szCs w:val="24"/>
        </w:rPr>
        <w:t xml:space="preserve">Undgå anvendelse til dehydrerede, </w:t>
      </w:r>
      <w:proofErr w:type="spellStart"/>
      <w:r w:rsidRPr="00A04D4B">
        <w:rPr>
          <w:sz w:val="24"/>
          <w:szCs w:val="24"/>
        </w:rPr>
        <w:t>hypovolæmiske</w:t>
      </w:r>
      <w:proofErr w:type="spellEnd"/>
      <w:r w:rsidRPr="00A04D4B">
        <w:rPr>
          <w:sz w:val="24"/>
          <w:szCs w:val="24"/>
        </w:rPr>
        <w:t xml:space="preserve"> eller </w:t>
      </w:r>
      <w:proofErr w:type="spellStart"/>
      <w:r w:rsidRPr="00A04D4B">
        <w:rPr>
          <w:sz w:val="24"/>
          <w:szCs w:val="24"/>
        </w:rPr>
        <w:t>hypotensive</w:t>
      </w:r>
      <w:proofErr w:type="spellEnd"/>
      <w:r w:rsidRPr="00A04D4B">
        <w:rPr>
          <w:sz w:val="24"/>
          <w:szCs w:val="24"/>
        </w:rPr>
        <w:t xml:space="preserve"> dyr, da der er en potentiel risiko for øget nyretoksicitet.</w:t>
      </w:r>
    </w:p>
    <w:p w14:paraId="1734FF9D" w14:textId="77777777" w:rsidR="00A04D4B" w:rsidRPr="00A04D4B" w:rsidRDefault="00A04D4B" w:rsidP="00A04634">
      <w:pPr>
        <w:ind w:left="851"/>
        <w:rPr>
          <w:sz w:val="24"/>
          <w:szCs w:val="24"/>
        </w:rPr>
      </w:pPr>
      <w:r w:rsidRPr="00A04D4B">
        <w:rPr>
          <w:sz w:val="24"/>
          <w:szCs w:val="24"/>
        </w:rPr>
        <w:t xml:space="preserve">Dyr skal have tilstrækkelig adgang til drikkevand under behandlingsforløbet. </w:t>
      </w:r>
    </w:p>
    <w:p w14:paraId="673EFA95" w14:textId="77777777" w:rsidR="00A04D4B" w:rsidRPr="00A04D4B" w:rsidRDefault="00A04D4B" w:rsidP="00A04634">
      <w:pPr>
        <w:ind w:left="851"/>
        <w:rPr>
          <w:sz w:val="24"/>
          <w:szCs w:val="24"/>
        </w:rPr>
      </w:pPr>
      <w:r w:rsidRPr="00A04D4B">
        <w:rPr>
          <w:sz w:val="24"/>
          <w:szCs w:val="24"/>
        </w:rPr>
        <w:lastRenderedPageBreak/>
        <w:t xml:space="preserve">Da gastrisk </w:t>
      </w:r>
      <w:proofErr w:type="spellStart"/>
      <w:r w:rsidRPr="00A04D4B">
        <w:rPr>
          <w:sz w:val="24"/>
          <w:szCs w:val="24"/>
        </w:rPr>
        <w:t>ulceration</w:t>
      </w:r>
      <w:proofErr w:type="spellEnd"/>
      <w:r w:rsidRPr="00A04D4B">
        <w:rPr>
          <w:sz w:val="24"/>
          <w:szCs w:val="24"/>
        </w:rPr>
        <w:t xml:space="preserve"> er et almindeligt fund ved PMWS (</w:t>
      </w:r>
      <w:r w:rsidRPr="00A04D4B">
        <w:rPr>
          <w:i/>
          <w:iCs/>
          <w:sz w:val="24"/>
          <w:szCs w:val="24"/>
        </w:rPr>
        <w:t>post-</w:t>
      </w:r>
      <w:proofErr w:type="spellStart"/>
      <w:r w:rsidRPr="00A04D4B">
        <w:rPr>
          <w:i/>
          <w:iCs/>
          <w:sz w:val="24"/>
          <w:szCs w:val="24"/>
        </w:rPr>
        <w:t>weaning</w:t>
      </w:r>
      <w:proofErr w:type="spellEnd"/>
      <w:r w:rsidRPr="00A04D4B">
        <w:rPr>
          <w:i/>
          <w:iCs/>
          <w:sz w:val="24"/>
          <w:szCs w:val="24"/>
        </w:rPr>
        <w:t xml:space="preserve"> </w:t>
      </w:r>
      <w:proofErr w:type="spellStart"/>
      <w:r w:rsidRPr="00A04D4B">
        <w:rPr>
          <w:i/>
          <w:iCs/>
          <w:sz w:val="24"/>
          <w:szCs w:val="24"/>
        </w:rPr>
        <w:t>multisystemic</w:t>
      </w:r>
      <w:proofErr w:type="spellEnd"/>
      <w:r w:rsidRPr="00A04D4B">
        <w:rPr>
          <w:i/>
          <w:iCs/>
          <w:sz w:val="24"/>
          <w:szCs w:val="24"/>
        </w:rPr>
        <w:t xml:space="preserve"> </w:t>
      </w:r>
      <w:proofErr w:type="spellStart"/>
      <w:r w:rsidRPr="00A04D4B">
        <w:rPr>
          <w:i/>
          <w:iCs/>
          <w:sz w:val="24"/>
          <w:szCs w:val="24"/>
        </w:rPr>
        <w:t>wasting</w:t>
      </w:r>
      <w:proofErr w:type="spellEnd"/>
      <w:r w:rsidRPr="00A04D4B">
        <w:rPr>
          <w:i/>
          <w:iCs/>
          <w:sz w:val="24"/>
          <w:szCs w:val="24"/>
        </w:rPr>
        <w:t xml:space="preserve"> </w:t>
      </w:r>
      <w:proofErr w:type="spellStart"/>
      <w:r w:rsidRPr="00A04D4B">
        <w:rPr>
          <w:i/>
          <w:iCs/>
          <w:sz w:val="24"/>
          <w:szCs w:val="24"/>
        </w:rPr>
        <w:t>syndrome</w:t>
      </w:r>
      <w:proofErr w:type="spellEnd"/>
      <w:r w:rsidRPr="00A04D4B">
        <w:rPr>
          <w:sz w:val="24"/>
          <w:szCs w:val="24"/>
        </w:rPr>
        <w:t xml:space="preserve">), bør </w:t>
      </w:r>
      <w:proofErr w:type="spellStart"/>
      <w:r w:rsidRPr="00A04D4B">
        <w:rPr>
          <w:sz w:val="24"/>
          <w:szCs w:val="24"/>
        </w:rPr>
        <w:t>ketoprofen</w:t>
      </w:r>
      <w:proofErr w:type="spellEnd"/>
      <w:r w:rsidRPr="00A04D4B">
        <w:rPr>
          <w:sz w:val="24"/>
          <w:szCs w:val="24"/>
        </w:rPr>
        <w:t xml:space="preserve"> ikke anvendes til svin, der lider af denne patologi, for ikke at forværre deres tilstand. </w:t>
      </w:r>
    </w:p>
    <w:p w14:paraId="76200A15" w14:textId="77777777" w:rsidR="00A04D4B" w:rsidRPr="00A04D4B" w:rsidRDefault="00A04D4B" w:rsidP="00A04634">
      <w:pPr>
        <w:ind w:left="851"/>
        <w:rPr>
          <w:sz w:val="24"/>
          <w:szCs w:val="24"/>
        </w:rPr>
      </w:pPr>
      <w:r w:rsidRPr="00A04D4B">
        <w:rPr>
          <w:sz w:val="24"/>
          <w:szCs w:val="24"/>
        </w:rPr>
        <w:t>Hos heste skal ekstravaskulær administration undgås.</w:t>
      </w:r>
    </w:p>
    <w:p w14:paraId="185FBA32" w14:textId="77777777" w:rsidR="008203A8" w:rsidRPr="006943CC" w:rsidRDefault="008203A8" w:rsidP="00A04634">
      <w:pPr>
        <w:ind w:left="851"/>
        <w:rPr>
          <w:sz w:val="24"/>
          <w:szCs w:val="24"/>
        </w:rPr>
      </w:pPr>
    </w:p>
    <w:p w14:paraId="2B76C092" w14:textId="77777777" w:rsidR="008203A8" w:rsidRPr="006943CC" w:rsidRDefault="008203A8" w:rsidP="00A04634">
      <w:pPr>
        <w:ind w:left="851"/>
        <w:rPr>
          <w:sz w:val="24"/>
          <w:szCs w:val="24"/>
          <w:u w:val="single"/>
        </w:rPr>
      </w:pPr>
      <w:r w:rsidRPr="006943CC">
        <w:rPr>
          <w:sz w:val="24"/>
          <w:szCs w:val="24"/>
          <w:u w:val="single"/>
        </w:rPr>
        <w:t>Særlige forholdsregler for personer, der administrerer veterinærlægemidlet til dyr</w:t>
      </w:r>
    </w:p>
    <w:p w14:paraId="62D7503E" w14:textId="77777777" w:rsidR="00A04D4B" w:rsidRPr="00A04D4B" w:rsidRDefault="00A04D4B" w:rsidP="00A04634">
      <w:pPr>
        <w:ind w:left="851"/>
        <w:rPr>
          <w:sz w:val="24"/>
          <w:szCs w:val="24"/>
        </w:rPr>
      </w:pPr>
      <w:proofErr w:type="spellStart"/>
      <w:r w:rsidRPr="00A04D4B">
        <w:rPr>
          <w:sz w:val="24"/>
          <w:szCs w:val="24"/>
        </w:rPr>
        <w:t>Ketoprofen</w:t>
      </w:r>
      <w:proofErr w:type="spellEnd"/>
      <w:r w:rsidRPr="00A04D4B">
        <w:rPr>
          <w:sz w:val="24"/>
          <w:szCs w:val="24"/>
        </w:rPr>
        <w:t xml:space="preserve"> og </w:t>
      </w:r>
      <w:proofErr w:type="spellStart"/>
      <w:r w:rsidRPr="00A04D4B">
        <w:rPr>
          <w:sz w:val="24"/>
          <w:szCs w:val="24"/>
        </w:rPr>
        <w:t>benzylalkohol</w:t>
      </w:r>
      <w:proofErr w:type="spellEnd"/>
      <w:r w:rsidRPr="00A04D4B">
        <w:rPr>
          <w:sz w:val="24"/>
          <w:szCs w:val="24"/>
        </w:rPr>
        <w:t xml:space="preserve"> kan forårsage overfølsomhedsreaktioner. Ved overfølsomhed over for </w:t>
      </w:r>
      <w:proofErr w:type="spellStart"/>
      <w:r w:rsidRPr="00A04D4B">
        <w:rPr>
          <w:sz w:val="24"/>
          <w:szCs w:val="24"/>
        </w:rPr>
        <w:t>ketoprofen</w:t>
      </w:r>
      <w:proofErr w:type="spellEnd"/>
      <w:r w:rsidRPr="00A04D4B">
        <w:rPr>
          <w:sz w:val="24"/>
          <w:szCs w:val="24"/>
        </w:rPr>
        <w:t xml:space="preserve"> eller </w:t>
      </w:r>
      <w:proofErr w:type="spellStart"/>
      <w:r w:rsidRPr="00A04D4B">
        <w:rPr>
          <w:sz w:val="24"/>
          <w:szCs w:val="24"/>
        </w:rPr>
        <w:t>benzylalkohol</w:t>
      </w:r>
      <w:proofErr w:type="spellEnd"/>
      <w:r w:rsidRPr="00A04D4B">
        <w:rPr>
          <w:sz w:val="24"/>
          <w:szCs w:val="24"/>
        </w:rPr>
        <w:t xml:space="preserve"> bør kontakt med veterinærlægemidlet undgås.</w:t>
      </w:r>
    </w:p>
    <w:p w14:paraId="792E50AF" w14:textId="77777777" w:rsidR="00A04D4B" w:rsidRPr="00A04D4B" w:rsidRDefault="00A04D4B" w:rsidP="00A04634">
      <w:pPr>
        <w:ind w:left="851"/>
        <w:rPr>
          <w:sz w:val="24"/>
          <w:szCs w:val="24"/>
        </w:rPr>
      </w:pPr>
      <w:r w:rsidRPr="00A04D4B">
        <w:rPr>
          <w:sz w:val="24"/>
          <w:szCs w:val="24"/>
        </w:rPr>
        <w:t>Dette veterinærlægemiddel kan være irriterende for huden, øjnene og slimhinderne. Undgå kontakt med huden, øjnene og slimhinderne. I tilfælde af utilsigtet kontakt med huden, øjne, eller slimhinder vaskes det berørte område straks grundigt med rent rindende vand. Søg lægehjælp, hvis irritationen vedvarer.</w:t>
      </w:r>
    </w:p>
    <w:p w14:paraId="00DA3493" w14:textId="77777777" w:rsidR="00A04D4B" w:rsidRPr="00A04D4B" w:rsidRDefault="00A04D4B" w:rsidP="00A04634">
      <w:pPr>
        <w:ind w:left="851"/>
        <w:rPr>
          <w:sz w:val="24"/>
          <w:szCs w:val="24"/>
        </w:rPr>
      </w:pPr>
      <w:r w:rsidRPr="00A04D4B">
        <w:rPr>
          <w:sz w:val="24"/>
          <w:szCs w:val="24"/>
        </w:rPr>
        <w:t xml:space="preserve">Dette veterinærlægemiddel kan forårsage </w:t>
      </w:r>
      <w:proofErr w:type="spellStart"/>
      <w:r w:rsidRPr="00A04D4B">
        <w:rPr>
          <w:sz w:val="24"/>
          <w:szCs w:val="24"/>
        </w:rPr>
        <w:t>somnolens</w:t>
      </w:r>
      <w:proofErr w:type="spellEnd"/>
      <w:r w:rsidRPr="00A04D4B">
        <w:rPr>
          <w:sz w:val="24"/>
          <w:szCs w:val="24"/>
        </w:rPr>
        <w:t>, svimmelhed, kvalme og opkastning. Undgå utilsigtet selvinjektion. I tilfælde af utilsigtet selvinjektion skal der straks søges lægehjælp, og indlægssedlen eller etiketten bør vises til lægen.</w:t>
      </w:r>
    </w:p>
    <w:p w14:paraId="4E1FAD90" w14:textId="77777777" w:rsidR="00A04D4B" w:rsidRPr="00A04D4B" w:rsidRDefault="00A04D4B" w:rsidP="00A04634">
      <w:pPr>
        <w:ind w:left="851"/>
        <w:rPr>
          <w:sz w:val="24"/>
          <w:szCs w:val="24"/>
        </w:rPr>
      </w:pPr>
      <w:proofErr w:type="spellStart"/>
      <w:r w:rsidRPr="00A04D4B">
        <w:rPr>
          <w:sz w:val="24"/>
          <w:szCs w:val="24"/>
        </w:rPr>
        <w:t>NSAID’er</w:t>
      </w:r>
      <w:proofErr w:type="spellEnd"/>
      <w:r w:rsidRPr="00A04D4B">
        <w:rPr>
          <w:sz w:val="24"/>
          <w:szCs w:val="24"/>
        </w:rPr>
        <w:t xml:space="preserve">, såsom </w:t>
      </w:r>
      <w:proofErr w:type="spellStart"/>
      <w:r w:rsidRPr="00A04D4B">
        <w:rPr>
          <w:sz w:val="24"/>
          <w:szCs w:val="24"/>
        </w:rPr>
        <w:t>ketoprofen</w:t>
      </w:r>
      <w:proofErr w:type="spellEnd"/>
      <w:r w:rsidRPr="00A04D4B">
        <w:rPr>
          <w:sz w:val="24"/>
          <w:szCs w:val="24"/>
        </w:rPr>
        <w:t xml:space="preserve">, kan påvirke fertiliteten og være skadelig for det ufødte barn. Gravide og ammende kvinder skal anvende veterinærlægemidlet med forsigtighed. </w:t>
      </w:r>
    </w:p>
    <w:p w14:paraId="30525611" w14:textId="77777777" w:rsidR="00A04D4B" w:rsidRPr="00A04D4B" w:rsidRDefault="00A04D4B" w:rsidP="00A04634">
      <w:pPr>
        <w:ind w:left="851"/>
        <w:rPr>
          <w:sz w:val="24"/>
          <w:szCs w:val="24"/>
        </w:rPr>
      </w:pPr>
      <w:r w:rsidRPr="00A04D4B">
        <w:rPr>
          <w:sz w:val="24"/>
          <w:szCs w:val="24"/>
        </w:rPr>
        <w:t>Vask hænder efter anvendelse.</w:t>
      </w:r>
    </w:p>
    <w:p w14:paraId="26994720" w14:textId="77777777" w:rsidR="008203A8" w:rsidRPr="006943CC" w:rsidRDefault="008203A8" w:rsidP="00A04634">
      <w:pPr>
        <w:ind w:left="851"/>
        <w:rPr>
          <w:sz w:val="24"/>
          <w:szCs w:val="24"/>
        </w:rPr>
      </w:pPr>
    </w:p>
    <w:p w14:paraId="614A557D" w14:textId="77777777" w:rsidR="008203A8" w:rsidRPr="006943CC" w:rsidRDefault="008203A8" w:rsidP="00A04634">
      <w:pPr>
        <w:ind w:left="851"/>
        <w:rPr>
          <w:sz w:val="24"/>
          <w:szCs w:val="24"/>
          <w:u w:val="single"/>
        </w:rPr>
      </w:pPr>
      <w:r w:rsidRPr="006943CC">
        <w:rPr>
          <w:sz w:val="24"/>
          <w:szCs w:val="24"/>
          <w:u w:val="single"/>
        </w:rPr>
        <w:t>Særlige forholdsregler vedrørende beskyttelse af miljøet</w:t>
      </w:r>
    </w:p>
    <w:p w14:paraId="57102383" w14:textId="77777777" w:rsidR="00A04D4B" w:rsidRPr="00A04D4B" w:rsidRDefault="00A04D4B" w:rsidP="00A04634">
      <w:pPr>
        <w:ind w:left="851"/>
        <w:rPr>
          <w:sz w:val="24"/>
          <w:szCs w:val="24"/>
        </w:rPr>
      </w:pPr>
      <w:r w:rsidRPr="00A04D4B">
        <w:rPr>
          <w:sz w:val="24"/>
          <w:szCs w:val="24"/>
        </w:rPr>
        <w:t>Ikke relevant.</w:t>
      </w:r>
    </w:p>
    <w:p w14:paraId="6037CABE" w14:textId="77777777" w:rsidR="008203A8" w:rsidRPr="006943CC" w:rsidRDefault="008203A8" w:rsidP="008203A8">
      <w:pPr>
        <w:tabs>
          <w:tab w:val="left" w:pos="851"/>
        </w:tabs>
        <w:ind w:left="851"/>
        <w:rPr>
          <w:sz w:val="24"/>
          <w:szCs w:val="24"/>
        </w:rPr>
      </w:pPr>
    </w:p>
    <w:p w14:paraId="5769CC77" w14:textId="77777777" w:rsidR="008203A8" w:rsidRPr="006943CC" w:rsidRDefault="008203A8" w:rsidP="008203A8">
      <w:pPr>
        <w:tabs>
          <w:tab w:val="left" w:pos="851"/>
        </w:tabs>
        <w:ind w:left="851" w:hanging="851"/>
        <w:rPr>
          <w:b/>
          <w:sz w:val="24"/>
          <w:szCs w:val="24"/>
        </w:rPr>
      </w:pPr>
      <w:r w:rsidRPr="006943CC">
        <w:rPr>
          <w:b/>
          <w:sz w:val="24"/>
          <w:szCs w:val="24"/>
        </w:rPr>
        <w:t>3.6</w:t>
      </w:r>
      <w:r w:rsidRPr="006943CC">
        <w:rPr>
          <w:b/>
          <w:sz w:val="24"/>
          <w:szCs w:val="24"/>
        </w:rPr>
        <w:tab/>
        <w:t>Bivirkninger</w:t>
      </w:r>
    </w:p>
    <w:p w14:paraId="22464BF2" w14:textId="77777777" w:rsidR="00A04D4B" w:rsidRPr="00A04D4B" w:rsidRDefault="00A04D4B" w:rsidP="00A04D4B">
      <w:pPr>
        <w:tabs>
          <w:tab w:val="left" w:pos="851"/>
        </w:tabs>
        <w:ind w:left="851"/>
        <w:rPr>
          <w:sz w:val="24"/>
          <w:szCs w:val="24"/>
        </w:rPr>
      </w:pPr>
      <w:bookmarkStart w:id="1" w:name="_Hlk180739624"/>
    </w:p>
    <w:bookmarkEnd w:id="1"/>
    <w:p w14:paraId="7DDC4599" w14:textId="77777777" w:rsidR="00A04D4B" w:rsidRPr="00A04D4B" w:rsidRDefault="00A04D4B" w:rsidP="00A04D4B">
      <w:pPr>
        <w:tabs>
          <w:tab w:val="left" w:pos="851"/>
        </w:tabs>
        <w:ind w:left="851"/>
        <w:rPr>
          <w:b/>
          <w:bCs/>
          <w:sz w:val="24"/>
          <w:szCs w:val="24"/>
        </w:rPr>
      </w:pPr>
      <w:r w:rsidRPr="00A04D4B">
        <w:rPr>
          <w:b/>
          <w:bCs/>
          <w:sz w:val="24"/>
          <w:szCs w:val="24"/>
        </w:rPr>
        <w:t>Kvæg, svin:</w:t>
      </w:r>
    </w:p>
    <w:p w14:paraId="0666F1C0" w14:textId="77777777" w:rsidR="00A04D4B" w:rsidRPr="00A04D4B" w:rsidRDefault="00A04D4B" w:rsidP="00A04D4B">
      <w:pPr>
        <w:tabs>
          <w:tab w:val="left" w:pos="851"/>
        </w:tabs>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5020"/>
      </w:tblGrid>
      <w:tr w:rsidR="00A04D4B" w:rsidRPr="00A04D4B" w14:paraId="7491AE9A" w14:textId="77777777" w:rsidTr="00A04634">
        <w:tc>
          <w:tcPr>
            <w:tcW w:w="2144" w:type="pct"/>
            <w:tcBorders>
              <w:top w:val="single" w:sz="4" w:space="0" w:color="auto"/>
              <w:left w:val="single" w:sz="4" w:space="0" w:color="auto"/>
              <w:bottom w:val="single" w:sz="4" w:space="0" w:color="auto"/>
              <w:right w:val="single" w:sz="4" w:space="0" w:color="auto"/>
            </w:tcBorders>
            <w:hideMark/>
          </w:tcPr>
          <w:p w14:paraId="36550D45" w14:textId="77777777" w:rsidR="00A04D4B" w:rsidRPr="00A04D4B" w:rsidRDefault="00A04D4B" w:rsidP="00A04634">
            <w:pPr>
              <w:ind w:left="32"/>
              <w:rPr>
                <w:sz w:val="24"/>
                <w:szCs w:val="24"/>
              </w:rPr>
            </w:pPr>
            <w:r w:rsidRPr="00A04D4B">
              <w:rPr>
                <w:sz w:val="24"/>
                <w:szCs w:val="24"/>
              </w:rPr>
              <w:t>Meget sjælden (&lt; 1 dyr ud af 10.000 behandlede dyr, herunder enkeltstående indberetninger):</w:t>
            </w:r>
          </w:p>
        </w:tc>
        <w:tc>
          <w:tcPr>
            <w:tcW w:w="2856" w:type="pct"/>
            <w:tcBorders>
              <w:top w:val="single" w:sz="4" w:space="0" w:color="auto"/>
              <w:left w:val="single" w:sz="4" w:space="0" w:color="auto"/>
              <w:bottom w:val="single" w:sz="4" w:space="0" w:color="auto"/>
              <w:right w:val="single" w:sz="4" w:space="0" w:color="auto"/>
            </w:tcBorders>
            <w:hideMark/>
          </w:tcPr>
          <w:p w14:paraId="77EAE495" w14:textId="77777777" w:rsidR="00A04D4B" w:rsidRPr="00A04D4B" w:rsidRDefault="00A04D4B" w:rsidP="00A04634">
            <w:pPr>
              <w:ind w:left="32"/>
              <w:rPr>
                <w:iCs/>
                <w:sz w:val="24"/>
                <w:szCs w:val="24"/>
              </w:rPr>
            </w:pPr>
            <w:r w:rsidRPr="00A04D4B">
              <w:rPr>
                <w:iCs/>
                <w:sz w:val="24"/>
                <w:szCs w:val="24"/>
              </w:rPr>
              <w:t>Nekrose på injektionsstedet</w:t>
            </w:r>
            <w:r w:rsidRPr="00A04D4B">
              <w:rPr>
                <w:iCs/>
                <w:sz w:val="24"/>
                <w:szCs w:val="24"/>
                <w:vertAlign w:val="superscript"/>
              </w:rPr>
              <w:t>1</w:t>
            </w:r>
            <w:r w:rsidRPr="00A04D4B">
              <w:rPr>
                <w:iCs/>
                <w:sz w:val="24"/>
                <w:szCs w:val="24"/>
              </w:rPr>
              <w:t>,</w:t>
            </w:r>
          </w:p>
          <w:p w14:paraId="09502424" w14:textId="77777777" w:rsidR="00A04D4B" w:rsidRPr="00A04D4B" w:rsidRDefault="00A04D4B" w:rsidP="00A04634">
            <w:pPr>
              <w:ind w:left="32"/>
              <w:rPr>
                <w:iCs/>
                <w:sz w:val="24"/>
                <w:szCs w:val="24"/>
              </w:rPr>
            </w:pPr>
            <w:r w:rsidRPr="00A04D4B">
              <w:rPr>
                <w:iCs/>
                <w:sz w:val="24"/>
                <w:szCs w:val="24"/>
              </w:rPr>
              <w:t>Sygdom i fordøjelseskanalen</w:t>
            </w:r>
            <w:r w:rsidRPr="00A04D4B">
              <w:rPr>
                <w:iCs/>
                <w:sz w:val="24"/>
                <w:szCs w:val="24"/>
                <w:vertAlign w:val="superscript"/>
              </w:rPr>
              <w:t>2</w:t>
            </w:r>
            <w:r w:rsidRPr="00A04D4B">
              <w:rPr>
                <w:iCs/>
                <w:sz w:val="24"/>
                <w:szCs w:val="24"/>
              </w:rPr>
              <w:t>,</w:t>
            </w:r>
          </w:p>
          <w:p w14:paraId="62871DDE" w14:textId="77777777" w:rsidR="00A04D4B" w:rsidRPr="00A04D4B" w:rsidRDefault="00A04D4B" w:rsidP="00A04634">
            <w:pPr>
              <w:ind w:left="32"/>
              <w:rPr>
                <w:iCs/>
                <w:sz w:val="24"/>
                <w:szCs w:val="24"/>
              </w:rPr>
            </w:pPr>
            <w:r w:rsidRPr="00A04D4B">
              <w:rPr>
                <w:iCs/>
                <w:sz w:val="24"/>
                <w:szCs w:val="24"/>
              </w:rPr>
              <w:t>Nyresygdom.</w:t>
            </w:r>
          </w:p>
        </w:tc>
      </w:tr>
    </w:tbl>
    <w:p w14:paraId="13E44BCD" w14:textId="0B62C518" w:rsidR="00A04D4B" w:rsidRPr="00A04D4B" w:rsidRDefault="00A04D4B" w:rsidP="00A04634">
      <w:pPr>
        <w:ind w:left="1134" w:hanging="283"/>
        <w:rPr>
          <w:sz w:val="24"/>
          <w:szCs w:val="24"/>
        </w:rPr>
      </w:pPr>
      <w:r w:rsidRPr="00A04D4B">
        <w:rPr>
          <w:sz w:val="24"/>
          <w:szCs w:val="24"/>
          <w:vertAlign w:val="superscript"/>
        </w:rPr>
        <w:t>1</w:t>
      </w:r>
      <w:r w:rsidRPr="00A04D4B">
        <w:rPr>
          <w:sz w:val="24"/>
          <w:szCs w:val="24"/>
        </w:rPr>
        <w:t xml:space="preserve"> </w:t>
      </w:r>
      <w:bookmarkStart w:id="2" w:name="_Hlk219203670"/>
      <w:r w:rsidR="00A04634" w:rsidRPr="006943CC">
        <w:rPr>
          <w:sz w:val="24"/>
          <w:szCs w:val="24"/>
        </w:rPr>
        <w:tab/>
      </w:r>
      <w:r w:rsidRPr="00A04D4B">
        <w:rPr>
          <w:sz w:val="24"/>
          <w:szCs w:val="24"/>
        </w:rPr>
        <w:t>Ved intramuskulær injektion. Læsionerne er subkliniske, milde, og fortager sig gradvist i dagene efter behandlingsafslutning. Administration i halsregionen minimerer omfanget og sværhedsgraden af disse læsioner</w:t>
      </w:r>
      <w:bookmarkEnd w:id="2"/>
      <w:r w:rsidRPr="00A04D4B">
        <w:rPr>
          <w:sz w:val="24"/>
          <w:szCs w:val="24"/>
        </w:rPr>
        <w:t>.</w:t>
      </w:r>
    </w:p>
    <w:p w14:paraId="383CA2B5" w14:textId="672FF0E6" w:rsidR="00A04D4B" w:rsidRPr="00A04D4B" w:rsidRDefault="00A04D4B" w:rsidP="00A04634">
      <w:pPr>
        <w:ind w:left="1134" w:hanging="283"/>
        <w:rPr>
          <w:sz w:val="24"/>
          <w:szCs w:val="24"/>
        </w:rPr>
      </w:pPr>
      <w:r w:rsidRPr="00A04D4B">
        <w:rPr>
          <w:sz w:val="24"/>
          <w:szCs w:val="24"/>
          <w:vertAlign w:val="superscript"/>
        </w:rPr>
        <w:t>2</w:t>
      </w:r>
      <w:r w:rsidRPr="00A04D4B">
        <w:rPr>
          <w:sz w:val="24"/>
          <w:szCs w:val="24"/>
        </w:rPr>
        <w:t xml:space="preserve"> </w:t>
      </w:r>
      <w:r w:rsidR="00A04634" w:rsidRPr="006943CC">
        <w:rPr>
          <w:sz w:val="24"/>
          <w:szCs w:val="24"/>
        </w:rPr>
        <w:tab/>
      </w:r>
      <w:r w:rsidRPr="00A04D4B">
        <w:rPr>
          <w:sz w:val="24"/>
          <w:szCs w:val="24"/>
        </w:rPr>
        <w:t xml:space="preserve">Eroderende og ulcerøse </w:t>
      </w:r>
      <w:bookmarkStart w:id="3" w:name="_Hlk219203838"/>
      <w:r w:rsidRPr="00A04D4B">
        <w:rPr>
          <w:sz w:val="24"/>
          <w:szCs w:val="24"/>
        </w:rPr>
        <w:t>læsioner efter gentagen administration, gastrisk intolerance</w:t>
      </w:r>
      <w:bookmarkEnd w:id="3"/>
      <w:r w:rsidRPr="00A04D4B">
        <w:rPr>
          <w:sz w:val="24"/>
          <w:szCs w:val="24"/>
        </w:rPr>
        <w:t>.</w:t>
      </w:r>
    </w:p>
    <w:p w14:paraId="093ACC2E" w14:textId="77777777" w:rsidR="00A04D4B" w:rsidRPr="00A04D4B" w:rsidRDefault="00A04D4B" w:rsidP="00A04D4B">
      <w:pPr>
        <w:tabs>
          <w:tab w:val="left" w:pos="851"/>
        </w:tabs>
        <w:ind w:left="851"/>
        <w:rPr>
          <w:sz w:val="24"/>
          <w:szCs w:val="24"/>
        </w:rPr>
      </w:pPr>
      <w:r w:rsidRPr="00A04D4B">
        <w:rPr>
          <w:sz w:val="24"/>
          <w:szCs w:val="24"/>
        </w:rPr>
        <w:t xml:space="preserve"> </w:t>
      </w:r>
    </w:p>
    <w:p w14:paraId="2FB7ACB2" w14:textId="77777777" w:rsidR="00A04D4B" w:rsidRPr="00A04D4B" w:rsidRDefault="00A04D4B" w:rsidP="00A04D4B">
      <w:pPr>
        <w:tabs>
          <w:tab w:val="left" w:pos="851"/>
        </w:tabs>
        <w:ind w:left="851"/>
        <w:rPr>
          <w:b/>
          <w:bCs/>
          <w:sz w:val="24"/>
          <w:szCs w:val="24"/>
        </w:rPr>
      </w:pPr>
      <w:r w:rsidRPr="00A04D4B">
        <w:rPr>
          <w:b/>
          <w:bCs/>
          <w:sz w:val="24"/>
          <w:szCs w:val="24"/>
        </w:rPr>
        <w:t>Heste:</w:t>
      </w:r>
    </w:p>
    <w:p w14:paraId="3468F40B" w14:textId="77777777" w:rsidR="00A04D4B" w:rsidRPr="00A04D4B" w:rsidRDefault="00A04D4B" w:rsidP="00A04D4B">
      <w:pPr>
        <w:tabs>
          <w:tab w:val="left" w:pos="851"/>
        </w:tabs>
        <w:ind w:left="851"/>
        <w:rPr>
          <w:b/>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5020"/>
      </w:tblGrid>
      <w:tr w:rsidR="00A04D4B" w:rsidRPr="00A04D4B" w14:paraId="5FFF917C" w14:textId="77777777" w:rsidTr="00A04634">
        <w:tc>
          <w:tcPr>
            <w:tcW w:w="2144" w:type="pct"/>
            <w:tcBorders>
              <w:top w:val="single" w:sz="4" w:space="0" w:color="auto"/>
              <w:left w:val="single" w:sz="4" w:space="0" w:color="auto"/>
              <w:bottom w:val="single" w:sz="4" w:space="0" w:color="auto"/>
              <w:right w:val="single" w:sz="4" w:space="0" w:color="auto"/>
            </w:tcBorders>
            <w:hideMark/>
          </w:tcPr>
          <w:p w14:paraId="3967197F" w14:textId="77777777" w:rsidR="00A04D4B" w:rsidRPr="00A04D4B" w:rsidRDefault="00A04D4B" w:rsidP="00A04634">
            <w:pPr>
              <w:rPr>
                <w:sz w:val="24"/>
                <w:szCs w:val="24"/>
              </w:rPr>
            </w:pPr>
            <w:r w:rsidRPr="00A04D4B">
              <w:rPr>
                <w:sz w:val="24"/>
                <w:szCs w:val="24"/>
              </w:rPr>
              <w:t>Meget sjælden (&lt; 1 dyr ud af 10.000 behandlede dyr, herunder enkeltstående indberetninger):</w:t>
            </w:r>
          </w:p>
        </w:tc>
        <w:tc>
          <w:tcPr>
            <w:tcW w:w="2856" w:type="pct"/>
            <w:tcBorders>
              <w:top w:val="single" w:sz="4" w:space="0" w:color="auto"/>
              <w:left w:val="single" w:sz="4" w:space="0" w:color="auto"/>
              <w:bottom w:val="single" w:sz="4" w:space="0" w:color="auto"/>
              <w:right w:val="single" w:sz="4" w:space="0" w:color="auto"/>
            </w:tcBorders>
            <w:hideMark/>
          </w:tcPr>
          <w:p w14:paraId="4349EC43" w14:textId="77777777" w:rsidR="00A04D4B" w:rsidRPr="00A04D4B" w:rsidRDefault="00A04D4B" w:rsidP="00A04634">
            <w:pPr>
              <w:rPr>
                <w:iCs/>
                <w:sz w:val="24"/>
                <w:szCs w:val="24"/>
              </w:rPr>
            </w:pPr>
            <w:r w:rsidRPr="00A04D4B">
              <w:rPr>
                <w:iCs/>
                <w:sz w:val="24"/>
                <w:szCs w:val="24"/>
              </w:rPr>
              <w:t>Nekrose på injektionsstedet</w:t>
            </w:r>
            <w:r w:rsidRPr="00A04D4B">
              <w:rPr>
                <w:iCs/>
                <w:sz w:val="24"/>
                <w:szCs w:val="24"/>
                <w:vertAlign w:val="superscript"/>
              </w:rPr>
              <w:t>3</w:t>
            </w:r>
            <w:r w:rsidRPr="00A04D4B">
              <w:rPr>
                <w:iCs/>
                <w:sz w:val="24"/>
                <w:szCs w:val="24"/>
              </w:rPr>
              <w:t>, reaktion på injektionsstedet</w:t>
            </w:r>
            <w:r w:rsidRPr="00A04D4B">
              <w:rPr>
                <w:iCs/>
                <w:sz w:val="24"/>
                <w:szCs w:val="24"/>
                <w:vertAlign w:val="superscript"/>
              </w:rPr>
              <w:t>4</w:t>
            </w:r>
            <w:r w:rsidRPr="00A04D4B">
              <w:rPr>
                <w:iCs/>
                <w:sz w:val="24"/>
                <w:szCs w:val="24"/>
              </w:rPr>
              <w:t>,</w:t>
            </w:r>
          </w:p>
          <w:p w14:paraId="05F998FD" w14:textId="77777777" w:rsidR="00A04D4B" w:rsidRPr="00A04D4B" w:rsidRDefault="00A04D4B" w:rsidP="00A04634">
            <w:pPr>
              <w:rPr>
                <w:iCs/>
                <w:sz w:val="24"/>
                <w:szCs w:val="24"/>
              </w:rPr>
            </w:pPr>
            <w:r w:rsidRPr="00A04D4B">
              <w:rPr>
                <w:iCs/>
                <w:sz w:val="24"/>
                <w:szCs w:val="24"/>
              </w:rPr>
              <w:t>Sygdom i fordøjelseskanalen</w:t>
            </w:r>
            <w:r w:rsidRPr="00A04D4B">
              <w:rPr>
                <w:iCs/>
                <w:sz w:val="24"/>
                <w:szCs w:val="24"/>
                <w:vertAlign w:val="superscript"/>
              </w:rPr>
              <w:t>5</w:t>
            </w:r>
            <w:r w:rsidRPr="00A04D4B">
              <w:rPr>
                <w:iCs/>
                <w:sz w:val="24"/>
                <w:szCs w:val="24"/>
              </w:rPr>
              <w:t>,</w:t>
            </w:r>
          </w:p>
          <w:p w14:paraId="536EE2CC" w14:textId="77777777" w:rsidR="00A04D4B" w:rsidRPr="00A04D4B" w:rsidRDefault="00A04D4B" w:rsidP="00A04634">
            <w:pPr>
              <w:rPr>
                <w:iCs/>
                <w:sz w:val="24"/>
                <w:szCs w:val="24"/>
              </w:rPr>
            </w:pPr>
            <w:r w:rsidRPr="00A04D4B">
              <w:rPr>
                <w:iCs/>
                <w:sz w:val="24"/>
                <w:szCs w:val="24"/>
              </w:rPr>
              <w:t>Nyresygdom.</w:t>
            </w:r>
          </w:p>
        </w:tc>
      </w:tr>
    </w:tbl>
    <w:p w14:paraId="6101D2D4" w14:textId="2CEE1613" w:rsidR="00A04D4B" w:rsidRPr="00A04D4B" w:rsidRDefault="00A04D4B" w:rsidP="00A04634">
      <w:pPr>
        <w:ind w:left="1134" w:hanging="283"/>
        <w:rPr>
          <w:sz w:val="24"/>
          <w:szCs w:val="24"/>
        </w:rPr>
      </w:pPr>
      <w:r w:rsidRPr="00A04D4B">
        <w:rPr>
          <w:sz w:val="24"/>
          <w:szCs w:val="24"/>
          <w:vertAlign w:val="superscript"/>
        </w:rPr>
        <w:t>3</w:t>
      </w:r>
      <w:r w:rsidRPr="00A04D4B">
        <w:rPr>
          <w:sz w:val="24"/>
          <w:szCs w:val="24"/>
        </w:rPr>
        <w:t xml:space="preserve"> </w:t>
      </w:r>
      <w:r w:rsidR="00A04634" w:rsidRPr="006943CC">
        <w:rPr>
          <w:sz w:val="24"/>
          <w:szCs w:val="24"/>
        </w:rPr>
        <w:tab/>
      </w:r>
      <w:r w:rsidRPr="00A04D4B">
        <w:rPr>
          <w:sz w:val="24"/>
          <w:szCs w:val="24"/>
        </w:rPr>
        <w:t>Ved intramuskulær injektion. Læsionerne er subkliniske, milde, og fortager sig gradvist i dagene efter behandlingsafslutning. Administration i halsregionen minimerer omfanget og sværhedsgraden af disse læsioner.</w:t>
      </w:r>
    </w:p>
    <w:p w14:paraId="1E01F093" w14:textId="44D19744" w:rsidR="00A04D4B" w:rsidRPr="00A04D4B" w:rsidRDefault="00A04D4B" w:rsidP="00A04634">
      <w:pPr>
        <w:ind w:left="1134" w:hanging="283"/>
        <w:rPr>
          <w:sz w:val="24"/>
          <w:szCs w:val="24"/>
        </w:rPr>
      </w:pPr>
      <w:r w:rsidRPr="00A04D4B">
        <w:rPr>
          <w:sz w:val="24"/>
          <w:szCs w:val="24"/>
          <w:vertAlign w:val="superscript"/>
        </w:rPr>
        <w:t>4</w:t>
      </w:r>
      <w:r w:rsidRPr="00A04D4B">
        <w:rPr>
          <w:sz w:val="24"/>
          <w:szCs w:val="24"/>
        </w:rPr>
        <w:t xml:space="preserve"> </w:t>
      </w:r>
      <w:r w:rsidR="00A04634" w:rsidRPr="006943CC">
        <w:rPr>
          <w:sz w:val="24"/>
          <w:szCs w:val="24"/>
        </w:rPr>
        <w:tab/>
      </w:r>
      <w:r w:rsidRPr="00A04D4B">
        <w:rPr>
          <w:sz w:val="24"/>
          <w:szCs w:val="24"/>
        </w:rPr>
        <w:t xml:space="preserve">Lokal reaktion, der forsvinder efter 5 dage. Set efter én ekstravaskulær administration af veterinærlægemidlet ved det anbefalede volumen. </w:t>
      </w:r>
    </w:p>
    <w:p w14:paraId="4B76FDE9" w14:textId="37A4E6AB" w:rsidR="00A04D4B" w:rsidRPr="00A04D4B" w:rsidRDefault="00A04D4B" w:rsidP="00A04634">
      <w:pPr>
        <w:ind w:left="1134" w:hanging="283"/>
        <w:rPr>
          <w:sz w:val="24"/>
          <w:szCs w:val="24"/>
        </w:rPr>
      </w:pPr>
      <w:r w:rsidRPr="00A04D4B">
        <w:rPr>
          <w:sz w:val="24"/>
          <w:szCs w:val="24"/>
          <w:vertAlign w:val="superscript"/>
        </w:rPr>
        <w:t>5</w:t>
      </w:r>
      <w:r w:rsidRPr="00A04D4B">
        <w:rPr>
          <w:sz w:val="24"/>
          <w:szCs w:val="24"/>
        </w:rPr>
        <w:t xml:space="preserve"> </w:t>
      </w:r>
      <w:r w:rsidR="00A04634" w:rsidRPr="006943CC">
        <w:rPr>
          <w:sz w:val="24"/>
          <w:szCs w:val="24"/>
        </w:rPr>
        <w:tab/>
      </w:r>
      <w:r w:rsidRPr="00A04D4B">
        <w:rPr>
          <w:sz w:val="24"/>
          <w:szCs w:val="24"/>
        </w:rPr>
        <w:t>Eroderende og ulcerøse læsioner efter gentagen administration, gastrisk intolerance.</w:t>
      </w:r>
    </w:p>
    <w:p w14:paraId="2EF7AA90" w14:textId="77777777" w:rsidR="00A04D4B" w:rsidRPr="00A04D4B" w:rsidRDefault="00A04D4B" w:rsidP="00A04D4B">
      <w:pPr>
        <w:tabs>
          <w:tab w:val="left" w:pos="851"/>
        </w:tabs>
        <w:ind w:left="851"/>
        <w:rPr>
          <w:sz w:val="24"/>
          <w:szCs w:val="24"/>
        </w:rPr>
      </w:pPr>
    </w:p>
    <w:p w14:paraId="6E5724C3" w14:textId="77777777" w:rsidR="00A04D4B" w:rsidRPr="00A04D4B" w:rsidRDefault="00A04D4B" w:rsidP="00A04D4B">
      <w:pPr>
        <w:tabs>
          <w:tab w:val="left" w:pos="851"/>
        </w:tabs>
        <w:ind w:left="851"/>
        <w:rPr>
          <w:sz w:val="24"/>
          <w:szCs w:val="24"/>
        </w:rPr>
      </w:pPr>
      <w:bookmarkStart w:id="4" w:name="_Hlk66891708"/>
      <w:r w:rsidRPr="00A04D4B">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p>
    <w:bookmarkEnd w:id="4"/>
    <w:p w14:paraId="74E202F3" w14:textId="77777777" w:rsidR="008203A8" w:rsidRPr="006943CC" w:rsidRDefault="008203A8" w:rsidP="008203A8">
      <w:pPr>
        <w:tabs>
          <w:tab w:val="left" w:pos="851"/>
        </w:tabs>
        <w:ind w:left="851"/>
        <w:rPr>
          <w:sz w:val="24"/>
          <w:szCs w:val="24"/>
        </w:rPr>
      </w:pPr>
    </w:p>
    <w:p w14:paraId="1D981BCA" w14:textId="77777777" w:rsidR="008203A8" w:rsidRPr="006943CC" w:rsidRDefault="008203A8" w:rsidP="008203A8">
      <w:pPr>
        <w:tabs>
          <w:tab w:val="left" w:pos="851"/>
        </w:tabs>
        <w:ind w:left="851" w:hanging="851"/>
        <w:rPr>
          <w:b/>
          <w:sz w:val="24"/>
          <w:szCs w:val="24"/>
        </w:rPr>
      </w:pPr>
      <w:r w:rsidRPr="006943CC">
        <w:rPr>
          <w:b/>
          <w:sz w:val="24"/>
          <w:szCs w:val="24"/>
        </w:rPr>
        <w:t>3.7</w:t>
      </w:r>
      <w:r w:rsidRPr="006943CC">
        <w:rPr>
          <w:b/>
          <w:sz w:val="24"/>
          <w:szCs w:val="24"/>
        </w:rPr>
        <w:tab/>
        <w:t>Anvendelse under drægtighed, laktation eller æglægning</w:t>
      </w:r>
    </w:p>
    <w:p w14:paraId="72FB907B" w14:textId="77777777" w:rsidR="00A04D4B" w:rsidRPr="00A04D4B" w:rsidRDefault="00A04D4B" w:rsidP="00A04634">
      <w:pPr>
        <w:ind w:left="851"/>
        <w:rPr>
          <w:sz w:val="24"/>
          <w:szCs w:val="24"/>
        </w:rPr>
      </w:pPr>
      <w:r w:rsidRPr="00A04D4B">
        <w:rPr>
          <w:sz w:val="24"/>
          <w:szCs w:val="24"/>
        </w:rPr>
        <w:t xml:space="preserve">Laboratorieundersøgelser af rotter, mus og kaniner og forsøg med kvæg har ikke afsløret </w:t>
      </w:r>
      <w:proofErr w:type="spellStart"/>
      <w:r w:rsidRPr="00A04D4B">
        <w:rPr>
          <w:sz w:val="24"/>
          <w:szCs w:val="24"/>
        </w:rPr>
        <w:t>teratogene</w:t>
      </w:r>
      <w:proofErr w:type="spellEnd"/>
      <w:r w:rsidRPr="00A04D4B">
        <w:rPr>
          <w:sz w:val="24"/>
          <w:szCs w:val="24"/>
        </w:rPr>
        <w:t xml:space="preserve"> eller embryotoksiske virkninger. </w:t>
      </w:r>
    </w:p>
    <w:p w14:paraId="37E2A3C4" w14:textId="77777777" w:rsidR="00A04D4B" w:rsidRPr="00A04D4B" w:rsidRDefault="00A04D4B" w:rsidP="00A04634">
      <w:pPr>
        <w:ind w:left="851"/>
        <w:rPr>
          <w:sz w:val="24"/>
          <w:szCs w:val="24"/>
        </w:rPr>
      </w:pPr>
    </w:p>
    <w:p w14:paraId="0CB15692" w14:textId="77777777" w:rsidR="00A04D4B" w:rsidRPr="00A04D4B" w:rsidRDefault="00A04D4B" w:rsidP="00A04634">
      <w:pPr>
        <w:ind w:left="851"/>
        <w:rPr>
          <w:sz w:val="24"/>
          <w:szCs w:val="24"/>
          <w:u w:val="single"/>
        </w:rPr>
      </w:pPr>
      <w:r w:rsidRPr="00A04D4B">
        <w:rPr>
          <w:sz w:val="24"/>
          <w:szCs w:val="24"/>
          <w:u w:val="single"/>
        </w:rPr>
        <w:t>Drægtighed:</w:t>
      </w:r>
    </w:p>
    <w:p w14:paraId="0A52D3A4" w14:textId="77777777" w:rsidR="00A04D4B" w:rsidRPr="00A04D4B" w:rsidRDefault="00A04D4B" w:rsidP="00A04634">
      <w:pPr>
        <w:ind w:left="851"/>
        <w:rPr>
          <w:sz w:val="24"/>
          <w:szCs w:val="24"/>
        </w:rPr>
      </w:pPr>
      <w:r w:rsidRPr="00A04D4B">
        <w:rPr>
          <w:sz w:val="24"/>
          <w:szCs w:val="24"/>
        </w:rPr>
        <w:t>Kan anvendes til drægtige køer.</w:t>
      </w:r>
    </w:p>
    <w:p w14:paraId="268E01B0" w14:textId="77777777" w:rsidR="00A04D4B" w:rsidRPr="00A04D4B" w:rsidRDefault="00A04D4B" w:rsidP="00A04634">
      <w:pPr>
        <w:ind w:left="851"/>
        <w:rPr>
          <w:sz w:val="24"/>
          <w:szCs w:val="24"/>
        </w:rPr>
      </w:pPr>
      <w:r w:rsidRPr="00A04D4B">
        <w:rPr>
          <w:sz w:val="24"/>
          <w:szCs w:val="24"/>
        </w:rPr>
        <w:t>Veterinærlægemidlets sikkerhed under drægtighed er ikke fastlagt hos søer og hopper. Må kun anvendes i overensstemmelse med den ansvarlige dyrlæges vurdering af benefit/</w:t>
      </w:r>
      <w:proofErr w:type="spellStart"/>
      <w:r w:rsidRPr="00A04D4B">
        <w:rPr>
          <w:sz w:val="24"/>
          <w:szCs w:val="24"/>
        </w:rPr>
        <w:t>risk</w:t>
      </w:r>
      <w:proofErr w:type="spellEnd"/>
      <w:r w:rsidRPr="00A04D4B">
        <w:rPr>
          <w:sz w:val="24"/>
          <w:szCs w:val="24"/>
        </w:rPr>
        <w:t>-forholdet.</w:t>
      </w:r>
    </w:p>
    <w:p w14:paraId="30E37EE0" w14:textId="77777777" w:rsidR="00A04D4B" w:rsidRPr="00A04D4B" w:rsidRDefault="00A04D4B" w:rsidP="00A04634">
      <w:pPr>
        <w:ind w:left="851"/>
        <w:rPr>
          <w:sz w:val="24"/>
          <w:szCs w:val="24"/>
        </w:rPr>
      </w:pPr>
    </w:p>
    <w:p w14:paraId="22872B39" w14:textId="77777777" w:rsidR="00A04D4B" w:rsidRPr="00A04D4B" w:rsidRDefault="00A04D4B" w:rsidP="00A04634">
      <w:pPr>
        <w:ind w:left="851"/>
        <w:rPr>
          <w:sz w:val="24"/>
          <w:szCs w:val="24"/>
          <w:u w:val="single"/>
        </w:rPr>
      </w:pPr>
      <w:r w:rsidRPr="00A04D4B">
        <w:rPr>
          <w:sz w:val="24"/>
          <w:szCs w:val="24"/>
          <w:u w:val="single"/>
        </w:rPr>
        <w:t>Laktation:</w:t>
      </w:r>
    </w:p>
    <w:p w14:paraId="3691E700" w14:textId="77777777" w:rsidR="00A04D4B" w:rsidRPr="00A04D4B" w:rsidRDefault="00A04D4B" w:rsidP="00A04634">
      <w:pPr>
        <w:ind w:left="851"/>
        <w:rPr>
          <w:sz w:val="24"/>
          <w:szCs w:val="24"/>
        </w:rPr>
      </w:pPr>
      <w:r w:rsidRPr="00A04D4B">
        <w:rPr>
          <w:sz w:val="24"/>
          <w:szCs w:val="24"/>
        </w:rPr>
        <w:t>Kan anvendes til køer og søer under laktation.</w:t>
      </w:r>
    </w:p>
    <w:p w14:paraId="1657B4CF" w14:textId="77777777" w:rsidR="00A04D4B" w:rsidRPr="00A04D4B" w:rsidRDefault="00A04D4B" w:rsidP="00A04634">
      <w:pPr>
        <w:ind w:left="851"/>
        <w:rPr>
          <w:sz w:val="24"/>
          <w:szCs w:val="24"/>
        </w:rPr>
      </w:pPr>
      <w:r w:rsidRPr="00A04D4B">
        <w:rPr>
          <w:sz w:val="24"/>
          <w:szCs w:val="24"/>
        </w:rPr>
        <w:t xml:space="preserve">Må ikke anvendes til </w:t>
      </w:r>
      <w:proofErr w:type="spellStart"/>
      <w:r w:rsidRPr="00A04D4B">
        <w:rPr>
          <w:sz w:val="24"/>
          <w:szCs w:val="24"/>
        </w:rPr>
        <w:t>lakterende</w:t>
      </w:r>
      <w:proofErr w:type="spellEnd"/>
      <w:r w:rsidRPr="00A04D4B">
        <w:rPr>
          <w:sz w:val="24"/>
          <w:szCs w:val="24"/>
        </w:rPr>
        <w:t xml:space="preserve"> hopper.</w:t>
      </w:r>
    </w:p>
    <w:p w14:paraId="0C17E501" w14:textId="77777777" w:rsidR="008203A8" w:rsidRPr="006943CC" w:rsidRDefault="008203A8" w:rsidP="008203A8">
      <w:pPr>
        <w:tabs>
          <w:tab w:val="left" w:pos="851"/>
        </w:tabs>
        <w:ind w:left="851"/>
        <w:rPr>
          <w:sz w:val="24"/>
          <w:szCs w:val="24"/>
        </w:rPr>
      </w:pPr>
    </w:p>
    <w:p w14:paraId="0BB91C87" w14:textId="77777777" w:rsidR="008203A8" w:rsidRPr="006943CC" w:rsidRDefault="008203A8" w:rsidP="008203A8">
      <w:pPr>
        <w:tabs>
          <w:tab w:val="left" w:pos="851"/>
        </w:tabs>
        <w:ind w:left="851" w:hanging="851"/>
        <w:rPr>
          <w:b/>
          <w:sz w:val="24"/>
          <w:szCs w:val="24"/>
        </w:rPr>
      </w:pPr>
      <w:r w:rsidRPr="006943CC">
        <w:rPr>
          <w:b/>
          <w:sz w:val="24"/>
          <w:szCs w:val="24"/>
        </w:rPr>
        <w:t>3.8</w:t>
      </w:r>
      <w:r w:rsidRPr="006943CC">
        <w:rPr>
          <w:b/>
          <w:sz w:val="24"/>
          <w:szCs w:val="24"/>
        </w:rPr>
        <w:tab/>
        <w:t>Interaktion med andre lægemidler og andre former for interaktion</w:t>
      </w:r>
    </w:p>
    <w:p w14:paraId="757B75D2" w14:textId="0857BB22" w:rsidR="00A04D4B" w:rsidRPr="006943CC" w:rsidRDefault="00A04D4B" w:rsidP="00A04634">
      <w:pPr>
        <w:pStyle w:val="Listeafsnit"/>
        <w:numPr>
          <w:ilvl w:val="0"/>
          <w:numId w:val="6"/>
        </w:numPr>
        <w:ind w:left="1276" w:hanging="425"/>
        <w:rPr>
          <w:sz w:val="24"/>
          <w:szCs w:val="24"/>
        </w:rPr>
      </w:pPr>
      <w:r w:rsidRPr="006943CC">
        <w:rPr>
          <w:sz w:val="24"/>
          <w:szCs w:val="24"/>
        </w:rPr>
        <w:t xml:space="preserve">Samtidig administration af </w:t>
      </w:r>
      <w:proofErr w:type="spellStart"/>
      <w:r w:rsidRPr="006943CC">
        <w:rPr>
          <w:sz w:val="24"/>
          <w:szCs w:val="24"/>
        </w:rPr>
        <w:t>diuretika</w:t>
      </w:r>
      <w:proofErr w:type="spellEnd"/>
      <w:r w:rsidRPr="006943CC">
        <w:rPr>
          <w:sz w:val="24"/>
          <w:szCs w:val="24"/>
        </w:rPr>
        <w:t xml:space="preserve"> eller potentielt </w:t>
      </w:r>
      <w:proofErr w:type="spellStart"/>
      <w:r w:rsidRPr="006943CC">
        <w:rPr>
          <w:sz w:val="24"/>
          <w:szCs w:val="24"/>
        </w:rPr>
        <w:t>nefrotoksiske</w:t>
      </w:r>
      <w:proofErr w:type="spellEnd"/>
      <w:r w:rsidRPr="006943CC">
        <w:rPr>
          <w:sz w:val="24"/>
          <w:szCs w:val="24"/>
        </w:rPr>
        <w:t xml:space="preserve"> lægemidler bør undgås, da der er en stigning i nyreproblemer, herunder nyresvigt. Dette er sekundært til den reducerede blodstrømning forårsaget af hæmningen af </w:t>
      </w:r>
      <w:proofErr w:type="spellStart"/>
      <w:r w:rsidRPr="006943CC">
        <w:rPr>
          <w:sz w:val="24"/>
          <w:szCs w:val="24"/>
        </w:rPr>
        <w:t>prostaglandinsyntesen</w:t>
      </w:r>
      <w:proofErr w:type="spellEnd"/>
      <w:r w:rsidRPr="006943CC">
        <w:rPr>
          <w:sz w:val="24"/>
          <w:szCs w:val="24"/>
        </w:rPr>
        <w:t>.</w:t>
      </w:r>
    </w:p>
    <w:p w14:paraId="1C63F1C7" w14:textId="5F279F5E" w:rsidR="00A04D4B" w:rsidRPr="006943CC" w:rsidRDefault="00A04D4B" w:rsidP="00A04634">
      <w:pPr>
        <w:pStyle w:val="Listeafsnit"/>
        <w:numPr>
          <w:ilvl w:val="0"/>
          <w:numId w:val="6"/>
        </w:numPr>
        <w:ind w:left="1276" w:hanging="425"/>
        <w:rPr>
          <w:sz w:val="24"/>
          <w:szCs w:val="24"/>
        </w:rPr>
      </w:pPr>
      <w:r w:rsidRPr="006943CC">
        <w:rPr>
          <w:sz w:val="24"/>
          <w:szCs w:val="24"/>
        </w:rPr>
        <w:t xml:space="preserve">Andre </w:t>
      </w:r>
      <w:proofErr w:type="spellStart"/>
      <w:r w:rsidRPr="006943CC">
        <w:rPr>
          <w:sz w:val="24"/>
          <w:szCs w:val="24"/>
        </w:rPr>
        <w:t>NSAID’er</w:t>
      </w:r>
      <w:proofErr w:type="spellEnd"/>
      <w:r w:rsidRPr="006943CC">
        <w:rPr>
          <w:sz w:val="24"/>
          <w:szCs w:val="24"/>
        </w:rPr>
        <w:t xml:space="preserve">, </w:t>
      </w:r>
      <w:proofErr w:type="spellStart"/>
      <w:r w:rsidRPr="006943CC">
        <w:rPr>
          <w:sz w:val="24"/>
          <w:szCs w:val="24"/>
        </w:rPr>
        <w:t>kortikosteroider</w:t>
      </w:r>
      <w:proofErr w:type="spellEnd"/>
      <w:r w:rsidRPr="006943CC">
        <w:rPr>
          <w:sz w:val="24"/>
          <w:szCs w:val="24"/>
        </w:rPr>
        <w:t xml:space="preserve">, </w:t>
      </w:r>
      <w:proofErr w:type="spellStart"/>
      <w:r w:rsidRPr="006943CC">
        <w:rPr>
          <w:sz w:val="24"/>
          <w:szCs w:val="24"/>
        </w:rPr>
        <w:t>antikoagulanter</w:t>
      </w:r>
      <w:proofErr w:type="spellEnd"/>
      <w:r w:rsidRPr="006943CC">
        <w:rPr>
          <w:sz w:val="24"/>
          <w:szCs w:val="24"/>
        </w:rPr>
        <w:t xml:space="preserve"> eller </w:t>
      </w:r>
      <w:proofErr w:type="spellStart"/>
      <w:r w:rsidRPr="006943CC">
        <w:rPr>
          <w:sz w:val="24"/>
          <w:szCs w:val="24"/>
        </w:rPr>
        <w:t>diuretika</w:t>
      </w:r>
      <w:proofErr w:type="spellEnd"/>
      <w:r w:rsidRPr="006943CC">
        <w:rPr>
          <w:sz w:val="24"/>
          <w:szCs w:val="24"/>
        </w:rPr>
        <w:t xml:space="preserve"> må ikke administreres samtidigt med eller inden for 24 timer i forhold til administration af veterinærlægemidlet, da risikoen for </w:t>
      </w:r>
      <w:proofErr w:type="spellStart"/>
      <w:r w:rsidRPr="006943CC">
        <w:rPr>
          <w:sz w:val="24"/>
          <w:szCs w:val="24"/>
        </w:rPr>
        <w:t>gastrointestinal</w:t>
      </w:r>
      <w:proofErr w:type="spellEnd"/>
      <w:r w:rsidRPr="006943CC">
        <w:rPr>
          <w:sz w:val="24"/>
          <w:szCs w:val="24"/>
        </w:rPr>
        <w:t xml:space="preserve"> </w:t>
      </w:r>
      <w:proofErr w:type="spellStart"/>
      <w:r w:rsidRPr="006943CC">
        <w:rPr>
          <w:sz w:val="24"/>
          <w:szCs w:val="24"/>
        </w:rPr>
        <w:t>ulceration</w:t>
      </w:r>
      <w:proofErr w:type="spellEnd"/>
      <w:r w:rsidRPr="006943CC">
        <w:rPr>
          <w:sz w:val="24"/>
          <w:szCs w:val="24"/>
        </w:rPr>
        <w:t xml:space="preserve"> og andre bivirkninger kan forværres.</w:t>
      </w:r>
    </w:p>
    <w:p w14:paraId="413F15C4" w14:textId="1B77392C" w:rsidR="00A04D4B" w:rsidRPr="006943CC" w:rsidRDefault="00A04D4B" w:rsidP="00A04634">
      <w:pPr>
        <w:pStyle w:val="Listeafsnit"/>
        <w:numPr>
          <w:ilvl w:val="0"/>
          <w:numId w:val="6"/>
        </w:numPr>
        <w:ind w:left="1276" w:hanging="425"/>
        <w:rPr>
          <w:sz w:val="24"/>
          <w:szCs w:val="24"/>
        </w:rPr>
      </w:pPr>
      <w:r w:rsidRPr="006943CC">
        <w:rPr>
          <w:sz w:val="24"/>
          <w:szCs w:val="24"/>
        </w:rPr>
        <w:t>Den behandlingsfri periode bør dog tage hensyn til de farmakologiske egenskaber for de tidligere anvendte veterinærlægemidler.</w:t>
      </w:r>
    </w:p>
    <w:p w14:paraId="2C32DC11" w14:textId="37D46539" w:rsidR="00A04D4B" w:rsidRPr="006943CC" w:rsidRDefault="00A04D4B" w:rsidP="00A04634">
      <w:pPr>
        <w:pStyle w:val="Listeafsnit"/>
        <w:numPr>
          <w:ilvl w:val="0"/>
          <w:numId w:val="6"/>
        </w:numPr>
        <w:ind w:left="1276" w:hanging="425"/>
        <w:rPr>
          <w:sz w:val="24"/>
          <w:szCs w:val="24"/>
        </w:rPr>
      </w:pPr>
      <w:proofErr w:type="spellStart"/>
      <w:r w:rsidRPr="006943CC">
        <w:rPr>
          <w:sz w:val="24"/>
          <w:szCs w:val="24"/>
        </w:rPr>
        <w:t>Ketoprofen</w:t>
      </w:r>
      <w:proofErr w:type="spellEnd"/>
      <w:r w:rsidRPr="006943CC">
        <w:rPr>
          <w:sz w:val="24"/>
          <w:szCs w:val="24"/>
        </w:rPr>
        <w:t xml:space="preserve"> bindes kraftigt til plasmaproteiner og kan konkurrere med andre lægemidler med høj binding, hvilket kan medføre toksiske virkninger.</w:t>
      </w:r>
    </w:p>
    <w:p w14:paraId="197168E2" w14:textId="77777777" w:rsidR="008203A8" w:rsidRPr="006943CC" w:rsidRDefault="008203A8" w:rsidP="008203A8">
      <w:pPr>
        <w:tabs>
          <w:tab w:val="left" w:pos="851"/>
        </w:tabs>
        <w:ind w:left="851"/>
        <w:rPr>
          <w:sz w:val="24"/>
          <w:szCs w:val="24"/>
        </w:rPr>
      </w:pPr>
    </w:p>
    <w:p w14:paraId="2ED159A7" w14:textId="77777777" w:rsidR="008203A8" w:rsidRPr="006943CC" w:rsidRDefault="008203A8" w:rsidP="008203A8">
      <w:pPr>
        <w:tabs>
          <w:tab w:val="left" w:pos="851"/>
        </w:tabs>
        <w:ind w:left="851" w:hanging="851"/>
        <w:rPr>
          <w:b/>
          <w:sz w:val="24"/>
          <w:szCs w:val="24"/>
        </w:rPr>
      </w:pPr>
      <w:r w:rsidRPr="006943CC">
        <w:rPr>
          <w:b/>
          <w:sz w:val="24"/>
          <w:szCs w:val="24"/>
        </w:rPr>
        <w:t>3.9</w:t>
      </w:r>
      <w:r w:rsidRPr="006943CC">
        <w:rPr>
          <w:b/>
          <w:sz w:val="24"/>
          <w:szCs w:val="24"/>
        </w:rPr>
        <w:tab/>
        <w:t>Administrationsveje og dosering</w:t>
      </w:r>
    </w:p>
    <w:p w14:paraId="70EF16F5" w14:textId="7E1A42E1" w:rsidR="00A04D4B" w:rsidRPr="00A04D4B" w:rsidRDefault="00A04D4B" w:rsidP="006943CC">
      <w:pPr>
        <w:tabs>
          <w:tab w:val="left" w:pos="1701"/>
        </w:tabs>
        <w:ind w:left="851"/>
        <w:rPr>
          <w:sz w:val="24"/>
          <w:szCs w:val="24"/>
        </w:rPr>
      </w:pPr>
      <w:r w:rsidRPr="00A04D4B">
        <w:rPr>
          <w:sz w:val="24"/>
          <w:szCs w:val="24"/>
        </w:rPr>
        <w:t xml:space="preserve">Kvæg: </w:t>
      </w:r>
      <w:r w:rsidR="006943CC">
        <w:rPr>
          <w:sz w:val="24"/>
          <w:szCs w:val="24"/>
        </w:rPr>
        <w:tab/>
        <w:t>I</w:t>
      </w:r>
      <w:r w:rsidRPr="00A04D4B">
        <w:rPr>
          <w:sz w:val="24"/>
          <w:szCs w:val="24"/>
        </w:rPr>
        <w:t>ntramuskulær anvendelse (</w:t>
      </w:r>
      <w:proofErr w:type="spellStart"/>
      <w:r w:rsidRPr="00A04D4B">
        <w:rPr>
          <w:sz w:val="24"/>
          <w:szCs w:val="24"/>
        </w:rPr>
        <w:t>i.m</w:t>
      </w:r>
      <w:proofErr w:type="spellEnd"/>
      <w:r w:rsidRPr="00A04D4B">
        <w:rPr>
          <w:sz w:val="24"/>
          <w:szCs w:val="24"/>
        </w:rPr>
        <w:t>.) eller intravenøs anvendelse (</w:t>
      </w:r>
      <w:proofErr w:type="spellStart"/>
      <w:r w:rsidRPr="00A04D4B">
        <w:rPr>
          <w:sz w:val="24"/>
          <w:szCs w:val="24"/>
        </w:rPr>
        <w:t>i.v</w:t>
      </w:r>
      <w:proofErr w:type="spellEnd"/>
      <w:r w:rsidRPr="00A04D4B">
        <w:rPr>
          <w:sz w:val="24"/>
          <w:szCs w:val="24"/>
        </w:rPr>
        <w:t>.)</w:t>
      </w:r>
    </w:p>
    <w:p w14:paraId="1F50961D" w14:textId="2E36B2D9" w:rsidR="00A04D4B" w:rsidRPr="00A04D4B" w:rsidRDefault="00A04D4B" w:rsidP="006943CC">
      <w:pPr>
        <w:tabs>
          <w:tab w:val="left" w:pos="1701"/>
        </w:tabs>
        <w:ind w:left="851"/>
        <w:rPr>
          <w:sz w:val="24"/>
          <w:szCs w:val="24"/>
        </w:rPr>
      </w:pPr>
      <w:r w:rsidRPr="00A04D4B">
        <w:rPr>
          <w:sz w:val="24"/>
          <w:szCs w:val="24"/>
        </w:rPr>
        <w:t xml:space="preserve">Svin: </w:t>
      </w:r>
      <w:r w:rsidR="006943CC">
        <w:rPr>
          <w:sz w:val="24"/>
          <w:szCs w:val="24"/>
        </w:rPr>
        <w:tab/>
        <w:t>I</w:t>
      </w:r>
      <w:r w:rsidRPr="00A04D4B">
        <w:rPr>
          <w:sz w:val="24"/>
          <w:szCs w:val="24"/>
        </w:rPr>
        <w:t>ntramuskulær anvendelse (</w:t>
      </w:r>
      <w:proofErr w:type="spellStart"/>
      <w:r w:rsidRPr="00A04D4B">
        <w:rPr>
          <w:sz w:val="24"/>
          <w:szCs w:val="24"/>
        </w:rPr>
        <w:t>i.m</w:t>
      </w:r>
      <w:proofErr w:type="spellEnd"/>
      <w:r w:rsidRPr="00A04D4B">
        <w:rPr>
          <w:sz w:val="24"/>
          <w:szCs w:val="24"/>
        </w:rPr>
        <w:t>.)</w:t>
      </w:r>
    </w:p>
    <w:p w14:paraId="719B9998" w14:textId="743FE142" w:rsidR="00A04D4B" w:rsidRPr="00A04D4B" w:rsidRDefault="00A04D4B" w:rsidP="006943CC">
      <w:pPr>
        <w:tabs>
          <w:tab w:val="left" w:pos="1701"/>
        </w:tabs>
        <w:ind w:left="851"/>
        <w:rPr>
          <w:sz w:val="24"/>
          <w:szCs w:val="24"/>
        </w:rPr>
      </w:pPr>
      <w:r w:rsidRPr="00A04D4B">
        <w:rPr>
          <w:sz w:val="24"/>
          <w:szCs w:val="24"/>
        </w:rPr>
        <w:t xml:space="preserve">Heste: </w:t>
      </w:r>
      <w:r w:rsidR="006943CC">
        <w:rPr>
          <w:sz w:val="24"/>
          <w:szCs w:val="24"/>
        </w:rPr>
        <w:tab/>
        <w:t>I</w:t>
      </w:r>
      <w:r w:rsidRPr="00A04D4B">
        <w:rPr>
          <w:sz w:val="24"/>
          <w:szCs w:val="24"/>
        </w:rPr>
        <w:t>ntravenøs anvendelse (</w:t>
      </w:r>
      <w:proofErr w:type="spellStart"/>
      <w:r w:rsidRPr="00A04D4B">
        <w:rPr>
          <w:sz w:val="24"/>
          <w:szCs w:val="24"/>
        </w:rPr>
        <w:t>i.v</w:t>
      </w:r>
      <w:proofErr w:type="spellEnd"/>
      <w:r w:rsidRPr="00A04D4B">
        <w:rPr>
          <w:sz w:val="24"/>
          <w:szCs w:val="24"/>
        </w:rPr>
        <w:t>.)</w:t>
      </w:r>
    </w:p>
    <w:p w14:paraId="79604BDC" w14:textId="77777777" w:rsidR="00A04D4B" w:rsidRPr="00A04D4B" w:rsidRDefault="00A04D4B" w:rsidP="00A04634">
      <w:pPr>
        <w:ind w:left="851"/>
        <w:rPr>
          <w:sz w:val="24"/>
          <w:szCs w:val="24"/>
        </w:rPr>
      </w:pPr>
    </w:p>
    <w:p w14:paraId="7E4B29A2" w14:textId="77777777" w:rsidR="00A04D4B" w:rsidRPr="00A04D4B" w:rsidRDefault="00A04D4B" w:rsidP="00A04634">
      <w:pPr>
        <w:ind w:left="851"/>
        <w:rPr>
          <w:sz w:val="24"/>
          <w:szCs w:val="24"/>
        </w:rPr>
      </w:pPr>
      <w:r w:rsidRPr="00A04D4B">
        <w:rPr>
          <w:sz w:val="24"/>
          <w:szCs w:val="24"/>
        </w:rPr>
        <w:t>For at sikre korrekt dosering bør legemsvægten beregnes så nøjagtigt som muligt. Det anbefales at anvende hensigtsmæssigt kalibreret måleudstyr.</w:t>
      </w:r>
    </w:p>
    <w:p w14:paraId="24892FA7" w14:textId="77777777" w:rsidR="00A04D4B" w:rsidRPr="00A04D4B" w:rsidRDefault="00A04D4B" w:rsidP="00A04634">
      <w:pPr>
        <w:ind w:left="851"/>
        <w:rPr>
          <w:sz w:val="24"/>
          <w:szCs w:val="24"/>
        </w:rPr>
      </w:pPr>
    </w:p>
    <w:p w14:paraId="3DF5E0A0" w14:textId="77777777" w:rsidR="00A04D4B" w:rsidRPr="00A04D4B" w:rsidRDefault="00A04D4B" w:rsidP="00A04634">
      <w:pPr>
        <w:ind w:left="851"/>
        <w:rPr>
          <w:sz w:val="24"/>
          <w:szCs w:val="24"/>
          <w:u w:val="single"/>
        </w:rPr>
      </w:pPr>
      <w:r w:rsidRPr="00A04D4B">
        <w:rPr>
          <w:sz w:val="24"/>
          <w:szCs w:val="24"/>
          <w:u w:val="single"/>
        </w:rPr>
        <w:t>Kvæg:</w:t>
      </w:r>
    </w:p>
    <w:p w14:paraId="1CB7347E" w14:textId="77777777" w:rsidR="00A04D4B" w:rsidRPr="00A04D4B" w:rsidRDefault="00A04D4B" w:rsidP="00A04634">
      <w:pPr>
        <w:ind w:left="851"/>
        <w:rPr>
          <w:sz w:val="24"/>
          <w:szCs w:val="24"/>
        </w:rPr>
      </w:pPr>
      <w:r w:rsidRPr="00A04D4B">
        <w:rPr>
          <w:sz w:val="24"/>
          <w:szCs w:val="24"/>
        </w:rPr>
        <w:t xml:space="preserve">3 mg </w:t>
      </w:r>
      <w:proofErr w:type="spellStart"/>
      <w:r w:rsidRPr="00A04D4B">
        <w:rPr>
          <w:sz w:val="24"/>
          <w:szCs w:val="24"/>
        </w:rPr>
        <w:t>ketoprofen</w:t>
      </w:r>
      <w:proofErr w:type="spellEnd"/>
      <w:r w:rsidRPr="00A04D4B">
        <w:rPr>
          <w:sz w:val="24"/>
          <w:szCs w:val="24"/>
        </w:rPr>
        <w:t xml:space="preserve">/kg legemsvægt, dvs. 1 ml af veterinærlægemidlet/50 kg legemsvægt/dag administreret </w:t>
      </w:r>
      <w:proofErr w:type="spellStart"/>
      <w:r w:rsidRPr="00A04D4B">
        <w:rPr>
          <w:sz w:val="24"/>
          <w:szCs w:val="24"/>
        </w:rPr>
        <w:t>i.v</w:t>
      </w:r>
      <w:proofErr w:type="spellEnd"/>
      <w:r w:rsidRPr="00A04D4B">
        <w:rPr>
          <w:sz w:val="24"/>
          <w:szCs w:val="24"/>
        </w:rPr>
        <w:t xml:space="preserve">. eller </w:t>
      </w:r>
      <w:proofErr w:type="spellStart"/>
      <w:r w:rsidRPr="00A04D4B">
        <w:rPr>
          <w:sz w:val="24"/>
          <w:szCs w:val="24"/>
        </w:rPr>
        <w:t>i.m</w:t>
      </w:r>
      <w:proofErr w:type="spellEnd"/>
      <w:r w:rsidRPr="00A04D4B">
        <w:rPr>
          <w:sz w:val="24"/>
          <w:szCs w:val="24"/>
        </w:rPr>
        <w:t>., helst i halsregionen.</w:t>
      </w:r>
    </w:p>
    <w:p w14:paraId="3B657B7F" w14:textId="77777777" w:rsidR="00A04D4B" w:rsidRPr="00A04D4B" w:rsidRDefault="00A04D4B" w:rsidP="00A04634">
      <w:pPr>
        <w:ind w:left="851"/>
        <w:rPr>
          <w:sz w:val="24"/>
          <w:szCs w:val="24"/>
        </w:rPr>
      </w:pPr>
      <w:r w:rsidRPr="00A04D4B">
        <w:rPr>
          <w:sz w:val="24"/>
          <w:szCs w:val="24"/>
        </w:rPr>
        <w:t xml:space="preserve">Til lindring af postoperative smerter i forbindelse med afhorning af kalve anbefales det at administrere veterinærlægemidlet samtidig med et </w:t>
      </w:r>
      <w:proofErr w:type="spellStart"/>
      <w:r w:rsidRPr="00A04D4B">
        <w:rPr>
          <w:sz w:val="24"/>
          <w:szCs w:val="24"/>
        </w:rPr>
        <w:t>lokalanæstetikum</w:t>
      </w:r>
      <w:proofErr w:type="spellEnd"/>
      <w:r w:rsidRPr="00A04D4B">
        <w:rPr>
          <w:sz w:val="24"/>
          <w:szCs w:val="24"/>
        </w:rPr>
        <w:t xml:space="preserve"> 10-30 minutter før afhorning.</w:t>
      </w:r>
    </w:p>
    <w:p w14:paraId="3F3F9A0B" w14:textId="77777777" w:rsidR="00A04D4B" w:rsidRPr="00A04D4B" w:rsidRDefault="00A04D4B" w:rsidP="00A04634">
      <w:pPr>
        <w:ind w:left="851"/>
        <w:rPr>
          <w:sz w:val="24"/>
          <w:szCs w:val="24"/>
        </w:rPr>
      </w:pPr>
      <w:r w:rsidRPr="00A04D4B">
        <w:rPr>
          <w:sz w:val="24"/>
          <w:szCs w:val="24"/>
        </w:rPr>
        <w:t>Behandlingsvarigheden er 1-3 dage og bør fastlægges i overensstemmelse med sværhedsgraden og symptomernes varighed.</w:t>
      </w:r>
    </w:p>
    <w:p w14:paraId="060568D9" w14:textId="77777777" w:rsidR="00A04D4B" w:rsidRPr="00A04D4B" w:rsidRDefault="00A04D4B" w:rsidP="00A04634">
      <w:pPr>
        <w:ind w:left="851"/>
        <w:rPr>
          <w:sz w:val="24"/>
          <w:szCs w:val="24"/>
        </w:rPr>
      </w:pPr>
    </w:p>
    <w:p w14:paraId="1893FFF0" w14:textId="77777777" w:rsidR="00A04D4B" w:rsidRPr="00A04D4B" w:rsidRDefault="00A04D4B" w:rsidP="00A04634">
      <w:pPr>
        <w:ind w:left="851"/>
        <w:rPr>
          <w:sz w:val="24"/>
          <w:szCs w:val="24"/>
          <w:u w:val="single"/>
        </w:rPr>
      </w:pPr>
      <w:r w:rsidRPr="00A04D4B">
        <w:rPr>
          <w:sz w:val="24"/>
          <w:szCs w:val="24"/>
          <w:u w:val="single"/>
        </w:rPr>
        <w:t>Svin:</w:t>
      </w:r>
    </w:p>
    <w:p w14:paraId="00CE4906" w14:textId="51B18E39" w:rsidR="00A04D4B" w:rsidRPr="00A04D4B" w:rsidRDefault="00A04D4B" w:rsidP="00A04634">
      <w:pPr>
        <w:ind w:left="851"/>
        <w:rPr>
          <w:sz w:val="24"/>
          <w:szCs w:val="24"/>
        </w:rPr>
      </w:pPr>
      <w:r w:rsidRPr="00A04D4B">
        <w:rPr>
          <w:sz w:val="24"/>
          <w:szCs w:val="24"/>
        </w:rPr>
        <w:t xml:space="preserve">3 mg </w:t>
      </w:r>
      <w:proofErr w:type="spellStart"/>
      <w:r w:rsidRPr="00A04D4B">
        <w:rPr>
          <w:sz w:val="24"/>
          <w:szCs w:val="24"/>
        </w:rPr>
        <w:t>ketoprofen</w:t>
      </w:r>
      <w:proofErr w:type="spellEnd"/>
      <w:r w:rsidRPr="00A04D4B">
        <w:rPr>
          <w:sz w:val="24"/>
          <w:szCs w:val="24"/>
        </w:rPr>
        <w:t xml:space="preserve">/kg legemsvægt, dvs. 1 ml af veterinærlægemidlet/50 kg legemsvægt/dag administreret </w:t>
      </w:r>
      <w:proofErr w:type="spellStart"/>
      <w:r w:rsidRPr="00A04D4B">
        <w:rPr>
          <w:sz w:val="24"/>
          <w:szCs w:val="24"/>
        </w:rPr>
        <w:t>i.m</w:t>
      </w:r>
      <w:proofErr w:type="spellEnd"/>
      <w:r w:rsidRPr="00A04D4B">
        <w:rPr>
          <w:sz w:val="24"/>
          <w:szCs w:val="24"/>
        </w:rPr>
        <w:t>. som én enkelt injektion.</w:t>
      </w:r>
    </w:p>
    <w:p w14:paraId="04D40C74" w14:textId="77777777" w:rsidR="00A04D4B" w:rsidRPr="00A04D4B" w:rsidRDefault="00A04D4B" w:rsidP="00A04634">
      <w:pPr>
        <w:ind w:left="851"/>
        <w:rPr>
          <w:sz w:val="24"/>
          <w:szCs w:val="24"/>
        </w:rPr>
      </w:pPr>
      <w:r w:rsidRPr="00A04D4B">
        <w:rPr>
          <w:sz w:val="24"/>
          <w:szCs w:val="24"/>
        </w:rPr>
        <w:t>Afhængigt af det observerede respons og baseret på den ansvarlige dyrlæges benefit/</w:t>
      </w:r>
      <w:proofErr w:type="spellStart"/>
      <w:r w:rsidRPr="00A04D4B">
        <w:rPr>
          <w:sz w:val="24"/>
          <w:szCs w:val="24"/>
        </w:rPr>
        <w:t>risk</w:t>
      </w:r>
      <w:proofErr w:type="spellEnd"/>
      <w:r w:rsidRPr="00A04D4B">
        <w:rPr>
          <w:sz w:val="24"/>
          <w:szCs w:val="24"/>
        </w:rPr>
        <w:t>-vurdering kan behandlingen gentages med intervaller på 24 timer op til maksimalt tre behandlinger. Hver injektion bør indgives på et nyt sted.</w:t>
      </w:r>
    </w:p>
    <w:p w14:paraId="55EE6421" w14:textId="77777777" w:rsidR="00A04D4B" w:rsidRPr="00A04D4B" w:rsidRDefault="00A04D4B" w:rsidP="00A04634">
      <w:pPr>
        <w:ind w:left="851"/>
        <w:rPr>
          <w:sz w:val="24"/>
          <w:szCs w:val="24"/>
        </w:rPr>
      </w:pPr>
    </w:p>
    <w:p w14:paraId="35842ED9" w14:textId="77777777" w:rsidR="00A04D4B" w:rsidRPr="00A04D4B" w:rsidRDefault="00A04D4B" w:rsidP="00A04634">
      <w:pPr>
        <w:ind w:left="851"/>
        <w:rPr>
          <w:sz w:val="24"/>
          <w:szCs w:val="24"/>
          <w:u w:val="single"/>
        </w:rPr>
      </w:pPr>
      <w:r w:rsidRPr="00A04D4B">
        <w:rPr>
          <w:sz w:val="24"/>
          <w:szCs w:val="24"/>
          <w:u w:val="single"/>
        </w:rPr>
        <w:t>Heste:</w:t>
      </w:r>
    </w:p>
    <w:p w14:paraId="2B0601CA" w14:textId="14C6B6F1" w:rsidR="00A04D4B" w:rsidRPr="00A04D4B" w:rsidRDefault="00A04D4B" w:rsidP="00A04634">
      <w:pPr>
        <w:ind w:left="851"/>
        <w:rPr>
          <w:sz w:val="24"/>
          <w:szCs w:val="24"/>
        </w:rPr>
      </w:pPr>
      <w:r w:rsidRPr="00A04D4B">
        <w:rPr>
          <w:sz w:val="24"/>
          <w:szCs w:val="24"/>
        </w:rPr>
        <w:t xml:space="preserve">2,2 mg </w:t>
      </w:r>
      <w:proofErr w:type="spellStart"/>
      <w:r w:rsidRPr="00A04D4B">
        <w:rPr>
          <w:sz w:val="24"/>
          <w:szCs w:val="24"/>
        </w:rPr>
        <w:t>ketoprofen</w:t>
      </w:r>
      <w:proofErr w:type="spellEnd"/>
      <w:r w:rsidRPr="00A04D4B">
        <w:rPr>
          <w:sz w:val="24"/>
          <w:szCs w:val="24"/>
        </w:rPr>
        <w:t xml:space="preserve">/kg legemsvægt, dvs. 0,75 ml af veterinærlægemidlet/50 kg legemsvægt/dag administreret </w:t>
      </w:r>
      <w:proofErr w:type="spellStart"/>
      <w:r w:rsidRPr="00A04D4B">
        <w:rPr>
          <w:sz w:val="24"/>
          <w:szCs w:val="24"/>
        </w:rPr>
        <w:t>i.v</w:t>
      </w:r>
      <w:proofErr w:type="spellEnd"/>
      <w:r w:rsidRPr="00A04D4B">
        <w:rPr>
          <w:sz w:val="24"/>
          <w:szCs w:val="24"/>
        </w:rPr>
        <w:t>.</w:t>
      </w:r>
    </w:p>
    <w:p w14:paraId="207F7CC0" w14:textId="3AC0E2B9" w:rsidR="00A04D4B" w:rsidRPr="00A04D4B" w:rsidRDefault="00A04D4B" w:rsidP="00A04634">
      <w:pPr>
        <w:ind w:left="851"/>
        <w:rPr>
          <w:sz w:val="24"/>
          <w:szCs w:val="24"/>
        </w:rPr>
      </w:pPr>
      <w:r w:rsidRPr="00A04D4B">
        <w:rPr>
          <w:sz w:val="24"/>
          <w:szCs w:val="24"/>
        </w:rPr>
        <w:t xml:space="preserve">Behandlingsvarigheden er 1-5 dage og bør fastlægges i overensstemmelse med sværhedsgraden og symptomernes varighed. I tilfælde af kolik er én injektion normalt tilstrækkelig. Yderligere administration af </w:t>
      </w:r>
      <w:proofErr w:type="spellStart"/>
      <w:r w:rsidRPr="00A04D4B">
        <w:rPr>
          <w:sz w:val="24"/>
          <w:szCs w:val="24"/>
        </w:rPr>
        <w:t>ketoprofen</w:t>
      </w:r>
      <w:proofErr w:type="spellEnd"/>
      <w:r w:rsidRPr="00A04D4B">
        <w:rPr>
          <w:sz w:val="24"/>
          <w:szCs w:val="24"/>
        </w:rPr>
        <w:t xml:space="preserve"> kræver en ny klinisk undersøgelse.</w:t>
      </w:r>
    </w:p>
    <w:p w14:paraId="55E18779" w14:textId="77777777" w:rsidR="00A04D4B" w:rsidRPr="00A04D4B" w:rsidRDefault="00A04D4B" w:rsidP="00A04634">
      <w:pPr>
        <w:ind w:left="851"/>
        <w:rPr>
          <w:sz w:val="24"/>
          <w:szCs w:val="24"/>
        </w:rPr>
      </w:pPr>
    </w:p>
    <w:p w14:paraId="48170FDD" w14:textId="77777777" w:rsidR="00A04D4B" w:rsidRPr="00A04D4B" w:rsidRDefault="00A04D4B" w:rsidP="00A04634">
      <w:pPr>
        <w:ind w:left="851"/>
        <w:rPr>
          <w:sz w:val="24"/>
          <w:szCs w:val="24"/>
        </w:rPr>
      </w:pPr>
      <w:r w:rsidRPr="00A04D4B">
        <w:rPr>
          <w:bCs/>
          <w:iCs/>
          <w:sz w:val="24"/>
          <w:szCs w:val="24"/>
        </w:rPr>
        <w:t xml:space="preserve">Gummiproppen kan punkteres højst 25 gange. For at forhindre overdreven punktering af gummiproppen ved behandling af et stort antal dyr med små volumener anbefales brug af en </w:t>
      </w:r>
      <w:r w:rsidRPr="00A04D4B">
        <w:rPr>
          <w:sz w:val="24"/>
          <w:szCs w:val="24"/>
        </w:rPr>
        <w:t>dispenseringsnål.</w:t>
      </w:r>
    </w:p>
    <w:p w14:paraId="4F088FF8" w14:textId="77777777" w:rsidR="008203A8" w:rsidRPr="006943CC" w:rsidRDefault="008203A8" w:rsidP="008203A8">
      <w:pPr>
        <w:tabs>
          <w:tab w:val="left" w:pos="851"/>
        </w:tabs>
        <w:ind w:left="851"/>
        <w:rPr>
          <w:sz w:val="24"/>
          <w:szCs w:val="24"/>
        </w:rPr>
      </w:pPr>
    </w:p>
    <w:p w14:paraId="1687EBB2" w14:textId="77777777" w:rsidR="008203A8" w:rsidRPr="006943CC" w:rsidRDefault="008203A8" w:rsidP="008203A8">
      <w:pPr>
        <w:tabs>
          <w:tab w:val="left" w:pos="851"/>
        </w:tabs>
        <w:ind w:left="851" w:hanging="851"/>
        <w:rPr>
          <w:b/>
          <w:sz w:val="24"/>
          <w:szCs w:val="24"/>
        </w:rPr>
      </w:pPr>
      <w:r w:rsidRPr="006943CC">
        <w:rPr>
          <w:b/>
          <w:sz w:val="24"/>
          <w:szCs w:val="24"/>
        </w:rPr>
        <w:t>3.10</w:t>
      </w:r>
      <w:r w:rsidRPr="006943CC">
        <w:rPr>
          <w:b/>
          <w:sz w:val="24"/>
          <w:szCs w:val="24"/>
        </w:rPr>
        <w:tab/>
        <w:t>Symptomer på overdosering (og, hvis relevant, nødforanstaltninger og modgift)</w:t>
      </w:r>
    </w:p>
    <w:p w14:paraId="02CC8BF7" w14:textId="77777777" w:rsidR="00A04D4B" w:rsidRPr="00A04D4B" w:rsidRDefault="00A04D4B" w:rsidP="00A04634">
      <w:pPr>
        <w:ind w:left="851"/>
        <w:rPr>
          <w:sz w:val="24"/>
          <w:szCs w:val="24"/>
        </w:rPr>
      </w:pPr>
      <w:r w:rsidRPr="00A04D4B">
        <w:rPr>
          <w:sz w:val="24"/>
          <w:szCs w:val="24"/>
        </w:rPr>
        <w:t xml:space="preserve">Overdosering med </w:t>
      </w:r>
      <w:proofErr w:type="spellStart"/>
      <w:r w:rsidRPr="00A04D4B">
        <w:rPr>
          <w:sz w:val="24"/>
          <w:szCs w:val="24"/>
        </w:rPr>
        <w:t>NSAID’er</w:t>
      </w:r>
      <w:proofErr w:type="spellEnd"/>
      <w:r w:rsidRPr="00A04D4B">
        <w:rPr>
          <w:sz w:val="24"/>
          <w:szCs w:val="24"/>
        </w:rPr>
        <w:t xml:space="preserve"> kan medføre til </w:t>
      </w:r>
      <w:proofErr w:type="spellStart"/>
      <w:r w:rsidRPr="00A04D4B">
        <w:rPr>
          <w:sz w:val="24"/>
          <w:szCs w:val="24"/>
        </w:rPr>
        <w:t>gastrointestinale</w:t>
      </w:r>
      <w:proofErr w:type="spellEnd"/>
      <w:r w:rsidRPr="00A04D4B">
        <w:rPr>
          <w:sz w:val="24"/>
          <w:szCs w:val="24"/>
        </w:rPr>
        <w:t xml:space="preserve"> </w:t>
      </w:r>
      <w:proofErr w:type="spellStart"/>
      <w:r w:rsidRPr="00A04D4B">
        <w:rPr>
          <w:sz w:val="24"/>
          <w:szCs w:val="24"/>
        </w:rPr>
        <w:t>ulcerationer</w:t>
      </w:r>
      <w:proofErr w:type="spellEnd"/>
      <w:r w:rsidRPr="00A04D4B">
        <w:rPr>
          <w:sz w:val="24"/>
          <w:szCs w:val="24"/>
        </w:rPr>
        <w:t>, proteintab, nedsat lever- og nyrefunktion.</w:t>
      </w:r>
    </w:p>
    <w:p w14:paraId="7C223754" w14:textId="5349ECF8" w:rsidR="00A04D4B" w:rsidRPr="00A04D4B" w:rsidRDefault="00A04D4B" w:rsidP="00A04634">
      <w:pPr>
        <w:ind w:left="851"/>
        <w:rPr>
          <w:sz w:val="24"/>
          <w:szCs w:val="24"/>
        </w:rPr>
      </w:pPr>
      <w:r w:rsidRPr="00A04D4B">
        <w:rPr>
          <w:sz w:val="24"/>
          <w:szCs w:val="24"/>
        </w:rPr>
        <w:t xml:space="preserve">I tolerans-undersøgelser i svin havde op mod 25 % af de dyr, der blev behandlet med tre gange den anbefalede maksimale dosis (9 mg/kg legemsvægt) i tre dage eller med den anbefalede dosis (3 mg/kg legemsvægt) i tre gange den maksimale anbefalede tid (9 dage), </w:t>
      </w:r>
      <w:proofErr w:type="spellStart"/>
      <w:r w:rsidRPr="00A04D4B">
        <w:rPr>
          <w:sz w:val="24"/>
          <w:szCs w:val="24"/>
        </w:rPr>
        <w:t>erosive</w:t>
      </w:r>
      <w:proofErr w:type="spellEnd"/>
      <w:r w:rsidRPr="00A04D4B">
        <w:rPr>
          <w:sz w:val="24"/>
          <w:szCs w:val="24"/>
        </w:rPr>
        <w:t xml:space="preserve"> og/eller </w:t>
      </w:r>
      <w:proofErr w:type="spellStart"/>
      <w:r w:rsidRPr="00A04D4B">
        <w:rPr>
          <w:sz w:val="24"/>
          <w:szCs w:val="24"/>
        </w:rPr>
        <w:t>ulcerende</w:t>
      </w:r>
      <w:proofErr w:type="spellEnd"/>
      <w:r w:rsidRPr="00A04D4B">
        <w:rPr>
          <w:sz w:val="24"/>
          <w:szCs w:val="24"/>
        </w:rPr>
        <w:t xml:space="preserve"> læsioner i både den non-</w:t>
      </w:r>
      <w:proofErr w:type="spellStart"/>
      <w:r w:rsidRPr="00A04D4B">
        <w:rPr>
          <w:sz w:val="24"/>
          <w:szCs w:val="24"/>
        </w:rPr>
        <w:t>glandulære</w:t>
      </w:r>
      <w:proofErr w:type="spellEnd"/>
      <w:r w:rsidRPr="00A04D4B">
        <w:rPr>
          <w:sz w:val="24"/>
          <w:szCs w:val="24"/>
        </w:rPr>
        <w:t xml:space="preserve"> (pars </w:t>
      </w:r>
      <w:proofErr w:type="spellStart"/>
      <w:r w:rsidRPr="00A04D4B">
        <w:rPr>
          <w:sz w:val="24"/>
          <w:szCs w:val="24"/>
        </w:rPr>
        <w:t>oesophagica</w:t>
      </w:r>
      <w:proofErr w:type="spellEnd"/>
      <w:r w:rsidRPr="00A04D4B">
        <w:rPr>
          <w:sz w:val="24"/>
          <w:szCs w:val="24"/>
        </w:rPr>
        <w:t xml:space="preserve">) del og de </w:t>
      </w:r>
      <w:proofErr w:type="spellStart"/>
      <w:r w:rsidRPr="00A04D4B">
        <w:rPr>
          <w:sz w:val="24"/>
          <w:szCs w:val="24"/>
        </w:rPr>
        <w:t>glandulære</w:t>
      </w:r>
      <w:proofErr w:type="spellEnd"/>
      <w:r w:rsidRPr="00A04D4B">
        <w:rPr>
          <w:sz w:val="24"/>
          <w:szCs w:val="24"/>
        </w:rPr>
        <w:t xml:space="preserve"> dele af mavesækken. Tidlige tegn på toksicitet omfatter tab af appetit og</w:t>
      </w:r>
      <w:r w:rsidR="00F153F0">
        <w:rPr>
          <w:sz w:val="24"/>
          <w:szCs w:val="24"/>
        </w:rPr>
        <w:t xml:space="preserve"> </w:t>
      </w:r>
      <w:proofErr w:type="gramStart"/>
      <w:r w:rsidRPr="00A04D4B">
        <w:rPr>
          <w:sz w:val="24"/>
          <w:szCs w:val="24"/>
        </w:rPr>
        <w:t>klæbrig</w:t>
      </w:r>
      <w:proofErr w:type="gramEnd"/>
      <w:r w:rsidRPr="00A04D4B">
        <w:rPr>
          <w:sz w:val="24"/>
          <w:szCs w:val="24"/>
        </w:rPr>
        <w:t xml:space="preserve"> fæces eller diarré.</w:t>
      </w:r>
    </w:p>
    <w:p w14:paraId="47B17EFD" w14:textId="77777777" w:rsidR="00A04D4B" w:rsidRPr="00A04D4B" w:rsidRDefault="00A04D4B" w:rsidP="00A04634">
      <w:pPr>
        <w:ind w:left="851"/>
        <w:rPr>
          <w:sz w:val="24"/>
          <w:szCs w:val="24"/>
        </w:rPr>
      </w:pPr>
      <w:r w:rsidRPr="00A04D4B">
        <w:rPr>
          <w:sz w:val="24"/>
          <w:szCs w:val="24"/>
        </w:rPr>
        <w:t xml:space="preserve">Intramuskulær administration af veterinærlægemidlet til kvæg med op til 3 gange den anbefalede dosis eller i 3 gange den anbefalede behandlingstid (9 dage) resulterede ikke i kliniske tegn på intolerans. Inflammation samt nekrotiske subkliniske læsioner blev imidlertid set på injektionsstedet hos de behandlede dyr samt en stigning i CPK-niveauer. En </w:t>
      </w:r>
      <w:proofErr w:type="spellStart"/>
      <w:r w:rsidRPr="00A04D4B">
        <w:rPr>
          <w:sz w:val="24"/>
          <w:szCs w:val="24"/>
        </w:rPr>
        <w:t>histopatologisk</w:t>
      </w:r>
      <w:proofErr w:type="spellEnd"/>
      <w:r w:rsidRPr="00A04D4B">
        <w:rPr>
          <w:sz w:val="24"/>
          <w:szCs w:val="24"/>
        </w:rPr>
        <w:t xml:space="preserve"> undersøgelse viste eroderende eller ulcerøse </w:t>
      </w:r>
      <w:proofErr w:type="spellStart"/>
      <w:r w:rsidRPr="00A04D4B">
        <w:rPr>
          <w:sz w:val="24"/>
          <w:szCs w:val="24"/>
        </w:rPr>
        <w:t>abomasale</w:t>
      </w:r>
      <w:proofErr w:type="spellEnd"/>
      <w:r w:rsidRPr="00A04D4B">
        <w:rPr>
          <w:sz w:val="24"/>
          <w:szCs w:val="24"/>
        </w:rPr>
        <w:t xml:space="preserve"> læsioner med relation til begge doseringsregimer.</w:t>
      </w:r>
    </w:p>
    <w:p w14:paraId="7F6188D9" w14:textId="77777777" w:rsidR="00A04D4B" w:rsidRPr="00A04D4B" w:rsidRDefault="00A04D4B" w:rsidP="00A04634">
      <w:pPr>
        <w:ind w:left="851"/>
        <w:rPr>
          <w:sz w:val="24"/>
          <w:szCs w:val="24"/>
        </w:rPr>
      </w:pPr>
      <w:r w:rsidRPr="00A04D4B">
        <w:rPr>
          <w:sz w:val="24"/>
          <w:szCs w:val="24"/>
        </w:rPr>
        <w:t xml:space="preserve">Heste har vist sig at tolerere intravenøse doseringer af </w:t>
      </w:r>
      <w:proofErr w:type="spellStart"/>
      <w:r w:rsidRPr="00A04D4B">
        <w:rPr>
          <w:sz w:val="24"/>
          <w:szCs w:val="24"/>
        </w:rPr>
        <w:t>ketoprofen</w:t>
      </w:r>
      <w:proofErr w:type="spellEnd"/>
      <w:r w:rsidRPr="00A04D4B">
        <w:rPr>
          <w:sz w:val="24"/>
          <w:szCs w:val="24"/>
        </w:rPr>
        <w:t xml:space="preserve"> på op til 5 gange den anbefalede dosis i tre gange den anbefalede behandlingsvarighed (15 dage) uden tegn på toksiske virkninger.</w:t>
      </w:r>
    </w:p>
    <w:p w14:paraId="5BCBDDF9" w14:textId="77777777" w:rsidR="00A04D4B" w:rsidRPr="00A04D4B" w:rsidRDefault="00A04D4B" w:rsidP="00A04634">
      <w:pPr>
        <w:ind w:left="851"/>
        <w:rPr>
          <w:sz w:val="24"/>
          <w:szCs w:val="24"/>
        </w:rPr>
      </w:pPr>
      <w:r w:rsidRPr="00A04D4B">
        <w:rPr>
          <w:sz w:val="24"/>
          <w:szCs w:val="24"/>
        </w:rPr>
        <w:t>Hvis der observeres kliniske tegn på overdosering, findes ingen specifik modgift, derfor bør symptomatisk behandling opstartes.</w:t>
      </w:r>
    </w:p>
    <w:p w14:paraId="31F2D5EE" w14:textId="77777777" w:rsidR="008203A8" w:rsidRPr="006943CC" w:rsidRDefault="008203A8" w:rsidP="008203A8">
      <w:pPr>
        <w:tabs>
          <w:tab w:val="left" w:pos="851"/>
        </w:tabs>
        <w:ind w:left="851"/>
        <w:rPr>
          <w:sz w:val="24"/>
          <w:szCs w:val="24"/>
        </w:rPr>
      </w:pPr>
    </w:p>
    <w:p w14:paraId="4C05C7ED" w14:textId="77777777" w:rsidR="008203A8" w:rsidRPr="006943CC" w:rsidRDefault="008203A8" w:rsidP="008203A8">
      <w:pPr>
        <w:tabs>
          <w:tab w:val="left" w:pos="851"/>
        </w:tabs>
        <w:ind w:left="851" w:hanging="851"/>
        <w:rPr>
          <w:sz w:val="24"/>
          <w:szCs w:val="24"/>
        </w:rPr>
      </w:pPr>
      <w:r w:rsidRPr="006943CC">
        <w:rPr>
          <w:b/>
          <w:sz w:val="24"/>
          <w:szCs w:val="24"/>
        </w:rPr>
        <w:t>3.11</w:t>
      </w:r>
      <w:r w:rsidRPr="006943CC">
        <w:rPr>
          <w:sz w:val="24"/>
          <w:szCs w:val="24"/>
        </w:rPr>
        <w:tab/>
      </w:r>
      <w:r w:rsidRPr="006943CC">
        <w:rPr>
          <w:b/>
          <w:sz w:val="24"/>
          <w:szCs w:val="24"/>
        </w:rPr>
        <w:t>Særlige begrænsninger og betingelser for anvendelse, herunder begrænsninger for anvendelsen af antimikrobielle og antiparasitære veterinærlægemidler for at begrænse risikoen for udvikling af resistens</w:t>
      </w:r>
    </w:p>
    <w:p w14:paraId="39301165" w14:textId="77777777" w:rsidR="00A04D4B" w:rsidRPr="00A04D4B" w:rsidRDefault="00A04D4B" w:rsidP="00A04D4B">
      <w:pPr>
        <w:tabs>
          <w:tab w:val="left" w:pos="851"/>
        </w:tabs>
        <w:ind w:left="851"/>
        <w:rPr>
          <w:sz w:val="24"/>
          <w:szCs w:val="24"/>
        </w:rPr>
      </w:pPr>
      <w:r w:rsidRPr="00A04D4B">
        <w:rPr>
          <w:sz w:val="24"/>
          <w:szCs w:val="24"/>
        </w:rPr>
        <w:t>Ikke relevant.</w:t>
      </w:r>
    </w:p>
    <w:p w14:paraId="1A604A32" w14:textId="77777777" w:rsidR="008203A8" w:rsidRPr="006943CC" w:rsidRDefault="008203A8" w:rsidP="008203A8">
      <w:pPr>
        <w:tabs>
          <w:tab w:val="left" w:pos="851"/>
        </w:tabs>
        <w:ind w:left="851"/>
        <w:rPr>
          <w:sz w:val="24"/>
          <w:szCs w:val="24"/>
        </w:rPr>
      </w:pPr>
    </w:p>
    <w:p w14:paraId="7B0B0E9E" w14:textId="77777777" w:rsidR="008203A8" w:rsidRPr="006943CC" w:rsidRDefault="008203A8" w:rsidP="008203A8">
      <w:pPr>
        <w:tabs>
          <w:tab w:val="left" w:pos="851"/>
        </w:tabs>
        <w:ind w:left="851" w:hanging="851"/>
        <w:rPr>
          <w:b/>
          <w:sz w:val="24"/>
          <w:szCs w:val="24"/>
        </w:rPr>
      </w:pPr>
      <w:r w:rsidRPr="006943CC">
        <w:rPr>
          <w:b/>
          <w:sz w:val="24"/>
          <w:szCs w:val="24"/>
        </w:rPr>
        <w:t>3.12</w:t>
      </w:r>
      <w:r w:rsidRPr="006943CC">
        <w:rPr>
          <w:b/>
          <w:sz w:val="24"/>
          <w:szCs w:val="24"/>
        </w:rPr>
        <w:tab/>
        <w:t>Tilbageholdelsestid(er)</w:t>
      </w:r>
    </w:p>
    <w:p w14:paraId="07D6E0DE" w14:textId="77777777" w:rsidR="00A04634" w:rsidRPr="006943CC" w:rsidRDefault="00A04634" w:rsidP="00A04D4B">
      <w:pPr>
        <w:tabs>
          <w:tab w:val="left" w:pos="851"/>
        </w:tabs>
        <w:ind w:left="851"/>
        <w:rPr>
          <w:sz w:val="24"/>
          <w:szCs w:val="24"/>
          <w:u w:val="single"/>
        </w:rPr>
      </w:pPr>
    </w:p>
    <w:p w14:paraId="5F687367" w14:textId="2664E5F6" w:rsidR="00A04D4B" w:rsidRPr="00A04D4B" w:rsidRDefault="00A04D4B" w:rsidP="00A04634">
      <w:pPr>
        <w:ind w:left="851"/>
        <w:rPr>
          <w:sz w:val="24"/>
          <w:szCs w:val="24"/>
          <w:u w:val="single"/>
        </w:rPr>
      </w:pPr>
      <w:r w:rsidRPr="00A04D4B">
        <w:rPr>
          <w:sz w:val="24"/>
          <w:szCs w:val="24"/>
          <w:u w:val="single"/>
        </w:rPr>
        <w:t>Slagtning:</w:t>
      </w:r>
    </w:p>
    <w:p w14:paraId="452013EE" w14:textId="77777777" w:rsidR="00A04D4B" w:rsidRPr="00A04D4B" w:rsidRDefault="00A04D4B" w:rsidP="00A04634">
      <w:pPr>
        <w:ind w:left="851"/>
        <w:rPr>
          <w:sz w:val="24"/>
          <w:szCs w:val="24"/>
        </w:rPr>
      </w:pPr>
      <w:r w:rsidRPr="00A04D4B">
        <w:rPr>
          <w:sz w:val="24"/>
          <w:szCs w:val="24"/>
        </w:rPr>
        <w:t xml:space="preserve">Kvæg: </w:t>
      </w:r>
      <w:r w:rsidRPr="00A04D4B">
        <w:rPr>
          <w:sz w:val="24"/>
          <w:szCs w:val="24"/>
        </w:rPr>
        <w:tab/>
        <w:t>2 dage</w:t>
      </w:r>
    </w:p>
    <w:p w14:paraId="7AA95F4F" w14:textId="597D5799" w:rsidR="00A04D4B" w:rsidRPr="00A04D4B" w:rsidRDefault="00A04D4B" w:rsidP="00A04634">
      <w:pPr>
        <w:ind w:left="851"/>
        <w:rPr>
          <w:sz w:val="24"/>
          <w:szCs w:val="24"/>
        </w:rPr>
      </w:pPr>
      <w:r w:rsidRPr="00A04D4B">
        <w:rPr>
          <w:sz w:val="24"/>
          <w:szCs w:val="24"/>
        </w:rPr>
        <w:t xml:space="preserve">Svin: </w:t>
      </w:r>
      <w:r w:rsidRPr="00A04D4B">
        <w:rPr>
          <w:sz w:val="24"/>
          <w:szCs w:val="24"/>
        </w:rPr>
        <w:tab/>
        <w:t>3 dage</w:t>
      </w:r>
    </w:p>
    <w:p w14:paraId="4EBA4F56" w14:textId="77777777" w:rsidR="00A04D4B" w:rsidRPr="00A04D4B" w:rsidRDefault="00A04D4B" w:rsidP="00A04634">
      <w:pPr>
        <w:ind w:left="851"/>
        <w:rPr>
          <w:sz w:val="24"/>
          <w:szCs w:val="24"/>
        </w:rPr>
      </w:pPr>
      <w:r w:rsidRPr="00A04D4B">
        <w:rPr>
          <w:sz w:val="24"/>
          <w:szCs w:val="24"/>
        </w:rPr>
        <w:t xml:space="preserve">Heste: </w:t>
      </w:r>
      <w:r w:rsidRPr="00A04D4B">
        <w:rPr>
          <w:sz w:val="24"/>
          <w:szCs w:val="24"/>
        </w:rPr>
        <w:tab/>
        <w:t xml:space="preserve">1 dag </w:t>
      </w:r>
    </w:p>
    <w:p w14:paraId="5C8276F9" w14:textId="77777777" w:rsidR="00A04D4B" w:rsidRPr="00A04D4B" w:rsidRDefault="00A04D4B" w:rsidP="00A04634">
      <w:pPr>
        <w:ind w:left="851"/>
        <w:rPr>
          <w:sz w:val="24"/>
          <w:szCs w:val="24"/>
          <w:u w:val="single"/>
        </w:rPr>
      </w:pPr>
    </w:p>
    <w:p w14:paraId="141B1B68" w14:textId="77777777" w:rsidR="00A04D4B" w:rsidRPr="00A04D4B" w:rsidRDefault="00A04D4B" w:rsidP="00A04634">
      <w:pPr>
        <w:ind w:left="851"/>
        <w:rPr>
          <w:sz w:val="24"/>
          <w:szCs w:val="24"/>
          <w:u w:val="single"/>
        </w:rPr>
      </w:pPr>
      <w:r w:rsidRPr="00A04D4B">
        <w:rPr>
          <w:sz w:val="24"/>
          <w:szCs w:val="24"/>
          <w:u w:val="single"/>
        </w:rPr>
        <w:t>Mælk:</w:t>
      </w:r>
    </w:p>
    <w:p w14:paraId="6EF71C4D" w14:textId="77777777" w:rsidR="00A04D4B" w:rsidRPr="00A04D4B" w:rsidRDefault="00A04D4B" w:rsidP="00A04634">
      <w:pPr>
        <w:ind w:left="851"/>
        <w:rPr>
          <w:sz w:val="24"/>
          <w:szCs w:val="24"/>
        </w:rPr>
      </w:pPr>
      <w:r w:rsidRPr="00A04D4B">
        <w:rPr>
          <w:sz w:val="24"/>
          <w:szCs w:val="24"/>
        </w:rPr>
        <w:t>Kvæg:</w:t>
      </w:r>
      <w:r w:rsidRPr="00A04D4B">
        <w:rPr>
          <w:sz w:val="24"/>
          <w:szCs w:val="24"/>
        </w:rPr>
        <w:tab/>
        <w:t>0 timer</w:t>
      </w:r>
    </w:p>
    <w:p w14:paraId="1905A6AB" w14:textId="77777777" w:rsidR="00A04D4B" w:rsidRPr="00A04D4B" w:rsidRDefault="00A04D4B" w:rsidP="00A04634">
      <w:pPr>
        <w:ind w:left="851"/>
        <w:rPr>
          <w:sz w:val="24"/>
          <w:szCs w:val="24"/>
        </w:rPr>
      </w:pPr>
      <w:r w:rsidRPr="00A04D4B">
        <w:rPr>
          <w:sz w:val="24"/>
          <w:szCs w:val="24"/>
        </w:rPr>
        <w:t>Må ikke anvendes til hopper, hvis mælk er bestemt til menneskeføde.</w:t>
      </w:r>
    </w:p>
    <w:p w14:paraId="1DF5560B" w14:textId="77777777" w:rsidR="008203A8" w:rsidRPr="006943CC" w:rsidRDefault="008203A8" w:rsidP="008203A8">
      <w:pPr>
        <w:pStyle w:val="Sidehoved"/>
        <w:tabs>
          <w:tab w:val="clear" w:pos="4819"/>
        </w:tabs>
        <w:ind w:left="851"/>
        <w:rPr>
          <w:szCs w:val="24"/>
        </w:rPr>
      </w:pPr>
    </w:p>
    <w:p w14:paraId="67F2A029" w14:textId="77777777" w:rsidR="008203A8" w:rsidRPr="006943CC" w:rsidRDefault="008203A8" w:rsidP="008203A8">
      <w:pPr>
        <w:tabs>
          <w:tab w:val="left" w:pos="851"/>
        </w:tabs>
        <w:ind w:left="851"/>
        <w:rPr>
          <w:sz w:val="24"/>
          <w:szCs w:val="24"/>
        </w:rPr>
      </w:pPr>
    </w:p>
    <w:p w14:paraId="61F73FA0" w14:textId="0F4987A0" w:rsidR="008203A8" w:rsidRPr="006943CC" w:rsidRDefault="008203A8" w:rsidP="008203A8">
      <w:pPr>
        <w:ind w:left="851" w:hanging="851"/>
        <w:rPr>
          <w:b/>
          <w:sz w:val="24"/>
          <w:szCs w:val="24"/>
        </w:rPr>
      </w:pPr>
      <w:r w:rsidRPr="006943CC">
        <w:rPr>
          <w:b/>
          <w:sz w:val="24"/>
          <w:szCs w:val="24"/>
        </w:rPr>
        <w:t>4.</w:t>
      </w:r>
      <w:r w:rsidRPr="006943CC">
        <w:rPr>
          <w:b/>
          <w:sz w:val="24"/>
          <w:szCs w:val="24"/>
        </w:rPr>
        <w:tab/>
        <w:t>FARMAKOLOGISKE OPLYSNINGER</w:t>
      </w:r>
    </w:p>
    <w:p w14:paraId="6550CB31" w14:textId="77777777" w:rsidR="008203A8" w:rsidRPr="006943CC" w:rsidRDefault="008203A8" w:rsidP="008203A8">
      <w:pPr>
        <w:ind w:left="851"/>
        <w:rPr>
          <w:sz w:val="24"/>
          <w:szCs w:val="24"/>
        </w:rPr>
      </w:pPr>
    </w:p>
    <w:p w14:paraId="6790107B" w14:textId="77777777" w:rsidR="008203A8" w:rsidRPr="006943CC" w:rsidRDefault="008203A8" w:rsidP="008203A8">
      <w:pPr>
        <w:ind w:left="851" w:hanging="851"/>
        <w:rPr>
          <w:b/>
          <w:sz w:val="24"/>
          <w:szCs w:val="24"/>
        </w:rPr>
      </w:pPr>
      <w:r w:rsidRPr="006943CC">
        <w:rPr>
          <w:b/>
          <w:sz w:val="24"/>
          <w:szCs w:val="24"/>
        </w:rPr>
        <w:t>4.1</w:t>
      </w:r>
      <w:r w:rsidRPr="006943CC">
        <w:rPr>
          <w:b/>
          <w:sz w:val="24"/>
          <w:szCs w:val="24"/>
        </w:rPr>
        <w:tab/>
      </w:r>
      <w:proofErr w:type="spellStart"/>
      <w:r w:rsidRPr="006943CC">
        <w:rPr>
          <w:b/>
          <w:sz w:val="24"/>
          <w:szCs w:val="24"/>
        </w:rPr>
        <w:t>ATCvet</w:t>
      </w:r>
      <w:proofErr w:type="spellEnd"/>
      <w:r w:rsidRPr="006943CC">
        <w:rPr>
          <w:b/>
          <w:sz w:val="24"/>
          <w:szCs w:val="24"/>
        </w:rPr>
        <w:t>-kode</w:t>
      </w:r>
    </w:p>
    <w:p w14:paraId="3AADAD44" w14:textId="77777777" w:rsidR="00A04D4B" w:rsidRPr="00A04D4B" w:rsidRDefault="00A04D4B" w:rsidP="00A04D4B">
      <w:pPr>
        <w:ind w:left="851"/>
        <w:rPr>
          <w:sz w:val="24"/>
          <w:szCs w:val="24"/>
        </w:rPr>
      </w:pPr>
      <w:r w:rsidRPr="00A04D4B">
        <w:rPr>
          <w:sz w:val="24"/>
          <w:szCs w:val="24"/>
        </w:rPr>
        <w:t>QM01AE03</w:t>
      </w:r>
    </w:p>
    <w:p w14:paraId="3BC35D2C" w14:textId="77777777" w:rsidR="008203A8" w:rsidRPr="006943CC" w:rsidRDefault="008203A8" w:rsidP="008203A8">
      <w:pPr>
        <w:ind w:left="851"/>
        <w:rPr>
          <w:sz w:val="24"/>
          <w:szCs w:val="24"/>
        </w:rPr>
      </w:pPr>
    </w:p>
    <w:p w14:paraId="50DA34FA" w14:textId="77777777" w:rsidR="008203A8" w:rsidRPr="006943CC" w:rsidRDefault="008203A8" w:rsidP="008203A8">
      <w:pPr>
        <w:tabs>
          <w:tab w:val="left" w:pos="851"/>
        </w:tabs>
        <w:ind w:left="851" w:hanging="851"/>
        <w:rPr>
          <w:b/>
          <w:sz w:val="24"/>
          <w:szCs w:val="24"/>
        </w:rPr>
      </w:pPr>
      <w:r w:rsidRPr="006943CC">
        <w:rPr>
          <w:b/>
          <w:sz w:val="24"/>
          <w:szCs w:val="24"/>
        </w:rPr>
        <w:t>4.2</w:t>
      </w:r>
      <w:r w:rsidRPr="006943CC">
        <w:rPr>
          <w:b/>
          <w:sz w:val="24"/>
          <w:szCs w:val="24"/>
        </w:rPr>
        <w:tab/>
      </w:r>
      <w:proofErr w:type="spellStart"/>
      <w:r w:rsidRPr="006943CC">
        <w:rPr>
          <w:b/>
          <w:sz w:val="24"/>
          <w:szCs w:val="24"/>
        </w:rPr>
        <w:t>Farmakodynamiske</w:t>
      </w:r>
      <w:proofErr w:type="spellEnd"/>
      <w:r w:rsidRPr="006943CC">
        <w:rPr>
          <w:b/>
          <w:sz w:val="24"/>
          <w:szCs w:val="24"/>
        </w:rPr>
        <w:t xml:space="preserve"> oplysninger</w:t>
      </w:r>
    </w:p>
    <w:p w14:paraId="22270606" w14:textId="77777777" w:rsidR="00A04D4B" w:rsidRPr="00A04D4B" w:rsidRDefault="00A04D4B" w:rsidP="00A04D4B">
      <w:pPr>
        <w:tabs>
          <w:tab w:val="left" w:pos="851"/>
        </w:tabs>
        <w:ind w:left="851"/>
        <w:rPr>
          <w:sz w:val="24"/>
          <w:szCs w:val="24"/>
        </w:rPr>
      </w:pPr>
      <w:proofErr w:type="spellStart"/>
      <w:r w:rsidRPr="00A04D4B">
        <w:rPr>
          <w:sz w:val="24"/>
          <w:szCs w:val="24"/>
        </w:rPr>
        <w:t>Ketoprofen</w:t>
      </w:r>
      <w:proofErr w:type="spellEnd"/>
      <w:r w:rsidRPr="00A04D4B">
        <w:rPr>
          <w:sz w:val="24"/>
          <w:szCs w:val="24"/>
        </w:rPr>
        <w:t>, 2-(phenyl-3-</w:t>
      </w:r>
      <w:proofErr w:type="gramStart"/>
      <w:r w:rsidRPr="00A04D4B">
        <w:rPr>
          <w:sz w:val="24"/>
          <w:szCs w:val="24"/>
        </w:rPr>
        <w:t>benzoyl)-</w:t>
      </w:r>
      <w:proofErr w:type="spellStart"/>
      <w:proofErr w:type="gramEnd"/>
      <w:r w:rsidRPr="00A04D4B">
        <w:rPr>
          <w:sz w:val="24"/>
          <w:szCs w:val="24"/>
        </w:rPr>
        <w:t>propionsyre</w:t>
      </w:r>
      <w:proofErr w:type="spellEnd"/>
      <w:r w:rsidRPr="00A04D4B">
        <w:rPr>
          <w:sz w:val="24"/>
          <w:szCs w:val="24"/>
        </w:rPr>
        <w:t>, er et non-</w:t>
      </w:r>
      <w:proofErr w:type="spellStart"/>
      <w:r w:rsidRPr="00A04D4B">
        <w:rPr>
          <w:sz w:val="24"/>
          <w:szCs w:val="24"/>
        </w:rPr>
        <w:t>steroidt</w:t>
      </w:r>
      <w:proofErr w:type="spellEnd"/>
      <w:r w:rsidRPr="00A04D4B">
        <w:rPr>
          <w:sz w:val="24"/>
          <w:szCs w:val="24"/>
        </w:rPr>
        <w:t xml:space="preserve"> antiinflammatorisk lægemiddel, der tilhører </w:t>
      </w:r>
      <w:proofErr w:type="spellStart"/>
      <w:r w:rsidRPr="00A04D4B">
        <w:rPr>
          <w:sz w:val="24"/>
          <w:szCs w:val="24"/>
        </w:rPr>
        <w:t>arylpropionsyregruppen</w:t>
      </w:r>
      <w:proofErr w:type="spellEnd"/>
      <w:r w:rsidRPr="00A04D4B">
        <w:rPr>
          <w:sz w:val="24"/>
          <w:szCs w:val="24"/>
        </w:rPr>
        <w:t xml:space="preserve">. Den primære virkningsmekanisme for </w:t>
      </w:r>
      <w:proofErr w:type="spellStart"/>
      <w:r w:rsidRPr="00A04D4B">
        <w:rPr>
          <w:sz w:val="24"/>
          <w:szCs w:val="24"/>
        </w:rPr>
        <w:t>ketoprofen</w:t>
      </w:r>
      <w:proofErr w:type="spellEnd"/>
      <w:r w:rsidRPr="00A04D4B">
        <w:rPr>
          <w:sz w:val="24"/>
          <w:szCs w:val="24"/>
        </w:rPr>
        <w:t xml:space="preserve"> anses at være hæmning af </w:t>
      </w:r>
      <w:proofErr w:type="spellStart"/>
      <w:r w:rsidRPr="00A04D4B">
        <w:rPr>
          <w:sz w:val="24"/>
          <w:szCs w:val="24"/>
        </w:rPr>
        <w:t>cyclooxygenasereaktionsvejen</w:t>
      </w:r>
      <w:proofErr w:type="spellEnd"/>
      <w:r w:rsidRPr="00A04D4B">
        <w:rPr>
          <w:sz w:val="24"/>
          <w:szCs w:val="24"/>
        </w:rPr>
        <w:t xml:space="preserve"> ved </w:t>
      </w:r>
      <w:proofErr w:type="spellStart"/>
      <w:r w:rsidRPr="00A04D4B">
        <w:rPr>
          <w:sz w:val="24"/>
          <w:szCs w:val="24"/>
        </w:rPr>
        <w:t>arakidonsyremetabolismen</w:t>
      </w:r>
      <w:proofErr w:type="spellEnd"/>
      <w:r w:rsidRPr="00A04D4B">
        <w:rPr>
          <w:sz w:val="24"/>
          <w:szCs w:val="24"/>
        </w:rPr>
        <w:t xml:space="preserve">, hvilket medfører reduceret produktion af inflammatoriske mediatorer, såsom </w:t>
      </w:r>
      <w:proofErr w:type="spellStart"/>
      <w:r w:rsidRPr="00A04D4B">
        <w:rPr>
          <w:sz w:val="24"/>
          <w:szCs w:val="24"/>
        </w:rPr>
        <w:t>prostaglandiner</w:t>
      </w:r>
      <w:proofErr w:type="spellEnd"/>
      <w:r w:rsidRPr="00A04D4B">
        <w:rPr>
          <w:sz w:val="24"/>
          <w:szCs w:val="24"/>
        </w:rPr>
        <w:t xml:space="preserve"> og </w:t>
      </w:r>
      <w:proofErr w:type="spellStart"/>
      <w:r w:rsidRPr="00A04D4B">
        <w:rPr>
          <w:sz w:val="24"/>
          <w:szCs w:val="24"/>
        </w:rPr>
        <w:t>thromboxaner</w:t>
      </w:r>
      <w:proofErr w:type="spellEnd"/>
      <w:r w:rsidRPr="00A04D4B">
        <w:rPr>
          <w:sz w:val="24"/>
          <w:szCs w:val="24"/>
        </w:rPr>
        <w:t xml:space="preserve">. Denne virkningsmekanisme resulterer i </w:t>
      </w:r>
      <w:proofErr w:type="spellStart"/>
      <w:r w:rsidRPr="00A04D4B">
        <w:rPr>
          <w:sz w:val="24"/>
          <w:szCs w:val="24"/>
        </w:rPr>
        <w:t>ketoprofens</w:t>
      </w:r>
      <w:proofErr w:type="spellEnd"/>
      <w:r w:rsidRPr="00A04D4B">
        <w:rPr>
          <w:sz w:val="24"/>
          <w:szCs w:val="24"/>
        </w:rPr>
        <w:t xml:space="preserve"> antiinflammatoriske, </w:t>
      </w:r>
      <w:proofErr w:type="spellStart"/>
      <w:r w:rsidRPr="00A04D4B">
        <w:rPr>
          <w:sz w:val="24"/>
          <w:szCs w:val="24"/>
        </w:rPr>
        <w:t>antipyretiske</w:t>
      </w:r>
      <w:proofErr w:type="spellEnd"/>
      <w:r w:rsidRPr="00A04D4B">
        <w:rPr>
          <w:sz w:val="24"/>
          <w:szCs w:val="24"/>
        </w:rPr>
        <w:t xml:space="preserve"> og analgesiske aktivitet. Disse egenskaber tilskrives også stoffets hæmmende virkning på bradykinin og superoxid-anioner sammen med dets stabiliserende virkning på lysosomale membraner. Den antiinflammatoriske virkning forstærkes af omdannelsen af (R)-</w:t>
      </w:r>
      <w:proofErr w:type="spellStart"/>
      <w:r w:rsidRPr="00A04D4B">
        <w:rPr>
          <w:sz w:val="24"/>
          <w:szCs w:val="24"/>
        </w:rPr>
        <w:t>enantiomeren</w:t>
      </w:r>
      <w:proofErr w:type="spellEnd"/>
      <w:r w:rsidRPr="00A04D4B">
        <w:rPr>
          <w:sz w:val="24"/>
          <w:szCs w:val="24"/>
        </w:rPr>
        <w:t xml:space="preserve"> til (S)-</w:t>
      </w:r>
      <w:proofErr w:type="spellStart"/>
      <w:r w:rsidRPr="00A04D4B">
        <w:rPr>
          <w:sz w:val="24"/>
          <w:szCs w:val="24"/>
        </w:rPr>
        <w:t>enantiomeren</w:t>
      </w:r>
      <w:proofErr w:type="spellEnd"/>
      <w:r w:rsidRPr="00A04D4B">
        <w:rPr>
          <w:sz w:val="24"/>
          <w:szCs w:val="24"/>
        </w:rPr>
        <w:t>. Det er kendt, at (S)-</w:t>
      </w:r>
      <w:proofErr w:type="spellStart"/>
      <w:r w:rsidRPr="00A04D4B">
        <w:rPr>
          <w:sz w:val="24"/>
          <w:szCs w:val="24"/>
        </w:rPr>
        <w:t>enantiomeren</w:t>
      </w:r>
      <w:proofErr w:type="spellEnd"/>
      <w:r w:rsidRPr="00A04D4B">
        <w:rPr>
          <w:sz w:val="24"/>
          <w:szCs w:val="24"/>
        </w:rPr>
        <w:t xml:space="preserve"> understøtter den antiinflammatoriske virkning af </w:t>
      </w:r>
      <w:proofErr w:type="spellStart"/>
      <w:r w:rsidRPr="00A04D4B">
        <w:rPr>
          <w:sz w:val="24"/>
          <w:szCs w:val="24"/>
        </w:rPr>
        <w:t>ketoprofen</w:t>
      </w:r>
      <w:proofErr w:type="spellEnd"/>
      <w:r w:rsidRPr="00A04D4B">
        <w:rPr>
          <w:sz w:val="24"/>
          <w:szCs w:val="24"/>
        </w:rPr>
        <w:t>.</w:t>
      </w:r>
    </w:p>
    <w:p w14:paraId="57934012" w14:textId="77777777" w:rsidR="008203A8" w:rsidRPr="006943CC" w:rsidRDefault="008203A8" w:rsidP="008203A8">
      <w:pPr>
        <w:tabs>
          <w:tab w:val="left" w:pos="851"/>
        </w:tabs>
        <w:ind w:left="851"/>
        <w:rPr>
          <w:sz w:val="24"/>
          <w:szCs w:val="24"/>
        </w:rPr>
      </w:pPr>
    </w:p>
    <w:p w14:paraId="470DC9E8" w14:textId="77777777" w:rsidR="008203A8" w:rsidRPr="006943CC" w:rsidRDefault="008203A8" w:rsidP="008203A8">
      <w:pPr>
        <w:tabs>
          <w:tab w:val="left" w:pos="851"/>
        </w:tabs>
        <w:ind w:left="851" w:hanging="851"/>
        <w:rPr>
          <w:b/>
          <w:sz w:val="24"/>
          <w:szCs w:val="24"/>
        </w:rPr>
      </w:pPr>
      <w:r w:rsidRPr="006943CC">
        <w:rPr>
          <w:b/>
          <w:sz w:val="24"/>
          <w:szCs w:val="24"/>
        </w:rPr>
        <w:t>4.3</w:t>
      </w:r>
      <w:r w:rsidRPr="006943CC">
        <w:rPr>
          <w:b/>
          <w:sz w:val="24"/>
          <w:szCs w:val="24"/>
        </w:rPr>
        <w:tab/>
      </w:r>
      <w:proofErr w:type="spellStart"/>
      <w:r w:rsidRPr="006943CC">
        <w:rPr>
          <w:b/>
          <w:sz w:val="24"/>
          <w:szCs w:val="24"/>
        </w:rPr>
        <w:t>Farmakokinetiske</w:t>
      </w:r>
      <w:proofErr w:type="spellEnd"/>
      <w:r w:rsidRPr="006943CC">
        <w:rPr>
          <w:b/>
          <w:sz w:val="24"/>
          <w:szCs w:val="24"/>
        </w:rPr>
        <w:t xml:space="preserve"> oplysninger</w:t>
      </w:r>
    </w:p>
    <w:p w14:paraId="61E9A32A" w14:textId="77777777" w:rsidR="00A04D4B" w:rsidRPr="00A04D4B" w:rsidRDefault="00A04D4B" w:rsidP="00A04D4B">
      <w:pPr>
        <w:tabs>
          <w:tab w:val="left" w:pos="851"/>
        </w:tabs>
        <w:ind w:left="851"/>
        <w:rPr>
          <w:sz w:val="24"/>
          <w:szCs w:val="24"/>
        </w:rPr>
      </w:pPr>
      <w:r w:rsidRPr="00A04D4B">
        <w:rPr>
          <w:sz w:val="24"/>
          <w:szCs w:val="24"/>
        </w:rPr>
        <w:t xml:space="preserve">Efter intramuskulær administration af veterinærlægemidlet (enkeltdosis af 3 mg </w:t>
      </w:r>
      <w:proofErr w:type="spellStart"/>
      <w:r w:rsidRPr="00A04D4B">
        <w:rPr>
          <w:sz w:val="24"/>
          <w:szCs w:val="24"/>
        </w:rPr>
        <w:t>ketoprofen</w:t>
      </w:r>
      <w:proofErr w:type="spellEnd"/>
      <w:r w:rsidRPr="00A04D4B">
        <w:rPr>
          <w:sz w:val="24"/>
          <w:szCs w:val="24"/>
        </w:rPr>
        <w:t xml:space="preserve">/kg legemsvægt) absorberes </w:t>
      </w:r>
      <w:proofErr w:type="spellStart"/>
      <w:r w:rsidRPr="00A04D4B">
        <w:rPr>
          <w:sz w:val="24"/>
          <w:szCs w:val="24"/>
        </w:rPr>
        <w:t>ketoprofen</w:t>
      </w:r>
      <w:proofErr w:type="spellEnd"/>
      <w:r w:rsidRPr="00A04D4B">
        <w:rPr>
          <w:sz w:val="24"/>
          <w:szCs w:val="24"/>
        </w:rPr>
        <w:t xml:space="preserve"> hurtigt og har en høj biotilgængelighed.</w:t>
      </w:r>
    </w:p>
    <w:p w14:paraId="5B2573FF" w14:textId="77777777" w:rsidR="00A04D4B" w:rsidRPr="00A04D4B" w:rsidRDefault="00A04D4B" w:rsidP="00A04D4B">
      <w:pPr>
        <w:tabs>
          <w:tab w:val="left" w:pos="851"/>
        </w:tabs>
        <w:ind w:left="851"/>
        <w:rPr>
          <w:sz w:val="24"/>
          <w:szCs w:val="24"/>
        </w:rPr>
      </w:pPr>
      <w:proofErr w:type="spellStart"/>
      <w:r w:rsidRPr="00A04D4B">
        <w:rPr>
          <w:sz w:val="24"/>
          <w:szCs w:val="24"/>
        </w:rPr>
        <w:t>Ketoprofen</w:t>
      </w:r>
      <w:proofErr w:type="spellEnd"/>
      <w:r w:rsidRPr="00A04D4B">
        <w:rPr>
          <w:sz w:val="24"/>
          <w:szCs w:val="24"/>
        </w:rPr>
        <w:t xml:space="preserve"> bindes i høj grad til plasmaproteiner (&gt; 90 %).</w:t>
      </w:r>
    </w:p>
    <w:p w14:paraId="46DFF380" w14:textId="77777777" w:rsidR="00A04D4B" w:rsidRPr="00A04D4B" w:rsidRDefault="00A04D4B" w:rsidP="00A04D4B">
      <w:pPr>
        <w:tabs>
          <w:tab w:val="left" w:pos="851"/>
        </w:tabs>
        <w:ind w:left="851"/>
        <w:rPr>
          <w:sz w:val="24"/>
          <w:szCs w:val="24"/>
        </w:rPr>
      </w:pPr>
      <w:r w:rsidRPr="00A04D4B">
        <w:rPr>
          <w:sz w:val="24"/>
          <w:szCs w:val="24"/>
        </w:rPr>
        <w:t xml:space="preserve">Koncentrationerne af </w:t>
      </w:r>
      <w:proofErr w:type="spellStart"/>
      <w:r w:rsidRPr="00A04D4B">
        <w:rPr>
          <w:sz w:val="24"/>
          <w:szCs w:val="24"/>
        </w:rPr>
        <w:t>ketoprofen</w:t>
      </w:r>
      <w:proofErr w:type="spellEnd"/>
      <w:r w:rsidRPr="00A04D4B">
        <w:rPr>
          <w:sz w:val="24"/>
          <w:szCs w:val="24"/>
        </w:rPr>
        <w:t xml:space="preserve"> opretholdes i højere grad i inflammatoriske </w:t>
      </w:r>
      <w:proofErr w:type="spellStart"/>
      <w:r w:rsidRPr="00A04D4B">
        <w:rPr>
          <w:sz w:val="24"/>
          <w:szCs w:val="24"/>
        </w:rPr>
        <w:t>ekssudater</w:t>
      </w:r>
      <w:proofErr w:type="spellEnd"/>
      <w:r w:rsidRPr="00A04D4B">
        <w:rPr>
          <w:sz w:val="24"/>
          <w:szCs w:val="24"/>
        </w:rPr>
        <w:t xml:space="preserve"> end i plasma. Det når høje koncentrationer og forbliver i inflammeret væv da </w:t>
      </w:r>
      <w:proofErr w:type="spellStart"/>
      <w:r w:rsidRPr="00A04D4B">
        <w:rPr>
          <w:sz w:val="24"/>
          <w:szCs w:val="24"/>
        </w:rPr>
        <w:t>ketoprofen</w:t>
      </w:r>
      <w:proofErr w:type="spellEnd"/>
      <w:r w:rsidRPr="00A04D4B">
        <w:rPr>
          <w:sz w:val="24"/>
          <w:szCs w:val="24"/>
        </w:rPr>
        <w:t xml:space="preserve"> er en svag syre. </w:t>
      </w:r>
      <w:proofErr w:type="spellStart"/>
      <w:r w:rsidRPr="00A04D4B">
        <w:rPr>
          <w:sz w:val="24"/>
          <w:szCs w:val="24"/>
        </w:rPr>
        <w:t>Ketoprofen</w:t>
      </w:r>
      <w:proofErr w:type="spellEnd"/>
      <w:r w:rsidRPr="00A04D4B">
        <w:rPr>
          <w:sz w:val="24"/>
          <w:szCs w:val="24"/>
        </w:rPr>
        <w:t xml:space="preserve"> </w:t>
      </w:r>
      <w:proofErr w:type="spellStart"/>
      <w:r w:rsidRPr="00A04D4B">
        <w:rPr>
          <w:sz w:val="24"/>
          <w:szCs w:val="24"/>
        </w:rPr>
        <w:t>metaboliseres</w:t>
      </w:r>
      <w:proofErr w:type="spellEnd"/>
      <w:r w:rsidRPr="00A04D4B">
        <w:rPr>
          <w:sz w:val="24"/>
          <w:szCs w:val="24"/>
        </w:rPr>
        <w:t xml:space="preserve"> i leveren til inaktive metabolitter og udskilles overvejende i urin (primært som </w:t>
      </w:r>
      <w:proofErr w:type="spellStart"/>
      <w:r w:rsidRPr="00A04D4B">
        <w:rPr>
          <w:sz w:val="24"/>
          <w:szCs w:val="24"/>
        </w:rPr>
        <w:t>glucurokonjugerede</w:t>
      </w:r>
      <w:proofErr w:type="spellEnd"/>
      <w:r w:rsidRPr="00A04D4B">
        <w:rPr>
          <w:sz w:val="24"/>
          <w:szCs w:val="24"/>
        </w:rPr>
        <w:t xml:space="preserve"> metabolitter) og i mindre grad i fæces. Små mængder af </w:t>
      </w:r>
      <w:proofErr w:type="spellStart"/>
      <w:r w:rsidRPr="00A04D4B">
        <w:rPr>
          <w:sz w:val="24"/>
          <w:szCs w:val="24"/>
        </w:rPr>
        <w:t>ketoprofen</w:t>
      </w:r>
      <w:proofErr w:type="spellEnd"/>
      <w:r w:rsidRPr="00A04D4B">
        <w:rPr>
          <w:sz w:val="24"/>
          <w:szCs w:val="24"/>
        </w:rPr>
        <w:t xml:space="preserve"> kan påvises i mælken fra behandlede dyr.</w:t>
      </w:r>
    </w:p>
    <w:p w14:paraId="188D44A1" w14:textId="77777777" w:rsidR="00A04D4B" w:rsidRPr="00A04D4B" w:rsidRDefault="00A04D4B" w:rsidP="00A04D4B">
      <w:pPr>
        <w:tabs>
          <w:tab w:val="left" w:pos="851"/>
        </w:tabs>
        <w:ind w:left="851"/>
        <w:rPr>
          <w:sz w:val="24"/>
          <w:szCs w:val="24"/>
        </w:rPr>
      </w:pPr>
      <w:r w:rsidRPr="00A04D4B">
        <w:rPr>
          <w:sz w:val="24"/>
          <w:szCs w:val="24"/>
        </w:rPr>
        <w:t xml:space="preserve">Hos kvæg </w:t>
      </w:r>
      <w:bookmarkStart w:id="5" w:name="_Hlk219371534"/>
      <w:r w:rsidRPr="00A04D4B">
        <w:rPr>
          <w:sz w:val="24"/>
          <w:szCs w:val="24"/>
        </w:rPr>
        <w:t xml:space="preserve">absorberes den aktive substans hurtigt efter den intramuskulære administration af veterinærlægemidlet (enkeltdosis på 3 mg </w:t>
      </w:r>
      <w:proofErr w:type="spellStart"/>
      <w:r w:rsidRPr="00A04D4B">
        <w:rPr>
          <w:sz w:val="24"/>
          <w:szCs w:val="24"/>
        </w:rPr>
        <w:t>ketoprofen</w:t>
      </w:r>
      <w:proofErr w:type="spellEnd"/>
      <w:r w:rsidRPr="00A04D4B">
        <w:rPr>
          <w:sz w:val="24"/>
          <w:szCs w:val="24"/>
        </w:rPr>
        <w:t xml:space="preserve">/kg legemsvægt) og gennemsnitlig </w:t>
      </w:r>
      <w:proofErr w:type="spellStart"/>
      <w:r w:rsidRPr="00A04D4B">
        <w:rPr>
          <w:sz w:val="24"/>
          <w:szCs w:val="24"/>
        </w:rPr>
        <w:t>C</w:t>
      </w:r>
      <w:r w:rsidRPr="00A04D4B">
        <w:rPr>
          <w:sz w:val="24"/>
          <w:szCs w:val="24"/>
          <w:vertAlign w:val="subscript"/>
        </w:rPr>
        <w:t>max</w:t>
      </w:r>
      <w:proofErr w:type="spellEnd"/>
      <w:r w:rsidRPr="00A04D4B">
        <w:rPr>
          <w:sz w:val="24"/>
          <w:szCs w:val="24"/>
        </w:rPr>
        <w:t xml:space="preserve"> i plasma opnås (middelværdi: 7,2 mg/ml) mellem 0,5 og 1 time (</w:t>
      </w:r>
      <w:proofErr w:type="spellStart"/>
      <w:r w:rsidRPr="00A04D4B">
        <w:rPr>
          <w:sz w:val="24"/>
          <w:szCs w:val="24"/>
        </w:rPr>
        <w:t>t</w:t>
      </w:r>
      <w:r w:rsidRPr="00A04D4B">
        <w:rPr>
          <w:sz w:val="24"/>
          <w:szCs w:val="24"/>
          <w:vertAlign w:val="subscript"/>
        </w:rPr>
        <w:t>max</w:t>
      </w:r>
      <w:proofErr w:type="spellEnd"/>
      <w:r w:rsidRPr="00A04D4B">
        <w:rPr>
          <w:sz w:val="24"/>
          <w:szCs w:val="24"/>
        </w:rPr>
        <w:t>) efter behandlingsstart. Den absorberede fraktion af dosen er meget høj (92,51 ± 10,9 %). Efter intravenøs administration hos kvæg er elimineringshalveringstiden (t</w:t>
      </w:r>
      <w:r w:rsidRPr="00A04D4B">
        <w:rPr>
          <w:sz w:val="24"/>
          <w:szCs w:val="24"/>
          <w:vertAlign w:val="subscript"/>
        </w:rPr>
        <w:t>1/2</w:t>
      </w:r>
      <w:r w:rsidRPr="00A04D4B">
        <w:rPr>
          <w:sz w:val="24"/>
          <w:szCs w:val="24"/>
        </w:rPr>
        <w:t xml:space="preserve">) 2,1 timer, </w:t>
      </w:r>
      <w:proofErr w:type="spellStart"/>
      <w:r w:rsidRPr="00A04D4B">
        <w:rPr>
          <w:sz w:val="24"/>
          <w:szCs w:val="24"/>
        </w:rPr>
        <w:t>fordelingsvolumet</w:t>
      </w:r>
      <w:proofErr w:type="spellEnd"/>
      <w:r w:rsidRPr="00A04D4B">
        <w:rPr>
          <w:sz w:val="24"/>
          <w:szCs w:val="24"/>
        </w:rPr>
        <w:t xml:space="preserve"> (</w:t>
      </w:r>
      <w:proofErr w:type="spellStart"/>
      <w:r w:rsidRPr="00A04D4B">
        <w:rPr>
          <w:sz w:val="24"/>
          <w:szCs w:val="24"/>
        </w:rPr>
        <w:t>Vd</w:t>
      </w:r>
      <w:proofErr w:type="spellEnd"/>
      <w:r w:rsidRPr="00A04D4B">
        <w:rPr>
          <w:sz w:val="24"/>
          <w:szCs w:val="24"/>
        </w:rPr>
        <w:t xml:space="preserve">) er 0,41 l/kg, og </w:t>
      </w:r>
      <w:proofErr w:type="spellStart"/>
      <w:r w:rsidRPr="00A04D4B">
        <w:rPr>
          <w:sz w:val="24"/>
          <w:szCs w:val="24"/>
        </w:rPr>
        <w:t>plasmaclearance</w:t>
      </w:r>
      <w:proofErr w:type="spellEnd"/>
      <w:r w:rsidRPr="00A04D4B">
        <w:rPr>
          <w:sz w:val="24"/>
          <w:szCs w:val="24"/>
        </w:rPr>
        <w:t xml:space="preserve"> (Cl) er 0,14 l/t/kg</w:t>
      </w:r>
      <w:bookmarkEnd w:id="5"/>
      <w:r w:rsidRPr="00A04D4B">
        <w:rPr>
          <w:sz w:val="24"/>
          <w:szCs w:val="24"/>
        </w:rPr>
        <w:t>.</w:t>
      </w:r>
    </w:p>
    <w:p w14:paraId="7E8E80C4" w14:textId="77777777" w:rsidR="00A04D4B" w:rsidRPr="00A04D4B" w:rsidRDefault="00A04D4B" w:rsidP="00A04D4B">
      <w:pPr>
        <w:tabs>
          <w:tab w:val="left" w:pos="851"/>
        </w:tabs>
        <w:ind w:left="851"/>
        <w:rPr>
          <w:sz w:val="24"/>
          <w:szCs w:val="24"/>
        </w:rPr>
      </w:pPr>
      <w:r w:rsidRPr="00A04D4B">
        <w:rPr>
          <w:sz w:val="24"/>
          <w:szCs w:val="24"/>
        </w:rPr>
        <w:t xml:space="preserve">Hos svin absorberes den aktive substans hurtigt efter intramuskulær injektion af en enkeltdosis på 3 mg </w:t>
      </w:r>
      <w:proofErr w:type="spellStart"/>
      <w:r w:rsidRPr="00A04D4B">
        <w:rPr>
          <w:sz w:val="24"/>
          <w:szCs w:val="24"/>
        </w:rPr>
        <w:t>ketoprofen</w:t>
      </w:r>
      <w:proofErr w:type="spellEnd"/>
      <w:r w:rsidRPr="00A04D4B">
        <w:rPr>
          <w:sz w:val="24"/>
          <w:szCs w:val="24"/>
        </w:rPr>
        <w:t xml:space="preserve">/kg legemsvægt og gennemsnitlig </w:t>
      </w:r>
      <w:proofErr w:type="spellStart"/>
      <w:r w:rsidRPr="00A04D4B">
        <w:rPr>
          <w:sz w:val="24"/>
          <w:szCs w:val="24"/>
        </w:rPr>
        <w:t>C</w:t>
      </w:r>
      <w:r w:rsidRPr="00A04D4B">
        <w:rPr>
          <w:sz w:val="24"/>
          <w:szCs w:val="24"/>
          <w:vertAlign w:val="subscript"/>
        </w:rPr>
        <w:t>max</w:t>
      </w:r>
      <w:proofErr w:type="spellEnd"/>
      <w:r w:rsidRPr="00A04D4B">
        <w:rPr>
          <w:sz w:val="24"/>
          <w:szCs w:val="24"/>
        </w:rPr>
        <w:t xml:space="preserve"> opnås i plasma (middelværdi: 16 mg/ml) mellem 0,25 og 1,5 time (</w:t>
      </w:r>
      <w:proofErr w:type="spellStart"/>
      <w:r w:rsidRPr="00A04D4B">
        <w:rPr>
          <w:sz w:val="24"/>
          <w:szCs w:val="24"/>
        </w:rPr>
        <w:t>t</w:t>
      </w:r>
      <w:r w:rsidRPr="00A04D4B">
        <w:rPr>
          <w:sz w:val="24"/>
          <w:szCs w:val="24"/>
          <w:vertAlign w:val="subscript"/>
        </w:rPr>
        <w:t>max</w:t>
      </w:r>
      <w:proofErr w:type="spellEnd"/>
      <w:r w:rsidRPr="00A04D4B">
        <w:rPr>
          <w:sz w:val="24"/>
          <w:szCs w:val="24"/>
        </w:rPr>
        <w:t>) efter behandlingsstart. Den absorberede fraktion af dosen er 84,7 ± 33 %. Efter intravenøs administration hos svin er elimineringshalveringstiden (t</w:t>
      </w:r>
      <w:r w:rsidRPr="00A04D4B">
        <w:rPr>
          <w:sz w:val="24"/>
          <w:szCs w:val="24"/>
          <w:vertAlign w:val="subscript"/>
        </w:rPr>
        <w:t>1/2</w:t>
      </w:r>
      <w:r w:rsidRPr="00A04D4B">
        <w:rPr>
          <w:sz w:val="24"/>
          <w:szCs w:val="24"/>
        </w:rPr>
        <w:t xml:space="preserve">) 3,6 timer, </w:t>
      </w:r>
      <w:proofErr w:type="spellStart"/>
      <w:r w:rsidRPr="00A04D4B">
        <w:rPr>
          <w:sz w:val="24"/>
          <w:szCs w:val="24"/>
        </w:rPr>
        <w:t>fordelingsvolumet</w:t>
      </w:r>
      <w:proofErr w:type="spellEnd"/>
      <w:r w:rsidRPr="00A04D4B">
        <w:rPr>
          <w:sz w:val="24"/>
          <w:szCs w:val="24"/>
        </w:rPr>
        <w:t xml:space="preserve"> (</w:t>
      </w:r>
      <w:proofErr w:type="spellStart"/>
      <w:r w:rsidRPr="00A04D4B">
        <w:rPr>
          <w:sz w:val="24"/>
          <w:szCs w:val="24"/>
        </w:rPr>
        <w:t>Vd</w:t>
      </w:r>
      <w:proofErr w:type="spellEnd"/>
      <w:r w:rsidRPr="00A04D4B">
        <w:rPr>
          <w:sz w:val="24"/>
          <w:szCs w:val="24"/>
        </w:rPr>
        <w:t xml:space="preserve">) er 0,15 l/kg, og </w:t>
      </w:r>
      <w:proofErr w:type="spellStart"/>
      <w:r w:rsidRPr="00A04D4B">
        <w:rPr>
          <w:sz w:val="24"/>
          <w:szCs w:val="24"/>
        </w:rPr>
        <w:t>plasmaclearance</w:t>
      </w:r>
      <w:proofErr w:type="spellEnd"/>
      <w:r w:rsidRPr="00A04D4B">
        <w:rPr>
          <w:sz w:val="24"/>
          <w:szCs w:val="24"/>
        </w:rPr>
        <w:t xml:space="preserve"> (Cl) er 0,03 l/t/kg.</w:t>
      </w:r>
    </w:p>
    <w:p w14:paraId="3BEEECD1" w14:textId="77777777" w:rsidR="00A04D4B" w:rsidRPr="00A04D4B" w:rsidRDefault="00A04D4B" w:rsidP="00A04D4B">
      <w:pPr>
        <w:tabs>
          <w:tab w:val="left" w:pos="851"/>
        </w:tabs>
        <w:ind w:left="851"/>
        <w:rPr>
          <w:sz w:val="24"/>
          <w:szCs w:val="24"/>
        </w:rPr>
      </w:pPr>
      <w:proofErr w:type="spellStart"/>
      <w:r w:rsidRPr="00A04D4B">
        <w:rPr>
          <w:sz w:val="24"/>
          <w:szCs w:val="24"/>
        </w:rPr>
        <w:t>Ketoprofen</w:t>
      </w:r>
      <w:proofErr w:type="spellEnd"/>
      <w:r w:rsidRPr="00A04D4B">
        <w:rPr>
          <w:sz w:val="24"/>
          <w:szCs w:val="24"/>
        </w:rPr>
        <w:t xml:space="preserve"> har desuden et lavt fordelingsvolumen ved intravenøs administration til dyr tilhørende hestefamilien.</w:t>
      </w:r>
    </w:p>
    <w:p w14:paraId="7CFBA6C3" w14:textId="77777777" w:rsidR="008203A8" w:rsidRPr="006943CC" w:rsidRDefault="008203A8" w:rsidP="008203A8">
      <w:pPr>
        <w:ind w:left="851"/>
        <w:rPr>
          <w:sz w:val="24"/>
          <w:szCs w:val="24"/>
        </w:rPr>
      </w:pPr>
    </w:p>
    <w:p w14:paraId="5D397283" w14:textId="77777777" w:rsidR="008203A8" w:rsidRPr="006943CC" w:rsidRDefault="008203A8" w:rsidP="008203A8">
      <w:pPr>
        <w:tabs>
          <w:tab w:val="left" w:pos="851"/>
        </w:tabs>
        <w:ind w:left="851"/>
        <w:rPr>
          <w:sz w:val="24"/>
          <w:szCs w:val="24"/>
        </w:rPr>
      </w:pPr>
    </w:p>
    <w:p w14:paraId="7FEAE62D" w14:textId="77777777" w:rsidR="008203A8" w:rsidRPr="006943CC" w:rsidRDefault="008203A8" w:rsidP="008203A8">
      <w:pPr>
        <w:ind w:left="851" w:hanging="851"/>
        <w:rPr>
          <w:b/>
          <w:sz w:val="24"/>
          <w:szCs w:val="24"/>
        </w:rPr>
      </w:pPr>
      <w:r w:rsidRPr="006943CC">
        <w:rPr>
          <w:b/>
          <w:sz w:val="24"/>
          <w:szCs w:val="24"/>
        </w:rPr>
        <w:t>5.</w:t>
      </w:r>
      <w:r w:rsidRPr="006943CC">
        <w:rPr>
          <w:b/>
          <w:sz w:val="24"/>
          <w:szCs w:val="24"/>
        </w:rPr>
        <w:tab/>
        <w:t>FARMACEUTISKE OPLYSNINGER</w:t>
      </w:r>
    </w:p>
    <w:p w14:paraId="718D3D56" w14:textId="77777777" w:rsidR="008203A8" w:rsidRPr="006943CC" w:rsidRDefault="008203A8" w:rsidP="008203A8">
      <w:pPr>
        <w:tabs>
          <w:tab w:val="left" w:pos="851"/>
        </w:tabs>
        <w:ind w:left="851"/>
        <w:rPr>
          <w:sz w:val="24"/>
          <w:szCs w:val="24"/>
        </w:rPr>
      </w:pPr>
    </w:p>
    <w:p w14:paraId="52770926" w14:textId="77777777" w:rsidR="008203A8" w:rsidRPr="006943CC" w:rsidRDefault="008203A8" w:rsidP="008203A8">
      <w:pPr>
        <w:ind w:left="851" w:hanging="851"/>
        <w:rPr>
          <w:b/>
          <w:sz w:val="24"/>
          <w:szCs w:val="24"/>
        </w:rPr>
      </w:pPr>
      <w:r w:rsidRPr="006943CC">
        <w:rPr>
          <w:b/>
          <w:sz w:val="24"/>
          <w:szCs w:val="24"/>
        </w:rPr>
        <w:t>5.1</w:t>
      </w:r>
      <w:r w:rsidRPr="006943CC">
        <w:rPr>
          <w:b/>
          <w:sz w:val="24"/>
          <w:szCs w:val="24"/>
        </w:rPr>
        <w:tab/>
        <w:t>Væsentlige uforligeligheder</w:t>
      </w:r>
    </w:p>
    <w:p w14:paraId="0C60C14B" w14:textId="77777777" w:rsidR="00A04D4B" w:rsidRPr="00A04D4B" w:rsidRDefault="00A04D4B" w:rsidP="00A04634">
      <w:pPr>
        <w:ind w:left="851"/>
        <w:rPr>
          <w:sz w:val="24"/>
          <w:szCs w:val="24"/>
        </w:rPr>
      </w:pPr>
      <w:r w:rsidRPr="00A04D4B">
        <w:rPr>
          <w:sz w:val="24"/>
          <w:szCs w:val="24"/>
        </w:rPr>
        <w:t>Da der ikke er undersøgelser vedrørende eventuelle uforligeligheder, må dette veterinærlægemiddel ikke blandes med andre veterinærlægemidler.</w:t>
      </w:r>
    </w:p>
    <w:p w14:paraId="08742911" w14:textId="77777777" w:rsidR="008203A8" w:rsidRPr="006943CC" w:rsidRDefault="008203A8" w:rsidP="008203A8">
      <w:pPr>
        <w:tabs>
          <w:tab w:val="left" w:pos="851"/>
        </w:tabs>
        <w:ind w:left="851"/>
        <w:rPr>
          <w:sz w:val="24"/>
          <w:szCs w:val="24"/>
        </w:rPr>
      </w:pPr>
    </w:p>
    <w:p w14:paraId="6B582ACB" w14:textId="77777777" w:rsidR="008203A8" w:rsidRPr="006943CC" w:rsidRDefault="008203A8" w:rsidP="008203A8">
      <w:pPr>
        <w:ind w:left="851" w:hanging="851"/>
        <w:rPr>
          <w:b/>
          <w:sz w:val="24"/>
          <w:szCs w:val="24"/>
        </w:rPr>
      </w:pPr>
      <w:r w:rsidRPr="006943CC">
        <w:rPr>
          <w:b/>
          <w:sz w:val="24"/>
          <w:szCs w:val="24"/>
        </w:rPr>
        <w:t>5.2</w:t>
      </w:r>
      <w:r w:rsidRPr="006943CC">
        <w:rPr>
          <w:b/>
          <w:sz w:val="24"/>
          <w:szCs w:val="24"/>
        </w:rPr>
        <w:tab/>
        <w:t>Opbevaringstid</w:t>
      </w:r>
    </w:p>
    <w:p w14:paraId="27849061" w14:textId="77777777" w:rsidR="00A04D4B" w:rsidRPr="00A04D4B" w:rsidRDefault="00A04D4B" w:rsidP="00A04634">
      <w:pPr>
        <w:ind w:left="851"/>
        <w:rPr>
          <w:sz w:val="24"/>
          <w:szCs w:val="24"/>
        </w:rPr>
      </w:pPr>
      <w:r w:rsidRPr="00A04D4B">
        <w:rPr>
          <w:sz w:val="24"/>
          <w:szCs w:val="24"/>
        </w:rPr>
        <w:t>Opbevaringstid for veterinærlægemidlet i salgspakning: 30 måneder.</w:t>
      </w:r>
    </w:p>
    <w:p w14:paraId="23A3940F" w14:textId="77777777" w:rsidR="00A04D4B" w:rsidRPr="00A04D4B" w:rsidRDefault="00A04D4B" w:rsidP="00A04634">
      <w:pPr>
        <w:ind w:left="851"/>
        <w:rPr>
          <w:sz w:val="24"/>
          <w:szCs w:val="24"/>
        </w:rPr>
      </w:pPr>
      <w:r w:rsidRPr="00A04D4B">
        <w:rPr>
          <w:sz w:val="24"/>
          <w:szCs w:val="24"/>
        </w:rPr>
        <w:t>Opbevaringstid efter første åbning af den indre emballage: 28 dage</w:t>
      </w:r>
    </w:p>
    <w:p w14:paraId="1F3F8A08" w14:textId="77777777" w:rsidR="008203A8" w:rsidRPr="006943CC" w:rsidRDefault="008203A8" w:rsidP="008203A8">
      <w:pPr>
        <w:tabs>
          <w:tab w:val="left" w:pos="851"/>
        </w:tabs>
        <w:ind w:left="851"/>
        <w:rPr>
          <w:sz w:val="24"/>
          <w:szCs w:val="24"/>
        </w:rPr>
      </w:pPr>
    </w:p>
    <w:p w14:paraId="639F1B7D" w14:textId="77777777" w:rsidR="008203A8" w:rsidRPr="006943CC" w:rsidRDefault="008203A8" w:rsidP="008203A8">
      <w:pPr>
        <w:ind w:left="851" w:hanging="851"/>
        <w:rPr>
          <w:b/>
          <w:sz w:val="24"/>
          <w:szCs w:val="24"/>
        </w:rPr>
      </w:pPr>
      <w:r w:rsidRPr="006943CC">
        <w:rPr>
          <w:b/>
          <w:sz w:val="24"/>
          <w:szCs w:val="24"/>
        </w:rPr>
        <w:t>5.3</w:t>
      </w:r>
      <w:r w:rsidRPr="006943CC">
        <w:rPr>
          <w:b/>
          <w:sz w:val="24"/>
          <w:szCs w:val="24"/>
        </w:rPr>
        <w:tab/>
        <w:t>Særlige forholdsregler vedrørende opbevaring</w:t>
      </w:r>
    </w:p>
    <w:p w14:paraId="005A3664" w14:textId="77777777" w:rsidR="00A04D4B" w:rsidRPr="00A04D4B" w:rsidRDefault="00A04D4B" w:rsidP="00A04634">
      <w:pPr>
        <w:ind w:left="851"/>
        <w:rPr>
          <w:sz w:val="24"/>
          <w:szCs w:val="24"/>
        </w:rPr>
      </w:pPr>
      <w:r w:rsidRPr="00A04D4B">
        <w:rPr>
          <w:sz w:val="24"/>
          <w:szCs w:val="24"/>
        </w:rPr>
        <w:t>Må ikke nedfryses.</w:t>
      </w:r>
    </w:p>
    <w:p w14:paraId="7A23F5EF" w14:textId="77777777" w:rsidR="008203A8" w:rsidRPr="006943CC" w:rsidRDefault="008203A8" w:rsidP="008203A8">
      <w:pPr>
        <w:tabs>
          <w:tab w:val="left" w:pos="851"/>
        </w:tabs>
        <w:ind w:left="851"/>
        <w:rPr>
          <w:sz w:val="24"/>
          <w:szCs w:val="24"/>
        </w:rPr>
      </w:pPr>
    </w:p>
    <w:p w14:paraId="509ED938" w14:textId="77777777" w:rsidR="008203A8" w:rsidRPr="006943CC" w:rsidRDefault="008203A8" w:rsidP="008203A8">
      <w:pPr>
        <w:ind w:left="851" w:hanging="851"/>
        <w:rPr>
          <w:b/>
          <w:sz w:val="24"/>
          <w:szCs w:val="24"/>
        </w:rPr>
      </w:pPr>
      <w:r w:rsidRPr="006943CC">
        <w:rPr>
          <w:b/>
          <w:sz w:val="24"/>
          <w:szCs w:val="24"/>
        </w:rPr>
        <w:t>5.4</w:t>
      </w:r>
      <w:r w:rsidRPr="006943CC">
        <w:rPr>
          <w:b/>
          <w:sz w:val="24"/>
          <w:szCs w:val="24"/>
        </w:rPr>
        <w:tab/>
        <w:t>Den indre emballages art og indhold</w:t>
      </w:r>
    </w:p>
    <w:p w14:paraId="51E157ED" w14:textId="77777777" w:rsidR="00A04D4B" w:rsidRPr="00A04D4B" w:rsidRDefault="00A04D4B" w:rsidP="00A04634">
      <w:pPr>
        <w:ind w:left="851"/>
        <w:rPr>
          <w:sz w:val="24"/>
          <w:szCs w:val="24"/>
        </w:rPr>
      </w:pPr>
      <w:r w:rsidRPr="00A04D4B">
        <w:rPr>
          <w:sz w:val="24"/>
          <w:szCs w:val="24"/>
        </w:rPr>
        <w:t xml:space="preserve">Gult glas-hætteglas type II, lukket med en </w:t>
      </w:r>
      <w:proofErr w:type="spellStart"/>
      <w:r w:rsidRPr="00A04D4B">
        <w:rPr>
          <w:sz w:val="24"/>
          <w:szCs w:val="24"/>
        </w:rPr>
        <w:t>brombutylgummiprop</w:t>
      </w:r>
      <w:proofErr w:type="spellEnd"/>
      <w:r w:rsidRPr="00A04D4B">
        <w:rPr>
          <w:sz w:val="24"/>
          <w:szCs w:val="24"/>
        </w:rPr>
        <w:t xml:space="preserve"> og et aftrækningslåg af aluminium eller et </w:t>
      </w:r>
      <w:proofErr w:type="spellStart"/>
      <w:r w:rsidRPr="00A04D4B">
        <w:rPr>
          <w:sz w:val="24"/>
          <w:szCs w:val="24"/>
        </w:rPr>
        <w:t>afvipningslåg</w:t>
      </w:r>
      <w:proofErr w:type="spellEnd"/>
      <w:r w:rsidRPr="00A04D4B">
        <w:rPr>
          <w:sz w:val="24"/>
          <w:szCs w:val="24"/>
        </w:rPr>
        <w:t xml:space="preserve"> af aluminium/plast.</w:t>
      </w:r>
    </w:p>
    <w:p w14:paraId="4CF70872" w14:textId="77777777" w:rsidR="00A04D4B" w:rsidRPr="00A04D4B" w:rsidRDefault="00A04D4B" w:rsidP="00A04634">
      <w:pPr>
        <w:ind w:left="851"/>
        <w:rPr>
          <w:sz w:val="24"/>
          <w:szCs w:val="24"/>
        </w:rPr>
      </w:pPr>
    </w:p>
    <w:p w14:paraId="3C0BE617" w14:textId="77777777" w:rsidR="00A04D4B" w:rsidRPr="00A04D4B" w:rsidRDefault="00A04D4B" w:rsidP="00A04634">
      <w:pPr>
        <w:ind w:left="851"/>
        <w:rPr>
          <w:sz w:val="24"/>
          <w:szCs w:val="24"/>
          <w:u w:val="single"/>
        </w:rPr>
      </w:pPr>
      <w:r w:rsidRPr="00A04D4B">
        <w:rPr>
          <w:sz w:val="24"/>
          <w:szCs w:val="24"/>
          <w:u w:val="single"/>
        </w:rPr>
        <w:t>Pakningsstørrelser:</w:t>
      </w:r>
    </w:p>
    <w:p w14:paraId="2F86D0AE" w14:textId="77777777" w:rsidR="00A04D4B" w:rsidRPr="00A04D4B" w:rsidRDefault="00A04D4B" w:rsidP="00A04634">
      <w:pPr>
        <w:ind w:left="851"/>
        <w:rPr>
          <w:sz w:val="24"/>
          <w:szCs w:val="24"/>
        </w:rPr>
      </w:pPr>
      <w:r w:rsidRPr="00A04D4B">
        <w:rPr>
          <w:sz w:val="24"/>
          <w:szCs w:val="24"/>
        </w:rPr>
        <w:t>Papæske indeholdende ét 100 ml-hætteglas</w:t>
      </w:r>
    </w:p>
    <w:p w14:paraId="62007242" w14:textId="77777777" w:rsidR="00A04D4B" w:rsidRPr="00A04D4B" w:rsidRDefault="00A04D4B" w:rsidP="00A04634">
      <w:pPr>
        <w:ind w:left="851"/>
        <w:rPr>
          <w:sz w:val="24"/>
          <w:szCs w:val="24"/>
        </w:rPr>
      </w:pPr>
      <w:r w:rsidRPr="00A04D4B">
        <w:rPr>
          <w:sz w:val="24"/>
          <w:szCs w:val="24"/>
        </w:rPr>
        <w:t>Papæske indeholdende ti 100 ml-hætteglas</w:t>
      </w:r>
    </w:p>
    <w:p w14:paraId="462C4004" w14:textId="77777777" w:rsidR="00A04D4B" w:rsidRPr="00A04D4B" w:rsidRDefault="00A04D4B" w:rsidP="00A04634">
      <w:pPr>
        <w:ind w:left="851"/>
        <w:rPr>
          <w:sz w:val="24"/>
          <w:szCs w:val="24"/>
        </w:rPr>
      </w:pPr>
    </w:p>
    <w:p w14:paraId="2AA0C4D4" w14:textId="77777777" w:rsidR="00A04D4B" w:rsidRPr="00A04D4B" w:rsidRDefault="00A04D4B" w:rsidP="00A04634">
      <w:pPr>
        <w:ind w:left="851"/>
        <w:rPr>
          <w:sz w:val="24"/>
          <w:szCs w:val="24"/>
        </w:rPr>
      </w:pPr>
      <w:r w:rsidRPr="00A04D4B">
        <w:rPr>
          <w:sz w:val="24"/>
          <w:szCs w:val="24"/>
        </w:rPr>
        <w:t>Ikke alle pakningsstørrelser er nødvendigvis markedsført.</w:t>
      </w:r>
    </w:p>
    <w:p w14:paraId="143A34BF" w14:textId="77777777" w:rsidR="008203A8" w:rsidRPr="006943CC" w:rsidRDefault="008203A8" w:rsidP="008203A8">
      <w:pPr>
        <w:tabs>
          <w:tab w:val="left" w:pos="851"/>
        </w:tabs>
        <w:ind w:left="851"/>
        <w:rPr>
          <w:sz w:val="24"/>
          <w:szCs w:val="24"/>
        </w:rPr>
      </w:pPr>
    </w:p>
    <w:p w14:paraId="18064B3F" w14:textId="77777777" w:rsidR="008203A8" w:rsidRPr="006943CC" w:rsidRDefault="008203A8" w:rsidP="008203A8">
      <w:pPr>
        <w:tabs>
          <w:tab w:val="left" w:pos="851"/>
        </w:tabs>
        <w:ind w:left="851" w:hanging="851"/>
        <w:rPr>
          <w:sz w:val="24"/>
          <w:szCs w:val="24"/>
        </w:rPr>
      </w:pPr>
      <w:r w:rsidRPr="006943CC">
        <w:rPr>
          <w:b/>
          <w:sz w:val="24"/>
          <w:szCs w:val="24"/>
        </w:rPr>
        <w:t>5.5</w:t>
      </w:r>
      <w:r w:rsidRPr="006943CC">
        <w:rPr>
          <w:b/>
          <w:sz w:val="24"/>
          <w:szCs w:val="24"/>
        </w:rPr>
        <w:tab/>
        <w:t>Særlige forholdsregler vedrørende bortskaffelse af ubrugte veterinærlægemidler eller affaldsmaterialer fra brugen heraf</w:t>
      </w:r>
    </w:p>
    <w:p w14:paraId="4942B638" w14:textId="77777777" w:rsidR="00A04D4B" w:rsidRPr="00A04D4B" w:rsidRDefault="00A04D4B" w:rsidP="00A04634">
      <w:pPr>
        <w:tabs>
          <w:tab w:val="left" w:pos="8222"/>
        </w:tabs>
        <w:ind w:left="851"/>
        <w:rPr>
          <w:sz w:val="24"/>
          <w:szCs w:val="24"/>
        </w:rPr>
      </w:pPr>
      <w:r w:rsidRPr="00A04D4B">
        <w:rPr>
          <w:sz w:val="24"/>
          <w:szCs w:val="24"/>
        </w:rPr>
        <w:t>Lægemidler må ikke bortskaffes sammen med spildevand eller husholdningsaffald.</w:t>
      </w:r>
    </w:p>
    <w:p w14:paraId="1F556CF8" w14:textId="77777777" w:rsidR="00A04D4B" w:rsidRPr="00A04D4B" w:rsidRDefault="00A04D4B" w:rsidP="00A04634">
      <w:pPr>
        <w:tabs>
          <w:tab w:val="left" w:pos="8222"/>
        </w:tabs>
        <w:ind w:left="851"/>
        <w:rPr>
          <w:sz w:val="24"/>
          <w:szCs w:val="24"/>
        </w:rPr>
      </w:pPr>
    </w:p>
    <w:p w14:paraId="2B422BC7" w14:textId="77777777" w:rsidR="00A04D4B" w:rsidRPr="00A04D4B" w:rsidRDefault="00A04D4B" w:rsidP="00A04634">
      <w:pPr>
        <w:tabs>
          <w:tab w:val="left" w:pos="8222"/>
        </w:tabs>
        <w:ind w:left="851"/>
        <w:rPr>
          <w:sz w:val="24"/>
          <w:szCs w:val="24"/>
        </w:rPr>
      </w:pPr>
      <w:r w:rsidRPr="00A04D4B">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3E652D12" w14:textId="77777777" w:rsidR="008203A8" w:rsidRPr="006943CC" w:rsidRDefault="008203A8" w:rsidP="008203A8">
      <w:pPr>
        <w:tabs>
          <w:tab w:val="left" w:pos="851"/>
        </w:tabs>
        <w:ind w:left="851"/>
        <w:rPr>
          <w:sz w:val="24"/>
          <w:szCs w:val="24"/>
        </w:rPr>
      </w:pPr>
    </w:p>
    <w:p w14:paraId="4A7ED87D" w14:textId="77777777" w:rsidR="008203A8" w:rsidRPr="006943CC" w:rsidRDefault="008203A8" w:rsidP="008203A8">
      <w:pPr>
        <w:tabs>
          <w:tab w:val="left" w:pos="851"/>
        </w:tabs>
        <w:ind w:left="851" w:hanging="851"/>
        <w:rPr>
          <w:b/>
          <w:sz w:val="24"/>
          <w:szCs w:val="24"/>
        </w:rPr>
      </w:pPr>
      <w:r w:rsidRPr="006943CC">
        <w:rPr>
          <w:b/>
          <w:sz w:val="24"/>
          <w:szCs w:val="24"/>
        </w:rPr>
        <w:t>6.</w:t>
      </w:r>
      <w:r w:rsidRPr="006943CC">
        <w:rPr>
          <w:b/>
          <w:sz w:val="24"/>
          <w:szCs w:val="24"/>
        </w:rPr>
        <w:tab/>
        <w:t>NAVN PÅ INDEHAVEREN AF MARKEDSFØRINGSTILLADELSEN</w:t>
      </w:r>
    </w:p>
    <w:p w14:paraId="6CCD95D9" w14:textId="77777777" w:rsidR="00A04D4B" w:rsidRPr="00A04D4B" w:rsidRDefault="00A04D4B" w:rsidP="00A04634">
      <w:pPr>
        <w:ind w:left="851"/>
        <w:rPr>
          <w:sz w:val="24"/>
          <w:szCs w:val="24"/>
        </w:rPr>
      </w:pPr>
      <w:proofErr w:type="spellStart"/>
      <w:r w:rsidRPr="00A04D4B">
        <w:rPr>
          <w:sz w:val="24"/>
          <w:szCs w:val="24"/>
        </w:rPr>
        <w:t>VetViva</w:t>
      </w:r>
      <w:proofErr w:type="spellEnd"/>
      <w:r w:rsidRPr="00A04D4B">
        <w:rPr>
          <w:sz w:val="24"/>
          <w:szCs w:val="24"/>
        </w:rPr>
        <w:t xml:space="preserve"> Richter GmbH</w:t>
      </w:r>
    </w:p>
    <w:p w14:paraId="25FA9ED8" w14:textId="3DCBC14A" w:rsidR="00A04D4B" w:rsidRPr="00A04D4B" w:rsidRDefault="00A04D4B" w:rsidP="00A04634">
      <w:pPr>
        <w:ind w:left="851"/>
        <w:rPr>
          <w:iCs/>
          <w:sz w:val="24"/>
          <w:szCs w:val="24"/>
        </w:rPr>
      </w:pPr>
      <w:proofErr w:type="spellStart"/>
      <w:r w:rsidRPr="00A04D4B">
        <w:rPr>
          <w:iCs/>
          <w:sz w:val="24"/>
          <w:szCs w:val="24"/>
        </w:rPr>
        <w:t>Durisolstrasse</w:t>
      </w:r>
      <w:proofErr w:type="spellEnd"/>
      <w:r w:rsidRPr="00A04D4B">
        <w:rPr>
          <w:iCs/>
          <w:sz w:val="24"/>
          <w:szCs w:val="24"/>
        </w:rPr>
        <w:t xml:space="preserve"> 14 </w:t>
      </w:r>
    </w:p>
    <w:p w14:paraId="1AAC856F" w14:textId="77777777" w:rsidR="00A04D4B" w:rsidRPr="00A04D4B" w:rsidRDefault="00A04D4B" w:rsidP="00A04634">
      <w:pPr>
        <w:ind w:left="851"/>
        <w:rPr>
          <w:iCs/>
          <w:sz w:val="24"/>
          <w:szCs w:val="24"/>
        </w:rPr>
      </w:pPr>
      <w:r w:rsidRPr="00A04D4B">
        <w:rPr>
          <w:iCs/>
          <w:sz w:val="24"/>
          <w:szCs w:val="24"/>
        </w:rPr>
        <w:t xml:space="preserve">4600 </w:t>
      </w:r>
      <w:proofErr w:type="spellStart"/>
      <w:r w:rsidRPr="00A04D4B">
        <w:rPr>
          <w:iCs/>
          <w:sz w:val="24"/>
          <w:szCs w:val="24"/>
        </w:rPr>
        <w:t>Wels</w:t>
      </w:r>
      <w:proofErr w:type="spellEnd"/>
      <w:r w:rsidRPr="00A04D4B">
        <w:rPr>
          <w:iCs/>
          <w:sz w:val="24"/>
          <w:szCs w:val="24"/>
        </w:rPr>
        <w:t xml:space="preserve"> </w:t>
      </w:r>
    </w:p>
    <w:p w14:paraId="6787B94E" w14:textId="77777777" w:rsidR="00A04D4B" w:rsidRDefault="00A04D4B" w:rsidP="00A04634">
      <w:pPr>
        <w:ind w:left="851"/>
        <w:rPr>
          <w:iCs/>
          <w:sz w:val="24"/>
          <w:szCs w:val="24"/>
        </w:rPr>
      </w:pPr>
      <w:r w:rsidRPr="00A04D4B">
        <w:rPr>
          <w:iCs/>
          <w:sz w:val="24"/>
          <w:szCs w:val="24"/>
        </w:rPr>
        <w:t>Østrig</w:t>
      </w:r>
    </w:p>
    <w:p w14:paraId="1E3A2191" w14:textId="77777777" w:rsidR="00E21314" w:rsidRDefault="00E21314" w:rsidP="00A04634">
      <w:pPr>
        <w:ind w:left="851"/>
        <w:rPr>
          <w:iCs/>
          <w:sz w:val="24"/>
          <w:szCs w:val="24"/>
        </w:rPr>
      </w:pPr>
    </w:p>
    <w:p w14:paraId="57990C76" w14:textId="6EA64D4B" w:rsidR="00E21314" w:rsidRPr="00E21314" w:rsidRDefault="00E21314" w:rsidP="00A04634">
      <w:pPr>
        <w:ind w:left="851"/>
        <w:rPr>
          <w:b/>
          <w:bCs/>
          <w:iCs/>
          <w:sz w:val="24"/>
          <w:szCs w:val="24"/>
        </w:rPr>
      </w:pPr>
      <w:r w:rsidRPr="00E21314">
        <w:rPr>
          <w:b/>
          <w:bCs/>
          <w:iCs/>
          <w:sz w:val="24"/>
          <w:szCs w:val="24"/>
        </w:rPr>
        <w:t>Repræsentant</w:t>
      </w:r>
    </w:p>
    <w:p w14:paraId="415D09CF" w14:textId="77777777" w:rsidR="00E21314" w:rsidRPr="00E21314" w:rsidRDefault="00E21314" w:rsidP="00E21314">
      <w:pPr>
        <w:ind w:left="851"/>
        <w:rPr>
          <w:sz w:val="24"/>
          <w:szCs w:val="24"/>
        </w:rPr>
      </w:pPr>
      <w:proofErr w:type="spellStart"/>
      <w:r w:rsidRPr="00E21314">
        <w:rPr>
          <w:sz w:val="24"/>
          <w:szCs w:val="24"/>
        </w:rPr>
        <w:t>Salfarm</w:t>
      </w:r>
      <w:proofErr w:type="spellEnd"/>
      <w:r w:rsidRPr="00E21314">
        <w:rPr>
          <w:sz w:val="24"/>
          <w:szCs w:val="24"/>
        </w:rPr>
        <w:t xml:space="preserve"> Danmark A/S</w:t>
      </w:r>
    </w:p>
    <w:p w14:paraId="294E21CB" w14:textId="77777777" w:rsidR="00E21314" w:rsidRPr="00E21314" w:rsidRDefault="00E21314" w:rsidP="00E21314">
      <w:pPr>
        <w:ind w:left="851"/>
        <w:rPr>
          <w:sz w:val="24"/>
          <w:szCs w:val="24"/>
        </w:rPr>
      </w:pPr>
      <w:r w:rsidRPr="00E21314">
        <w:rPr>
          <w:sz w:val="24"/>
          <w:szCs w:val="24"/>
        </w:rPr>
        <w:t>Nordager 19</w:t>
      </w:r>
    </w:p>
    <w:p w14:paraId="3573292F" w14:textId="77777777" w:rsidR="00E21314" w:rsidRPr="00E21314" w:rsidRDefault="00E21314" w:rsidP="00E21314">
      <w:pPr>
        <w:ind w:left="851"/>
        <w:rPr>
          <w:sz w:val="24"/>
          <w:szCs w:val="24"/>
        </w:rPr>
      </w:pPr>
      <w:r w:rsidRPr="00E21314">
        <w:rPr>
          <w:sz w:val="24"/>
          <w:szCs w:val="24"/>
        </w:rPr>
        <w:t>6000 Kolding</w:t>
      </w:r>
    </w:p>
    <w:p w14:paraId="1DFFD202" w14:textId="77777777" w:rsidR="00E21314" w:rsidRPr="00E21314" w:rsidRDefault="00E21314" w:rsidP="00E21314">
      <w:pPr>
        <w:ind w:left="851"/>
        <w:rPr>
          <w:sz w:val="24"/>
          <w:szCs w:val="24"/>
        </w:rPr>
      </w:pPr>
      <w:r w:rsidRPr="00E21314">
        <w:rPr>
          <w:sz w:val="24"/>
          <w:szCs w:val="24"/>
        </w:rPr>
        <w:t>Danmark</w:t>
      </w:r>
    </w:p>
    <w:p w14:paraId="57CBE1A8" w14:textId="77777777" w:rsidR="008203A8" w:rsidRPr="006943CC" w:rsidRDefault="008203A8" w:rsidP="008203A8">
      <w:pPr>
        <w:tabs>
          <w:tab w:val="left" w:pos="851"/>
        </w:tabs>
        <w:ind w:left="851"/>
        <w:rPr>
          <w:sz w:val="24"/>
          <w:szCs w:val="24"/>
        </w:rPr>
      </w:pPr>
    </w:p>
    <w:p w14:paraId="439CDE3F" w14:textId="77777777" w:rsidR="008203A8" w:rsidRPr="006943CC" w:rsidRDefault="008203A8" w:rsidP="008203A8">
      <w:pPr>
        <w:ind w:left="851" w:hanging="851"/>
        <w:rPr>
          <w:b/>
          <w:sz w:val="24"/>
          <w:szCs w:val="24"/>
        </w:rPr>
      </w:pPr>
      <w:r w:rsidRPr="006943CC">
        <w:rPr>
          <w:b/>
          <w:sz w:val="24"/>
          <w:szCs w:val="24"/>
        </w:rPr>
        <w:t>7.</w:t>
      </w:r>
      <w:r w:rsidRPr="006943CC">
        <w:rPr>
          <w:b/>
          <w:sz w:val="24"/>
          <w:szCs w:val="24"/>
        </w:rPr>
        <w:tab/>
        <w:t>MARKEDSFØRINGSTILLADELSESNUMMER (-NUMRE)</w:t>
      </w:r>
    </w:p>
    <w:p w14:paraId="7406F19F" w14:textId="66B1AB4A" w:rsidR="008203A8" w:rsidRPr="006943CC" w:rsidRDefault="00A04D4B" w:rsidP="008203A8">
      <w:pPr>
        <w:tabs>
          <w:tab w:val="left" w:pos="851"/>
        </w:tabs>
        <w:ind w:left="851"/>
        <w:rPr>
          <w:sz w:val="24"/>
          <w:szCs w:val="24"/>
        </w:rPr>
      </w:pPr>
      <w:r w:rsidRPr="006943CC">
        <w:rPr>
          <w:sz w:val="24"/>
          <w:szCs w:val="24"/>
        </w:rPr>
        <w:t>73570</w:t>
      </w:r>
    </w:p>
    <w:p w14:paraId="49705FB1" w14:textId="77777777" w:rsidR="008203A8" w:rsidRPr="006943CC" w:rsidRDefault="008203A8" w:rsidP="008203A8">
      <w:pPr>
        <w:tabs>
          <w:tab w:val="left" w:pos="851"/>
        </w:tabs>
        <w:ind w:left="851"/>
        <w:rPr>
          <w:sz w:val="24"/>
          <w:szCs w:val="24"/>
        </w:rPr>
      </w:pPr>
    </w:p>
    <w:p w14:paraId="7713D7BF" w14:textId="77777777" w:rsidR="008203A8" w:rsidRPr="006943CC" w:rsidRDefault="008203A8" w:rsidP="008203A8">
      <w:pPr>
        <w:tabs>
          <w:tab w:val="left" w:pos="851"/>
        </w:tabs>
        <w:ind w:left="851" w:hanging="851"/>
        <w:rPr>
          <w:b/>
          <w:sz w:val="24"/>
          <w:szCs w:val="24"/>
        </w:rPr>
      </w:pPr>
      <w:r w:rsidRPr="006943CC">
        <w:rPr>
          <w:b/>
          <w:sz w:val="24"/>
          <w:szCs w:val="24"/>
        </w:rPr>
        <w:t>8.</w:t>
      </w:r>
      <w:r w:rsidRPr="006943CC">
        <w:rPr>
          <w:b/>
          <w:sz w:val="24"/>
          <w:szCs w:val="24"/>
        </w:rPr>
        <w:tab/>
        <w:t>DATO FOR FØRSTE TILLADELSE</w:t>
      </w:r>
    </w:p>
    <w:p w14:paraId="4F48C168" w14:textId="5C6A6CCC" w:rsidR="008203A8" w:rsidRPr="006943CC" w:rsidRDefault="00F153F0" w:rsidP="008203A8">
      <w:pPr>
        <w:tabs>
          <w:tab w:val="left" w:pos="851"/>
        </w:tabs>
        <w:ind w:left="851"/>
        <w:rPr>
          <w:sz w:val="24"/>
          <w:szCs w:val="24"/>
        </w:rPr>
      </w:pPr>
      <w:r>
        <w:rPr>
          <w:sz w:val="24"/>
          <w:szCs w:val="24"/>
        </w:rPr>
        <w:t>17. marts 2026</w:t>
      </w:r>
    </w:p>
    <w:p w14:paraId="353098E9" w14:textId="77777777" w:rsidR="008203A8" w:rsidRPr="006943CC" w:rsidRDefault="008203A8" w:rsidP="008203A8">
      <w:pPr>
        <w:tabs>
          <w:tab w:val="left" w:pos="851"/>
        </w:tabs>
        <w:ind w:left="851"/>
        <w:rPr>
          <w:sz w:val="24"/>
          <w:szCs w:val="24"/>
        </w:rPr>
      </w:pPr>
    </w:p>
    <w:p w14:paraId="2466EC3A" w14:textId="77777777" w:rsidR="008203A8" w:rsidRPr="006943CC" w:rsidRDefault="008203A8" w:rsidP="008203A8">
      <w:pPr>
        <w:tabs>
          <w:tab w:val="left" w:pos="851"/>
        </w:tabs>
        <w:ind w:left="851" w:hanging="851"/>
        <w:rPr>
          <w:b/>
          <w:sz w:val="24"/>
          <w:szCs w:val="24"/>
        </w:rPr>
      </w:pPr>
      <w:r w:rsidRPr="006943CC">
        <w:rPr>
          <w:b/>
          <w:sz w:val="24"/>
          <w:szCs w:val="24"/>
        </w:rPr>
        <w:t>9.</w:t>
      </w:r>
      <w:r w:rsidRPr="006943CC">
        <w:rPr>
          <w:b/>
          <w:sz w:val="24"/>
          <w:szCs w:val="24"/>
        </w:rPr>
        <w:tab/>
        <w:t>DATO FOR SENESTE ÆNDRING AF PRODUKTRESUMÉET</w:t>
      </w:r>
    </w:p>
    <w:p w14:paraId="1B812EC9" w14:textId="541AC521" w:rsidR="008203A8" w:rsidRPr="006943CC" w:rsidRDefault="00BB2FD0" w:rsidP="008203A8">
      <w:pPr>
        <w:tabs>
          <w:tab w:val="left" w:pos="851"/>
        </w:tabs>
        <w:ind w:left="851"/>
        <w:rPr>
          <w:sz w:val="24"/>
          <w:szCs w:val="24"/>
        </w:rPr>
      </w:pPr>
      <w:r>
        <w:rPr>
          <w:sz w:val="24"/>
          <w:szCs w:val="24"/>
        </w:rPr>
        <w:t>7. april 2026</w:t>
      </w:r>
    </w:p>
    <w:p w14:paraId="45EC93F6" w14:textId="77777777" w:rsidR="008203A8" w:rsidRPr="006943CC" w:rsidRDefault="008203A8" w:rsidP="008203A8">
      <w:pPr>
        <w:tabs>
          <w:tab w:val="left" w:pos="851"/>
        </w:tabs>
        <w:ind w:left="851"/>
        <w:rPr>
          <w:sz w:val="24"/>
          <w:szCs w:val="24"/>
        </w:rPr>
      </w:pPr>
    </w:p>
    <w:p w14:paraId="1FF50E06" w14:textId="77777777" w:rsidR="008203A8" w:rsidRPr="006943CC" w:rsidRDefault="008203A8" w:rsidP="008203A8">
      <w:pPr>
        <w:tabs>
          <w:tab w:val="left" w:pos="851"/>
        </w:tabs>
        <w:ind w:left="851" w:hanging="851"/>
        <w:rPr>
          <w:b/>
          <w:sz w:val="24"/>
          <w:szCs w:val="24"/>
        </w:rPr>
      </w:pPr>
      <w:r w:rsidRPr="006943CC">
        <w:rPr>
          <w:b/>
          <w:sz w:val="24"/>
          <w:szCs w:val="24"/>
        </w:rPr>
        <w:t>10.</w:t>
      </w:r>
      <w:r w:rsidRPr="006943CC">
        <w:rPr>
          <w:b/>
          <w:sz w:val="24"/>
          <w:szCs w:val="24"/>
        </w:rPr>
        <w:tab/>
        <w:t>KLASSIFICERING AF VETERINÆRLÆGEMIDLER</w:t>
      </w:r>
    </w:p>
    <w:p w14:paraId="70BC1C6C" w14:textId="77777777" w:rsidR="00A04D4B" w:rsidRPr="006943CC" w:rsidRDefault="00A04D4B" w:rsidP="00A04634">
      <w:pPr>
        <w:ind w:left="851"/>
        <w:rPr>
          <w:sz w:val="24"/>
          <w:szCs w:val="24"/>
          <w:lang w:eastAsia="da-DK"/>
        </w:rPr>
      </w:pPr>
      <w:r w:rsidRPr="006943CC">
        <w:rPr>
          <w:sz w:val="24"/>
          <w:szCs w:val="24"/>
          <w:lang w:eastAsia="da-DK"/>
        </w:rPr>
        <w:t>BP</w:t>
      </w:r>
    </w:p>
    <w:p w14:paraId="6BB80D1A" w14:textId="38D3B55E" w:rsidR="0003527F" w:rsidRPr="006943CC" w:rsidRDefault="00A04D4B" w:rsidP="00A04634">
      <w:pPr>
        <w:ind w:left="851"/>
        <w:rPr>
          <w:sz w:val="24"/>
          <w:szCs w:val="24"/>
        </w:rPr>
      </w:pPr>
      <w:bookmarkStart w:id="6" w:name="_Hlk73467306"/>
      <w:r w:rsidRPr="006943CC">
        <w:rPr>
          <w:sz w:val="24"/>
          <w:szCs w:val="24"/>
          <w:lang w:eastAsia="da-DK"/>
        </w:rPr>
        <w:t>Der findes detaljerede oplysninger om dette veterinærlægemiddel i EU-lægemiddel</w:t>
      </w:r>
      <w:r w:rsidR="00BB2FD0">
        <w:rPr>
          <w:sz w:val="24"/>
          <w:szCs w:val="24"/>
          <w:lang w:eastAsia="da-DK"/>
        </w:rPr>
        <w:softHyphen/>
      </w:r>
      <w:r w:rsidRPr="006943CC">
        <w:rPr>
          <w:sz w:val="24"/>
          <w:szCs w:val="24"/>
          <w:lang w:eastAsia="da-DK"/>
        </w:rPr>
        <w:t>databasen (</w:t>
      </w:r>
      <w:hyperlink r:id="rId8" w:history="1">
        <w:r w:rsidRPr="006943CC">
          <w:rPr>
            <w:rStyle w:val="Hyperlink"/>
            <w:sz w:val="24"/>
            <w:szCs w:val="24"/>
            <w:lang w:eastAsia="da-DK"/>
          </w:rPr>
          <w:t>https://medicines.health.europa.eu/veterinary</w:t>
        </w:r>
      </w:hyperlink>
      <w:r w:rsidRPr="006943CC">
        <w:rPr>
          <w:sz w:val="24"/>
          <w:szCs w:val="24"/>
          <w:lang w:eastAsia="da-DK"/>
        </w:rPr>
        <w:t>).</w:t>
      </w:r>
      <w:bookmarkEnd w:id="6"/>
    </w:p>
    <w:sectPr w:rsidR="0003527F" w:rsidRPr="006943CC"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4817" w14:textId="77777777" w:rsidR="0009661A" w:rsidRDefault="0009661A">
      <w:r>
        <w:separator/>
      </w:r>
    </w:p>
  </w:endnote>
  <w:endnote w:type="continuationSeparator" w:id="0">
    <w:p w14:paraId="290F5C0B" w14:textId="77777777" w:rsidR="0009661A" w:rsidRDefault="0009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5615" w14:textId="77777777" w:rsidR="004A62CC" w:rsidRDefault="004A62CC">
    <w:pPr>
      <w:pStyle w:val="Sidefod"/>
      <w:pBdr>
        <w:bottom w:val="single" w:sz="6" w:space="1" w:color="auto"/>
      </w:pBdr>
      <w:tabs>
        <w:tab w:val="clear" w:pos="4819"/>
        <w:tab w:val="left" w:pos="8647"/>
      </w:tabs>
      <w:rPr>
        <w:i/>
        <w:snapToGrid w:val="0"/>
        <w:sz w:val="18"/>
      </w:rPr>
    </w:pPr>
  </w:p>
  <w:p w14:paraId="07131D8D" w14:textId="77777777" w:rsidR="004A62CC" w:rsidRDefault="004A62CC">
    <w:pPr>
      <w:pStyle w:val="Sidefod"/>
      <w:tabs>
        <w:tab w:val="clear" w:pos="4819"/>
        <w:tab w:val="left" w:pos="8647"/>
      </w:tabs>
      <w:rPr>
        <w:i/>
        <w:snapToGrid w:val="0"/>
        <w:sz w:val="18"/>
      </w:rPr>
    </w:pPr>
  </w:p>
  <w:p w14:paraId="03616D5D" w14:textId="4A0C2965"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6943CC">
      <w:rPr>
        <w:i/>
        <w:noProof/>
        <w:snapToGrid w:val="0"/>
        <w:sz w:val="18"/>
      </w:rPr>
      <w:t>Ketiva Vet., injektionsvæske, opløsning 150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A6F4" w14:textId="77777777" w:rsidR="004A62CC" w:rsidRDefault="004A62CC">
    <w:pPr>
      <w:pStyle w:val="Sidefod"/>
      <w:pBdr>
        <w:bottom w:val="single" w:sz="6" w:space="1" w:color="auto"/>
      </w:pBdr>
      <w:tabs>
        <w:tab w:val="clear" w:pos="4819"/>
        <w:tab w:val="left" w:pos="8647"/>
      </w:tabs>
      <w:rPr>
        <w:i/>
        <w:snapToGrid w:val="0"/>
        <w:sz w:val="18"/>
      </w:rPr>
    </w:pPr>
  </w:p>
  <w:p w14:paraId="3D75C72B" w14:textId="77777777" w:rsidR="004A62CC" w:rsidRDefault="004A62CC">
    <w:pPr>
      <w:pStyle w:val="Sidefod"/>
      <w:tabs>
        <w:tab w:val="clear" w:pos="4819"/>
        <w:tab w:val="left" w:pos="8647"/>
      </w:tabs>
      <w:rPr>
        <w:i/>
        <w:snapToGrid w:val="0"/>
        <w:sz w:val="18"/>
      </w:rPr>
    </w:pPr>
  </w:p>
  <w:p w14:paraId="6A667F01" w14:textId="50962F4D"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6943CC">
      <w:rPr>
        <w:i/>
        <w:noProof/>
        <w:snapToGrid w:val="0"/>
        <w:sz w:val="18"/>
      </w:rPr>
      <w:t>Ketiva Vet., injektionsvæske, opløsning 150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4428" w14:textId="77777777" w:rsidR="0009661A" w:rsidRDefault="0009661A">
      <w:r>
        <w:separator/>
      </w:r>
    </w:p>
  </w:footnote>
  <w:footnote w:type="continuationSeparator" w:id="0">
    <w:p w14:paraId="14228492" w14:textId="77777777" w:rsidR="0009661A" w:rsidRDefault="0009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35E3"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B891"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B87"/>
    <w:multiLevelType w:val="hybridMultilevel"/>
    <w:tmpl w:val="D8946828"/>
    <w:lvl w:ilvl="0" w:tplc="67606256">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 w15:restartNumberingAfterBreak="0">
    <w:nsid w:val="1B5A0AF4"/>
    <w:multiLevelType w:val="hybridMultilevel"/>
    <w:tmpl w:val="CEB44736"/>
    <w:lvl w:ilvl="0" w:tplc="67606256">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 w15:restartNumberingAfterBreak="0">
    <w:nsid w:val="311232C8"/>
    <w:multiLevelType w:val="hybridMultilevel"/>
    <w:tmpl w:val="B9A0CEA8"/>
    <w:lvl w:ilvl="0" w:tplc="6760625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D7C58BD"/>
    <w:multiLevelType w:val="hybridMultilevel"/>
    <w:tmpl w:val="0FFA3960"/>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7642E2A"/>
    <w:multiLevelType w:val="hybridMultilevel"/>
    <w:tmpl w:val="7DACBC1C"/>
    <w:lvl w:ilvl="0" w:tplc="6760625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23945765">
    <w:abstractNumId w:val="6"/>
  </w:num>
  <w:num w:numId="2" w16cid:durableId="904728016">
    <w:abstractNumId w:val="3"/>
  </w:num>
  <w:num w:numId="3" w16cid:durableId="784692429">
    <w:abstractNumId w:val="5"/>
  </w:num>
  <w:num w:numId="4" w16cid:durableId="862672709">
    <w:abstractNumId w:val="4"/>
  </w:num>
  <w:num w:numId="5" w16cid:durableId="277227793">
    <w:abstractNumId w:val="0"/>
  </w:num>
  <w:num w:numId="6" w16cid:durableId="1448815359">
    <w:abstractNumId w:val="1"/>
  </w:num>
  <w:num w:numId="7" w16cid:durableId="135224620">
    <w:abstractNumId w:val="2"/>
  </w:num>
  <w:num w:numId="8" w16cid:durableId="618532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1A"/>
    <w:rsid w:val="000241E8"/>
    <w:rsid w:val="0003527F"/>
    <w:rsid w:val="0004390D"/>
    <w:rsid w:val="0005355A"/>
    <w:rsid w:val="00065C7D"/>
    <w:rsid w:val="00092AFF"/>
    <w:rsid w:val="0009661A"/>
    <w:rsid w:val="000B102C"/>
    <w:rsid w:val="000C6CD4"/>
    <w:rsid w:val="00131D7A"/>
    <w:rsid w:val="001577E4"/>
    <w:rsid w:val="001623D2"/>
    <w:rsid w:val="00162A88"/>
    <w:rsid w:val="00173F52"/>
    <w:rsid w:val="0018534D"/>
    <w:rsid w:val="001858CA"/>
    <w:rsid w:val="001869DB"/>
    <w:rsid w:val="001903E6"/>
    <w:rsid w:val="001A032C"/>
    <w:rsid w:val="001C4AEF"/>
    <w:rsid w:val="001D3CC5"/>
    <w:rsid w:val="00202A14"/>
    <w:rsid w:val="00207C0E"/>
    <w:rsid w:val="00260EC4"/>
    <w:rsid w:val="002C3E74"/>
    <w:rsid w:val="002E304C"/>
    <w:rsid w:val="002E7439"/>
    <w:rsid w:val="002F3591"/>
    <w:rsid w:val="00322BDE"/>
    <w:rsid w:val="00340679"/>
    <w:rsid w:val="00363D4B"/>
    <w:rsid w:val="00371CA6"/>
    <w:rsid w:val="003E4B6F"/>
    <w:rsid w:val="00406EE7"/>
    <w:rsid w:val="00407013"/>
    <w:rsid w:val="00412537"/>
    <w:rsid w:val="00415D7C"/>
    <w:rsid w:val="00417225"/>
    <w:rsid w:val="0044701E"/>
    <w:rsid w:val="00451FEF"/>
    <w:rsid w:val="004A62CC"/>
    <w:rsid w:val="004C733C"/>
    <w:rsid w:val="00514C36"/>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43CC"/>
    <w:rsid w:val="00695FC6"/>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93955"/>
    <w:rsid w:val="008E4866"/>
    <w:rsid w:val="00916BD1"/>
    <w:rsid w:val="009202AE"/>
    <w:rsid w:val="00931B0C"/>
    <w:rsid w:val="00942FB8"/>
    <w:rsid w:val="00960F5F"/>
    <w:rsid w:val="00967486"/>
    <w:rsid w:val="009D66C6"/>
    <w:rsid w:val="009E300C"/>
    <w:rsid w:val="009E5184"/>
    <w:rsid w:val="009F1F5E"/>
    <w:rsid w:val="00A04634"/>
    <w:rsid w:val="00A04D4B"/>
    <w:rsid w:val="00A31E52"/>
    <w:rsid w:val="00A74A8A"/>
    <w:rsid w:val="00A85606"/>
    <w:rsid w:val="00A86C63"/>
    <w:rsid w:val="00A957A6"/>
    <w:rsid w:val="00A96525"/>
    <w:rsid w:val="00AA0D25"/>
    <w:rsid w:val="00AC012D"/>
    <w:rsid w:val="00AD4D77"/>
    <w:rsid w:val="00AE29E5"/>
    <w:rsid w:val="00AE5757"/>
    <w:rsid w:val="00B25EB8"/>
    <w:rsid w:val="00B528D7"/>
    <w:rsid w:val="00B764E3"/>
    <w:rsid w:val="00B85456"/>
    <w:rsid w:val="00B87267"/>
    <w:rsid w:val="00B93A25"/>
    <w:rsid w:val="00B958CA"/>
    <w:rsid w:val="00BB2FD0"/>
    <w:rsid w:val="00BC634B"/>
    <w:rsid w:val="00BF2AE0"/>
    <w:rsid w:val="00C41394"/>
    <w:rsid w:val="00C479BF"/>
    <w:rsid w:val="00C55074"/>
    <w:rsid w:val="00C66C59"/>
    <w:rsid w:val="00C838AB"/>
    <w:rsid w:val="00C83AA2"/>
    <w:rsid w:val="00CC27FA"/>
    <w:rsid w:val="00CE3A44"/>
    <w:rsid w:val="00CE3F86"/>
    <w:rsid w:val="00CF75B4"/>
    <w:rsid w:val="00D043FD"/>
    <w:rsid w:val="00D10EE1"/>
    <w:rsid w:val="00D14DBC"/>
    <w:rsid w:val="00D87E2B"/>
    <w:rsid w:val="00D910BA"/>
    <w:rsid w:val="00D96D04"/>
    <w:rsid w:val="00DD6D71"/>
    <w:rsid w:val="00DF32BE"/>
    <w:rsid w:val="00E14F0A"/>
    <w:rsid w:val="00E21314"/>
    <w:rsid w:val="00E321D6"/>
    <w:rsid w:val="00E323FB"/>
    <w:rsid w:val="00E61E78"/>
    <w:rsid w:val="00E84DC6"/>
    <w:rsid w:val="00EB5778"/>
    <w:rsid w:val="00EE14EA"/>
    <w:rsid w:val="00EE5253"/>
    <w:rsid w:val="00EF3C59"/>
    <w:rsid w:val="00F153F0"/>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74C8A"/>
  <w15:chartTrackingRefBased/>
  <w15:docId w15:val="{8F14C85C-5C1B-4123-8A93-FD300C0A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Hyperlink">
    <w:name w:val="Hyperlink"/>
    <w:basedOn w:val="Standardskrifttypeiafsnit"/>
    <w:uiPriority w:val="99"/>
    <w:unhideWhenUsed/>
    <w:rsid w:val="00A04D4B"/>
    <w:rPr>
      <w:color w:val="0563C1" w:themeColor="hyperlink"/>
      <w:u w:val="single"/>
    </w:rPr>
  </w:style>
  <w:style w:type="character" w:styleId="Ulstomtale">
    <w:name w:val="Unresolved Mention"/>
    <w:basedOn w:val="Standardskrifttypeiafsnit"/>
    <w:uiPriority w:val="99"/>
    <w:semiHidden/>
    <w:unhideWhenUsed/>
    <w:rsid w:val="00A04D4B"/>
    <w:rPr>
      <w:color w:val="605E5C"/>
      <w:shd w:val="clear" w:color="auto" w:fill="E1DFDD"/>
    </w:rPr>
  </w:style>
  <w:style w:type="paragraph" w:styleId="Listeafsnit">
    <w:name w:val="List Paragraph"/>
    <w:basedOn w:val="Normal"/>
    <w:uiPriority w:val="34"/>
    <w:qFormat/>
    <w:rsid w:val="00A04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567">
      <w:bodyDiv w:val="1"/>
      <w:marLeft w:val="0"/>
      <w:marRight w:val="0"/>
      <w:marTop w:val="0"/>
      <w:marBottom w:val="0"/>
      <w:divBdr>
        <w:top w:val="none" w:sz="0" w:space="0" w:color="auto"/>
        <w:left w:val="none" w:sz="0" w:space="0" w:color="auto"/>
        <w:bottom w:val="none" w:sz="0" w:space="0" w:color="auto"/>
        <w:right w:val="none" w:sz="0" w:space="0" w:color="auto"/>
      </w:divBdr>
    </w:div>
    <w:div w:id="31655160">
      <w:bodyDiv w:val="1"/>
      <w:marLeft w:val="0"/>
      <w:marRight w:val="0"/>
      <w:marTop w:val="0"/>
      <w:marBottom w:val="0"/>
      <w:divBdr>
        <w:top w:val="none" w:sz="0" w:space="0" w:color="auto"/>
        <w:left w:val="none" w:sz="0" w:space="0" w:color="auto"/>
        <w:bottom w:val="none" w:sz="0" w:space="0" w:color="auto"/>
        <w:right w:val="none" w:sz="0" w:space="0" w:color="auto"/>
      </w:divBdr>
    </w:div>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35006742">
      <w:bodyDiv w:val="1"/>
      <w:marLeft w:val="0"/>
      <w:marRight w:val="0"/>
      <w:marTop w:val="0"/>
      <w:marBottom w:val="0"/>
      <w:divBdr>
        <w:top w:val="none" w:sz="0" w:space="0" w:color="auto"/>
        <w:left w:val="none" w:sz="0" w:space="0" w:color="auto"/>
        <w:bottom w:val="none" w:sz="0" w:space="0" w:color="auto"/>
        <w:right w:val="none" w:sz="0" w:space="0" w:color="auto"/>
      </w:divBdr>
    </w:div>
    <w:div w:id="87583245">
      <w:bodyDiv w:val="1"/>
      <w:marLeft w:val="0"/>
      <w:marRight w:val="0"/>
      <w:marTop w:val="0"/>
      <w:marBottom w:val="0"/>
      <w:divBdr>
        <w:top w:val="none" w:sz="0" w:space="0" w:color="auto"/>
        <w:left w:val="none" w:sz="0" w:space="0" w:color="auto"/>
        <w:bottom w:val="none" w:sz="0" w:space="0" w:color="auto"/>
        <w:right w:val="none" w:sz="0" w:space="0" w:color="auto"/>
      </w:divBdr>
    </w:div>
    <w:div w:id="109664587">
      <w:bodyDiv w:val="1"/>
      <w:marLeft w:val="0"/>
      <w:marRight w:val="0"/>
      <w:marTop w:val="0"/>
      <w:marBottom w:val="0"/>
      <w:divBdr>
        <w:top w:val="none" w:sz="0" w:space="0" w:color="auto"/>
        <w:left w:val="none" w:sz="0" w:space="0" w:color="auto"/>
        <w:bottom w:val="none" w:sz="0" w:space="0" w:color="auto"/>
        <w:right w:val="none" w:sz="0" w:space="0" w:color="auto"/>
      </w:divBdr>
    </w:div>
    <w:div w:id="116532651">
      <w:bodyDiv w:val="1"/>
      <w:marLeft w:val="0"/>
      <w:marRight w:val="0"/>
      <w:marTop w:val="0"/>
      <w:marBottom w:val="0"/>
      <w:divBdr>
        <w:top w:val="none" w:sz="0" w:space="0" w:color="auto"/>
        <w:left w:val="none" w:sz="0" w:space="0" w:color="auto"/>
        <w:bottom w:val="none" w:sz="0" w:space="0" w:color="auto"/>
        <w:right w:val="none" w:sz="0" w:space="0" w:color="auto"/>
      </w:divBdr>
    </w:div>
    <w:div w:id="124935090">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314921683">
      <w:bodyDiv w:val="1"/>
      <w:marLeft w:val="0"/>
      <w:marRight w:val="0"/>
      <w:marTop w:val="0"/>
      <w:marBottom w:val="0"/>
      <w:divBdr>
        <w:top w:val="none" w:sz="0" w:space="0" w:color="auto"/>
        <w:left w:val="none" w:sz="0" w:space="0" w:color="auto"/>
        <w:bottom w:val="none" w:sz="0" w:space="0" w:color="auto"/>
        <w:right w:val="none" w:sz="0" w:space="0" w:color="auto"/>
      </w:divBdr>
    </w:div>
    <w:div w:id="315257750">
      <w:bodyDiv w:val="1"/>
      <w:marLeft w:val="0"/>
      <w:marRight w:val="0"/>
      <w:marTop w:val="0"/>
      <w:marBottom w:val="0"/>
      <w:divBdr>
        <w:top w:val="none" w:sz="0" w:space="0" w:color="auto"/>
        <w:left w:val="none" w:sz="0" w:space="0" w:color="auto"/>
        <w:bottom w:val="none" w:sz="0" w:space="0" w:color="auto"/>
        <w:right w:val="none" w:sz="0" w:space="0" w:color="auto"/>
      </w:divBdr>
    </w:div>
    <w:div w:id="329719583">
      <w:bodyDiv w:val="1"/>
      <w:marLeft w:val="0"/>
      <w:marRight w:val="0"/>
      <w:marTop w:val="0"/>
      <w:marBottom w:val="0"/>
      <w:divBdr>
        <w:top w:val="none" w:sz="0" w:space="0" w:color="auto"/>
        <w:left w:val="none" w:sz="0" w:space="0" w:color="auto"/>
        <w:bottom w:val="none" w:sz="0" w:space="0" w:color="auto"/>
        <w:right w:val="none" w:sz="0" w:space="0" w:color="auto"/>
      </w:divBdr>
    </w:div>
    <w:div w:id="421726745">
      <w:bodyDiv w:val="1"/>
      <w:marLeft w:val="0"/>
      <w:marRight w:val="0"/>
      <w:marTop w:val="0"/>
      <w:marBottom w:val="0"/>
      <w:divBdr>
        <w:top w:val="none" w:sz="0" w:space="0" w:color="auto"/>
        <w:left w:val="none" w:sz="0" w:space="0" w:color="auto"/>
        <w:bottom w:val="none" w:sz="0" w:space="0" w:color="auto"/>
        <w:right w:val="none" w:sz="0" w:space="0" w:color="auto"/>
      </w:divBdr>
    </w:div>
    <w:div w:id="426578246">
      <w:bodyDiv w:val="1"/>
      <w:marLeft w:val="0"/>
      <w:marRight w:val="0"/>
      <w:marTop w:val="0"/>
      <w:marBottom w:val="0"/>
      <w:divBdr>
        <w:top w:val="none" w:sz="0" w:space="0" w:color="auto"/>
        <w:left w:val="none" w:sz="0" w:space="0" w:color="auto"/>
        <w:bottom w:val="none" w:sz="0" w:space="0" w:color="auto"/>
        <w:right w:val="none" w:sz="0" w:space="0" w:color="auto"/>
      </w:divBdr>
    </w:div>
    <w:div w:id="468868035">
      <w:bodyDiv w:val="1"/>
      <w:marLeft w:val="0"/>
      <w:marRight w:val="0"/>
      <w:marTop w:val="0"/>
      <w:marBottom w:val="0"/>
      <w:divBdr>
        <w:top w:val="none" w:sz="0" w:space="0" w:color="auto"/>
        <w:left w:val="none" w:sz="0" w:space="0" w:color="auto"/>
        <w:bottom w:val="none" w:sz="0" w:space="0" w:color="auto"/>
        <w:right w:val="none" w:sz="0" w:space="0" w:color="auto"/>
      </w:divBdr>
    </w:div>
    <w:div w:id="471794079">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0220532">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498548657">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67175985">
      <w:bodyDiv w:val="1"/>
      <w:marLeft w:val="0"/>
      <w:marRight w:val="0"/>
      <w:marTop w:val="0"/>
      <w:marBottom w:val="0"/>
      <w:divBdr>
        <w:top w:val="none" w:sz="0" w:space="0" w:color="auto"/>
        <w:left w:val="none" w:sz="0" w:space="0" w:color="auto"/>
        <w:bottom w:val="none" w:sz="0" w:space="0" w:color="auto"/>
        <w:right w:val="none" w:sz="0" w:space="0" w:color="auto"/>
      </w:divBdr>
    </w:div>
    <w:div w:id="713892143">
      <w:bodyDiv w:val="1"/>
      <w:marLeft w:val="0"/>
      <w:marRight w:val="0"/>
      <w:marTop w:val="0"/>
      <w:marBottom w:val="0"/>
      <w:divBdr>
        <w:top w:val="none" w:sz="0" w:space="0" w:color="auto"/>
        <w:left w:val="none" w:sz="0" w:space="0" w:color="auto"/>
        <w:bottom w:val="none" w:sz="0" w:space="0" w:color="auto"/>
        <w:right w:val="none" w:sz="0" w:space="0" w:color="auto"/>
      </w:divBdr>
    </w:div>
    <w:div w:id="727263871">
      <w:bodyDiv w:val="1"/>
      <w:marLeft w:val="0"/>
      <w:marRight w:val="0"/>
      <w:marTop w:val="0"/>
      <w:marBottom w:val="0"/>
      <w:divBdr>
        <w:top w:val="none" w:sz="0" w:space="0" w:color="auto"/>
        <w:left w:val="none" w:sz="0" w:space="0" w:color="auto"/>
        <w:bottom w:val="none" w:sz="0" w:space="0" w:color="auto"/>
        <w:right w:val="none" w:sz="0" w:space="0" w:color="auto"/>
      </w:divBdr>
    </w:div>
    <w:div w:id="751123088">
      <w:bodyDiv w:val="1"/>
      <w:marLeft w:val="0"/>
      <w:marRight w:val="0"/>
      <w:marTop w:val="0"/>
      <w:marBottom w:val="0"/>
      <w:divBdr>
        <w:top w:val="none" w:sz="0" w:space="0" w:color="auto"/>
        <w:left w:val="none" w:sz="0" w:space="0" w:color="auto"/>
        <w:bottom w:val="none" w:sz="0" w:space="0" w:color="auto"/>
        <w:right w:val="none" w:sz="0" w:space="0" w:color="auto"/>
      </w:divBdr>
    </w:div>
    <w:div w:id="761221559">
      <w:bodyDiv w:val="1"/>
      <w:marLeft w:val="0"/>
      <w:marRight w:val="0"/>
      <w:marTop w:val="0"/>
      <w:marBottom w:val="0"/>
      <w:divBdr>
        <w:top w:val="none" w:sz="0" w:space="0" w:color="auto"/>
        <w:left w:val="none" w:sz="0" w:space="0" w:color="auto"/>
        <w:bottom w:val="none" w:sz="0" w:space="0" w:color="auto"/>
        <w:right w:val="none" w:sz="0" w:space="0" w:color="auto"/>
      </w:divBdr>
    </w:div>
    <w:div w:id="788473377">
      <w:bodyDiv w:val="1"/>
      <w:marLeft w:val="0"/>
      <w:marRight w:val="0"/>
      <w:marTop w:val="0"/>
      <w:marBottom w:val="0"/>
      <w:divBdr>
        <w:top w:val="none" w:sz="0" w:space="0" w:color="auto"/>
        <w:left w:val="none" w:sz="0" w:space="0" w:color="auto"/>
        <w:bottom w:val="none" w:sz="0" w:space="0" w:color="auto"/>
        <w:right w:val="none" w:sz="0" w:space="0" w:color="auto"/>
      </w:divBdr>
    </w:div>
    <w:div w:id="799155031">
      <w:bodyDiv w:val="1"/>
      <w:marLeft w:val="0"/>
      <w:marRight w:val="0"/>
      <w:marTop w:val="0"/>
      <w:marBottom w:val="0"/>
      <w:divBdr>
        <w:top w:val="none" w:sz="0" w:space="0" w:color="auto"/>
        <w:left w:val="none" w:sz="0" w:space="0" w:color="auto"/>
        <w:bottom w:val="none" w:sz="0" w:space="0" w:color="auto"/>
        <w:right w:val="none" w:sz="0" w:space="0" w:color="auto"/>
      </w:divBdr>
    </w:div>
    <w:div w:id="800879672">
      <w:bodyDiv w:val="1"/>
      <w:marLeft w:val="0"/>
      <w:marRight w:val="0"/>
      <w:marTop w:val="0"/>
      <w:marBottom w:val="0"/>
      <w:divBdr>
        <w:top w:val="none" w:sz="0" w:space="0" w:color="auto"/>
        <w:left w:val="none" w:sz="0" w:space="0" w:color="auto"/>
        <w:bottom w:val="none" w:sz="0" w:space="0" w:color="auto"/>
        <w:right w:val="none" w:sz="0" w:space="0" w:color="auto"/>
      </w:divBdr>
    </w:div>
    <w:div w:id="844973191">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06649996">
      <w:bodyDiv w:val="1"/>
      <w:marLeft w:val="0"/>
      <w:marRight w:val="0"/>
      <w:marTop w:val="0"/>
      <w:marBottom w:val="0"/>
      <w:divBdr>
        <w:top w:val="none" w:sz="0" w:space="0" w:color="auto"/>
        <w:left w:val="none" w:sz="0" w:space="0" w:color="auto"/>
        <w:bottom w:val="none" w:sz="0" w:space="0" w:color="auto"/>
        <w:right w:val="none" w:sz="0" w:space="0" w:color="auto"/>
      </w:divBdr>
    </w:div>
    <w:div w:id="1039623869">
      <w:bodyDiv w:val="1"/>
      <w:marLeft w:val="0"/>
      <w:marRight w:val="0"/>
      <w:marTop w:val="0"/>
      <w:marBottom w:val="0"/>
      <w:divBdr>
        <w:top w:val="none" w:sz="0" w:space="0" w:color="auto"/>
        <w:left w:val="none" w:sz="0" w:space="0" w:color="auto"/>
        <w:bottom w:val="none" w:sz="0" w:space="0" w:color="auto"/>
        <w:right w:val="none" w:sz="0" w:space="0" w:color="auto"/>
      </w:divBdr>
    </w:div>
    <w:div w:id="1046951006">
      <w:bodyDiv w:val="1"/>
      <w:marLeft w:val="0"/>
      <w:marRight w:val="0"/>
      <w:marTop w:val="0"/>
      <w:marBottom w:val="0"/>
      <w:divBdr>
        <w:top w:val="none" w:sz="0" w:space="0" w:color="auto"/>
        <w:left w:val="none" w:sz="0" w:space="0" w:color="auto"/>
        <w:bottom w:val="none" w:sz="0" w:space="0" w:color="auto"/>
        <w:right w:val="none" w:sz="0" w:space="0" w:color="auto"/>
      </w:divBdr>
    </w:div>
    <w:div w:id="1095401140">
      <w:bodyDiv w:val="1"/>
      <w:marLeft w:val="0"/>
      <w:marRight w:val="0"/>
      <w:marTop w:val="0"/>
      <w:marBottom w:val="0"/>
      <w:divBdr>
        <w:top w:val="none" w:sz="0" w:space="0" w:color="auto"/>
        <w:left w:val="none" w:sz="0" w:space="0" w:color="auto"/>
        <w:bottom w:val="none" w:sz="0" w:space="0" w:color="auto"/>
        <w:right w:val="none" w:sz="0" w:space="0" w:color="auto"/>
      </w:divBdr>
    </w:div>
    <w:div w:id="1123421883">
      <w:bodyDiv w:val="1"/>
      <w:marLeft w:val="0"/>
      <w:marRight w:val="0"/>
      <w:marTop w:val="0"/>
      <w:marBottom w:val="0"/>
      <w:divBdr>
        <w:top w:val="none" w:sz="0" w:space="0" w:color="auto"/>
        <w:left w:val="none" w:sz="0" w:space="0" w:color="auto"/>
        <w:bottom w:val="none" w:sz="0" w:space="0" w:color="auto"/>
        <w:right w:val="none" w:sz="0" w:space="0" w:color="auto"/>
      </w:divBdr>
    </w:div>
    <w:div w:id="1146703063">
      <w:bodyDiv w:val="1"/>
      <w:marLeft w:val="0"/>
      <w:marRight w:val="0"/>
      <w:marTop w:val="0"/>
      <w:marBottom w:val="0"/>
      <w:divBdr>
        <w:top w:val="none" w:sz="0" w:space="0" w:color="auto"/>
        <w:left w:val="none" w:sz="0" w:space="0" w:color="auto"/>
        <w:bottom w:val="none" w:sz="0" w:space="0" w:color="auto"/>
        <w:right w:val="none" w:sz="0" w:space="0" w:color="auto"/>
      </w:divBdr>
    </w:div>
    <w:div w:id="1154570210">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91865229">
      <w:bodyDiv w:val="1"/>
      <w:marLeft w:val="0"/>
      <w:marRight w:val="0"/>
      <w:marTop w:val="0"/>
      <w:marBottom w:val="0"/>
      <w:divBdr>
        <w:top w:val="none" w:sz="0" w:space="0" w:color="auto"/>
        <w:left w:val="none" w:sz="0" w:space="0" w:color="auto"/>
        <w:bottom w:val="none" w:sz="0" w:space="0" w:color="auto"/>
        <w:right w:val="none" w:sz="0" w:space="0" w:color="auto"/>
      </w:divBdr>
    </w:div>
    <w:div w:id="1367371479">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39843922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69518449">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79034993">
      <w:bodyDiv w:val="1"/>
      <w:marLeft w:val="0"/>
      <w:marRight w:val="0"/>
      <w:marTop w:val="0"/>
      <w:marBottom w:val="0"/>
      <w:divBdr>
        <w:top w:val="none" w:sz="0" w:space="0" w:color="auto"/>
        <w:left w:val="none" w:sz="0" w:space="0" w:color="auto"/>
        <w:bottom w:val="none" w:sz="0" w:space="0" w:color="auto"/>
        <w:right w:val="none" w:sz="0" w:space="0" w:color="auto"/>
      </w:divBdr>
    </w:div>
    <w:div w:id="1495952053">
      <w:bodyDiv w:val="1"/>
      <w:marLeft w:val="0"/>
      <w:marRight w:val="0"/>
      <w:marTop w:val="0"/>
      <w:marBottom w:val="0"/>
      <w:divBdr>
        <w:top w:val="none" w:sz="0" w:space="0" w:color="auto"/>
        <w:left w:val="none" w:sz="0" w:space="0" w:color="auto"/>
        <w:bottom w:val="none" w:sz="0" w:space="0" w:color="auto"/>
        <w:right w:val="none" w:sz="0" w:space="0" w:color="auto"/>
      </w:divBdr>
    </w:div>
    <w:div w:id="1556820290">
      <w:bodyDiv w:val="1"/>
      <w:marLeft w:val="0"/>
      <w:marRight w:val="0"/>
      <w:marTop w:val="0"/>
      <w:marBottom w:val="0"/>
      <w:divBdr>
        <w:top w:val="none" w:sz="0" w:space="0" w:color="auto"/>
        <w:left w:val="none" w:sz="0" w:space="0" w:color="auto"/>
        <w:bottom w:val="none" w:sz="0" w:space="0" w:color="auto"/>
        <w:right w:val="none" w:sz="0" w:space="0" w:color="auto"/>
      </w:divBdr>
    </w:div>
    <w:div w:id="1709329136">
      <w:bodyDiv w:val="1"/>
      <w:marLeft w:val="0"/>
      <w:marRight w:val="0"/>
      <w:marTop w:val="0"/>
      <w:marBottom w:val="0"/>
      <w:divBdr>
        <w:top w:val="none" w:sz="0" w:space="0" w:color="auto"/>
        <w:left w:val="none" w:sz="0" w:space="0" w:color="auto"/>
        <w:bottom w:val="none" w:sz="0" w:space="0" w:color="auto"/>
        <w:right w:val="none" w:sz="0" w:space="0" w:color="auto"/>
      </w:divBdr>
    </w:div>
    <w:div w:id="1772241011">
      <w:bodyDiv w:val="1"/>
      <w:marLeft w:val="0"/>
      <w:marRight w:val="0"/>
      <w:marTop w:val="0"/>
      <w:marBottom w:val="0"/>
      <w:divBdr>
        <w:top w:val="none" w:sz="0" w:space="0" w:color="auto"/>
        <w:left w:val="none" w:sz="0" w:space="0" w:color="auto"/>
        <w:bottom w:val="none" w:sz="0" w:space="0" w:color="auto"/>
        <w:right w:val="none" w:sz="0" w:space="0" w:color="auto"/>
      </w:divBdr>
    </w:div>
    <w:div w:id="1775126113">
      <w:bodyDiv w:val="1"/>
      <w:marLeft w:val="0"/>
      <w:marRight w:val="0"/>
      <w:marTop w:val="0"/>
      <w:marBottom w:val="0"/>
      <w:divBdr>
        <w:top w:val="none" w:sz="0" w:space="0" w:color="auto"/>
        <w:left w:val="none" w:sz="0" w:space="0" w:color="auto"/>
        <w:bottom w:val="none" w:sz="0" w:space="0" w:color="auto"/>
        <w:right w:val="none" w:sz="0" w:space="0" w:color="auto"/>
      </w:divBdr>
    </w:div>
    <w:div w:id="1779596736">
      <w:bodyDiv w:val="1"/>
      <w:marLeft w:val="0"/>
      <w:marRight w:val="0"/>
      <w:marTop w:val="0"/>
      <w:marBottom w:val="0"/>
      <w:divBdr>
        <w:top w:val="none" w:sz="0" w:space="0" w:color="auto"/>
        <w:left w:val="none" w:sz="0" w:space="0" w:color="auto"/>
        <w:bottom w:val="none" w:sz="0" w:space="0" w:color="auto"/>
        <w:right w:val="none" w:sz="0" w:space="0" w:color="auto"/>
      </w:divBdr>
    </w:div>
    <w:div w:id="1855923559">
      <w:bodyDiv w:val="1"/>
      <w:marLeft w:val="0"/>
      <w:marRight w:val="0"/>
      <w:marTop w:val="0"/>
      <w:marBottom w:val="0"/>
      <w:divBdr>
        <w:top w:val="none" w:sz="0" w:space="0" w:color="auto"/>
        <w:left w:val="none" w:sz="0" w:space="0" w:color="auto"/>
        <w:bottom w:val="none" w:sz="0" w:space="0" w:color="auto"/>
        <w:right w:val="none" w:sz="0" w:space="0" w:color="auto"/>
      </w:divBdr>
    </w:div>
    <w:div w:id="1905070281">
      <w:bodyDiv w:val="1"/>
      <w:marLeft w:val="0"/>
      <w:marRight w:val="0"/>
      <w:marTop w:val="0"/>
      <w:marBottom w:val="0"/>
      <w:divBdr>
        <w:top w:val="none" w:sz="0" w:space="0" w:color="auto"/>
        <w:left w:val="none" w:sz="0" w:space="0" w:color="auto"/>
        <w:bottom w:val="none" w:sz="0" w:space="0" w:color="auto"/>
        <w:right w:val="none" w:sz="0" w:space="0" w:color="auto"/>
      </w:divBdr>
    </w:div>
    <w:div w:id="1913655478">
      <w:bodyDiv w:val="1"/>
      <w:marLeft w:val="0"/>
      <w:marRight w:val="0"/>
      <w:marTop w:val="0"/>
      <w:marBottom w:val="0"/>
      <w:divBdr>
        <w:top w:val="none" w:sz="0" w:space="0" w:color="auto"/>
        <w:left w:val="none" w:sz="0" w:space="0" w:color="auto"/>
        <w:bottom w:val="none" w:sz="0" w:space="0" w:color="auto"/>
        <w:right w:val="none" w:sz="0" w:space="0" w:color="auto"/>
      </w:divBdr>
    </w:div>
    <w:div w:id="1942637562">
      <w:bodyDiv w:val="1"/>
      <w:marLeft w:val="0"/>
      <w:marRight w:val="0"/>
      <w:marTop w:val="0"/>
      <w:marBottom w:val="0"/>
      <w:divBdr>
        <w:top w:val="none" w:sz="0" w:space="0" w:color="auto"/>
        <w:left w:val="none" w:sz="0" w:space="0" w:color="auto"/>
        <w:bottom w:val="none" w:sz="0" w:space="0" w:color="auto"/>
        <w:right w:val="none" w:sz="0" w:space="0" w:color="auto"/>
      </w:divBdr>
    </w:div>
    <w:div w:id="1962228788">
      <w:bodyDiv w:val="1"/>
      <w:marLeft w:val="0"/>
      <w:marRight w:val="0"/>
      <w:marTop w:val="0"/>
      <w:marBottom w:val="0"/>
      <w:divBdr>
        <w:top w:val="none" w:sz="0" w:space="0" w:color="auto"/>
        <w:left w:val="none" w:sz="0" w:space="0" w:color="auto"/>
        <w:bottom w:val="none" w:sz="0" w:space="0" w:color="auto"/>
        <w:right w:val="none" w:sz="0" w:space="0" w:color="auto"/>
      </w:divBdr>
    </w:div>
    <w:div w:id="1970358634">
      <w:bodyDiv w:val="1"/>
      <w:marLeft w:val="0"/>
      <w:marRight w:val="0"/>
      <w:marTop w:val="0"/>
      <w:marBottom w:val="0"/>
      <w:divBdr>
        <w:top w:val="none" w:sz="0" w:space="0" w:color="auto"/>
        <w:left w:val="none" w:sz="0" w:space="0" w:color="auto"/>
        <w:bottom w:val="none" w:sz="0" w:space="0" w:color="auto"/>
        <w:right w:val="none" w:sz="0" w:space="0" w:color="auto"/>
      </w:divBdr>
    </w:div>
    <w:div w:id="2025129281">
      <w:bodyDiv w:val="1"/>
      <w:marLeft w:val="0"/>
      <w:marRight w:val="0"/>
      <w:marTop w:val="0"/>
      <w:marBottom w:val="0"/>
      <w:divBdr>
        <w:top w:val="none" w:sz="0" w:space="0" w:color="auto"/>
        <w:left w:val="none" w:sz="0" w:space="0" w:color="auto"/>
        <w:bottom w:val="none" w:sz="0" w:space="0" w:color="auto"/>
        <w:right w:val="none" w:sz="0" w:space="0" w:color="auto"/>
      </w:divBdr>
    </w:div>
    <w:div w:id="2034844980">
      <w:bodyDiv w:val="1"/>
      <w:marLeft w:val="0"/>
      <w:marRight w:val="0"/>
      <w:marTop w:val="0"/>
      <w:marBottom w:val="0"/>
      <w:divBdr>
        <w:top w:val="none" w:sz="0" w:space="0" w:color="auto"/>
        <w:left w:val="none" w:sz="0" w:space="0" w:color="auto"/>
        <w:bottom w:val="none" w:sz="0" w:space="0" w:color="auto"/>
        <w:right w:val="none" w:sz="0" w:space="0" w:color="auto"/>
      </w:divBdr>
    </w:div>
    <w:div w:id="205942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4</TotalTime>
  <Pages>7</Pages>
  <Words>1980</Words>
  <Characters>13588</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2025032852, tilføjelse af repræsentant</dc:description>
  <cp:lastModifiedBy>Gitte Jørgensen</cp:lastModifiedBy>
  <cp:revision>6</cp:revision>
  <cp:lastPrinted>2022-05-18T14:03:00Z</cp:lastPrinted>
  <dcterms:created xsi:type="dcterms:W3CDTF">2026-04-07T06:35:00Z</dcterms:created>
  <dcterms:modified xsi:type="dcterms:W3CDTF">2026-04-07T06:38:00Z</dcterms:modified>
</cp:coreProperties>
</file>