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37763" w14:textId="77777777" w:rsidR="008203A8" w:rsidRPr="00B90167" w:rsidRDefault="008203A8" w:rsidP="008203A8">
      <w:pPr>
        <w:rPr>
          <w:sz w:val="24"/>
          <w:szCs w:val="24"/>
        </w:rPr>
      </w:pPr>
      <w:bookmarkStart w:id="0" w:name="_GoBack"/>
      <w:bookmarkEnd w:id="0"/>
      <w:r w:rsidRPr="00B90167">
        <w:rPr>
          <w:noProof/>
          <w:sz w:val="24"/>
          <w:szCs w:val="24"/>
          <w:lang w:eastAsia="da-DK"/>
        </w:rPr>
        <w:drawing>
          <wp:inline distT="0" distB="0" distL="0" distR="0" wp14:anchorId="19396E49" wp14:editId="4B48A4C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557DB98" w14:textId="77777777" w:rsidR="008203A8" w:rsidRPr="00B90167" w:rsidRDefault="008203A8" w:rsidP="008203A8">
      <w:pPr>
        <w:rPr>
          <w:sz w:val="24"/>
          <w:szCs w:val="24"/>
        </w:rPr>
      </w:pPr>
    </w:p>
    <w:p w14:paraId="36902CC3" w14:textId="111DB5CB" w:rsidR="008203A8" w:rsidRPr="00B90167" w:rsidRDefault="008203A8" w:rsidP="008203A8">
      <w:pPr>
        <w:tabs>
          <w:tab w:val="right" w:pos="9356"/>
        </w:tabs>
        <w:rPr>
          <w:b/>
          <w:sz w:val="24"/>
          <w:szCs w:val="24"/>
        </w:rPr>
      </w:pPr>
      <w:r w:rsidRPr="00B90167">
        <w:rPr>
          <w:b/>
          <w:sz w:val="24"/>
          <w:szCs w:val="24"/>
        </w:rPr>
        <w:tab/>
      </w:r>
      <w:r w:rsidR="004D400C">
        <w:rPr>
          <w:b/>
          <w:sz w:val="24"/>
          <w:szCs w:val="24"/>
        </w:rPr>
        <w:t>11. oktober 2024</w:t>
      </w:r>
    </w:p>
    <w:p w14:paraId="541206CF" w14:textId="79B1AEE4" w:rsidR="008203A8" w:rsidRPr="00B90167" w:rsidRDefault="008203A8" w:rsidP="008203A8">
      <w:pPr>
        <w:rPr>
          <w:sz w:val="24"/>
          <w:szCs w:val="24"/>
        </w:rPr>
      </w:pPr>
    </w:p>
    <w:p w14:paraId="308F6A53" w14:textId="08EEB19F" w:rsidR="00E22C26" w:rsidRPr="00B90167" w:rsidRDefault="00E22C26" w:rsidP="008203A8">
      <w:pPr>
        <w:rPr>
          <w:sz w:val="24"/>
          <w:szCs w:val="24"/>
        </w:rPr>
      </w:pPr>
    </w:p>
    <w:p w14:paraId="4820CE78" w14:textId="77777777" w:rsidR="00E22C26" w:rsidRPr="00B90167" w:rsidRDefault="00E22C26" w:rsidP="008203A8">
      <w:pPr>
        <w:rPr>
          <w:sz w:val="24"/>
          <w:szCs w:val="24"/>
        </w:rPr>
      </w:pPr>
    </w:p>
    <w:p w14:paraId="4BC91AF9" w14:textId="77777777" w:rsidR="008203A8" w:rsidRPr="00B90167" w:rsidRDefault="008203A8" w:rsidP="008203A8">
      <w:pPr>
        <w:jc w:val="center"/>
        <w:rPr>
          <w:b/>
          <w:sz w:val="24"/>
          <w:szCs w:val="24"/>
        </w:rPr>
      </w:pPr>
      <w:r w:rsidRPr="00B90167">
        <w:rPr>
          <w:b/>
          <w:sz w:val="24"/>
          <w:szCs w:val="24"/>
        </w:rPr>
        <w:t>PRODUKTRESUMÉ</w:t>
      </w:r>
    </w:p>
    <w:p w14:paraId="7D1C8FB4" w14:textId="77777777" w:rsidR="008203A8" w:rsidRPr="00B90167" w:rsidRDefault="008203A8" w:rsidP="008203A8">
      <w:pPr>
        <w:jc w:val="center"/>
        <w:rPr>
          <w:b/>
          <w:sz w:val="24"/>
          <w:szCs w:val="24"/>
        </w:rPr>
      </w:pPr>
    </w:p>
    <w:p w14:paraId="4BC1F702" w14:textId="77777777" w:rsidR="008203A8" w:rsidRPr="00B90167" w:rsidRDefault="008203A8" w:rsidP="008203A8">
      <w:pPr>
        <w:jc w:val="center"/>
        <w:rPr>
          <w:b/>
          <w:sz w:val="24"/>
          <w:szCs w:val="24"/>
        </w:rPr>
      </w:pPr>
      <w:r w:rsidRPr="00B90167">
        <w:rPr>
          <w:b/>
          <w:sz w:val="24"/>
          <w:szCs w:val="24"/>
        </w:rPr>
        <w:t>for</w:t>
      </w:r>
    </w:p>
    <w:p w14:paraId="6B2DE310" w14:textId="77777777" w:rsidR="008203A8" w:rsidRPr="00B90167" w:rsidRDefault="008203A8" w:rsidP="008203A8">
      <w:pPr>
        <w:jc w:val="center"/>
        <w:rPr>
          <w:b/>
          <w:sz w:val="24"/>
          <w:szCs w:val="24"/>
        </w:rPr>
      </w:pPr>
    </w:p>
    <w:p w14:paraId="5A6CC6C3" w14:textId="0D6A896C" w:rsidR="008203A8" w:rsidRPr="00B90167" w:rsidRDefault="00082D4F" w:rsidP="008203A8">
      <w:pPr>
        <w:jc w:val="center"/>
        <w:rPr>
          <w:b/>
          <w:sz w:val="24"/>
          <w:szCs w:val="24"/>
        </w:rPr>
      </w:pPr>
      <w:proofErr w:type="spellStart"/>
      <w:r w:rsidRPr="00B90167">
        <w:rPr>
          <w:b/>
          <w:sz w:val="24"/>
          <w:szCs w:val="24"/>
        </w:rPr>
        <w:t>Labimycin</w:t>
      </w:r>
      <w:proofErr w:type="spellEnd"/>
      <w:r w:rsidRPr="00B90167">
        <w:rPr>
          <w:b/>
          <w:sz w:val="24"/>
          <w:szCs w:val="24"/>
        </w:rPr>
        <w:t xml:space="preserve"> LA, injektionsvæske, opløsning</w:t>
      </w:r>
    </w:p>
    <w:p w14:paraId="3ECAEF3B" w14:textId="77777777" w:rsidR="008203A8" w:rsidRPr="00B90167" w:rsidRDefault="008203A8" w:rsidP="008203A8">
      <w:pPr>
        <w:jc w:val="both"/>
        <w:rPr>
          <w:sz w:val="24"/>
          <w:szCs w:val="24"/>
        </w:rPr>
      </w:pPr>
    </w:p>
    <w:p w14:paraId="0A48743E" w14:textId="77777777" w:rsidR="008203A8" w:rsidRPr="00B90167" w:rsidRDefault="008203A8" w:rsidP="008203A8">
      <w:pPr>
        <w:jc w:val="both"/>
        <w:rPr>
          <w:sz w:val="24"/>
          <w:szCs w:val="24"/>
        </w:rPr>
      </w:pPr>
    </w:p>
    <w:p w14:paraId="18A01EC8" w14:textId="77777777" w:rsidR="008203A8" w:rsidRPr="00B90167" w:rsidRDefault="008203A8" w:rsidP="008203A8">
      <w:pPr>
        <w:ind w:left="851" w:hanging="851"/>
        <w:rPr>
          <w:b/>
          <w:sz w:val="24"/>
          <w:szCs w:val="24"/>
        </w:rPr>
      </w:pPr>
      <w:r w:rsidRPr="00B90167">
        <w:rPr>
          <w:b/>
          <w:sz w:val="24"/>
          <w:szCs w:val="24"/>
        </w:rPr>
        <w:t>0.</w:t>
      </w:r>
      <w:r w:rsidRPr="00B90167">
        <w:rPr>
          <w:b/>
          <w:sz w:val="24"/>
          <w:szCs w:val="24"/>
        </w:rPr>
        <w:tab/>
        <w:t>D.SP.NR.</w:t>
      </w:r>
    </w:p>
    <w:p w14:paraId="51C9913B" w14:textId="19B0F5B1" w:rsidR="008203A8" w:rsidRPr="00B90167" w:rsidRDefault="00082D4F" w:rsidP="008203A8">
      <w:pPr>
        <w:ind w:left="851"/>
        <w:rPr>
          <w:sz w:val="24"/>
          <w:szCs w:val="24"/>
        </w:rPr>
      </w:pPr>
      <w:r w:rsidRPr="00B90167">
        <w:rPr>
          <w:sz w:val="24"/>
          <w:szCs w:val="24"/>
        </w:rPr>
        <w:t>33984</w:t>
      </w:r>
    </w:p>
    <w:p w14:paraId="3CD57593" w14:textId="77777777" w:rsidR="008203A8" w:rsidRPr="00B90167" w:rsidRDefault="008203A8" w:rsidP="008203A8">
      <w:pPr>
        <w:ind w:left="851"/>
        <w:rPr>
          <w:sz w:val="24"/>
          <w:szCs w:val="24"/>
        </w:rPr>
      </w:pPr>
    </w:p>
    <w:p w14:paraId="640C6CE1" w14:textId="77777777" w:rsidR="008203A8" w:rsidRPr="00B90167" w:rsidRDefault="008203A8" w:rsidP="008203A8">
      <w:pPr>
        <w:ind w:left="851" w:hanging="851"/>
        <w:rPr>
          <w:b/>
          <w:sz w:val="24"/>
          <w:szCs w:val="24"/>
        </w:rPr>
      </w:pPr>
      <w:r w:rsidRPr="00B90167">
        <w:rPr>
          <w:b/>
          <w:sz w:val="24"/>
          <w:szCs w:val="24"/>
        </w:rPr>
        <w:t>1.</w:t>
      </w:r>
      <w:r w:rsidRPr="00B90167">
        <w:rPr>
          <w:b/>
          <w:sz w:val="24"/>
          <w:szCs w:val="24"/>
        </w:rPr>
        <w:tab/>
        <w:t>VETERINÆRLÆGEMIDLETS NAVN</w:t>
      </w:r>
    </w:p>
    <w:p w14:paraId="4BB9E3D5" w14:textId="2CDF3359" w:rsidR="008203A8" w:rsidRPr="00B90167" w:rsidRDefault="00082D4F" w:rsidP="008203A8">
      <w:pPr>
        <w:ind w:left="851"/>
        <w:rPr>
          <w:sz w:val="24"/>
          <w:szCs w:val="24"/>
        </w:rPr>
      </w:pPr>
      <w:proofErr w:type="spellStart"/>
      <w:r w:rsidRPr="00B90167">
        <w:rPr>
          <w:sz w:val="24"/>
          <w:szCs w:val="24"/>
        </w:rPr>
        <w:t>Labimycin</w:t>
      </w:r>
      <w:proofErr w:type="spellEnd"/>
      <w:r w:rsidRPr="00B90167">
        <w:rPr>
          <w:sz w:val="24"/>
          <w:szCs w:val="24"/>
        </w:rPr>
        <w:t xml:space="preserve"> LA</w:t>
      </w:r>
    </w:p>
    <w:p w14:paraId="35663207" w14:textId="77777777" w:rsidR="008203A8" w:rsidRPr="00B90167" w:rsidRDefault="008203A8" w:rsidP="008203A8">
      <w:pPr>
        <w:ind w:left="851"/>
        <w:rPr>
          <w:sz w:val="24"/>
          <w:szCs w:val="24"/>
        </w:rPr>
      </w:pPr>
    </w:p>
    <w:p w14:paraId="2C9A139B" w14:textId="4D48E133" w:rsidR="008203A8" w:rsidRPr="00B90167" w:rsidRDefault="008203A8" w:rsidP="008203A8">
      <w:pPr>
        <w:ind w:left="851"/>
        <w:rPr>
          <w:sz w:val="24"/>
          <w:szCs w:val="24"/>
        </w:rPr>
      </w:pPr>
      <w:r w:rsidRPr="00B90167">
        <w:rPr>
          <w:sz w:val="24"/>
          <w:szCs w:val="24"/>
        </w:rPr>
        <w:t xml:space="preserve">Lægemiddelform: </w:t>
      </w:r>
      <w:r w:rsidR="00082D4F" w:rsidRPr="00B90167">
        <w:rPr>
          <w:sz w:val="24"/>
          <w:szCs w:val="24"/>
        </w:rPr>
        <w:t>Injektionsvæske, opløsning</w:t>
      </w:r>
    </w:p>
    <w:p w14:paraId="2DEEEBB7" w14:textId="59915DFD" w:rsidR="008203A8" w:rsidRPr="00B90167" w:rsidRDefault="008203A8" w:rsidP="008203A8">
      <w:pPr>
        <w:ind w:left="851"/>
        <w:rPr>
          <w:sz w:val="24"/>
          <w:szCs w:val="24"/>
        </w:rPr>
      </w:pPr>
      <w:r w:rsidRPr="00B90167">
        <w:rPr>
          <w:sz w:val="24"/>
          <w:szCs w:val="24"/>
        </w:rPr>
        <w:t xml:space="preserve">Styrke(r): </w:t>
      </w:r>
      <w:r w:rsidR="00082D4F" w:rsidRPr="00B90167">
        <w:rPr>
          <w:sz w:val="24"/>
          <w:szCs w:val="24"/>
        </w:rPr>
        <w:t>300 mg/ml</w:t>
      </w:r>
    </w:p>
    <w:p w14:paraId="41D58D1E" w14:textId="77777777" w:rsidR="008203A8" w:rsidRPr="00B90167" w:rsidRDefault="008203A8" w:rsidP="008203A8">
      <w:pPr>
        <w:ind w:left="851"/>
        <w:rPr>
          <w:sz w:val="24"/>
          <w:szCs w:val="24"/>
        </w:rPr>
      </w:pPr>
    </w:p>
    <w:p w14:paraId="3893963C" w14:textId="77777777" w:rsidR="008203A8" w:rsidRPr="00B90167" w:rsidRDefault="008203A8" w:rsidP="008203A8">
      <w:pPr>
        <w:ind w:left="851" w:hanging="851"/>
        <w:rPr>
          <w:b/>
          <w:sz w:val="24"/>
          <w:szCs w:val="24"/>
        </w:rPr>
      </w:pPr>
      <w:r w:rsidRPr="00B90167">
        <w:rPr>
          <w:b/>
          <w:sz w:val="24"/>
          <w:szCs w:val="24"/>
        </w:rPr>
        <w:t>2.</w:t>
      </w:r>
      <w:r w:rsidRPr="00B90167">
        <w:rPr>
          <w:b/>
          <w:sz w:val="24"/>
          <w:szCs w:val="24"/>
        </w:rPr>
        <w:tab/>
        <w:t>KVALITATIV OG KVANTITATIV SAMMENSÆTNING</w:t>
      </w:r>
    </w:p>
    <w:p w14:paraId="5645E11B" w14:textId="77777777" w:rsidR="004A01C3" w:rsidRPr="00B90167" w:rsidRDefault="004A01C3" w:rsidP="00E22C26">
      <w:pPr>
        <w:ind w:left="851"/>
        <w:rPr>
          <w:sz w:val="24"/>
          <w:szCs w:val="24"/>
        </w:rPr>
      </w:pPr>
      <w:r w:rsidRPr="00B90167">
        <w:rPr>
          <w:sz w:val="24"/>
          <w:szCs w:val="24"/>
        </w:rPr>
        <w:t>Én ml indeholder:</w:t>
      </w:r>
    </w:p>
    <w:p w14:paraId="51D9B514" w14:textId="77777777" w:rsidR="004A01C3" w:rsidRPr="00B90167" w:rsidRDefault="004A01C3" w:rsidP="00E22C26">
      <w:pPr>
        <w:ind w:left="851"/>
        <w:rPr>
          <w:sz w:val="24"/>
          <w:szCs w:val="24"/>
        </w:rPr>
      </w:pPr>
    </w:p>
    <w:p w14:paraId="2804AC2A" w14:textId="77777777" w:rsidR="004A01C3" w:rsidRPr="00B90167" w:rsidRDefault="004A01C3" w:rsidP="00E22C26">
      <w:pPr>
        <w:ind w:left="851"/>
        <w:rPr>
          <w:b/>
          <w:sz w:val="24"/>
          <w:szCs w:val="24"/>
        </w:rPr>
      </w:pPr>
      <w:r w:rsidRPr="00B90167">
        <w:rPr>
          <w:b/>
          <w:sz w:val="24"/>
          <w:szCs w:val="24"/>
        </w:rPr>
        <w:t>Aktivt stof:</w:t>
      </w:r>
    </w:p>
    <w:p w14:paraId="564D9050" w14:textId="52075CA3" w:rsidR="004A01C3" w:rsidRPr="00B90167" w:rsidRDefault="004A01C3" w:rsidP="00E22C26">
      <w:pPr>
        <w:ind w:left="851"/>
        <w:rPr>
          <w:iCs/>
          <w:sz w:val="24"/>
          <w:szCs w:val="24"/>
        </w:rPr>
      </w:pPr>
      <w:proofErr w:type="spellStart"/>
      <w:r w:rsidRPr="00B90167">
        <w:rPr>
          <w:iCs/>
          <w:sz w:val="24"/>
          <w:szCs w:val="24"/>
        </w:rPr>
        <w:t>Oxytetracyclin</w:t>
      </w:r>
      <w:proofErr w:type="spellEnd"/>
      <w:r w:rsidRPr="00B90167">
        <w:rPr>
          <w:iCs/>
          <w:sz w:val="24"/>
          <w:szCs w:val="24"/>
        </w:rPr>
        <w:tab/>
      </w:r>
      <w:r w:rsidRPr="00B90167">
        <w:rPr>
          <w:iCs/>
          <w:sz w:val="24"/>
          <w:szCs w:val="24"/>
        </w:rPr>
        <w:tab/>
      </w:r>
      <w:r w:rsidRPr="00B90167">
        <w:rPr>
          <w:iCs/>
          <w:sz w:val="24"/>
          <w:szCs w:val="24"/>
        </w:rPr>
        <w:tab/>
        <w:t>300 mg</w:t>
      </w:r>
    </w:p>
    <w:p w14:paraId="78A62AB8" w14:textId="7F79C1D0" w:rsidR="004A01C3" w:rsidRPr="00B90167" w:rsidRDefault="004A01C3" w:rsidP="00E22C26">
      <w:pPr>
        <w:ind w:left="851"/>
        <w:rPr>
          <w:iCs/>
          <w:sz w:val="24"/>
          <w:szCs w:val="24"/>
        </w:rPr>
      </w:pPr>
      <w:r w:rsidRPr="00B90167">
        <w:rPr>
          <w:iCs/>
          <w:sz w:val="24"/>
          <w:szCs w:val="24"/>
        </w:rPr>
        <w:t xml:space="preserve">(som </w:t>
      </w:r>
      <w:proofErr w:type="spellStart"/>
      <w:r w:rsidRPr="00B90167">
        <w:rPr>
          <w:iCs/>
          <w:sz w:val="24"/>
          <w:szCs w:val="24"/>
        </w:rPr>
        <w:t>oxytetracyclindihydrat</w:t>
      </w:r>
      <w:proofErr w:type="spellEnd"/>
      <w:r w:rsidRPr="00B90167">
        <w:rPr>
          <w:iCs/>
          <w:sz w:val="24"/>
          <w:szCs w:val="24"/>
        </w:rPr>
        <w:tab/>
      </w:r>
      <w:r w:rsidRPr="00B90167">
        <w:rPr>
          <w:iCs/>
          <w:sz w:val="24"/>
          <w:szCs w:val="24"/>
        </w:rPr>
        <w:tab/>
        <w:t>323,5 mg)</w:t>
      </w:r>
    </w:p>
    <w:p w14:paraId="19C1D6FF" w14:textId="77777777" w:rsidR="004A01C3" w:rsidRPr="00B90167" w:rsidRDefault="004A01C3" w:rsidP="00E22C26">
      <w:pPr>
        <w:ind w:left="851"/>
        <w:rPr>
          <w:sz w:val="24"/>
          <w:szCs w:val="24"/>
        </w:rPr>
      </w:pPr>
    </w:p>
    <w:p w14:paraId="3C61BBBF" w14:textId="77777777" w:rsidR="004A01C3" w:rsidRPr="00B90167" w:rsidRDefault="004A01C3" w:rsidP="00E22C26">
      <w:pPr>
        <w:ind w:left="851"/>
        <w:rPr>
          <w:sz w:val="24"/>
          <w:szCs w:val="24"/>
        </w:rPr>
      </w:pPr>
      <w:r w:rsidRPr="00B90167">
        <w:rPr>
          <w:b/>
          <w:sz w:val="24"/>
          <w:szCs w:val="24"/>
        </w:rPr>
        <w:t>Hjælpestoffer:</w:t>
      </w:r>
    </w:p>
    <w:p w14:paraId="0C6C5054" w14:textId="77777777" w:rsidR="004A01C3" w:rsidRPr="00B90167" w:rsidRDefault="004A01C3" w:rsidP="00E22C26">
      <w:pPr>
        <w:ind w:left="851"/>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3"/>
        <w:gridCol w:w="4265"/>
      </w:tblGrid>
      <w:tr w:rsidR="004A01C3" w:rsidRPr="00B90167" w14:paraId="496EA40D" w14:textId="77777777" w:rsidTr="00E22C26">
        <w:tc>
          <w:tcPr>
            <w:tcW w:w="4523" w:type="dxa"/>
            <w:tcBorders>
              <w:top w:val="single" w:sz="4" w:space="0" w:color="000000"/>
              <w:left w:val="single" w:sz="4" w:space="0" w:color="000000"/>
              <w:bottom w:val="single" w:sz="4" w:space="0" w:color="000000"/>
              <w:right w:val="single" w:sz="4" w:space="0" w:color="000000"/>
            </w:tcBorders>
            <w:vAlign w:val="center"/>
            <w:hideMark/>
          </w:tcPr>
          <w:p w14:paraId="32525400" w14:textId="77777777" w:rsidR="004A01C3" w:rsidRPr="00B90167" w:rsidRDefault="004A01C3">
            <w:pPr>
              <w:spacing w:before="60" w:after="60"/>
              <w:rPr>
                <w:b/>
                <w:bCs/>
                <w:iCs/>
                <w:sz w:val="24"/>
                <w:szCs w:val="24"/>
              </w:rPr>
            </w:pPr>
            <w:r w:rsidRPr="00B90167">
              <w:rPr>
                <w:b/>
                <w:bCs/>
                <w:iCs/>
                <w:sz w:val="24"/>
                <w:szCs w:val="24"/>
              </w:rPr>
              <w:t>Kvalitativ sammensætning af hjælpestoffer og andre bestanddele</w:t>
            </w:r>
          </w:p>
        </w:tc>
        <w:tc>
          <w:tcPr>
            <w:tcW w:w="4265" w:type="dxa"/>
            <w:tcBorders>
              <w:top w:val="single" w:sz="4" w:space="0" w:color="000000"/>
              <w:left w:val="single" w:sz="4" w:space="0" w:color="000000"/>
              <w:bottom w:val="single" w:sz="4" w:space="0" w:color="000000"/>
              <w:right w:val="single" w:sz="4" w:space="0" w:color="000000"/>
            </w:tcBorders>
            <w:vAlign w:val="center"/>
            <w:hideMark/>
          </w:tcPr>
          <w:p w14:paraId="1B6D414B" w14:textId="77777777" w:rsidR="004A01C3" w:rsidRPr="00B90167" w:rsidRDefault="004A01C3">
            <w:pPr>
              <w:spacing w:before="60" w:after="60"/>
              <w:rPr>
                <w:b/>
                <w:bCs/>
                <w:iCs/>
                <w:sz w:val="24"/>
                <w:szCs w:val="24"/>
              </w:rPr>
            </w:pPr>
            <w:r w:rsidRPr="00B90167">
              <w:rPr>
                <w:b/>
                <w:bCs/>
                <w:iCs/>
                <w:sz w:val="24"/>
                <w:szCs w:val="24"/>
              </w:rPr>
              <w:t>Kvantitativ sammensætning, hvis oplysningen er vigtig for korrekt administration af veterinærlægemidlet</w:t>
            </w:r>
          </w:p>
        </w:tc>
      </w:tr>
      <w:tr w:rsidR="004A01C3" w:rsidRPr="00B90167" w14:paraId="765EE4A3" w14:textId="77777777" w:rsidTr="00E22C26">
        <w:tc>
          <w:tcPr>
            <w:tcW w:w="4523" w:type="dxa"/>
            <w:tcBorders>
              <w:top w:val="single" w:sz="4" w:space="0" w:color="000000"/>
              <w:left w:val="single" w:sz="4" w:space="0" w:color="000000"/>
              <w:bottom w:val="single" w:sz="4" w:space="0" w:color="000000"/>
              <w:right w:val="single" w:sz="4" w:space="0" w:color="000000"/>
            </w:tcBorders>
            <w:vAlign w:val="center"/>
            <w:hideMark/>
          </w:tcPr>
          <w:p w14:paraId="34985D57" w14:textId="77777777" w:rsidR="004A01C3" w:rsidRPr="00B90167" w:rsidRDefault="004A01C3">
            <w:pPr>
              <w:spacing w:before="60" w:after="60"/>
              <w:rPr>
                <w:iCs/>
                <w:sz w:val="24"/>
                <w:szCs w:val="24"/>
              </w:rPr>
            </w:pPr>
            <w:proofErr w:type="spellStart"/>
            <w:r w:rsidRPr="00B90167">
              <w:rPr>
                <w:iCs/>
                <w:sz w:val="24"/>
                <w:szCs w:val="24"/>
              </w:rPr>
              <w:t>Natriumformaldehydsulfoxylat</w:t>
            </w:r>
            <w:proofErr w:type="spellEnd"/>
          </w:p>
        </w:tc>
        <w:tc>
          <w:tcPr>
            <w:tcW w:w="4265" w:type="dxa"/>
            <w:tcBorders>
              <w:top w:val="single" w:sz="4" w:space="0" w:color="000000"/>
              <w:left w:val="single" w:sz="4" w:space="0" w:color="000000"/>
              <w:bottom w:val="single" w:sz="4" w:space="0" w:color="000000"/>
              <w:right w:val="single" w:sz="4" w:space="0" w:color="000000"/>
            </w:tcBorders>
            <w:vAlign w:val="center"/>
            <w:hideMark/>
          </w:tcPr>
          <w:p w14:paraId="5441AB8B" w14:textId="77777777" w:rsidR="004A01C3" w:rsidRPr="00B90167" w:rsidRDefault="004A01C3">
            <w:pPr>
              <w:spacing w:before="60" w:after="60"/>
              <w:rPr>
                <w:iCs/>
                <w:sz w:val="24"/>
                <w:szCs w:val="24"/>
              </w:rPr>
            </w:pPr>
            <w:r w:rsidRPr="00B90167">
              <w:rPr>
                <w:iCs/>
                <w:sz w:val="24"/>
                <w:szCs w:val="24"/>
              </w:rPr>
              <w:t>4 mg</w:t>
            </w:r>
          </w:p>
        </w:tc>
      </w:tr>
      <w:tr w:rsidR="004A01C3" w:rsidRPr="00B90167" w14:paraId="7E0CBD35" w14:textId="77777777" w:rsidTr="00E22C26">
        <w:tc>
          <w:tcPr>
            <w:tcW w:w="4523" w:type="dxa"/>
            <w:tcBorders>
              <w:top w:val="single" w:sz="4" w:space="0" w:color="000000"/>
              <w:left w:val="single" w:sz="4" w:space="0" w:color="000000"/>
              <w:bottom w:val="single" w:sz="4" w:space="0" w:color="000000"/>
              <w:right w:val="single" w:sz="4" w:space="0" w:color="000000"/>
            </w:tcBorders>
            <w:vAlign w:val="center"/>
            <w:hideMark/>
          </w:tcPr>
          <w:p w14:paraId="317625B2" w14:textId="77777777" w:rsidR="004A01C3" w:rsidRPr="00B90167" w:rsidRDefault="004A01C3">
            <w:pPr>
              <w:spacing w:before="60" w:after="60"/>
              <w:rPr>
                <w:iCs/>
                <w:sz w:val="24"/>
                <w:szCs w:val="24"/>
              </w:rPr>
            </w:pPr>
            <w:r w:rsidRPr="00B90167">
              <w:rPr>
                <w:iCs/>
                <w:sz w:val="24"/>
                <w:szCs w:val="24"/>
              </w:rPr>
              <w:t>Magnesiumoxid, let</w:t>
            </w:r>
          </w:p>
        </w:tc>
        <w:tc>
          <w:tcPr>
            <w:tcW w:w="4265" w:type="dxa"/>
            <w:tcBorders>
              <w:top w:val="single" w:sz="4" w:space="0" w:color="000000"/>
              <w:left w:val="single" w:sz="4" w:space="0" w:color="000000"/>
              <w:bottom w:val="single" w:sz="4" w:space="0" w:color="000000"/>
              <w:right w:val="single" w:sz="4" w:space="0" w:color="000000"/>
            </w:tcBorders>
            <w:vAlign w:val="center"/>
          </w:tcPr>
          <w:p w14:paraId="1C90E779" w14:textId="77777777" w:rsidR="004A01C3" w:rsidRPr="00B90167" w:rsidRDefault="004A01C3">
            <w:pPr>
              <w:spacing w:before="60" w:after="60"/>
              <w:rPr>
                <w:iCs/>
                <w:sz w:val="24"/>
                <w:szCs w:val="24"/>
              </w:rPr>
            </w:pPr>
          </w:p>
        </w:tc>
      </w:tr>
      <w:tr w:rsidR="004A01C3" w:rsidRPr="00B90167" w14:paraId="04721CEC" w14:textId="77777777" w:rsidTr="00E22C26">
        <w:tc>
          <w:tcPr>
            <w:tcW w:w="4523" w:type="dxa"/>
            <w:tcBorders>
              <w:top w:val="single" w:sz="4" w:space="0" w:color="000000"/>
              <w:left w:val="single" w:sz="4" w:space="0" w:color="000000"/>
              <w:bottom w:val="single" w:sz="4" w:space="0" w:color="000000"/>
              <w:right w:val="single" w:sz="4" w:space="0" w:color="000000"/>
            </w:tcBorders>
            <w:vAlign w:val="center"/>
            <w:hideMark/>
          </w:tcPr>
          <w:p w14:paraId="49C3998F" w14:textId="77777777" w:rsidR="004A01C3" w:rsidRPr="00B90167" w:rsidRDefault="004A01C3">
            <w:pPr>
              <w:spacing w:before="60" w:after="60"/>
              <w:rPr>
                <w:iCs/>
                <w:sz w:val="24"/>
                <w:szCs w:val="24"/>
              </w:rPr>
            </w:pPr>
            <w:proofErr w:type="spellStart"/>
            <w:r w:rsidRPr="00B90167">
              <w:rPr>
                <w:iCs/>
                <w:sz w:val="24"/>
                <w:szCs w:val="24"/>
              </w:rPr>
              <w:t>Ethanolamin</w:t>
            </w:r>
            <w:proofErr w:type="spellEnd"/>
          </w:p>
        </w:tc>
        <w:tc>
          <w:tcPr>
            <w:tcW w:w="4265" w:type="dxa"/>
            <w:tcBorders>
              <w:top w:val="single" w:sz="4" w:space="0" w:color="000000"/>
              <w:left w:val="single" w:sz="4" w:space="0" w:color="000000"/>
              <w:bottom w:val="single" w:sz="4" w:space="0" w:color="000000"/>
              <w:right w:val="single" w:sz="4" w:space="0" w:color="000000"/>
            </w:tcBorders>
            <w:vAlign w:val="center"/>
          </w:tcPr>
          <w:p w14:paraId="6FE6CDCD" w14:textId="77777777" w:rsidR="004A01C3" w:rsidRPr="00B90167" w:rsidRDefault="004A01C3">
            <w:pPr>
              <w:spacing w:before="60" w:after="60"/>
              <w:rPr>
                <w:iCs/>
                <w:sz w:val="24"/>
                <w:szCs w:val="24"/>
              </w:rPr>
            </w:pPr>
          </w:p>
        </w:tc>
      </w:tr>
      <w:tr w:rsidR="004A01C3" w:rsidRPr="00B90167" w14:paraId="7BC86797" w14:textId="77777777" w:rsidTr="00E22C26">
        <w:tc>
          <w:tcPr>
            <w:tcW w:w="4523" w:type="dxa"/>
            <w:tcBorders>
              <w:top w:val="single" w:sz="4" w:space="0" w:color="000000"/>
              <w:left w:val="single" w:sz="4" w:space="0" w:color="000000"/>
              <w:bottom w:val="single" w:sz="4" w:space="0" w:color="000000"/>
              <w:right w:val="single" w:sz="4" w:space="0" w:color="000000"/>
            </w:tcBorders>
            <w:vAlign w:val="center"/>
            <w:hideMark/>
          </w:tcPr>
          <w:p w14:paraId="28CC4F7F" w14:textId="77777777" w:rsidR="004A01C3" w:rsidRPr="00B90167" w:rsidRDefault="004A01C3">
            <w:pPr>
              <w:spacing w:before="60" w:after="60"/>
              <w:rPr>
                <w:b/>
                <w:bCs/>
                <w:iCs/>
                <w:sz w:val="24"/>
                <w:szCs w:val="24"/>
              </w:rPr>
            </w:pPr>
            <w:proofErr w:type="spellStart"/>
            <w:r w:rsidRPr="00B90167">
              <w:rPr>
                <w:iCs/>
                <w:sz w:val="24"/>
                <w:szCs w:val="24"/>
              </w:rPr>
              <w:t>Dimethylacetamid</w:t>
            </w:r>
            <w:proofErr w:type="spellEnd"/>
          </w:p>
        </w:tc>
        <w:tc>
          <w:tcPr>
            <w:tcW w:w="4265" w:type="dxa"/>
            <w:tcBorders>
              <w:top w:val="single" w:sz="4" w:space="0" w:color="000000"/>
              <w:left w:val="single" w:sz="4" w:space="0" w:color="000000"/>
              <w:bottom w:val="single" w:sz="4" w:space="0" w:color="000000"/>
              <w:right w:val="single" w:sz="4" w:space="0" w:color="000000"/>
            </w:tcBorders>
            <w:vAlign w:val="center"/>
          </w:tcPr>
          <w:p w14:paraId="411272BC" w14:textId="77777777" w:rsidR="004A01C3" w:rsidRPr="00B90167" w:rsidRDefault="004A01C3">
            <w:pPr>
              <w:spacing w:before="60" w:after="60"/>
              <w:rPr>
                <w:iCs/>
                <w:sz w:val="24"/>
                <w:szCs w:val="24"/>
              </w:rPr>
            </w:pPr>
          </w:p>
        </w:tc>
      </w:tr>
      <w:tr w:rsidR="004A01C3" w:rsidRPr="00B90167" w14:paraId="71900D2A" w14:textId="77777777" w:rsidTr="00E22C26">
        <w:tc>
          <w:tcPr>
            <w:tcW w:w="4523" w:type="dxa"/>
            <w:tcBorders>
              <w:top w:val="single" w:sz="4" w:space="0" w:color="000000"/>
              <w:left w:val="single" w:sz="4" w:space="0" w:color="000000"/>
              <w:bottom w:val="single" w:sz="4" w:space="0" w:color="000000"/>
              <w:right w:val="single" w:sz="4" w:space="0" w:color="000000"/>
            </w:tcBorders>
            <w:vAlign w:val="center"/>
            <w:hideMark/>
          </w:tcPr>
          <w:p w14:paraId="523B0F21" w14:textId="77777777" w:rsidR="004A01C3" w:rsidRPr="00B90167" w:rsidRDefault="004A01C3">
            <w:pPr>
              <w:spacing w:before="60" w:after="60"/>
              <w:rPr>
                <w:iCs/>
                <w:sz w:val="24"/>
                <w:szCs w:val="24"/>
              </w:rPr>
            </w:pPr>
            <w:r w:rsidRPr="00B90167">
              <w:rPr>
                <w:iCs/>
                <w:sz w:val="24"/>
                <w:szCs w:val="24"/>
              </w:rPr>
              <w:t>Vand til injektionsvæsker</w:t>
            </w:r>
          </w:p>
        </w:tc>
        <w:tc>
          <w:tcPr>
            <w:tcW w:w="4265" w:type="dxa"/>
            <w:tcBorders>
              <w:top w:val="single" w:sz="4" w:space="0" w:color="000000"/>
              <w:left w:val="single" w:sz="4" w:space="0" w:color="000000"/>
              <w:bottom w:val="single" w:sz="4" w:space="0" w:color="000000"/>
              <w:right w:val="single" w:sz="4" w:space="0" w:color="000000"/>
            </w:tcBorders>
            <w:vAlign w:val="center"/>
          </w:tcPr>
          <w:p w14:paraId="3EC047D2" w14:textId="77777777" w:rsidR="004A01C3" w:rsidRPr="00B90167" w:rsidRDefault="004A01C3">
            <w:pPr>
              <w:spacing w:before="60" w:after="60"/>
              <w:rPr>
                <w:iCs/>
                <w:sz w:val="24"/>
                <w:szCs w:val="24"/>
              </w:rPr>
            </w:pPr>
          </w:p>
        </w:tc>
      </w:tr>
    </w:tbl>
    <w:p w14:paraId="3E560835" w14:textId="77777777" w:rsidR="004A01C3" w:rsidRPr="00B90167" w:rsidRDefault="004A01C3" w:rsidP="004A01C3">
      <w:pPr>
        <w:tabs>
          <w:tab w:val="left" w:pos="1304"/>
        </w:tabs>
        <w:rPr>
          <w:sz w:val="24"/>
          <w:szCs w:val="24"/>
        </w:rPr>
      </w:pPr>
    </w:p>
    <w:p w14:paraId="0585AE27" w14:textId="77777777" w:rsidR="004A01C3" w:rsidRPr="00B90167" w:rsidRDefault="004A01C3" w:rsidP="00E22C26">
      <w:pPr>
        <w:ind w:left="851"/>
        <w:rPr>
          <w:sz w:val="24"/>
          <w:szCs w:val="24"/>
        </w:rPr>
      </w:pPr>
      <w:r w:rsidRPr="00B90167">
        <w:rPr>
          <w:sz w:val="24"/>
          <w:szCs w:val="24"/>
        </w:rPr>
        <w:t>Klar, mørk ravfarvet opløsning uden synlige partikler.</w:t>
      </w:r>
    </w:p>
    <w:p w14:paraId="79CE54B4" w14:textId="77777777" w:rsidR="008203A8" w:rsidRPr="00B90167" w:rsidRDefault="008203A8" w:rsidP="008203A8">
      <w:pPr>
        <w:ind w:left="851"/>
        <w:rPr>
          <w:sz w:val="24"/>
          <w:szCs w:val="24"/>
        </w:rPr>
      </w:pPr>
    </w:p>
    <w:p w14:paraId="7B948874" w14:textId="7B089B21" w:rsidR="002C08F9" w:rsidRDefault="002C08F9">
      <w:pPr>
        <w:rPr>
          <w:sz w:val="24"/>
          <w:szCs w:val="24"/>
        </w:rPr>
      </w:pPr>
      <w:r>
        <w:rPr>
          <w:sz w:val="24"/>
          <w:szCs w:val="24"/>
        </w:rPr>
        <w:br w:type="page"/>
      </w:r>
    </w:p>
    <w:p w14:paraId="14343248" w14:textId="77777777" w:rsidR="008203A8" w:rsidRPr="00B90167" w:rsidRDefault="008203A8" w:rsidP="008203A8">
      <w:pPr>
        <w:ind w:left="851"/>
        <w:rPr>
          <w:sz w:val="24"/>
          <w:szCs w:val="24"/>
        </w:rPr>
      </w:pPr>
    </w:p>
    <w:p w14:paraId="0C43CF24" w14:textId="77777777" w:rsidR="008203A8" w:rsidRPr="00B90167" w:rsidRDefault="008203A8" w:rsidP="008203A8">
      <w:pPr>
        <w:ind w:left="851" w:hanging="851"/>
        <w:rPr>
          <w:b/>
          <w:sz w:val="24"/>
          <w:szCs w:val="24"/>
        </w:rPr>
      </w:pPr>
      <w:r w:rsidRPr="00B90167">
        <w:rPr>
          <w:b/>
          <w:sz w:val="24"/>
          <w:szCs w:val="24"/>
        </w:rPr>
        <w:t>3.</w:t>
      </w:r>
      <w:r w:rsidRPr="00B90167">
        <w:rPr>
          <w:b/>
          <w:sz w:val="24"/>
          <w:szCs w:val="24"/>
        </w:rPr>
        <w:tab/>
        <w:t>KLINISKE OPLYSNINGER</w:t>
      </w:r>
    </w:p>
    <w:p w14:paraId="206E5B71" w14:textId="77777777" w:rsidR="008203A8" w:rsidRPr="00B90167" w:rsidRDefault="008203A8" w:rsidP="008203A8">
      <w:pPr>
        <w:tabs>
          <w:tab w:val="left" w:pos="851"/>
        </w:tabs>
        <w:ind w:left="851"/>
        <w:rPr>
          <w:sz w:val="24"/>
          <w:szCs w:val="24"/>
        </w:rPr>
      </w:pPr>
    </w:p>
    <w:p w14:paraId="44B6BCD7" w14:textId="77777777" w:rsidR="008203A8" w:rsidRPr="00B90167" w:rsidRDefault="008203A8" w:rsidP="008203A8">
      <w:pPr>
        <w:ind w:left="851" w:hanging="851"/>
        <w:rPr>
          <w:b/>
          <w:sz w:val="24"/>
          <w:szCs w:val="24"/>
          <w:u w:val="single"/>
        </w:rPr>
      </w:pPr>
      <w:r w:rsidRPr="00B90167">
        <w:rPr>
          <w:b/>
          <w:sz w:val="24"/>
          <w:szCs w:val="24"/>
        </w:rPr>
        <w:t>3.1</w:t>
      </w:r>
      <w:r w:rsidRPr="00B90167">
        <w:rPr>
          <w:b/>
          <w:sz w:val="24"/>
          <w:szCs w:val="24"/>
        </w:rPr>
        <w:tab/>
        <w:t>Dyrearter, som lægemidlet er beregnet til</w:t>
      </w:r>
    </w:p>
    <w:p w14:paraId="5B2F102C" w14:textId="77777777" w:rsidR="004A01C3" w:rsidRPr="00B90167" w:rsidRDefault="004A01C3" w:rsidP="00E22C26">
      <w:pPr>
        <w:ind w:left="851"/>
        <w:rPr>
          <w:sz w:val="24"/>
          <w:szCs w:val="24"/>
        </w:rPr>
      </w:pPr>
      <w:r w:rsidRPr="00B90167">
        <w:rPr>
          <w:sz w:val="24"/>
          <w:szCs w:val="24"/>
        </w:rPr>
        <w:t>Kvæg, får og svin.</w:t>
      </w:r>
    </w:p>
    <w:p w14:paraId="4C98105C" w14:textId="77777777" w:rsidR="008203A8" w:rsidRPr="00B90167" w:rsidRDefault="008203A8" w:rsidP="008203A8">
      <w:pPr>
        <w:ind w:left="851"/>
        <w:rPr>
          <w:sz w:val="24"/>
          <w:szCs w:val="24"/>
        </w:rPr>
      </w:pPr>
    </w:p>
    <w:p w14:paraId="00B879DC" w14:textId="77777777" w:rsidR="008203A8" w:rsidRPr="00B90167" w:rsidRDefault="008203A8" w:rsidP="008203A8">
      <w:pPr>
        <w:pStyle w:val="Sidehoved"/>
        <w:tabs>
          <w:tab w:val="clear" w:pos="4819"/>
        </w:tabs>
        <w:ind w:left="851" w:hanging="851"/>
        <w:rPr>
          <w:b/>
          <w:szCs w:val="24"/>
        </w:rPr>
      </w:pPr>
      <w:r w:rsidRPr="00B90167">
        <w:rPr>
          <w:b/>
          <w:szCs w:val="24"/>
        </w:rPr>
        <w:t>3.2</w:t>
      </w:r>
      <w:r w:rsidRPr="00B90167">
        <w:rPr>
          <w:b/>
          <w:szCs w:val="24"/>
        </w:rPr>
        <w:tab/>
        <w:t>Terapeutiske indikationer for hver dyreart, som lægemidlet er beregnet til</w:t>
      </w:r>
    </w:p>
    <w:p w14:paraId="5C92F133" w14:textId="77777777" w:rsidR="004A01C3" w:rsidRPr="00B90167" w:rsidRDefault="004A01C3" w:rsidP="00E22C26">
      <w:pPr>
        <w:ind w:left="851"/>
        <w:rPr>
          <w:sz w:val="24"/>
          <w:szCs w:val="24"/>
        </w:rPr>
      </w:pPr>
      <w:r w:rsidRPr="00B90167">
        <w:rPr>
          <w:sz w:val="24"/>
          <w:szCs w:val="24"/>
        </w:rPr>
        <w:t xml:space="preserve">Behandling af systemiske infektioner, luftvejsinfektioner, urinvejsinfektioner og lokale infektioner. Specifikke indikationer omfatter </w:t>
      </w:r>
      <w:proofErr w:type="spellStart"/>
      <w:r w:rsidRPr="00B90167">
        <w:rPr>
          <w:sz w:val="24"/>
          <w:szCs w:val="24"/>
        </w:rPr>
        <w:t>pasteurellose</w:t>
      </w:r>
      <w:proofErr w:type="spellEnd"/>
      <w:r w:rsidRPr="00B90167">
        <w:rPr>
          <w:sz w:val="24"/>
          <w:szCs w:val="24"/>
        </w:rPr>
        <w:t xml:space="preserve">, pneumoni, atrofisk </w:t>
      </w:r>
      <w:proofErr w:type="spellStart"/>
      <w:r w:rsidRPr="00B90167">
        <w:rPr>
          <w:sz w:val="24"/>
          <w:szCs w:val="24"/>
        </w:rPr>
        <w:t>rhinitis</w:t>
      </w:r>
      <w:proofErr w:type="spellEnd"/>
      <w:r w:rsidRPr="00B90167">
        <w:rPr>
          <w:sz w:val="24"/>
          <w:szCs w:val="24"/>
        </w:rPr>
        <w:t xml:space="preserve">, </w:t>
      </w:r>
      <w:proofErr w:type="spellStart"/>
      <w:r w:rsidRPr="00B90167">
        <w:rPr>
          <w:sz w:val="24"/>
          <w:szCs w:val="24"/>
        </w:rPr>
        <w:t>erysipelas</w:t>
      </w:r>
      <w:proofErr w:type="spellEnd"/>
      <w:r w:rsidRPr="00B90167">
        <w:rPr>
          <w:sz w:val="24"/>
          <w:szCs w:val="24"/>
        </w:rPr>
        <w:t xml:space="preserve">, </w:t>
      </w:r>
      <w:proofErr w:type="spellStart"/>
      <w:r w:rsidRPr="00B90167">
        <w:rPr>
          <w:sz w:val="24"/>
          <w:szCs w:val="24"/>
        </w:rPr>
        <w:t>arthritis</w:t>
      </w:r>
      <w:proofErr w:type="spellEnd"/>
      <w:r w:rsidRPr="00B90167">
        <w:rPr>
          <w:sz w:val="24"/>
          <w:szCs w:val="24"/>
        </w:rPr>
        <w:t xml:space="preserve">, </w:t>
      </w:r>
      <w:proofErr w:type="spellStart"/>
      <w:r w:rsidRPr="00B90167">
        <w:rPr>
          <w:sz w:val="24"/>
          <w:szCs w:val="24"/>
        </w:rPr>
        <w:t>omfalitis</w:t>
      </w:r>
      <w:proofErr w:type="spellEnd"/>
      <w:r w:rsidRPr="00B90167">
        <w:rPr>
          <w:sz w:val="24"/>
          <w:szCs w:val="24"/>
        </w:rPr>
        <w:t xml:space="preserve"> og som understøttende behandling af </w:t>
      </w:r>
      <w:proofErr w:type="spellStart"/>
      <w:r w:rsidRPr="00B90167">
        <w:rPr>
          <w:sz w:val="24"/>
          <w:szCs w:val="24"/>
        </w:rPr>
        <w:t>intramammære</w:t>
      </w:r>
      <w:proofErr w:type="spellEnd"/>
      <w:r w:rsidRPr="00B90167">
        <w:rPr>
          <w:sz w:val="24"/>
          <w:szCs w:val="24"/>
        </w:rPr>
        <w:t xml:space="preserve"> infektioner.</w:t>
      </w:r>
    </w:p>
    <w:p w14:paraId="49F0E9DC" w14:textId="77777777" w:rsidR="008203A8" w:rsidRPr="00B90167" w:rsidRDefault="008203A8" w:rsidP="008203A8">
      <w:pPr>
        <w:pStyle w:val="Sidehoved"/>
        <w:ind w:left="851"/>
        <w:rPr>
          <w:szCs w:val="24"/>
        </w:rPr>
      </w:pPr>
    </w:p>
    <w:p w14:paraId="3A487138" w14:textId="77777777" w:rsidR="008203A8" w:rsidRPr="00B90167" w:rsidRDefault="008203A8" w:rsidP="008203A8">
      <w:pPr>
        <w:pStyle w:val="Sidehoved"/>
        <w:tabs>
          <w:tab w:val="clear" w:pos="4819"/>
          <w:tab w:val="left" w:pos="851"/>
        </w:tabs>
        <w:ind w:left="851" w:hanging="851"/>
        <w:rPr>
          <w:b/>
          <w:szCs w:val="24"/>
        </w:rPr>
      </w:pPr>
      <w:r w:rsidRPr="00B90167">
        <w:rPr>
          <w:b/>
          <w:szCs w:val="24"/>
        </w:rPr>
        <w:t>3.3</w:t>
      </w:r>
      <w:r w:rsidRPr="00B90167">
        <w:rPr>
          <w:b/>
          <w:szCs w:val="24"/>
        </w:rPr>
        <w:tab/>
        <w:t>Kontraindikationer</w:t>
      </w:r>
    </w:p>
    <w:p w14:paraId="4025B406" w14:textId="77777777" w:rsidR="004A01C3" w:rsidRPr="00B90167" w:rsidRDefault="004A01C3" w:rsidP="00E22C26">
      <w:pPr>
        <w:ind w:left="851"/>
        <w:rPr>
          <w:sz w:val="24"/>
          <w:szCs w:val="24"/>
        </w:rPr>
      </w:pPr>
      <w:r w:rsidRPr="00B90167">
        <w:rPr>
          <w:sz w:val="24"/>
          <w:szCs w:val="24"/>
        </w:rPr>
        <w:t>Må ikke anvendes i tilfælde af overfølsomhed over for det aktive stof eller over for et eller flere af hjælpestofferne.</w:t>
      </w:r>
    </w:p>
    <w:p w14:paraId="0178132A" w14:textId="77777777" w:rsidR="004A01C3" w:rsidRPr="00B90167" w:rsidRDefault="004A01C3" w:rsidP="00E22C26">
      <w:pPr>
        <w:ind w:left="851"/>
        <w:rPr>
          <w:sz w:val="24"/>
          <w:szCs w:val="24"/>
        </w:rPr>
      </w:pPr>
      <w:r w:rsidRPr="00B90167">
        <w:rPr>
          <w:sz w:val="24"/>
          <w:szCs w:val="24"/>
        </w:rPr>
        <w:t>Må ikke anvendes, hvis der er mistanke om nyre- eller leverskade.</w:t>
      </w:r>
    </w:p>
    <w:p w14:paraId="228A2713" w14:textId="77777777" w:rsidR="008203A8" w:rsidRPr="00B90167" w:rsidRDefault="008203A8" w:rsidP="008203A8">
      <w:pPr>
        <w:pStyle w:val="Sidehoved"/>
        <w:tabs>
          <w:tab w:val="clear" w:pos="4819"/>
        </w:tabs>
        <w:ind w:left="851"/>
        <w:rPr>
          <w:szCs w:val="24"/>
        </w:rPr>
      </w:pPr>
    </w:p>
    <w:p w14:paraId="2909B668" w14:textId="77777777" w:rsidR="008203A8" w:rsidRPr="00B90167" w:rsidRDefault="008203A8" w:rsidP="008203A8">
      <w:pPr>
        <w:tabs>
          <w:tab w:val="left" w:pos="851"/>
        </w:tabs>
        <w:ind w:left="851" w:hanging="851"/>
        <w:rPr>
          <w:b/>
          <w:sz w:val="24"/>
          <w:szCs w:val="24"/>
        </w:rPr>
      </w:pPr>
      <w:r w:rsidRPr="00B90167">
        <w:rPr>
          <w:b/>
          <w:sz w:val="24"/>
          <w:szCs w:val="24"/>
        </w:rPr>
        <w:t>3.4</w:t>
      </w:r>
      <w:r w:rsidRPr="00B90167">
        <w:rPr>
          <w:b/>
          <w:sz w:val="24"/>
          <w:szCs w:val="24"/>
        </w:rPr>
        <w:tab/>
        <w:t>Særlige advarsler</w:t>
      </w:r>
    </w:p>
    <w:p w14:paraId="7D98EAB9" w14:textId="77777777" w:rsidR="004A01C3" w:rsidRPr="00B90167" w:rsidRDefault="004A01C3" w:rsidP="00E22C26">
      <w:pPr>
        <w:ind w:left="851"/>
        <w:rPr>
          <w:sz w:val="24"/>
          <w:szCs w:val="24"/>
        </w:rPr>
      </w:pPr>
      <w:bookmarkStart w:id="1" w:name="_Hlk176263851"/>
      <w:r w:rsidRPr="00B90167">
        <w:rPr>
          <w:sz w:val="24"/>
          <w:szCs w:val="24"/>
        </w:rPr>
        <w:t xml:space="preserve">Der er påvist krydsresistens mellem </w:t>
      </w:r>
      <w:proofErr w:type="spellStart"/>
      <w:r w:rsidRPr="00B90167">
        <w:rPr>
          <w:sz w:val="24"/>
          <w:szCs w:val="24"/>
        </w:rPr>
        <w:t>oxytracyclin</w:t>
      </w:r>
      <w:proofErr w:type="spellEnd"/>
      <w:r w:rsidRPr="00B90167">
        <w:rPr>
          <w:sz w:val="24"/>
          <w:szCs w:val="24"/>
        </w:rPr>
        <w:t xml:space="preserve"> og andre </w:t>
      </w:r>
      <w:proofErr w:type="spellStart"/>
      <w:r w:rsidRPr="00B90167">
        <w:rPr>
          <w:sz w:val="24"/>
          <w:szCs w:val="24"/>
        </w:rPr>
        <w:t>tetracycliner</w:t>
      </w:r>
      <w:proofErr w:type="spellEnd"/>
      <w:r w:rsidRPr="00B90167">
        <w:rPr>
          <w:sz w:val="24"/>
          <w:szCs w:val="24"/>
        </w:rPr>
        <w:t xml:space="preserve">. Brug af veterinærlægemidlet bør overvejes nøje, når følsomhedstest har vist resistens over for </w:t>
      </w:r>
      <w:proofErr w:type="spellStart"/>
      <w:r w:rsidRPr="00B90167">
        <w:rPr>
          <w:sz w:val="24"/>
          <w:szCs w:val="24"/>
        </w:rPr>
        <w:t>tetracycliner</w:t>
      </w:r>
      <w:proofErr w:type="spellEnd"/>
      <w:r w:rsidRPr="00B90167">
        <w:rPr>
          <w:sz w:val="24"/>
          <w:szCs w:val="24"/>
        </w:rPr>
        <w:t>, da veterinærlægemidlets virkning kan være nedsat.</w:t>
      </w:r>
    </w:p>
    <w:bookmarkEnd w:id="1"/>
    <w:p w14:paraId="57A3C474" w14:textId="77777777" w:rsidR="008203A8" w:rsidRPr="00B90167" w:rsidRDefault="008203A8" w:rsidP="008203A8">
      <w:pPr>
        <w:pStyle w:val="Sidehoved"/>
        <w:tabs>
          <w:tab w:val="clear" w:pos="4819"/>
        </w:tabs>
        <w:ind w:left="851"/>
        <w:rPr>
          <w:szCs w:val="24"/>
        </w:rPr>
      </w:pPr>
    </w:p>
    <w:p w14:paraId="40B485DC" w14:textId="77777777" w:rsidR="008203A8" w:rsidRPr="00B90167" w:rsidRDefault="008203A8" w:rsidP="008203A8">
      <w:pPr>
        <w:tabs>
          <w:tab w:val="left" w:pos="851"/>
        </w:tabs>
        <w:ind w:left="851" w:hanging="851"/>
        <w:rPr>
          <w:b/>
          <w:sz w:val="24"/>
          <w:szCs w:val="24"/>
        </w:rPr>
      </w:pPr>
      <w:r w:rsidRPr="00B90167">
        <w:rPr>
          <w:b/>
          <w:sz w:val="24"/>
          <w:szCs w:val="24"/>
        </w:rPr>
        <w:t>3.5</w:t>
      </w:r>
      <w:r w:rsidRPr="00B90167">
        <w:rPr>
          <w:b/>
          <w:sz w:val="24"/>
          <w:szCs w:val="24"/>
        </w:rPr>
        <w:tab/>
        <w:t>Særlige forholdsregler vedrørende brugen</w:t>
      </w:r>
    </w:p>
    <w:p w14:paraId="68801C17" w14:textId="77777777" w:rsidR="008203A8" w:rsidRPr="00B90167" w:rsidRDefault="008203A8" w:rsidP="008203A8">
      <w:pPr>
        <w:tabs>
          <w:tab w:val="left" w:pos="851"/>
        </w:tabs>
        <w:ind w:left="851"/>
        <w:rPr>
          <w:sz w:val="24"/>
          <w:szCs w:val="24"/>
        </w:rPr>
      </w:pPr>
    </w:p>
    <w:p w14:paraId="15C29006" w14:textId="77777777" w:rsidR="008203A8" w:rsidRPr="00B90167" w:rsidRDefault="008203A8" w:rsidP="008203A8">
      <w:pPr>
        <w:tabs>
          <w:tab w:val="left" w:pos="851"/>
        </w:tabs>
        <w:ind w:left="851"/>
        <w:rPr>
          <w:sz w:val="24"/>
          <w:szCs w:val="24"/>
          <w:u w:val="single"/>
        </w:rPr>
      </w:pPr>
      <w:r w:rsidRPr="00B90167">
        <w:rPr>
          <w:sz w:val="24"/>
          <w:szCs w:val="24"/>
          <w:u w:val="single"/>
        </w:rPr>
        <w:t>Særlige forholdsregler vedrørende sikker brug hos de dyrearter, som lægemidlet er beregnet til</w:t>
      </w:r>
    </w:p>
    <w:p w14:paraId="3EF0E967" w14:textId="77777777" w:rsidR="004A01C3" w:rsidRPr="00B90167" w:rsidRDefault="004A01C3" w:rsidP="00E22C26">
      <w:pPr>
        <w:ind w:left="851"/>
        <w:rPr>
          <w:sz w:val="24"/>
          <w:szCs w:val="24"/>
        </w:rPr>
      </w:pPr>
      <w:r w:rsidRPr="00B90167">
        <w:rPr>
          <w:sz w:val="24"/>
          <w:szCs w:val="24"/>
        </w:rPr>
        <w:t>I tilfælde af samtidig behandling med andre veterinærlægemidler anvendes forskellige injektionssteder.</w:t>
      </w:r>
    </w:p>
    <w:p w14:paraId="3B36E770" w14:textId="77777777" w:rsidR="004A01C3" w:rsidRPr="00B90167" w:rsidRDefault="004A01C3" w:rsidP="00E22C26">
      <w:pPr>
        <w:ind w:left="851"/>
        <w:rPr>
          <w:sz w:val="24"/>
          <w:szCs w:val="24"/>
        </w:rPr>
      </w:pPr>
      <w:r w:rsidRPr="00B90167">
        <w:rPr>
          <w:sz w:val="24"/>
          <w:szCs w:val="24"/>
        </w:rPr>
        <w:t>Anvendelse af veterinærlægemidlet bør baseres på identificering og følsomhedsbestemmelse af målbakterie(r). Hvis dette ikke er muligt, skal behandlingen baseres på epidemiologisk information og viden om målbakteriens følsomhed på bedriftsplan eller på lokalt/regionalt plan.</w:t>
      </w:r>
    </w:p>
    <w:p w14:paraId="4459976B" w14:textId="77777777" w:rsidR="004A01C3" w:rsidRPr="00B90167" w:rsidRDefault="004A01C3" w:rsidP="00E22C26">
      <w:pPr>
        <w:ind w:left="851"/>
        <w:rPr>
          <w:sz w:val="24"/>
          <w:szCs w:val="24"/>
          <w:highlight w:val="yellow"/>
        </w:rPr>
      </w:pPr>
      <w:r w:rsidRPr="00B90167">
        <w:rPr>
          <w:sz w:val="24"/>
          <w:szCs w:val="24"/>
        </w:rPr>
        <w:t xml:space="preserve">Hvis følsomhedsbestemmelse antyder at </w:t>
      </w:r>
      <w:proofErr w:type="gramStart"/>
      <w:r w:rsidRPr="00B90167">
        <w:rPr>
          <w:sz w:val="24"/>
          <w:szCs w:val="24"/>
        </w:rPr>
        <w:t>et smalspektret</w:t>
      </w:r>
      <w:proofErr w:type="gramEnd"/>
      <w:r w:rsidRPr="00B90167">
        <w:rPr>
          <w:sz w:val="24"/>
          <w:szCs w:val="24"/>
        </w:rPr>
        <w:t xml:space="preserve"> antibiotika, med en lavere risiko for antimikrobiel resistens, er effektivt, bør dette anvendes som førstevalgsbehandling.</w:t>
      </w:r>
    </w:p>
    <w:p w14:paraId="3C12B4A5" w14:textId="77777777" w:rsidR="004A01C3" w:rsidRPr="00B90167" w:rsidRDefault="004A01C3" w:rsidP="00E22C26">
      <w:pPr>
        <w:ind w:left="851"/>
        <w:rPr>
          <w:sz w:val="24"/>
          <w:szCs w:val="24"/>
          <w:highlight w:val="yellow"/>
        </w:rPr>
      </w:pPr>
    </w:p>
    <w:p w14:paraId="34A8F070" w14:textId="77777777" w:rsidR="004A01C3" w:rsidRPr="00B90167" w:rsidRDefault="004A01C3" w:rsidP="00E22C26">
      <w:pPr>
        <w:ind w:left="851"/>
        <w:rPr>
          <w:sz w:val="24"/>
          <w:szCs w:val="24"/>
          <w:highlight w:val="yellow"/>
        </w:rPr>
      </w:pPr>
      <w:bookmarkStart w:id="2" w:name="_Hlk176335712"/>
      <w:r w:rsidRPr="00B90167">
        <w:rPr>
          <w:sz w:val="24"/>
          <w:szCs w:val="24"/>
        </w:rPr>
        <w:t xml:space="preserve">Fodring af kalve med spildmælk, der indeholder rester af </w:t>
      </w:r>
      <w:proofErr w:type="spellStart"/>
      <w:r w:rsidRPr="00B90167">
        <w:rPr>
          <w:sz w:val="24"/>
          <w:szCs w:val="24"/>
        </w:rPr>
        <w:t>oxytetracyclin</w:t>
      </w:r>
      <w:proofErr w:type="spellEnd"/>
      <w:r w:rsidRPr="00B90167">
        <w:rPr>
          <w:sz w:val="24"/>
          <w:szCs w:val="24"/>
        </w:rPr>
        <w:t>, bør undgås indtil tilbageholdelsestidens udløb (undtagen i råmælksfasen), da det kan fremme antibiotikaresistente bakterier i kalvens tarmflora og øge den fækale udskillelse af disse bakterier.</w:t>
      </w:r>
    </w:p>
    <w:bookmarkEnd w:id="2"/>
    <w:p w14:paraId="501CD200" w14:textId="77777777" w:rsidR="004A01C3" w:rsidRPr="00B90167" w:rsidRDefault="004A01C3" w:rsidP="00E22C26">
      <w:pPr>
        <w:ind w:left="851"/>
        <w:rPr>
          <w:sz w:val="24"/>
          <w:szCs w:val="24"/>
          <w:highlight w:val="yellow"/>
        </w:rPr>
      </w:pPr>
    </w:p>
    <w:p w14:paraId="7CB1379E" w14:textId="77777777" w:rsidR="004A01C3" w:rsidRPr="00B90167" w:rsidRDefault="004A01C3" w:rsidP="00E22C26">
      <w:pPr>
        <w:ind w:left="851"/>
        <w:rPr>
          <w:sz w:val="24"/>
          <w:szCs w:val="24"/>
        </w:rPr>
      </w:pPr>
      <w:r w:rsidRPr="00B90167">
        <w:rPr>
          <w:sz w:val="24"/>
          <w:szCs w:val="24"/>
        </w:rPr>
        <w:t>Anvendelse af veterinærlægemidlet bør ske i overensstemmelse med den officielle, nationale og lokale antibiotikapolitik.</w:t>
      </w:r>
    </w:p>
    <w:p w14:paraId="35AF9EA3" w14:textId="77777777" w:rsidR="004A01C3" w:rsidRPr="00B90167" w:rsidRDefault="004A01C3" w:rsidP="00E22C26">
      <w:pPr>
        <w:ind w:left="851"/>
        <w:rPr>
          <w:sz w:val="24"/>
          <w:szCs w:val="24"/>
        </w:rPr>
      </w:pPr>
    </w:p>
    <w:p w14:paraId="2D659EF8" w14:textId="77777777" w:rsidR="004A01C3" w:rsidRPr="00B90167" w:rsidRDefault="004A01C3" w:rsidP="00E22C26">
      <w:pPr>
        <w:ind w:left="851"/>
        <w:rPr>
          <w:sz w:val="24"/>
          <w:szCs w:val="24"/>
        </w:rPr>
      </w:pPr>
      <w:bookmarkStart w:id="3" w:name="_Hlk176289382"/>
      <w:r w:rsidRPr="00B90167">
        <w:rPr>
          <w:sz w:val="24"/>
          <w:szCs w:val="24"/>
        </w:rPr>
        <w:t>Dette veterinærlægemiddel bør ikke anvendes til nyfødte dyr eller dehydrerede dyr.</w:t>
      </w:r>
      <w:bookmarkEnd w:id="3"/>
    </w:p>
    <w:p w14:paraId="21075F5D" w14:textId="77777777" w:rsidR="008203A8" w:rsidRPr="00B90167" w:rsidRDefault="008203A8" w:rsidP="008203A8">
      <w:pPr>
        <w:tabs>
          <w:tab w:val="left" w:pos="851"/>
        </w:tabs>
        <w:ind w:left="851"/>
        <w:rPr>
          <w:sz w:val="24"/>
          <w:szCs w:val="24"/>
        </w:rPr>
      </w:pPr>
    </w:p>
    <w:p w14:paraId="32E2450F" w14:textId="77777777" w:rsidR="008203A8" w:rsidRPr="00B90167" w:rsidRDefault="008203A8" w:rsidP="008203A8">
      <w:pPr>
        <w:tabs>
          <w:tab w:val="left" w:pos="851"/>
        </w:tabs>
        <w:ind w:left="851"/>
        <w:rPr>
          <w:sz w:val="24"/>
          <w:szCs w:val="24"/>
          <w:u w:val="single"/>
        </w:rPr>
      </w:pPr>
      <w:r w:rsidRPr="00B90167">
        <w:rPr>
          <w:sz w:val="24"/>
          <w:szCs w:val="24"/>
          <w:u w:val="single"/>
        </w:rPr>
        <w:t>Særlige forholdsregler for personer, der administrerer veterinærlægemidlet til dyr</w:t>
      </w:r>
    </w:p>
    <w:p w14:paraId="2F2C178A" w14:textId="77777777" w:rsidR="004A01C3" w:rsidRPr="00B90167" w:rsidRDefault="004A01C3" w:rsidP="00E22C26">
      <w:pPr>
        <w:numPr>
          <w:ilvl w:val="0"/>
          <w:numId w:val="4"/>
        </w:numPr>
        <w:spacing w:after="5" w:line="247" w:lineRule="auto"/>
        <w:ind w:left="1276" w:right="63" w:hanging="425"/>
        <w:contextualSpacing/>
        <w:rPr>
          <w:rFonts w:eastAsiaTheme="minorHAnsi"/>
          <w:color w:val="000000"/>
          <w:sz w:val="24"/>
          <w:szCs w:val="24"/>
        </w:rPr>
      </w:pPr>
      <w:r w:rsidRPr="00B90167">
        <w:rPr>
          <w:color w:val="000000"/>
          <w:sz w:val="24"/>
          <w:szCs w:val="24"/>
          <w:lang w:eastAsia="ga-IE"/>
        </w:rPr>
        <w:t xml:space="preserve">Dette veterinærlægemiddel indeholder </w:t>
      </w:r>
      <w:proofErr w:type="spellStart"/>
      <w:r w:rsidRPr="00B90167">
        <w:rPr>
          <w:color w:val="000000"/>
          <w:sz w:val="24"/>
          <w:szCs w:val="24"/>
          <w:lang w:eastAsia="ga-IE"/>
        </w:rPr>
        <w:t>dimethylacetamid</w:t>
      </w:r>
      <w:proofErr w:type="spellEnd"/>
      <w:r w:rsidRPr="00B90167">
        <w:rPr>
          <w:color w:val="000000"/>
          <w:sz w:val="24"/>
          <w:szCs w:val="24"/>
          <w:lang w:eastAsia="ga-IE"/>
        </w:rPr>
        <w:t>, der kan påvirke fosterudviklingen hos mennesker. Veterinærlægemidlet bør derfor ikke administreres af gravide og kvinder i den fødedygtige alder.</w:t>
      </w:r>
    </w:p>
    <w:p w14:paraId="498FE239" w14:textId="77777777" w:rsidR="004A01C3" w:rsidRPr="00B90167" w:rsidRDefault="004A01C3" w:rsidP="00E22C26">
      <w:pPr>
        <w:numPr>
          <w:ilvl w:val="0"/>
          <w:numId w:val="4"/>
        </w:numPr>
        <w:autoSpaceDE w:val="0"/>
        <w:autoSpaceDN w:val="0"/>
        <w:adjustRightInd w:val="0"/>
        <w:spacing w:after="148"/>
        <w:ind w:left="1276" w:hanging="425"/>
        <w:contextualSpacing/>
        <w:rPr>
          <w:rFonts w:eastAsiaTheme="minorHAnsi"/>
          <w:color w:val="000000"/>
          <w:sz w:val="24"/>
          <w:szCs w:val="24"/>
        </w:rPr>
      </w:pPr>
      <w:bookmarkStart w:id="4" w:name="_Hlk176289505"/>
      <w:r w:rsidRPr="00B90167">
        <w:rPr>
          <w:rFonts w:eastAsiaTheme="minorHAnsi"/>
          <w:color w:val="000000"/>
          <w:sz w:val="24"/>
          <w:szCs w:val="24"/>
        </w:rPr>
        <w:t>Veterinærlægemidlet kan forårsage overfølsomhed.</w:t>
      </w:r>
    </w:p>
    <w:p w14:paraId="2FE67D6C" w14:textId="77777777" w:rsidR="004A01C3" w:rsidRPr="00B90167" w:rsidRDefault="004A01C3" w:rsidP="00E22C26">
      <w:pPr>
        <w:numPr>
          <w:ilvl w:val="0"/>
          <w:numId w:val="4"/>
        </w:numPr>
        <w:autoSpaceDE w:val="0"/>
        <w:autoSpaceDN w:val="0"/>
        <w:adjustRightInd w:val="0"/>
        <w:spacing w:after="148"/>
        <w:ind w:left="1276" w:hanging="425"/>
        <w:contextualSpacing/>
        <w:rPr>
          <w:rFonts w:eastAsiaTheme="minorHAnsi"/>
          <w:color w:val="000000"/>
          <w:sz w:val="24"/>
          <w:szCs w:val="24"/>
        </w:rPr>
      </w:pPr>
      <w:bookmarkStart w:id="5" w:name="_Hlk176289588"/>
      <w:bookmarkEnd w:id="4"/>
      <w:r w:rsidRPr="00B90167">
        <w:rPr>
          <w:rFonts w:eastAsiaTheme="minorHAnsi"/>
          <w:color w:val="000000"/>
          <w:sz w:val="24"/>
          <w:szCs w:val="24"/>
        </w:rPr>
        <w:lastRenderedPageBreak/>
        <w:t xml:space="preserve">Ved overfølsomhed over for </w:t>
      </w:r>
      <w:proofErr w:type="spellStart"/>
      <w:r w:rsidRPr="00B90167">
        <w:rPr>
          <w:rFonts w:eastAsiaTheme="minorHAnsi"/>
          <w:color w:val="000000"/>
          <w:sz w:val="24"/>
          <w:szCs w:val="24"/>
        </w:rPr>
        <w:t>tetracycliner</w:t>
      </w:r>
      <w:proofErr w:type="spellEnd"/>
      <w:r w:rsidRPr="00B90167">
        <w:rPr>
          <w:rFonts w:eastAsiaTheme="minorHAnsi"/>
          <w:color w:val="000000"/>
          <w:sz w:val="24"/>
          <w:szCs w:val="24"/>
        </w:rPr>
        <w:t xml:space="preserve"> såsom </w:t>
      </w:r>
      <w:proofErr w:type="spellStart"/>
      <w:r w:rsidRPr="00B90167">
        <w:rPr>
          <w:rFonts w:eastAsiaTheme="minorHAnsi"/>
          <w:color w:val="000000"/>
          <w:sz w:val="24"/>
          <w:szCs w:val="24"/>
        </w:rPr>
        <w:t>oxytetracyclin</w:t>
      </w:r>
      <w:proofErr w:type="spellEnd"/>
      <w:r w:rsidRPr="00B90167">
        <w:rPr>
          <w:rFonts w:eastAsiaTheme="minorHAnsi"/>
          <w:color w:val="000000"/>
          <w:sz w:val="24"/>
          <w:szCs w:val="24"/>
        </w:rPr>
        <w:t>, bør kontakt med veterinærlægemidlet undgås.</w:t>
      </w:r>
    </w:p>
    <w:p w14:paraId="38667479" w14:textId="77777777" w:rsidR="004A01C3" w:rsidRPr="00B90167" w:rsidRDefault="004A01C3" w:rsidP="00E22C26">
      <w:pPr>
        <w:numPr>
          <w:ilvl w:val="0"/>
          <w:numId w:val="4"/>
        </w:numPr>
        <w:autoSpaceDE w:val="0"/>
        <w:autoSpaceDN w:val="0"/>
        <w:adjustRightInd w:val="0"/>
        <w:spacing w:after="148"/>
        <w:ind w:left="1276" w:hanging="425"/>
        <w:contextualSpacing/>
        <w:rPr>
          <w:rFonts w:eastAsiaTheme="minorHAnsi"/>
          <w:color w:val="000000"/>
          <w:sz w:val="24"/>
          <w:szCs w:val="24"/>
        </w:rPr>
      </w:pPr>
      <w:bookmarkStart w:id="6" w:name="_Hlk176289886"/>
      <w:bookmarkEnd w:id="5"/>
      <w:r w:rsidRPr="00B90167">
        <w:rPr>
          <w:rFonts w:eastAsiaTheme="minorHAnsi"/>
          <w:color w:val="000000"/>
          <w:sz w:val="24"/>
          <w:szCs w:val="24"/>
        </w:rPr>
        <w:t>Veterinærlægemidlet kan forårsage hud- og øjenirritation.</w:t>
      </w:r>
    </w:p>
    <w:p w14:paraId="4D8F106F" w14:textId="77777777" w:rsidR="004A01C3" w:rsidRPr="00B90167" w:rsidRDefault="004A01C3" w:rsidP="00E22C26">
      <w:pPr>
        <w:numPr>
          <w:ilvl w:val="0"/>
          <w:numId w:val="4"/>
        </w:numPr>
        <w:autoSpaceDE w:val="0"/>
        <w:autoSpaceDN w:val="0"/>
        <w:adjustRightInd w:val="0"/>
        <w:spacing w:after="148"/>
        <w:ind w:left="1276" w:hanging="425"/>
        <w:contextualSpacing/>
        <w:rPr>
          <w:rFonts w:eastAsiaTheme="minorHAnsi"/>
          <w:color w:val="000000"/>
          <w:sz w:val="24"/>
          <w:szCs w:val="24"/>
        </w:rPr>
      </w:pPr>
      <w:bookmarkStart w:id="7" w:name="_Hlk176289705"/>
      <w:bookmarkEnd w:id="6"/>
      <w:r w:rsidRPr="00B90167">
        <w:rPr>
          <w:rFonts w:eastAsiaTheme="minorHAnsi"/>
          <w:color w:val="000000"/>
          <w:sz w:val="24"/>
          <w:szCs w:val="24"/>
        </w:rPr>
        <w:t>Undgå at veterinærlægemidlet kommer i kontakt med hud og øjne. I tilfælde af utilsigtet kontakt med hud eller øjne, skylles der med rigelige mængder rent vand.</w:t>
      </w:r>
    </w:p>
    <w:p w14:paraId="0476614C" w14:textId="77777777" w:rsidR="004A01C3" w:rsidRPr="00B90167" w:rsidRDefault="004A01C3" w:rsidP="00E22C26">
      <w:pPr>
        <w:numPr>
          <w:ilvl w:val="0"/>
          <w:numId w:val="4"/>
        </w:numPr>
        <w:autoSpaceDE w:val="0"/>
        <w:autoSpaceDN w:val="0"/>
        <w:adjustRightInd w:val="0"/>
        <w:spacing w:after="148"/>
        <w:ind w:left="1276" w:hanging="425"/>
        <w:contextualSpacing/>
        <w:rPr>
          <w:rFonts w:eastAsiaTheme="minorHAnsi"/>
          <w:color w:val="000000"/>
          <w:sz w:val="24"/>
          <w:szCs w:val="24"/>
        </w:rPr>
      </w:pPr>
      <w:r w:rsidRPr="00B90167">
        <w:rPr>
          <w:rFonts w:eastAsiaTheme="minorHAnsi"/>
          <w:color w:val="000000"/>
          <w:sz w:val="24"/>
          <w:szCs w:val="24"/>
        </w:rPr>
        <w:t>Der skal udvises forsigtighed for at undgå selvinjektion. I tilfælde af utilsigtet selvinjektion ved hændeligt uheld skal der straks søges lægehjælp, og indlægssedlen eller etiketten bør vises til lægen.</w:t>
      </w:r>
    </w:p>
    <w:p w14:paraId="4C7F5476" w14:textId="77777777" w:rsidR="004A01C3" w:rsidRPr="00B90167" w:rsidRDefault="004A01C3" w:rsidP="00E22C26">
      <w:pPr>
        <w:numPr>
          <w:ilvl w:val="0"/>
          <w:numId w:val="4"/>
        </w:numPr>
        <w:autoSpaceDE w:val="0"/>
        <w:autoSpaceDN w:val="0"/>
        <w:adjustRightInd w:val="0"/>
        <w:ind w:left="1276" w:hanging="425"/>
        <w:contextualSpacing/>
        <w:rPr>
          <w:rFonts w:eastAsiaTheme="minorHAnsi"/>
          <w:color w:val="000000"/>
          <w:sz w:val="24"/>
          <w:szCs w:val="24"/>
        </w:rPr>
      </w:pPr>
      <w:bookmarkStart w:id="8" w:name="_Hlk176289841"/>
      <w:bookmarkEnd w:id="7"/>
      <w:r w:rsidRPr="00B90167">
        <w:rPr>
          <w:rFonts w:eastAsiaTheme="minorHAnsi"/>
          <w:color w:val="000000"/>
          <w:sz w:val="24"/>
          <w:szCs w:val="24"/>
        </w:rPr>
        <w:t>Vask hænderne efter brug.</w:t>
      </w:r>
      <w:bookmarkEnd w:id="8"/>
    </w:p>
    <w:p w14:paraId="25AD0F8B" w14:textId="77777777" w:rsidR="008203A8" w:rsidRPr="00B90167" w:rsidRDefault="008203A8" w:rsidP="008203A8">
      <w:pPr>
        <w:tabs>
          <w:tab w:val="left" w:pos="851"/>
        </w:tabs>
        <w:ind w:left="851"/>
        <w:rPr>
          <w:sz w:val="24"/>
          <w:szCs w:val="24"/>
        </w:rPr>
      </w:pPr>
    </w:p>
    <w:p w14:paraId="7B3A163E" w14:textId="77777777" w:rsidR="008203A8" w:rsidRPr="00B90167" w:rsidRDefault="008203A8" w:rsidP="008203A8">
      <w:pPr>
        <w:tabs>
          <w:tab w:val="left" w:pos="851"/>
        </w:tabs>
        <w:ind w:left="851"/>
        <w:rPr>
          <w:sz w:val="24"/>
          <w:szCs w:val="24"/>
          <w:u w:val="single"/>
        </w:rPr>
      </w:pPr>
      <w:r w:rsidRPr="00B90167">
        <w:rPr>
          <w:sz w:val="24"/>
          <w:szCs w:val="24"/>
          <w:u w:val="single"/>
        </w:rPr>
        <w:t>Særlige forholdsregler vedrørende beskyttelse af miljøet</w:t>
      </w:r>
    </w:p>
    <w:p w14:paraId="177E131F" w14:textId="77777777" w:rsidR="004A01C3" w:rsidRPr="00B90167" w:rsidRDefault="004A01C3" w:rsidP="00E22C26">
      <w:pPr>
        <w:ind w:left="851"/>
        <w:rPr>
          <w:sz w:val="24"/>
          <w:szCs w:val="24"/>
        </w:rPr>
      </w:pPr>
      <w:r w:rsidRPr="00B90167">
        <w:rPr>
          <w:sz w:val="24"/>
          <w:szCs w:val="24"/>
        </w:rPr>
        <w:t>Ikke relevant.</w:t>
      </w:r>
    </w:p>
    <w:p w14:paraId="3ADC55C4" w14:textId="77777777" w:rsidR="008203A8" w:rsidRPr="00B90167" w:rsidRDefault="008203A8" w:rsidP="008203A8">
      <w:pPr>
        <w:tabs>
          <w:tab w:val="left" w:pos="851"/>
        </w:tabs>
        <w:ind w:left="851"/>
        <w:rPr>
          <w:sz w:val="24"/>
          <w:szCs w:val="24"/>
        </w:rPr>
      </w:pPr>
    </w:p>
    <w:p w14:paraId="31D311BA" w14:textId="77777777" w:rsidR="008203A8" w:rsidRPr="00B90167" w:rsidRDefault="008203A8" w:rsidP="008203A8">
      <w:pPr>
        <w:tabs>
          <w:tab w:val="left" w:pos="851"/>
        </w:tabs>
        <w:ind w:left="851" w:hanging="851"/>
        <w:rPr>
          <w:b/>
          <w:sz w:val="24"/>
          <w:szCs w:val="24"/>
        </w:rPr>
      </w:pPr>
      <w:r w:rsidRPr="00B90167">
        <w:rPr>
          <w:b/>
          <w:sz w:val="24"/>
          <w:szCs w:val="24"/>
        </w:rPr>
        <w:t>3.6</w:t>
      </w:r>
      <w:r w:rsidRPr="00B90167">
        <w:rPr>
          <w:b/>
          <w:sz w:val="24"/>
          <w:szCs w:val="24"/>
        </w:rPr>
        <w:tab/>
        <w:t>Bivirkninger</w:t>
      </w:r>
    </w:p>
    <w:p w14:paraId="6E1569BA" w14:textId="77777777" w:rsidR="004A01C3" w:rsidRPr="00B90167" w:rsidRDefault="004A01C3" w:rsidP="00A60B04">
      <w:pPr>
        <w:ind w:left="851"/>
        <w:rPr>
          <w:sz w:val="24"/>
          <w:szCs w:val="24"/>
        </w:rPr>
      </w:pPr>
      <w:bookmarkStart w:id="9" w:name="_Hlk176292038"/>
      <w:r w:rsidRPr="00B90167">
        <w:rPr>
          <w:sz w:val="24"/>
          <w:szCs w:val="24"/>
        </w:rPr>
        <w:t>Kvæg, får og svin.</w:t>
      </w: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4426"/>
      </w:tblGrid>
      <w:tr w:rsidR="004A01C3" w:rsidRPr="00B90167" w14:paraId="2D63789A" w14:textId="77777777" w:rsidTr="00A60B04">
        <w:tc>
          <w:tcPr>
            <w:tcW w:w="2482" w:type="pct"/>
            <w:tcBorders>
              <w:top w:val="single" w:sz="4" w:space="0" w:color="auto"/>
              <w:left w:val="single" w:sz="4" w:space="0" w:color="auto"/>
              <w:bottom w:val="single" w:sz="4" w:space="0" w:color="auto"/>
              <w:right w:val="single" w:sz="4" w:space="0" w:color="auto"/>
            </w:tcBorders>
            <w:hideMark/>
          </w:tcPr>
          <w:p w14:paraId="4685E574" w14:textId="77777777" w:rsidR="004A01C3" w:rsidRPr="00B90167" w:rsidRDefault="004A01C3">
            <w:pPr>
              <w:spacing w:before="60" w:after="60"/>
              <w:rPr>
                <w:sz w:val="24"/>
                <w:szCs w:val="24"/>
              </w:rPr>
            </w:pPr>
            <w:bookmarkStart w:id="10" w:name="_Hlk176292055"/>
            <w:bookmarkEnd w:id="9"/>
            <w:r w:rsidRPr="00B90167">
              <w:rPr>
                <w:sz w:val="24"/>
                <w:szCs w:val="24"/>
              </w:rPr>
              <w:t>Meget sjælden</w:t>
            </w:r>
          </w:p>
          <w:p w14:paraId="19C067BD" w14:textId="77777777" w:rsidR="004A01C3" w:rsidRPr="00B90167" w:rsidRDefault="004A01C3">
            <w:pPr>
              <w:spacing w:before="60" w:after="60"/>
              <w:rPr>
                <w:sz w:val="24"/>
                <w:szCs w:val="24"/>
              </w:rPr>
            </w:pPr>
            <w:r w:rsidRPr="00B90167">
              <w:rPr>
                <w:sz w:val="24"/>
                <w:szCs w:val="24"/>
              </w:rPr>
              <w:t>(&lt; 1 dyr ud af 10.000 behandlede dyr, herunder enkeltstående indberetninger):</w:t>
            </w:r>
          </w:p>
        </w:tc>
        <w:tc>
          <w:tcPr>
            <w:tcW w:w="2518" w:type="pct"/>
            <w:tcBorders>
              <w:top w:val="single" w:sz="4" w:space="0" w:color="auto"/>
              <w:left w:val="single" w:sz="4" w:space="0" w:color="auto"/>
              <w:bottom w:val="single" w:sz="4" w:space="0" w:color="auto"/>
              <w:right w:val="single" w:sz="4" w:space="0" w:color="auto"/>
            </w:tcBorders>
            <w:hideMark/>
          </w:tcPr>
          <w:p w14:paraId="055873EA" w14:textId="26A47327" w:rsidR="004A01C3" w:rsidRPr="00B90167" w:rsidRDefault="004A01C3">
            <w:pPr>
              <w:spacing w:before="60" w:after="60"/>
              <w:rPr>
                <w:iCs/>
                <w:sz w:val="24"/>
                <w:szCs w:val="24"/>
              </w:rPr>
            </w:pPr>
            <w:r w:rsidRPr="00B90167">
              <w:rPr>
                <w:sz w:val="24"/>
                <w:szCs w:val="24"/>
              </w:rPr>
              <w:t>Overfølsomhedsreaktion, inklusiv</w:t>
            </w:r>
            <w:r w:rsidR="00A762BA">
              <w:rPr>
                <w:sz w:val="24"/>
                <w:szCs w:val="24"/>
              </w:rPr>
              <w:t>e</w:t>
            </w:r>
            <w:r w:rsidRPr="00B90167">
              <w:rPr>
                <w:sz w:val="24"/>
                <w:szCs w:val="24"/>
              </w:rPr>
              <w:t xml:space="preserve"> anafylaksi</w:t>
            </w:r>
            <w:r w:rsidRPr="00B90167">
              <w:rPr>
                <w:sz w:val="24"/>
                <w:szCs w:val="24"/>
                <w:vertAlign w:val="superscript"/>
              </w:rPr>
              <w:t>1</w:t>
            </w:r>
          </w:p>
        </w:tc>
      </w:tr>
      <w:tr w:rsidR="004A01C3" w:rsidRPr="00B90167" w14:paraId="02914A62" w14:textId="77777777" w:rsidTr="00A60B04">
        <w:tc>
          <w:tcPr>
            <w:tcW w:w="2482" w:type="pct"/>
            <w:tcBorders>
              <w:top w:val="single" w:sz="4" w:space="0" w:color="auto"/>
              <w:left w:val="single" w:sz="4" w:space="0" w:color="auto"/>
              <w:bottom w:val="single" w:sz="4" w:space="0" w:color="auto"/>
              <w:right w:val="single" w:sz="4" w:space="0" w:color="auto"/>
            </w:tcBorders>
            <w:hideMark/>
          </w:tcPr>
          <w:p w14:paraId="5C16864F" w14:textId="77777777" w:rsidR="004A01C3" w:rsidRPr="00B90167" w:rsidRDefault="004A01C3">
            <w:pPr>
              <w:spacing w:before="60" w:after="60"/>
              <w:rPr>
                <w:sz w:val="24"/>
                <w:szCs w:val="24"/>
              </w:rPr>
            </w:pPr>
            <w:r w:rsidRPr="00B90167">
              <w:rPr>
                <w:sz w:val="24"/>
                <w:szCs w:val="24"/>
              </w:rPr>
              <w:t>Ikke kendt hyppighed</w:t>
            </w:r>
          </w:p>
          <w:p w14:paraId="672B60C9" w14:textId="77777777" w:rsidR="004A01C3" w:rsidRPr="00B90167" w:rsidRDefault="004A01C3">
            <w:pPr>
              <w:spacing w:before="60" w:after="60"/>
              <w:rPr>
                <w:sz w:val="24"/>
                <w:szCs w:val="24"/>
              </w:rPr>
            </w:pPr>
            <w:r w:rsidRPr="00B90167">
              <w:rPr>
                <w:sz w:val="24"/>
                <w:szCs w:val="24"/>
              </w:rPr>
              <w:t>(kan ikke estimeres ud fra forhåndenværende data)</w:t>
            </w:r>
          </w:p>
        </w:tc>
        <w:tc>
          <w:tcPr>
            <w:tcW w:w="2518" w:type="pct"/>
            <w:tcBorders>
              <w:top w:val="single" w:sz="4" w:space="0" w:color="auto"/>
              <w:left w:val="single" w:sz="4" w:space="0" w:color="auto"/>
              <w:bottom w:val="single" w:sz="4" w:space="0" w:color="auto"/>
              <w:right w:val="single" w:sz="4" w:space="0" w:color="auto"/>
            </w:tcBorders>
          </w:tcPr>
          <w:p w14:paraId="02E411F3" w14:textId="383494BE" w:rsidR="004A01C3" w:rsidRPr="00B90167" w:rsidRDefault="004A01C3" w:rsidP="00A60B04">
            <w:pPr>
              <w:spacing w:before="60" w:after="60"/>
              <w:rPr>
                <w:rFonts w:eastAsia="Verdana"/>
                <w:sz w:val="24"/>
                <w:szCs w:val="24"/>
                <w:lang w:eastAsia="en-GB"/>
              </w:rPr>
            </w:pPr>
            <w:r w:rsidRPr="00B90167">
              <w:rPr>
                <w:sz w:val="24"/>
                <w:szCs w:val="24"/>
              </w:rPr>
              <w:t>Reaktioner på injektionsstedet</w:t>
            </w:r>
            <w:r w:rsidRPr="00B90167">
              <w:rPr>
                <w:sz w:val="24"/>
                <w:szCs w:val="24"/>
                <w:vertAlign w:val="superscript"/>
              </w:rPr>
              <w:t>2</w:t>
            </w:r>
          </w:p>
        </w:tc>
      </w:tr>
    </w:tbl>
    <w:p w14:paraId="1ADF4070" w14:textId="77777777" w:rsidR="004A01C3" w:rsidRPr="00B90167" w:rsidRDefault="004A01C3" w:rsidP="00A60B04">
      <w:pPr>
        <w:ind w:left="851"/>
        <w:rPr>
          <w:sz w:val="24"/>
          <w:szCs w:val="24"/>
        </w:rPr>
      </w:pPr>
      <w:bookmarkStart w:id="11" w:name="_Hlk176292079"/>
      <w:bookmarkEnd w:id="10"/>
      <w:r w:rsidRPr="00B90167">
        <w:rPr>
          <w:sz w:val="24"/>
          <w:szCs w:val="24"/>
          <w:vertAlign w:val="superscript"/>
        </w:rPr>
        <w:t>1</w:t>
      </w:r>
      <w:r w:rsidRPr="00B90167">
        <w:rPr>
          <w:sz w:val="24"/>
          <w:szCs w:val="24"/>
        </w:rPr>
        <w:t xml:space="preserve"> Nogle gange dødelig. </w:t>
      </w:r>
    </w:p>
    <w:p w14:paraId="01B7C0F5" w14:textId="77777777" w:rsidR="004A01C3" w:rsidRPr="00B90167" w:rsidRDefault="004A01C3" w:rsidP="00A60B04">
      <w:pPr>
        <w:ind w:left="851"/>
        <w:rPr>
          <w:sz w:val="24"/>
          <w:szCs w:val="24"/>
        </w:rPr>
      </w:pPr>
      <w:r w:rsidRPr="00B90167">
        <w:rPr>
          <w:sz w:val="24"/>
          <w:szCs w:val="24"/>
          <w:vertAlign w:val="superscript"/>
        </w:rPr>
        <w:t>2</w:t>
      </w:r>
      <w:r w:rsidRPr="00B90167">
        <w:rPr>
          <w:sz w:val="24"/>
          <w:szCs w:val="24"/>
        </w:rPr>
        <w:t xml:space="preserve"> Milde og forbigående.</w:t>
      </w:r>
    </w:p>
    <w:bookmarkEnd w:id="11"/>
    <w:p w14:paraId="017232A7" w14:textId="77777777" w:rsidR="004A01C3" w:rsidRPr="00B90167" w:rsidRDefault="004A01C3" w:rsidP="004A01C3">
      <w:pPr>
        <w:tabs>
          <w:tab w:val="left" w:pos="1304"/>
        </w:tabs>
        <w:rPr>
          <w:sz w:val="24"/>
          <w:szCs w:val="24"/>
        </w:rPr>
      </w:pPr>
    </w:p>
    <w:p w14:paraId="150DD444" w14:textId="77777777" w:rsidR="004A01C3" w:rsidRPr="00B90167" w:rsidRDefault="004A01C3" w:rsidP="00A60B04">
      <w:pPr>
        <w:ind w:left="851"/>
        <w:rPr>
          <w:sz w:val="24"/>
          <w:szCs w:val="24"/>
        </w:rPr>
      </w:pPr>
      <w:bookmarkStart w:id="12" w:name="_Hlk66891708"/>
      <w:r w:rsidRPr="00B90167">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p>
    <w:bookmarkEnd w:id="12"/>
    <w:p w14:paraId="237B34A6" w14:textId="77777777" w:rsidR="008203A8" w:rsidRPr="00B90167" w:rsidRDefault="008203A8" w:rsidP="008203A8">
      <w:pPr>
        <w:tabs>
          <w:tab w:val="left" w:pos="851"/>
        </w:tabs>
        <w:ind w:left="851"/>
        <w:rPr>
          <w:sz w:val="24"/>
          <w:szCs w:val="24"/>
        </w:rPr>
      </w:pPr>
    </w:p>
    <w:p w14:paraId="489F8F4F" w14:textId="77777777" w:rsidR="008203A8" w:rsidRPr="00B90167" w:rsidRDefault="008203A8" w:rsidP="008203A8">
      <w:pPr>
        <w:tabs>
          <w:tab w:val="left" w:pos="851"/>
        </w:tabs>
        <w:ind w:left="851" w:hanging="851"/>
        <w:rPr>
          <w:b/>
          <w:sz w:val="24"/>
          <w:szCs w:val="24"/>
        </w:rPr>
      </w:pPr>
      <w:r w:rsidRPr="00B90167">
        <w:rPr>
          <w:b/>
          <w:sz w:val="24"/>
          <w:szCs w:val="24"/>
        </w:rPr>
        <w:t>3.7</w:t>
      </w:r>
      <w:r w:rsidRPr="00B90167">
        <w:rPr>
          <w:b/>
          <w:sz w:val="24"/>
          <w:szCs w:val="24"/>
        </w:rPr>
        <w:tab/>
        <w:t>Anvendelse under drægtighed, laktation eller æglægning</w:t>
      </w:r>
    </w:p>
    <w:p w14:paraId="00454830" w14:textId="77777777" w:rsidR="004A01C3" w:rsidRPr="00B90167" w:rsidRDefault="004A01C3" w:rsidP="00A60B04">
      <w:pPr>
        <w:ind w:left="851"/>
        <w:rPr>
          <w:sz w:val="24"/>
          <w:szCs w:val="24"/>
        </w:rPr>
      </w:pPr>
    </w:p>
    <w:p w14:paraId="7CEEF888" w14:textId="77777777" w:rsidR="004A01C3" w:rsidRPr="002C08F9" w:rsidRDefault="004A01C3" w:rsidP="00A60B04">
      <w:pPr>
        <w:ind w:left="851"/>
        <w:rPr>
          <w:sz w:val="24"/>
          <w:szCs w:val="24"/>
          <w:u w:val="single"/>
        </w:rPr>
      </w:pPr>
      <w:r w:rsidRPr="002C08F9">
        <w:rPr>
          <w:sz w:val="24"/>
          <w:szCs w:val="24"/>
          <w:u w:val="single"/>
        </w:rPr>
        <w:t>Drægtighed og laktation:</w:t>
      </w:r>
    </w:p>
    <w:p w14:paraId="76C161DB" w14:textId="77777777" w:rsidR="004A01C3" w:rsidRPr="00B90167" w:rsidRDefault="004A01C3" w:rsidP="00A60B04">
      <w:pPr>
        <w:ind w:left="851"/>
        <w:rPr>
          <w:sz w:val="24"/>
          <w:szCs w:val="24"/>
        </w:rPr>
      </w:pPr>
    </w:p>
    <w:p w14:paraId="73D3FEB9" w14:textId="77777777" w:rsidR="004A01C3" w:rsidRPr="00B90167" w:rsidRDefault="004A01C3" w:rsidP="00A60B04">
      <w:pPr>
        <w:ind w:left="851"/>
        <w:rPr>
          <w:sz w:val="24"/>
          <w:szCs w:val="24"/>
        </w:rPr>
      </w:pPr>
      <w:bookmarkStart w:id="13" w:name="_Hlk176290763"/>
      <w:r w:rsidRPr="00B90167">
        <w:rPr>
          <w:sz w:val="24"/>
          <w:szCs w:val="24"/>
        </w:rPr>
        <w:t xml:space="preserve">Anvendelse frarådes under drægtighed. Brug af </w:t>
      </w:r>
      <w:proofErr w:type="spellStart"/>
      <w:r w:rsidRPr="00B90167">
        <w:rPr>
          <w:sz w:val="24"/>
          <w:szCs w:val="24"/>
        </w:rPr>
        <w:t>tetracycliner</w:t>
      </w:r>
      <w:proofErr w:type="spellEnd"/>
      <w:r w:rsidRPr="00B90167">
        <w:rPr>
          <w:sz w:val="24"/>
          <w:szCs w:val="24"/>
        </w:rPr>
        <w:t xml:space="preserve"> i perioden for udvikling af tand- og knogleanlæg, herunder sidste del af </w:t>
      </w:r>
      <w:proofErr w:type="spellStart"/>
      <w:r w:rsidRPr="00B90167">
        <w:rPr>
          <w:sz w:val="24"/>
          <w:szCs w:val="24"/>
        </w:rPr>
        <w:t>gestationsperioden</w:t>
      </w:r>
      <w:proofErr w:type="spellEnd"/>
      <w:r w:rsidRPr="00B90167">
        <w:rPr>
          <w:sz w:val="24"/>
          <w:szCs w:val="24"/>
        </w:rPr>
        <w:t xml:space="preserve">, kan medføre misfarvning og hæmning af skeletdannelse (på grund af </w:t>
      </w:r>
      <w:proofErr w:type="spellStart"/>
      <w:r w:rsidRPr="00B90167">
        <w:rPr>
          <w:sz w:val="24"/>
          <w:szCs w:val="24"/>
        </w:rPr>
        <w:t>tetracycliners</w:t>
      </w:r>
      <w:proofErr w:type="spellEnd"/>
      <w:r w:rsidRPr="00B90167">
        <w:rPr>
          <w:sz w:val="24"/>
          <w:szCs w:val="24"/>
        </w:rPr>
        <w:t xml:space="preserve"> potente </w:t>
      </w:r>
      <w:proofErr w:type="spellStart"/>
      <w:r w:rsidRPr="00B90167">
        <w:rPr>
          <w:sz w:val="24"/>
          <w:szCs w:val="24"/>
        </w:rPr>
        <w:t>calciumchelaterende</w:t>
      </w:r>
      <w:proofErr w:type="spellEnd"/>
      <w:r w:rsidRPr="00B90167">
        <w:rPr>
          <w:sz w:val="24"/>
          <w:szCs w:val="24"/>
        </w:rPr>
        <w:t xml:space="preserve"> egenskaber).</w:t>
      </w:r>
      <w:bookmarkEnd w:id="13"/>
    </w:p>
    <w:p w14:paraId="1F0E2293" w14:textId="77777777" w:rsidR="008203A8" w:rsidRPr="00B90167" w:rsidRDefault="008203A8" w:rsidP="008203A8">
      <w:pPr>
        <w:tabs>
          <w:tab w:val="left" w:pos="851"/>
        </w:tabs>
        <w:ind w:left="851"/>
        <w:rPr>
          <w:sz w:val="24"/>
          <w:szCs w:val="24"/>
        </w:rPr>
      </w:pPr>
    </w:p>
    <w:p w14:paraId="7C51322C" w14:textId="77777777" w:rsidR="008203A8" w:rsidRPr="00B90167" w:rsidRDefault="008203A8" w:rsidP="008203A8">
      <w:pPr>
        <w:tabs>
          <w:tab w:val="left" w:pos="851"/>
        </w:tabs>
        <w:ind w:left="851" w:hanging="851"/>
        <w:rPr>
          <w:b/>
          <w:sz w:val="24"/>
          <w:szCs w:val="24"/>
        </w:rPr>
      </w:pPr>
      <w:r w:rsidRPr="00B90167">
        <w:rPr>
          <w:b/>
          <w:sz w:val="24"/>
          <w:szCs w:val="24"/>
        </w:rPr>
        <w:t>3.8</w:t>
      </w:r>
      <w:r w:rsidRPr="00B90167">
        <w:rPr>
          <w:b/>
          <w:sz w:val="24"/>
          <w:szCs w:val="24"/>
        </w:rPr>
        <w:tab/>
        <w:t>Interaktion med andre lægemidler og andre former for interaktion</w:t>
      </w:r>
    </w:p>
    <w:p w14:paraId="3556975B" w14:textId="77777777" w:rsidR="004A01C3" w:rsidRPr="00B90167" w:rsidRDefault="004A01C3" w:rsidP="00A60B04">
      <w:pPr>
        <w:ind w:left="851"/>
        <w:rPr>
          <w:sz w:val="24"/>
          <w:szCs w:val="24"/>
          <w:highlight w:val="yellow"/>
        </w:rPr>
      </w:pPr>
      <w:bookmarkStart w:id="14" w:name="_Hlk176291061"/>
      <w:r w:rsidRPr="00B90167">
        <w:rPr>
          <w:sz w:val="24"/>
          <w:szCs w:val="24"/>
        </w:rPr>
        <w:t>I tilfælde af samtidig behandling med andre veterinærlægemidler anvendes forskellige injektionssteder.</w:t>
      </w:r>
      <w:r w:rsidRPr="00B90167">
        <w:rPr>
          <w:sz w:val="24"/>
          <w:szCs w:val="24"/>
          <w:highlight w:val="yellow"/>
        </w:rPr>
        <w:t xml:space="preserve"> </w:t>
      </w:r>
    </w:p>
    <w:p w14:paraId="55F94B62" w14:textId="77777777" w:rsidR="004A01C3" w:rsidRPr="00B90167" w:rsidRDefault="004A01C3" w:rsidP="00A60B04">
      <w:pPr>
        <w:ind w:left="851"/>
        <w:rPr>
          <w:sz w:val="24"/>
          <w:szCs w:val="24"/>
        </w:rPr>
      </w:pPr>
      <w:proofErr w:type="spellStart"/>
      <w:r w:rsidRPr="00B90167">
        <w:rPr>
          <w:sz w:val="24"/>
          <w:szCs w:val="24"/>
        </w:rPr>
        <w:t>Oxytetracyclin</w:t>
      </w:r>
      <w:proofErr w:type="spellEnd"/>
      <w:r w:rsidRPr="00B90167">
        <w:rPr>
          <w:sz w:val="24"/>
          <w:szCs w:val="24"/>
        </w:rPr>
        <w:t xml:space="preserve"> bør ikke administreres samtidig med baktericide antimikrobielle midler som f.eks. penicilliner og </w:t>
      </w:r>
      <w:proofErr w:type="spellStart"/>
      <w:r w:rsidRPr="00B90167">
        <w:rPr>
          <w:sz w:val="24"/>
          <w:szCs w:val="24"/>
        </w:rPr>
        <w:t>cephalosporiner</w:t>
      </w:r>
      <w:proofErr w:type="spellEnd"/>
      <w:r w:rsidRPr="00B90167">
        <w:rPr>
          <w:sz w:val="24"/>
          <w:szCs w:val="24"/>
        </w:rPr>
        <w:t>.</w:t>
      </w:r>
    </w:p>
    <w:p w14:paraId="57CDD9D3" w14:textId="77777777" w:rsidR="004A01C3" w:rsidRPr="00B90167" w:rsidRDefault="004A01C3" w:rsidP="00A60B04">
      <w:pPr>
        <w:ind w:left="851"/>
        <w:rPr>
          <w:sz w:val="24"/>
          <w:szCs w:val="24"/>
        </w:rPr>
      </w:pPr>
      <w:r w:rsidRPr="00B90167">
        <w:rPr>
          <w:sz w:val="24"/>
          <w:szCs w:val="24"/>
        </w:rPr>
        <w:t xml:space="preserve">Divalente eller trivalente kationer (Mg, Fe, Al, </w:t>
      </w:r>
      <w:proofErr w:type="spellStart"/>
      <w:r w:rsidRPr="00B90167">
        <w:rPr>
          <w:sz w:val="24"/>
          <w:szCs w:val="24"/>
        </w:rPr>
        <w:t>Ca</w:t>
      </w:r>
      <w:proofErr w:type="spellEnd"/>
      <w:r w:rsidRPr="00B90167">
        <w:rPr>
          <w:sz w:val="24"/>
          <w:szCs w:val="24"/>
        </w:rPr>
        <w:t xml:space="preserve">) kan </w:t>
      </w:r>
      <w:proofErr w:type="spellStart"/>
      <w:r w:rsidRPr="00B90167">
        <w:rPr>
          <w:sz w:val="24"/>
          <w:szCs w:val="24"/>
        </w:rPr>
        <w:t>chelatbinde</w:t>
      </w:r>
      <w:proofErr w:type="spellEnd"/>
      <w:r w:rsidRPr="00B90167">
        <w:rPr>
          <w:sz w:val="24"/>
          <w:szCs w:val="24"/>
        </w:rPr>
        <w:t xml:space="preserve"> </w:t>
      </w:r>
      <w:proofErr w:type="spellStart"/>
      <w:r w:rsidRPr="00B90167">
        <w:rPr>
          <w:sz w:val="24"/>
          <w:szCs w:val="24"/>
        </w:rPr>
        <w:t>tetracycliner</w:t>
      </w:r>
      <w:proofErr w:type="spellEnd"/>
      <w:r w:rsidRPr="00B90167">
        <w:rPr>
          <w:sz w:val="24"/>
          <w:szCs w:val="24"/>
        </w:rPr>
        <w:t>.</w:t>
      </w:r>
      <w:bookmarkEnd w:id="14"/>
    </w:p>
    <w:p w14:paraId="3452C9DC" w14:textId="77777777" w:rsidR="008203A8" w:rsidRPr="00B90167" w:rsidRDefault="008203A8" w:rsidP="008203A8">
      <w:pPr>
        <w:tabs>
          <w:tab w:val="left" w:pos="851"/>
        </w:tabs>
        <w:ind w:left="851"/>
        <w:rPr>
          <w:sz w:val="24"/>
          <w:szCs w:val="24"/>
        </w:rPr>
      </w:pPr>
    </w:p>
    <w:p w14:paraId="6716CB25" w14:textId="77777777" w:rsidR="008203A8" w:rsidRPr="00B90167" w:rsidRDefault="008203A8" w:rsidP="008203A8">
      <w:pPr>
        <w:tabs>
          <w:tab w:val="left" w:pos="851"/>
        </w:tabs>
        <w:ind w:left="851" w:hanging="851"/>
        <w:rPr>
          <w:b/>
          <w:sz w:val="24"/>
          <w:szCs w:val="24"/>
        </w:rPr>
      </w:pPr>
      <w:r w:rsidRPr="00B90167">
        <w:rPr>
          <w:b/>
          <w:sz w:val="24"/>
          <w:szCs w:val="24"/>
        </w:rPr>
        <w:t>3.9</w:t>
      </w:r>
      <w:r w:rsidRPr="00B90167">
        <w:rPr>
          <w:b/>
          <w:sz w:val="24"/>
          <w:szCs w:val="24"/>
        </w:rPr>
        <w:tab/>
        <w:t>Administrationsveje og dosering</w:t>
      </w:r>
    </w:p>
    <w:p w14:paraId="4629C3CD" w14:textId="77777777" w:rsidR="004A01C3" w:rsidRPr="00B90167" w:rsidRDefault="004A01C3" w:rsidP="00A60B04">
      <w:pPr>
        <w:ind w:left="851"/>
        <w:rPr>
          <w:sz w:val="24"/>
          <w:szCs w:val="24"/>
        </w:rPr>
      </w:pPr>
      <w:bookmarkStart w:id="15" w:name="_Hlk176292239"/>
      <w:r w:rsidRPr="00B90167">
        <w:rPr>
          <w:sz w:val="24"/>
          <w:szCs w:val="24"/>
        </w:rPr>
        <w:t>Intramuskulær anvendelse.</w:t>
      </w:r>
    </w:p>
    <w:p w14:paraId="4B497320" w14:textId="77777777" w:rsidR="004A01C3" w:rsidRPr="00B90167" w:rsidRDefault="004A01C3" w:rsidP="00A60B04">
      <w:pPr>
        <w:ind w:left="851"/>
        <w:rPr>
          <w:sz w:val="24"/>
          <w:szCs w:val="24"/>
        </w:rPr>
      </w:pPr>
      <w:r w:rsidRPr="00B90167">
        <w:rPr>
          <w:sz w:val="24"/>
          <w:szCs w:val="24"/>
        </w:rPr>
        <w:lastRenderedPageBreak/>
        <w:t xml:space="preserve">Den anbefalede dosis for dette veterinærlægemiddel er 30 mg </w:t>
      </w:r>
      <w:proofErr w:type="spellStart"/>
      <w:r w:rsidRPr="00B90167">
        <w:rPr>
          <w:sz w:val="24"/>
          <w:szCs w:val="24"/>
        </w:rPr>
        <w:t>oxytetracyclin</w:t>
      </w:r>
      <w:proofErr w:type="spellEnd"/>
      <w:r w:rsidRPr="00B90167">
        <w:rPr>
          <w:sz w:val="24"/>
          <w:szCs w:val="24"/>
        </w:rPr>
        <w:t xml:space="preserve">/kg legemsvægt (svarende til 1 ml veterinærlægemiddel/10 kg legemsvægt) som en enkelt dyb intramuskulær injektion med en virkningsvarighed på 5-6 dage. </w:t>
      </w:r>
    </w:p>
    <w:p w14:paraId="5BD282CB" w14:textId="77777777" w:rsidR="004A01C3" w:rsidRPr="00B90167" w:rsidRDefault="004A01C3" w:rsidP="00A60B04">
      <w:pPr>
        <w:ind w:left="851"/>
        <w:rPr>
          <w:sz w:val="24"/>
          <w:szCs w:val="24"/>
          <w:highlight w:val="yellow"/>
        </w:rPr>
      </w:pPr>
    </w:p>
    <w:p w14:paraId="35F07C5D" w14:textId="77777777" w:rsidR="004A01C3" w:rsidRPr="00B90167" w:rsidRDefault="004A01C3" w:rsidP="00A60B04">
      <w:pPr>
        <w:tabs>
          <w:tab w:val="left" w:pos="142"/>
        </w:tabs>
        <w:spacing w:line="256" w:lineRule="auto"/>
        <w:ind w:left="851"/>
        <w:rPr>
          <w:sz w:val="24"/>
          <w:szCs w:val="24"/>
        </w:rPr>
      </w:pPr>
      <w:r w:rsidRPr="00B90167">
        <w:rPr>
          <w:sz w:val="24"/>
          <w:szCs w:val="24"/>
        </w:rPr>
        <w:t xml:space="preserve">Smågrise (baseret på alder): </w:t>
      </w:r>
      <w:r w:rsidRPr="00B90167">
        <w:rPr>
          <w:sz w:val="24"/>
          <w:szCs w:val="24"/>
        </w:rPr>
        <w:tab/>
        <w:t xml:space="preserve"> 1 dag: 0,2 ml</w:t>
      </w:r>
    </w:p>
    <w:p w14:paraId="65DFD4B9" w14:textId="3D0CC6CC" w:rsidR="004A01C3" w:rsidRPr="00B90167" w:rsidRDefault="004A01C3" w:rsidP="00A60B04">
      <w:pPr>
        <w:tabs>
          <w:tab w:val="left" w:pos="142"/>
        </w:tabs>
        <w:spacing w:line="256" w:lineRule="auto"/>
        <w:ind w:left="851"/>
        <w:rPr>
          <w:sz w:val="24"/>
          <w:szCs w:val="24"/>
        </w:rPr>
      </w:pPr>
      <w:r w:rsidRPr="00B90167">
        <w:rPr>
          <w:sz w:val="24"/>
          <w:szCs w:val="24"/>
        </w:rPr>
        <w:tab/>
      </w:r>
      <w:r w:rsidRPr="00B90167">
        <w:rPr>
          <w:sz w:val="24"/>
          <w:szCs w:val="24"/>
        </w:rPr>
        <w:tab/>
      </w:r>
      <w:r w:rsidRPr="00B90167">
        <w:rPr>
          <w:sz w:val="24"/>
          <w:szCs w:val="24"/>
        </w:rPr>
        <w:tab/>
        <w:t>7 dage: 0,3 ml</w:t>
      </w:r>
    </w:p>
    <w:p w14:paraId="56F0AE59" w14:textId="00682F79" w:rsidR="004A01C3" w:rsidRPr="00B90167" w:rsidRDefault="004A01C3" w:rsidP="00A60B04">
      <w:pPr>
        <w:tabs>
          <w:tab w:val="left" w:pos="142"/>
        </w:tabs>
        <w:spacing w:line="256" w:lineRule="auto"/>
        <w:ind w:left="851"/>
        <w:rPr>
          <w:sz w:val="24"/>
          <w:szCs w:val="24"/>
        </w:rPr>
      </w:pPr>
      <w:r w:rsidRPr="00B90167">
        <w:rPr>
          <w:sz w:val="24"/>
          <w:szCs w:val="24"/>
        </w:rPr>
        <w:tab/>
      </w:r>
      <w:r w:rsidRPr="00B90167">
        <w:rPr>
          <w:sz w:val="24"/>
          <w:szCs w:val="24"/>
        </w:rPr>
        <w:tab/>
      </w:r>
      <w:r w:rsidRPr="00B90167">
        <w:rPr>
          <w:sz w:val="24"/>
          <w:szCs w:val="24"/>
        </w:rPr>
        <w:tab/>
        <w:t>14 dage: 0,4 ml</w:t>
      </w:r>
    </w:p>
    <w:p w14:paraId="6A5D70CF" w14:textId="5862E57E" w:rsidR="004A01C3" w:rsidRPr="00B90167" w:rsidRDefault="004A01C3" w:rsidP="00A60B04">
      <w:pPr>
        <w:tabs>
          <w:tab w:val="left" w:pos="142"/>
        </w:tabs>
        <w:spacing w:line="256" w:lineRule="auto"/>
        <w:ind w:left="851"/>
        <w:rPr>
          <w:sz w:val="24"/>
          <w:szCs w:val="24"/>
        </w:rPr>
      </w:pPr>
      <w:r w:rsidRPr="00B90167">
        <w:rPr>
          <w:sz w:val="24"/>
          <w:szCs w:val="24"/>
        </w:rPr>
        <w:tab/>
      </w:r>
      <w:r w:rsidRPr="00B90167">
        <w:rPr>
          <w:sz w:val="24"/>
          <w:szCs w:val="24"/>
        </w:rPr>
        <w:tab/>
      </w:r>
      <w:r w:rsidRPr="00B90167">
        <w:rPr>
          <w:sz w:val="24"/>
          <w:szCs w:val="24"/>
        </w:rPr>
        <w:tab/>
        <w:t>21 dage: 0,5 ml</w:t>
      </w:r>
    </w:p>
    <w:p w14:paraId="1DBDA54B" w14:textId="77777777" w:rsidR="004A01C3" w:rsidRPr="00B90167" w:rsidRDefault="004A01C3" w:rsidP="00A60B04">
      <w:pPr>
        <w:ind w:left="851"/>
        <w:rPr>
          <w:sz w:val="24"/>
          <w:szCs w:val="24"/>
        </w:rPr>
      </w:pPr>
    </w:p>
    <w:p w14:paraId="0F7AFDE6" w14:textId="77777777" w:rsidR="004A01C3" w:rsidRPr="00B90167" w:rsidRDefault="004A01C3" w:rsidP="00A60B04">
      <w:pPr>
        <w:ind w:left="851"/>
        <w:rPr>
          <w:sz w:val="24"/>
          <w:szCs w:val="24"/>
        </w:rPr>
      </w:pPr>
      <w:bookmarkStart w:id="16" w:name="_Hlk176292368"/>
      <w:r w:rsidRPr="00B90167">
        <w:rPr>
          <w:sz w:val="24"/>
          <w:szCs w:val="24"/>
        </w:rPr>
        <w:t>For at sikre korrekt dosering bør legemsvægten bestemmes så nøjagtigt som muligt.</w:t>
      </w:r>
    </w:p>
    <w:p w14:paraId="7C6B1740" w14:textId="77777777" w:rsidR="004A01C3" w:rsidRPr="00B90167" w:rsidRDefault="004A01C3" w:rsidP="00A60B04">
      <w:pPr>
        <w:ind w:left="851"/>
        <w:rPr>
          <w:sz w:val="24"/>
          <w:szCs w:val="24"/>
          <w:highlight w:val="yellow"/>
        </w:rPr>
      </w:pPr>
    </w:p>
    <w:bookmarkEnd w:id="16"/>
    <w:p w14:paraId="3367E305" w14:textId="77777777" w:rsidR="004A01C3" w:rsidRPr="00B90167" w:rsidRDefault="004A01C3" w:rsidP="00A60B04">
      <w:pPr>
        <w:ind w:left="851"/>
        <w:rPr>
          <w:sz w:val="24"/>
          <w:szCs w:val="24"/>
        </w:rPr>
      </w:pPr>
      <w:r w:rsidRPr="00B90167">
        <w:rPr>
          <w:sz w:val="24"/>
          <w:szCs w:val="24"/>
        </w:rPr>
        <w:t>Det maksimale injektionsvolumen per injektionssted er 15 ml (til kvæg), 10 ml (til svin) og 5 ml (til får).</w:t>
      </w:r>
    </w:p>
    <w:p w14:paraId="337CF888" w14:textId="77777777" w:rsidR="004A01C3" w:rsidRPr="00B90167" w:rsidRDefault="004A01C3" w:rsidP="00A60B04">
      <w:pPr>
        <w:ind w:left="851"/>
        <w:rPr>
          <w:sz w:val="24"/>
          <w:szCs w:val="24"/>
          <w:highlight w:val="yellow"/>
        </w:rPr>
      </w:pPr>
    </w:p>
    <w:p w14:paraId="5C573858" w14:textId="77777777" w:rsidR="004A01C3" w:rsidRPr="00B90167" w:rsidRDefault="004A01C3" w:rsidP="00A60B04">
      <w:pPr>
        <w:ind w:left="851"/>
        <w:rPr>
          <w:sz w:val="24"/>
          <w:szCs w:val="24"/>
        </w:rPr>
      </w:pPr>
      <w:r w:rsidRPr="00B90167">
        <w:rPr>
          <w:sz w:val="24"/>
          <w:szCs w:val="24"/>
        </w:rPr>
        <w:t>Hætteglassets gummiprop må ikke gennemstikkes mere end 50 gange.</w:t>
      </w:r>
    </w:p>
    <w:bookmarkEnd w:id="15"/>
    <w:p w14:paraId="692C05ED" w14:textId="77777777" w:rsidR="008203A8" w:rsidRPr="00B90167" w:rsidRDefault="008203A8" w:rsidP="008203A8">
      <w:pPr>
        <w:tabs>
          <w:tab w:val="left" w:pos="851"/>
        </w:tabs>
        <w:ind w:left="851"/>
        <w:rPr>
          <w:sz w:val="24"/>
          <w:szCs w:val="24"/>
        </w:rPr>
      </w:pPr>
    </w:p>
    <w:p w14:paraId="58EC3621" w14:textId="77777777" w:rsidR="008203A8" w:rsidRPr="00B90167" w:rsidRDefault="008203A8" w:rsidP="008203A8">
      <w:pPr>
        <w:tabs>
          <w:tab w:val="left" w:pos="851"/>
        </w:tabs>
        <w:ind w:left="851" w:hanging="851"/>
        <w:rPr>
          <w:b/>
          <w:sz w:val="24"/>
          <w:szCs w:val="24"/>
        </w:rPr>
      </w:pPr>
      <w:r w:rsidRPr="00B90167">
        <w:rPr>
          <w:b/>
          <w:sz w:val="24"/>
          <w:szCs w:val="24"/>
        </w:rPr>
        <w:t>3.10</w:t>
      </w:r>
      <w:r w:rsidRPr="00B90167">
        <w:rPr>
          <w:b/>
          <w:sz w:val="24"/>
          <w:szCs w:val="24"/>
        </w:rPr>
        <w:tab/>
        <w:t>Symptomer på overdosering (og, hvis relevant, nødforanstaltninger og modgift)</w:t>
      </w:r>
    </w:p>
    <w:p w14:paraId="550F1AF6" w14:textId="77777777" w:rsidR="004A01C3" w:rsidRPr="00B90167" w:rsidRDefault="004A01C3" w:rsidP="00A60B04">
      <w:pPr>
        <w:ind w:left="851"/>
        <w:rPr>
          <w:sz w:val="24"/>
          <w:szCs w:val="24"/>
        </w:rPr>
      </w:pPr>
      <w:bookmarkStart w:id="17" w:name="_Hlk176291137"/>
      <w:r w:rsidRPr="00B90167">
        <w:rPr>
          <w:sz w:val="24"/>
          <w:szCs w:val="24"/>
        </w:rPr>
        <w:t xml:space="preserve">De mest almindelige kliniske symptomer er </w:t>
      </w:r>
      <w:proofErr w:type="spellStart"/>
      <w:r w:rsidRPr="00B90167">
        <w:rPr>
          <w:sz w:val="24"/>
          <w:szCs w:val="24"/>
        </w:rPr>
        <w:t>gastrointestinale</w:t>
      </w:r>
      <w:proofErr w:type="spellEnd"/>
      <w:r w:rsidRPr="00B90167">
        <w:rPr>
          <w:sz w:val="24"/>
          <w:szCs w:val="24"/>
        </w:rPr>
        <w:t xml:space="preserve"> forstyrrelser.</w:t>
      </w:r>
    </w:p>
    <w:p w14:paraId="3F8A3BF0" w14:textId="77777777" w:rsidR="004A01C3" w:rsidRPr="00B90167" w:rsidRDefault="004A01C3" w:rsidP="00A60B04">
      <w:pPr>
        <w:ind w:left="851"/>
        <w:rPr>
          <w:sz w:val="24"/>
          <w:szCs w:val="24"/>
        </w:rPr>
      </w:pPr>
      <w:r w:rsidRPr="00B90167">
        <w:rPr>
          <w:sz w:val="24"/>
          <w:szCs w:val="24"/>
        </w:rPr>
        <w:t>Ved administration af to gange den terapeutiske dosis hos kvæg kan der opstå alvorlig lokal reaktion.</w:t>
      </w:r>
      <w:bookmarkEnd w:id="17"/>
    </w:p>
    <w:p w14:paraId="15644CD1" w14:textId="77777777" w:rsidR="008203A8" w:rsidRPr="00B90167" w:rsidRDefault="008203A8" w:rsidP="008203A8">
      <w:pPr>
        <w:tabs>
          <w:tab w:val="left" w:pos="851"/>
        </w:tabs>
        <w:ind w:left="851"/>
        <w:rPr>
          <w:sz w:val="24"/>
          <w:szCs w:val="24"/>
        </w:rPr>
      </w:pPr>
    </w:p>
    <w:p w14:paraId="43E3B9D4" w14:textId="77777777" w:rsidR="008203A8" w:rsidRPr="00B90167" w:rsidRDefault="008203A8" w:rsidP="008203A8">
      <w:pPr>
        <w:tabs>
          <w:tab w:val="left" w:pos="851"/>
        </w:tabs>
        <w:ind w:left="851" w:hanging="851"/>
        <w:rPr>
          <w:sz w:val="24"/>
          <w:szCs w:val="24"/>
        </w:rPr>
      </w:pPr>
      <w:r w:rsidRPr="00B90167">
        <w:rPr>
          <w:b/>
          <w:sz w:val="24"/>
          <w:szCs w:val="24"/>
        </w:rPr>
        <w:t>3.11</w:t>
      </w:r>
      <w:r w:rsidRPr="00B90167">
        <w:rPr>
          <w:sz w:val="24"/>
          <w:szCs w:val="24"/>
        </w:rPr>
        <w:tab/>
      </w:r>
      <w:r w:rsidRPr="00B90167">
        <w:rPr>
          <w:b/>
          <w:sz w:val="24"/>
          <w:szCs w:val="24"/>
        </w:rPr>
        <w:t>Særlige begrænsninger og betingelser for anvendelse, herunder begrænsninger for anvendelsen af antimikrobielle og antiparasitære veterinærlægemidler for at begrænse risikoen for udvikling af resistens</w:t>
      </w:r>
    </w:p>
    <w:p w14:paraId="17CBC888" w14:textId="77777777" w:rsidR="004A01C3" w:rsidRPr="00B90167" w:rsidRDefault="004A01C3" w:rsidP="00A60B04">
      <w:pPr>
        <w:ind w:left="851"/>
        <w:rPr>
          <w:sz w:val="24"/>
          <w:szCs w:val="24"/>
        </w:rPr>
      </w:pPr>
      <w:r w:rsidRPr="00B90167">
        <w:rPr>
          <w:sz w:val="24"/>
          <w:szCs w:val="24"/>
        </w:rPr>
        <w:t>Ikke relevant.</w:t>
      </w:r>
    </w:p>
    <w:p w14:paraId="0E3B2A1B" w14:textId="77777777" w:rsidR="008203A8" w:rsidRPr="00B90167" w:rsidRDefault="008203A8" w:rsidP="008203A8">
      <w:pPr>
        <w:tabs>
          <w:tab w:val="left" w:pos="851"/>
        </w:tabs>
        <w:ind w:left="851"/>
        <w:rPr>
          <w:sz w:val="24"/>
          <w:szCs w:val="24"/>
        </w:rPr>
      </w:pPr>
    </w:p>
    <w:p w14:paraId="0ECAFCB8" w14:textId="77777777" w:rsidR="008203A8" w:rsidRPr="00B90167" w:rsidRDefault="008203A8" w:rsidP="008203A8">
      <w:pPr>
        <w:tabs>
          <w:tab w:val="left" w:pos="851"/>
        </w:tabs>
        <w:ind w:left="851" w:hanging="851"/>
        <w:rPr>
          <w:b/>
          <w:sz w:val="24"/>
          <w:szCs w:val="24"/>
        </w:rPr>
      </w:pPr>
      <w:r w:rsidRPr="00B90167">
        <w:rPr>
          <w:b/>
          <w:sz w:val="24"/>
          <w:szCs w:val="24"/>
        </w:rPr>
        <w:t>3.12</w:t>
      </w:r>
      <w:r w:rsidRPr="00B90167">
        <w:rPr>
          <w:b/>
          <w:sz w:val="24"/>
          <w:szCs w:val="24"/>
        </w:rPr>
        <w:tab/>
        <w:t>Tilbageholdelsestid(er)</w:t>
      </w:r>
    </w:p>
    <w:p w14:paraId="662F5DD3" w14:textId="77777777" w:rsidR="004A01C3" w:rsidRPr="00B90167" w:rsidRDefault="004A01C3" w:rsidP="004A01C3">
      <w:pPr>
        <w:tabs>
          <w:tab w:val="left" w:pos="1304"/>
        </w:tabs>
        <w:rPr>
          <w:sz w:val="24"/>
          <w:szCs w:val="24"/>
        </w:rPr>
      </w:pPr>
    </w:p>
    <w:p w14:paraId="422F5F9D" w14:textId="77777777" w:rsidR="004A01C3" w:rsidRPr="00B90167" w:rsidRDefault="004A01C3" w:rsidP="00A60B04">
      <w:pPr>
        <w:ind w:left="851"/>
        <w:rPr>
          <w:b/>
          <w:bCs/>
          <w:sz w:val="24"/>
          <w:szCs w:val="24"/>
        </w:rPr>
      </w:pPr>
      <w:r w:rsidRPr="00B90167">
        <w:rPr>
          <w:b/>
          <w:bCs/>
          <w:sz w:val="24"/>
          <w:szCs w:val="24"/>
        </w:rPr>
        <w:t>Kvæg:</w:t>
      </w:r>
    </w:p>
    <w:p w14:paraId="2E73DC75" w14:textId="77777777" w:rsidR="004A01C3" w:rsidRPr="00B90167" w:rsidRDefault="004A01C3" w:rsidP="00A60B04">
      <w:pPr>
        <w:ind w:left="851"/>
        <w:rPr>
          <w:sz w:val="24"/>
          <w:szCs w:val="24"/>
        </w:rPr>
      </w:pPr>
      <w:r w:rsidRPr="00B90167">
        <w:rPr>
          <w:sz w:val="24"/>
          <w:szCs w:val="24"/>
        </w:rPr>
        <w:t>Slagtning: 35 dage</w:t>
      </w:r>
    </w:p>
    <w:p w14:paraId="2DDD46DA" w14:textId="77777777" w:rsidR="004A01C3" w:rsidRPr="00B90167" w:rsidRDefault="004A01C3" w:rsidP="00A60B04">
      <w:pPr>
        <w:ind w:left="851"/>
        <w:rPr>
          <w:sz w:val="24"/>
          <w:szCs w:val="24"/>
        </w:rPr>
      </w:pPr>
      <w:r w:rsidRPr="00B90167">
        <w:rPr>
          <w:sz w:val="24"/>
          <w:szCs w:val="24"/>
        </w:rPr>
        <w:t>Mælk: 168 timer</w:t>
      </w:r>
    </w:p>
    <w:p w14:paraId="1CF3E493" w14:textId="77777777" w:rsidR="004A01C3" w:rsidRPr="00B90167" w:rsidRDefault="004A01C3" w:rsidP="00A60B04">
      <w:pPr>
        <w:ind w:left="851"/>
        <w:rPr>
          <w:sz w:val="24"/>
          <w:szCs w:val="24"/>
        </w:rPr>
      </w:pPr>
    </w:p>
    <w:p w14:paraId="5394AAE7" w14:textId="77777777" w:rsidR="004A01C3" w:rsidRPr="00B90167" w:rsidRDefault="004A01C3" w:rsidP="00A60B04">
      <w:pPr>
        <w:ind w:left="851"/>
        <w:rPr>
          <w:b/>
          <w:bCs/>
          <w:sz w:val="24"/>
          <w:szCs w:val="24"/>
        </w:rPr>
      </w:pPr>
      <w:r w:rsidRPr="00B90167">
        <w:rPr>
          <w:b/>
          <w:bCs/>
          <w:sz w:val="24"/>
          <w:szCs w:val="24"/>
        </w:rPr>
        <w:t>Får:</w:t>
      </w:r>
    </w:p>
    <w:p w14:paraId="096D2F0C" w14:textId="77777777" w:rsidR="004A01C3" w:rsidRPr="00B90167" w:rsidRDefault="004A01C3" w:rsidP="00A60B04">
      <w:pPr>
        <w:ind w:left="851"/>
        <w:rPr>
          <w:sz w:val="24"/>
          <w:szCs w:val="24"/>
        </w:rPr>
      </w:pPr>
      <w:r w:rsidRPr="00B90167">
        <w:rPr>
          <w:sz w:val="24"/>
          <w:szCs w:val="24"/>
        </w:rPr>
        <w:t>Slagtning: 35 dage</w:t>
      </w:r>
    </w:p>
    <w:p w14:paraId="3CB28BA4" w14:textId="77777777" w:rsidR="004A01C3" w:rsidRPr="00B90167" w:rsidRDefault="004A01C3" w:rsidP="00A60B04">
      <w:pPr>
        <w:ind w:left="851"/>
        <w:rPr>
          <w:sz w:val="24"/>
          <w:szCs w:val="24"/>
        </w:rPr>
      </w:pPr>
      <w:r w:rsidRPr="00B90167">
        <w:rPr>
          <w:sz w:val="24"/>
          <w:szCs w:val="24"/>
        </w:rPr>
        <w:t>Mælk: 216 timer</w:t>
      </w:r>
    </w:p>
    <w:p w14:paraId="28A3F9D5" w14:textId="77777777" w:rsidR="004A01C3" w:rsidRPr="00B90167" w:rsidRDefault="004A01C3" w:rsidP="00A60B04">
      <w:pPr>
        <w:ind w:left="851"/>
        <w:rPr>
          <w:sz w:val="24"/>
          <w:szCs w:val="24"/>
        </w:rPr>
      </w:pPr>
    </w:p>
    <w:p w14:paraId="35B41F65" w14:textId="77777777" w:rsidR="004A01C3" w:rsidRPr="00B90167" w:rsidRDefault="004A01C3" w:rsidP="00A60B04">
      <w:pPr>
        <w:ind w:left="851"/>
        <w:rPr>
          <w:b/>
          <w:bCs/>
          <w:sz w:val="24"/>
          <w:szCs w:val="24"/>
        </w:rPr>
      </w:pPr>
      <w:r w:rsidRPr="00B90167">
        <w:rPr>
          <w:b/>
          <w:bCs/>
          <w:sz w:val="24"/>
          <w:szCs w:val="24"/>
        </w:rPr>
        <w:t>Svin:</w:t>
      </w:r>
    </w:p>
    <w:p w14:paraId="5A253650" w14:textId="77777777" w:rsidR="004A01C3" w:rsidRPr="00B90167" w:rsidRDefault="004A01C3" w:rsidP="00A60B04">
      <w:pPr>
        <w:ind w:left="851"/>
        <w:rPr>
          <w:sz w:val="24"/>
          <w:szCs w:val="24"/>
        </w:rPr>
      </w:pPr>
      <w:r w:rsidRPr="00B90167">
        <w:rPr>
          <w:sz w:val="24"/>
          <w:szCs w:val="24"/>
        </w:rPr>
        <w:t>Slagtning: 28 dage</w:t>
      </w:r>
    </w:p>
    <w:p w14:paraId="6EDB38DB" w14:textId="77777777" w:rsidR="008203A8" w:rsidRPr="00B90167" w:rsidRDefault="008203A8" w:rsidP="008203A8">
      <w:pPr>
        <w:pStyle w:val="Sidehoved"/>
        <w:tabs>
          <w:tab w:val="clear" w:pos="4819"/>
        </w:tabs>
        <w:ind w:left="851"/>
        <w:rPr>
          <w:szCs w:val="24"/>
        </w:rPr>
      </w:pPr>
    </w:p>
    <w:p w14:paraId="6B212DA8" w14:textId="77777777" w:rsidR="008203A8" w:rsidRPr="00B90167" w:rsidRDefault="008203A8" w:rsidP="008203A8">
      <w:pPr>
        <w:tabs>
          <w:tab w:val="left" w:pos="851"/>
        </w:tabs>
        <w:ind w:left="851"/>
        <w:rPr>
          <w:sz w:val="24"/>
          <w:szCs w:val="24"/>
        </w:rPr>
      </w:pPr>
    </w:p>
    <w:p w14:paraId="72E168DC" w14:textId="33CBCBDC" w:rsidR="008203A8" w:rsidRPr="00B90167" w:rsidRDefault="008203A8" w:rsidP="008203A8">
      <w:pPr>
        <w:ind w:left="851" w:hanging="851"/>
        <w:rPr>
          <w:b/>
          <w:sz w:val="24"/>
          <w:szCs w:val="24"/>
        </w:rPr>
      </w:pPr>
      <w:r w:rsidRPr="00B90167">
        <w:rPr>
          <w:b/>
          <w:sz w:val="24"/>
          <w:szCs w:val="24"/>
        </w:rPr>
        <w:t>4.</w:t>
      </w:r>
      <w:r w:rsidRPr="00B90167">
        <w:rPr>
          <w:b/>
          <w:sz w:val="24"/>
          <w:szCs w:val="24"/>
        </w:rPr>
        <w:tab/>
        <w:t>FARMAKOLOGISKE OPLYSNINGER</w:t>
      </w:r>
    </w:p>
    <w:p w14:paraId="4C80B03D" w14:textId="77777777" w:rsidR="008203A8" w:rsidRPr="00B90167" w:rsidRDefault="008203A8" w:rsidP="008203A8">
      <w:pPr>
        <w:ind w:left="851"/>
        <w:rPr>
          <w:sz w:val="24"/>
          <w:szCs w:val="24"/>
        </w:rPr>
      </w:pPr>
    </w:p>
    <w:p w14:paraId="7FF5F8C9" w14:textId="77777777" w:rsidR="008203A8" w:rsidRPr="00B90167" w:rsidRDefault="008203A8" w:rsidP="008203A8">
      <w:pPr>
        <w:ind w:left="851" w:hanging="851"/>
        <w:rPr>
          <w:b/>
          <w:sz w:val="24"/>
          <w:szCs w:val="24"/>
        </w:rPr>
      </w:pPr>
      <w:r w:rsidRPr="00B90167">
        <w:rPr>
          <w:b/>
          <w:sz w:val="24"/>
          <w:szCs w:val="24"/>
        </w:rPr>
        <w:t>4.1</w:t>
      </w:r>
      <w:r w:rsidRPr="00B90167">
        <w:rPr>
          <w:b/>
          <w:sz w:val="24"/>
          <w:szCs w:val="24"/>
        </w:rPr>
        <w:tab/>
      </w:r>
      <w:proofErr w:type="spellStart"/>
      <w:r w:rsidRPr="00B90167">
        <w:rPr>
          <w:b/>
          <w:sz w:val="24"/>
          <w:szCs w:val="24"/>
        </w:rPr>
        <w:t>ATCvet</w:t>
      </w:r>
      <w:proofErr w:type="spellEnd"/>
      <w:r w:rsidRPr="00B90167">
        <w:rPr>
          <w:b/>
          <w:sz w:val="24"/>
          <w:szCs w:val="24"/>
        </w:rPr>
        <w:t>-kode</w:t>
      </w:r>
    </w:p>
    <w:p w14:paraId="1A56350D" w14:textId="391425E4" w:rsidR="008203A8" w:rsidRPr="00B90167" w:rsidRDefault="004A01C3" w:rsidP="008203A8">
      <w:pPr>
        <w:ind w:left="851"/>
        <w:rPr>
          <w:sz w:val="24"/>
          <w:szCs w:val="24"/>
        </w:rPr>
      </w:pPr>
      <w:r w:rsidRPr="00B90167">
        <w:rPr>
          <w:bCs/>
          <w:sz w:val="24"/>
          <w:szCs w:val="24"/>
        </w:rPr>
        <w:t>QJ01AA06</w:t>
      </w:r>
    </w:p>
    <w:p w14:paraId="783DFB47" w14:textId="77777777" w:rsidR="008203A8" w:rsidRPr="00B90167" w:rsidRDefault="008203A8" w:rsidP="008203A8">
      <w:pPr>
        <w:ind w:left="851"/>
        <w:rPr>
          <w:sz w:val="24"/>
          <w:szCs w:val="24"/>
        </w:rPr>
      </w:pPr>
    </w:p>
    <w:p w14:paraId="7CDDBE89" w14:textId="77777777" w:rsidR="008203A8" w:rsidRPr="00B90167" w:rsidRDefault="008203A8" w:rsidP="008203A8">
      <w:pPr>
        <w:tabs>
          <w:tab w:val="left" w:pos="851"/>
        </w:tabs>
        <w:ind w:left="851" w:hanging="851"/>
        <w:rPr>
          <w:b/>
          <w:sz w:val="24"/>
          <w:szCs w:val="24"/>
        </w:rPr>
      </w:pPr>
      <w:r w:rsidRPr="00B90167">
        <w:rPr>
          <w:b/>
          <w:sz w:val="24"/>
          <w:szCs w:val="24"/>
        </w:rPr>
        <w:t>4.2</w:t>
      </w:r>
      <w:r w:rsidRPr="00B90167">
        <w:rPr>
          <w:b/>
          <w:sz w:val="24"/>
          <w:szCs w:val="24"/>
        </w:rPr>
        <w:tab/>
      </w:r>
      <w:proofErr w:type="spellStart"/>
      <w:r w:rsidRPr="00B90167">
        <w:rPr>
          <w:b/>
          <w:sz w:val="24"/>
          <w:szCs w:val="24"/>
        </w:rPr>
        <w:t>Farmakodynamiske</w:t>
      </w:r>
      <w:proofErr w:type="spellEnd"/>
      <w:r w:rsidRPr="00B90167">
        <w:rPr>
          <w:b/>
          <w:sz w:val="24"/>
          <w:szCs w:val="24"/>
        </w:rPr>
        <w:t xml:space="preserve"> oplysninger</w:t>
      </w:r>
    </w:p>
    <w:p w14:paraId="0481AC48" w14:textId="77777777" w:rsidR="004A01C3" w:rsidRPr="00B90167" w:rsidRDefault="004A01C3" w:rsidP="00A60B04">
      <w:pPr>
        <w:ind w:left="851"/>
        <w:rPr>
          <w:sz w:val="24"/>
          <w:szCs w:val="24"/>
        </w:rPr>
      </w:pPr>
      <w:proofErr w:type="spellStart"/>
      <w:r w:rsidRPr="00B90167">
        <w:rPr>
          <w:sz w:val="24"/>
          <w:szCs w:val="24"/>
        </w:rPr>
        <w:t>Oxytetracyclin</w:t>
      </w:r>
      <w:proofErr w:type="spellEnd"/>
      <w:r w:rsidRPr="00B90167">
        <w:rPr>
          <w:sz w:val="24"/>
          <w:szCs w:val="24"/>
        </w:rPr>
        <w:t xml:space="preserve"> er et bredspektret antibiotikum med </w:t>
      </w:r>
      <w:proofErr w:type="spellStart"/>
      <w:r w:rsidRPr="00B90167">
        <w:rPr>
          <w:sz w:val="24"/>
          <w:szCs w:val="24"/>
        </w:rPr>
        <w:t>bakteriostatisk</w:t>
      </w:r>
      <w:proofErr w:type="spellEnd"/>
      <w:r w:rsidRPr="00B90167">
        <w:rPr>
          <w:sz w:val="24"/>
          <w:szCs w:val="24"/>
        </w:rPr>
        <w:t xml:space="preserve"> virkning på både </w:t>
      </w:r>
      <w:proofErr w:type="spellStart"/>
      <w:r w:rsidRPr="00B90167">
        <w:rPr>
          <w:sz w:val="24"/>
          <w:szCs w:val="24"/>
        </w:rPr>
        <w:t>Gram-positive</w:t>
      </w:r>
      <w:proofErr w:type="spellEnd"/>
      <w:r w:rsidRPr="00B90167">
        <w:rPr>
          <w:sz w:val="24"/>
          <w:szCs w:val="24"/>
        </w:rPr>
        <w:t xml:space="preserve"> og </w:t>
      </w:r>
      <w:proofErr w:type="spellStart"/>
      <w:r w:rsidRPr="00B90167">
        <w:rPr>
          <w:sz w:val="24"/>
          <w:szCs w:val="24"/>
        </w:rPr>
        <w:t>Gram-negative</w:t>
      </w:r>
      <w:proofErr w:type="spellEnd"/>
      <w:r w:rsidRPr="00B90167">
        <w:rPr>
          <w:sz w:val="24"/>
          <w:szCs w:val="24"/>
        </w:rPr>
        <w:t xml:space="preserve"> bakterier. </w:t>
      </w:r>
      <w:proofErr w:type="spellStart"/>
      <w:r w:rsidRPr="00B90167">
        <w:rPr>
          <w:sz w:val="24"/>
          <w:szCs w:val="24"/>
        </w:rPr>
        <w:t>Oxytetracyclin</w:t>
      </w:r>
      <w:proofErr w:type="spellEnd"/>
      <w:r w:rsidRPr="00B90167">
        <w:rPr>
          <w:sz w:val="24"/>
          <w:szCs w:val="24"/>
        </w:rPr>
        <w:t xml:space="preserve"> binder til 70S og 80S ribosomer og blokerer bindingen af </w:t>
      </w:r>
      <w:proofErr w:type="spellStart"/>
      <w:r w:rsidRPr="00B90167">
        <w:rPr>
          <w:sz w:val="24"/>
          <w:szCs w:val="24"/>
        </w:rPr>
        <w:t>aminoacyl</w:t>
      </w:r>
      <w:proofErr w:type="spellEnd"/>
      <w:r w:rsidRPr="00B90167">
        <w:rPr>
          <w:sz w:val="24"/>
          <w:szCs w:val="24"/>
        </w:rPr>
        <w:t xml:space="preserve">-transfer RNA til ribosomalt </w:t>
      </w:r>
      <w:proofErr w:type="spellStart"/>
      <w:r w:rsidRPr="00B90167">
        <w:rPr>
          <w:sz w:val="24"/>
          <w:szCs w:val="24"/>
        </w:rPr>
        <w:t>messenger</w:t>
      </w:r>
      <w:proofErr w:type="spellEnd"/>
      <w:r w:rsidRPr="00B90167">
        <w:rPr>
          <w:sz w:val="24"/>
          <w:szCs w:val="24"/>
        </w:rPr>
        <w:t xml:space="preserve"> RNA. Derved hæmmes bakteriernes proteinsyntese og dermed deres vækst og deling.</w:t>
      </w:r>
    </w:p>
    <w:p w14:paraId="7DBAE5EC" w14:textId="77777777" w:rsidR="004A01C3" w:rsidRPr="00B90167" w:rsidRDefault="004A01C3" w:rsidP="00A60B04">
      <w:pPr>
        <w:ind w:left="851"/>
        <w:rPr>
          <w:sz w:val="24"/>
          <w:szCs w:val="24"/>
        </w:rPr>
      </w:pPr>
      <w:r w:rsidRPr="00B90167">
        <w:rPr>
          <w:sz w:val="24"/>
          <w:szCs w:val="24"/>
        </w:rPr>
        <w:lastRenderedPageBreak/>
        <w:t xml:space="preserve">En lang række </w:t>
      </w:r>
      <w:proofErr w:type="spellStart"/>
      <w:r w:rsidRPr="00B90167">
        <w:rPr>
          <w:sz w:val="24"/>
          <w:szCs w:val="24"/>
        </w:rPr>
        <w:t>Gram-positive</w:t>
      </w:r>
      <w:proofErr w:type="spellEnd"/>
      <w:r w:rsidRPr="00B90167">
        <w:rPr>
          <w:sz w:val="24"/>
          <w:szCs w:val="24"/>
        </w:rPr>
        <w:t xml:space="preserve"> og </w:t>
      </w:r>
      <w:proofErr w:type="spellStart"/>
      <w:r w:rsidRPr="00B90167">
        <w:rPr>
          <w:sz w:val="24"/>
          <w:szCs w:val="24"/>
        </w:rPr>
        <w:t>Gram-negative</w:t>
      </w:r>
      <w:proofErr w:type="spellEnd"/>
      <w:r w:rsidRPr="00B90167">
        <w:rPr>
          <w:sz w:val="24"/>
          <w:szCs w:val="24"/>
        </w:rPr>
        <w:t xml:space="preserve"> bakterier er følsomme over for </w:t>
      </w:r>
      <w:proofErr w:type="spellStart"/>
      <w:r w:rsidRPr="00B90167">
        <w:rPr>
          <w:sz w:val="24"/>
          <w:szCs w:val="24"/>
        </w:rPr>
        <w:t>oxytetracyclin</w:t>
      </w:r>
      <w:proofErr w:type="spellEnd"/>
      <w:r w:rsidRPr="00B90167">
        <w:rPr>
          <w:sz w:val="24"/>
          <w:szCs w:val="24"/>
        </w:rPr>
        <w:t xml:space="preserve">, herunder </w:t>
      </w:r>
      <w:proofErr w:type="spellStart"/>
      <w:r w:rsidRPr="00B90167">
        <w:rPr>
          <w:i/>
          <w:iCs/>
          <w:sz w:val="24"/>
          <w:szCs w:val="24"/>
        </w:rPr>
        <w:t>Bordetella</w:t>
      </w:r>
      <w:proofErr w:type="spellEnd"/>
      <w:r w:rsidRPr="00B90167">
        <w:rPr>
          <w:i/>
          <w:iCs/>
          <w:sz w:val="24"/>
          <w:szCs w:val="24"/>
        </w:rPr>
        <w:t xml:space="preserve"> </w:t>
      </w:r>
      <w:proofErr w:type="spellStart"/>
      <w:r w:rsidRPr="00B90167">
        <w:rPr>
          <w:i/>
          <w:iCs/>
          <w:sz w:val="24"/>
          <w:szCs w:val="24"/>
        </w:rPr>
        <w:t>bronchiseptica</w:t>
      </w:r>
      <w:proofErr w:type="spellEnd"/>
      <w:r w:rsidRPr="00B90167">
        <w:rPr>
          <w:sz w:val="24"/>
          <w:szCs w:val="24"/>
        </w:rPr>
        <w:t xml:space="preserve">, </w:t>
      </w:r>
      <w:proofErr w:type="spellStart"/>
      <w:r w:rsidRPr="00B90167">
        <w:rPr>
          <w:i/>
          <w:iCs/>
          <w:sz w:val="24"/>
          <w:szCs w:val="24"/>
        </w:rPr>
        <w:t>Trueperella</w:t>
      </w:r>
      <w:proofErr w:type="spellEnd"/>
      <w:r w:rsidRPr="00B90167">
        <w:rPr>
          <w:i/>
          <w:iCs/>
          <w:sz w:val="24"/>
          <w:szCs w:val="24"/>
        </w:rPr>
        <w:t xml:space="preserve"> </w:t>
      </w:r>
      <w:proofErr w:type="spellStart"/>
      <w:r w:rsidRPr="00B90167">
        <w:rPr>
          <w:i/>
          <w:iCs/>
          <w:sz w:val="24"/>
          <w:szCs w:val="24"/>
        </w:rPr>
        <w:t>pyogenes</w:t>
      </w:r>
      <w:proofErr w:type="spellEnd"/>
      <w:r w:rsidRPr="00B90167">
        <w:rPr>
          <w:sz w:val="24"/>
          <w:szCs w:val="24"/>
        </w:rPr>
        <w:t xml:space="preserve">, </w:t>
      </w:r>
      <w:proofErr w:type="spellStart"/>
      <w:r w:rsidRPr="00B90167">
        <w:rPr>
          <w:i/>
          <w:iCs/>
          <w:sz w:val="24"/>
          <w:szCs w:val="24"/>
        </w:rPr>
        <w:t>Erysipelothrix</w:t>
      </w:r>
      <w:proofErr w:type="spellEnd"/>
      <w:r w:rsidRPr="00B90167">
        <w:rPr>
          <w:i/>
          <w:iCs/>
          <w:sz w:val="24"/>
          <w:szCs w:val="24"/>
        </w:rPr>
        <w:t xml:space="preserve"> </w:t>
      </w:r>
      <w:proofErr w:type="spellStart"/>
      <w:r w:rsidRPr="00B90167">
        <w:rPr>
          <w:i/>
          <w:iCs/>
          <w:sz w:val="24"/>
          <w:szCs w:val="24"/>
        </w:rPr>
        <w:t>rhusiopathiae</w:t>
      </w:r>
      <w:proofErr w:type="spellEnd"/>
      <w:r w:rsidRPr="00B90167">
        <w:rPr>
          <w:i/>
          <w:iCs/>
          <w:sz w:val="24"/>
          <w:szCs w:val="24"/>
        </w:rPr>
        <w:t>,</w:t>
      </w:r>
      <w:r w:rsidRPr="00B90167">
        <w:rPr>
          <w:sz w:val="24"/>
          <w:szCs w:val="24"/>
        </w:rPr>
        <w:t xml:space="preserve"> </w:t>
      </w:r>
      <w:proofErr w:type="spellStart"/>
      <w:r w:rsidRPr="00B90167">
        <w:rPr>
          <w:i/>
          <w:iCs/>
          <w:sz w:val="24"/>
          <w:szCs w:val="24"/>
        </w:rPr>
        <w:t>Pasteurella</w:t>
      </w:r>
      <w:proofErr w:type="spellEnd"/>
      <w:r w:rsidRPr="00B90167">
        <w:rPr>
          <w:sz w:val="24"/>
          <w:szCs w:val="24"/>
        </w:rPr>
        <w:t xml:space="preserve"> </w:t>
      </w:r>
      <w:proofErr w:type="spellStart"/>
      <w:r w:rsidRPr="00B90167">
        <w:rPr>
          <w:sz w:val="24"/>
          <w:szCs w:val="24"/>
        </w:rPr>
        <w:t>spp</w:t>
      </w:r>
      <w:proofErr w:type="spellEnd"/>
      <w:r w:rsidRPr="00B90167">
        <w:rPr>
          <w:sz w:val="24"/>
          <w:szCs w:val="24"/>
        </w:rPr>
        <w:t xml:space="preserve">, </w:t>
      </w:r>
      <w:proofErr w:type="spellStart"/>
      <w:r w:rsidRPr="00B90167">
        <w:rPr>
          <w:i/>
          <w:iCs/>
          <w:sz w:val="24"/>
          <w:szCs w:val="24"/>
        </w:rPr>
        <w:t>Staphylococcus</w:t>
      </w:r>
      <w:proofErr w:type="spellEnd"/>
      <w:r w:rsidRPr="00B90167">
        <w:rPr>
          <w:i/>
          <w:iCs/>
          <w:sz w:val="24"/>
          <w:szCs w:val="24"/>
        </w:rPr>
        <w:t xml:space="preserve"> </w:t>
      </w:r>
      <w:proofErr w:type="spellStart"/>
      <w:r w:rsidRPr="00B90167">
        <w:rPr>
          <w:sz w:val="24"/>
          <w:szCs w:val="24"/>
        </w:rPr>
        <w:t>spp</w:t>
      </w:r>
      <w:proofErr w:type="spellEnd"/>
      <w:r w:rsidRPr="00B90167">
        <w:rPr>
          <w:sz w:val="24"/>
          <w:szCs w:val="24"/>
        </w:rPr>
        <w:t xml:space="preserve"> og </w:t>
      </w:r>
      <w:proofErr w:type="spellStart"/>
      <w:r w:rsidRPr="00B90167">
        <w:rPr>
          <w:i/>
          <w:iCs/>
          <w:sz w:val="24"/>
          <w:szCs w:val="24"/>
        </w:rPr>
        <w:t>Streptococcus</w:t>
      </w:r>
      <w:proofErr w:type="spellEnd"/>
      <w:r w:rsidRPr="00B90167">
        <w:rPr>
          <w:i/>
          <w:iCs/>
          <w:sz w:val="24"/>
          <w:szCs w:val="24"/>
        </w:rPr>
        <w:t xml:space="preserve"> </w:t>
      </w:r>
      <w:proofErr w:type="spellStart"/>
      <w:r w:rsidRPr="00B90167">
        <w:rPr>
          <w:sz w:val="24"/>
          <w:szCs w:val="24"/>
        </w:rPr>
        <w:t>spp</w:t>
      </w:r>
      <w:proofErr w:type="spellEnd"/>
      <w:r w:rsidRPr="00B90167">
        <w:rPr>
          <w:sz w:val="24"/>
          <w:szCs w:val="24"/>
        </w:rPr>
        <w:t>.</w:t>
      </w:r>
    </w:p>
    <w:p w14:paraId="06138F8A" w14:textId="77777777" w:rsidR="004A01C3" w:rsidRPr="00B90167" w:rsidRDefault="004A01C3" w:rsidP="00A60B04">
      <w:pPr>
        <w:ind w:left="851"/>
        <w:rPr>
          <w:sz w:val="24"/>
          <w:szCs w:val="24"/>
        </w:rPr>
      </w:pPr>
      <w:r w:rsidRPr="00B90167">
        <w:rPr>
          <w:sz w:val="24"/>
          <w:szCs w:val="24"/>
        </w:rPr>
        <w:t xml:space="preserve">Andre: </w:t>
      </w:r>
      <w:proofErr w:type="spellStart"/>
      <w:r w:rsidRPr="00B90167">
        <w:rPr>
          <w:i/>
          <w:iCs/>
          <w:sz w:val="24"/>
          <w:szCs w:val="24"/>
        </w:rPr>
        <w:t>Mycoplasma</w:t>
      </w:r>
      <w:proofErr w:type="spellEnd"/>
      <w:r w:rsidRPr="00B90167">
        <w:rPr>
          <w:i/>
          <w:iCs/>
          <w:sz w:val="24"/>
          <w:szCs w:val="24"/>
        </w:rPr>
        <w:t xml:space="preserve"> </w:t>
      </w:r>
      <w:proofErr w:type="spellStart"/>
      <w:r w:rsidRPr="00B90167">
        <w:rPr>
          <w:sz w:val="24"/>
          <w:szCs w:val="24"/>
        </w:rPr>
        <w:t>spp</w:t>
      </w:r>
      <w:proofErr w:type="spellEnd"/>
      <w:r w:rsidRPr="00B90167">
        <w:rPr>
          <w:sz w:val="24"/>
          <w:szCs w:val="24"/>
        </w:rPr>
        <w:t xml:space="preserve">., </w:t>
      </w:r>
      <w:proofErr w:type="spellStart"/>
      <w:r w:rsidRPr="00B90167">
        <w:rPr>
          <w:sz w:val="24"/>
          <w:szCs w:val="24"/>
        </w:rPr>
        <w:t>rickettsia</w:t>
      </w:r>
      <w:proofErr w:type="spellEnd"/>
      <w:r w:rsidRPr="00B90167">
        <w:rPr>
          <w:sz w:val="24"/>
          <w:szCs w:val="24"/>
        </w:rPr>
        <w:t xml:space="preserve">, protozoer og </w:t>
      </w:r>
      <w:proofErr w:type="spellStart"/>
      <w:r w:rsidRPr="00B90167">
        <w:rPr>
          <w:i/>
          <w:iCs/>
          <w:sz w:val="24"/>
          <w:szCs w:val="24"/>
        </w:rPr>
        <w:t>Chlamydia</w:t>
      </w:r>
      <w:proofErr w:type="spellEnd"/>
      <w:r w:rsidRPr="00B90167">
        <w:rPr>
          <w:i/>
          <w:iCs/>
          <w:sz w:val="24"/>
          <w:szCs w:val="24"/>
        </w:rPr>
        <w:t xml:space="preserve"> </w:t>
      </w:r>
      <w:proofErr w:type="spellStart"/>
      <w:r w:rsidRPr="00B90167">
        <w:rPr>
          <w:sz w:val="24"/>
          <w:szCs w:val="24"/>
        </w:rPr>
        <w:t>spp</w:t>
      </w:r>
      <w:proofErr w:type="spellEnd"/>
      <w:r w:rsidRPr="00B90167">
        <w:rPr>
          <w:sz w:val="24"/>
          <w:szCs w:val="24"/>
        </w:rPr>
        <w:t>.</w:t>
      </w:r>
    </w:p>
    <w:p w14:paraId="72F54DC0" w14:textId="77777777" w:rsidR="008203A8" w:rsidRPr="00B90167" w:rsidRDefault="008203A8" w:rsidP="008203A8">
      <w:pPr>
        <w:tabs>
          <w:tab w:val="left" w:pos="851"/>
        </w:tabs>
        <w:ind w:left="851"/>
        <w:rPr>
          <w:sz w:val="24"/>
          <w:szCs w:val="24"/>
        </w:rPr>
      </w:pPr>
    </w:p>
    <w:p w14:paraId="47B4BEE1" w14:textId="77777777" w:rsidR="008203A8" w:rsidRPr="00B90167" w:rsidRDefault="008203A8" w:rsidP="008203A8">
      <w:pPr>
        <w:tabs>
          <w:tab w:val="left" w:pos="851"/>
        </w:tabs>
        <w:ind w:left="851" w:hanging="851"/>
        <w:rPr>
          <w:b/>
          <w:sz w:val="24"/>
          <w:szCs w:val="24"/>
        </w:rPr>
      </w:pPr>
      <w:r w:rsidRPr="002C08F9">
        <w:rPr>
          <w:b/>
          <w:sz w:val="24"/>
          <w:szCs w:val="24"/>
        </w:rPr>
        <w:t>4.3</w:t>
      </w:r>
      <w:r w:rsidRPr="002C08F9">
        <w:rPr>
          <w:b/>
          <w:sz w:val="24"/>
          <w:szCs w:val="24"/>
        </w:rPr>
        <w:tab/>
      </w:r>
      <w:proofErr w:type="spellStart"/>
      <w:r w:rsidRPr="002C08F9">
        <w:rPr>
          <w:b/>
          <w:sz w:val="24"/>
          <w:szCs w:val="24"/>
        </w:rPr>
        <w:t>Farmakokinetiske</w:t>
      </w:r>
      <w:proofErr w:type="spellEnd"/>
      <w:r w:rsidRPr="002C08F9">
        <w:rPr>
          <w:b/>
          <w:sz w:val="24"/>
          <w:szCs w:val="24"/>
        </w:rPr>
        <w:t xml:space="preserve"> oplysninger</w:t>
      </w:r>
    </w:p>
    <w:p w14:paraId="2BD17E0D" w14:textId="77777777" w:rsidR="004A01C3" w:rsidRPr="00B90167" w:rsidRDefault="004A01C3" w:rsidP="00A60B04">
      <w:pPr>
        <w:ind w:left="851"/>
        <w:rPr>
          <w:sz w:val="24"/>
          <w:szCs w:val="24"/>
        </w:rPr>
      </w:pPr>
      <w:r w:rsidRPr="00B90167">
        <w:rPr>
          <w:sz w:val="24"/>
          <w:szCs w:val="24"/>
        </w:rPr>
        <w:t xml:space="preserve">Dette veterinærlægemiddel har en forlænget virkningstid, som forlænger den antibakterielle aktivitet. Efter en enkelt intramuskulær injektion af 20 mg/kg ses maksimale plasmakoncentrationer af </w:t>
      </w:r>
      <w:proofErr w:type="spellStart"/>
      <w:r w:rsidRPr="00B90167">
        <w:rPr>
          <w:sz w:val="24"/>
          <w:szCs w:val="24"/>
        </w:rPr>
        <w:t>oxytetracylin</w:t>
      </w:r>
      <w:proofErr w:type="spellEnd"/>
      <w:r w:rsidRPr="00B90167">
        <w:rPr>
          <w:sz w:val="24"/>
          <w:szCs w:val="24"/>
        </w:rPr>
        <w:t xml:space="preserve"> på 3,3; 5,0 og 6,92 </w:t>
      </w:r>
      <w:proofErr w:type="spellStart"/>
      <w:r w:rsidRPr="00B90167">
        <w:rPr>
          <w:sz w:val="24"/>
          <w:szCs w:val="24"/>
        </w:rPr>
        <w:t>mikrog</w:t>
      </w:r>
      <w:proofErr w:type="spellEnd"/>
      <w:r w:rsidRPr="00B90167">
        <w:rPr>
          <w:sz w:val="24"/>
          <w:szCs w:val="24"/>
        </w:rPr>
        <w:t xml:space="preserve">/ml henholdsvis 3,9; 8,0 og 3,6 timer efter administration til svin, kvæg og får. </w:t>
      </w:r>
    </w:p>
    <w:p w14:paraId="1EDD75DE" w14:textId="77777777" w:rsidR="004A01C3" w:rsidRPr="00B90167" w:rsidRDefault="004A01C3" w:rsidP="00A60B04">
      <w:pPr>
        <w:ind w:left="851"/>
        <w:rPr>
          <w:sz w:val="24"/>
          <w:szCs w:val="24"/>
        </w:rPr>
      </w:pPr>
      <w:r w:rsidRPr="00B90167">
        <w:rPr>
          <w:sz w:val="24"/>
          <w:szCs w:val="24"/>
        </w:rPr>
        <w:t xml:space="preserve">Ved denne dosis kan terapeutiske niveauer opretholdes over 0,5 </w:t>
      </w:r>
      <w:proofErr w:type="spellStart"/>
      <w:r w:rsidRPr="00B90167">
        <w:rPr>
          <w:sz w:val="24"/>
          <w:szCs w:val="24"/>
        </w:rPr>
        <w:t>mikrog</w:t>
      </w:r>
      <w:proofErr w:type="spellEnd"/>
      <w:r w:rsidRPr="00B90167">
        <w:rPr>
          <w:sz w:val="24"/>
          <w:szCs w:val="24"/>
        </w:rPr>
        <w:t xml:space="preserve">/ml i op til 4 dage hos svin, 3 dage hos kvæg og i 3 (2,75) dage hos får. </w:t>
      </w:r>
    </w:p>
    <w:p w14:paraId="30FF8D05" w14:textId="77777777" w:rsidR="004A01C3" w:rsidRPr="00B90167" w:rsidRDefault="004A01C3" w:rsidP="00A60B04">
      <w:pPr>
        <w:ind w:left="851"/>
        <w:rPr>
          <w:sz w:val="24"/>
          <w:szCs w:val="24"/>
        </w:rPr>
      </w:pPr>
      <w:r w:rsidRPr="00B90167">
        <w:rPr>
          <w:sz w:val="24"/>
          <w:szCs w:val="24"/>
        </w:rPr>
        <w:t xml:space="preserve">Ved en dosis på 30 mg/kg ses maksimale plasmakoncentrationer af </w:t>
      </w:r>
      <w:proofErr w:type="spellStart"/>
      <w:r w:rsidRPr="00B90167">
        <w:rPr>
          <w:sz w:val="24"/>
          <w:szCs w:val="24"/>
        </w:rPr>
        <w:t>oxytetracylin</w:t>
      </w:r>
      <w:proofErr w:type="spellEnd"/>
      <w:r w:rsidRPr="00B90167">
        <w:rPr>
          <w:sz w:val="24"/>
          <w:szCs w:val="24"/>
        </w:rPr>
        <w:t xml:space="preserve"> på 4,2; 5,8 og 6 </w:t>
      </w:r>
      <w:proofErr w:type="spellStart"/>
      <w:r w:rsidRPr="00B90167">
        <w:rPr>
          <w:sz w:val="24"/>
          <w:szCs w:val="24"/>
        </w:rPr>
        <w:t>mikrog</w:t>
      </w:r>
      <w:proofErr w:type="spellEnd"/>
      <w:r w:rsidRPr="00B90167">
        <w:rPr>
          <w:sz w:val="24"/>
          <w:szCs w:val="24"/>
        </w:rPr>
        <w:t xml:space="preserve">/ml efter henholdsvis 4,3; 4,0 og 5,2 timer efter administration til svin, kvæg og får. </w:t>
      </w:r>
    </w:p>
    <w:p w14:paraId="56D1BFF6" w14:textId="77777777" w:rsidR="004A01C3" w:rsidRPr="00B90167" w:rsidRDefault="004A01C3" w:rsidP="00A60B04">
      <w:pPr>
        <w:ind w:left="851"/>
        <w:rPr>
          <w:sz w:val="24"/>
          <w:szCs w:val="24"/>
        </w:rPr>
      </w:pPr>
      <w:r w:rsidRPr="00B90167">
        <w:rPr>
          <w:sz w:val="24"/>
          <w:szCs w:val="24"/>
        </w:rPr>
        <w:t xml:space="preserve">Ved denne dosis kan terapeutiske niveauer opretholdes over 0,5 </w:t>
      </w:r>
      <w:proofErr w:type="spellStart"/>
      <w:r w:rsidRPr="00B90167">
        <w:rPr>
          <w:sz w:val="24"/>
          <w:szCs w:val="24"/>
        </w:rPr>
        <w:t>mikrog</w:t>
      </w:r>
      <w:proofErr w:type="spellEnd"/>
      <w:r w:rsidRPr="00B90167">
        <w:rPr>
          <w:sz w:val="24"/>
          <w:szCs w:val="24"/>
        </w:rPr>
        <w:t>/ml i op til 5-6 dage hos svin, 4-5 dage hos kvæg og i 5-6 dage hos får.</w:t>
      </w:r>
    </w:p>
    <w:p w14:paraId="6183F44D" w14:textId="77777777" w:rsidR="008203A8" w:rsidRPr="00B90167" w:rsidRDefault="008203A8" w:rsidP="008203A8">
      <w:pPr>
        <w:tabs>
          <w:tab w:val="left" w:pos="851"/>
        </w:tabs>
        <w:ind w:left="851"/>
        <w:rPr>
          <w:sz w:val="24"/>
          <w:szCs w:val="24"/>
        </w:rPr>
      </w:pPr>
    </w:p>
    <w:p w14:paraId="1E401A19" w14:textId="77777777" w:rsidR="008203A8" w:rsidRPr="00B90167" w:rsidRDefault="008203A8" w:rsidP="00A60B04">
      <w:pPr>
        <w:ind w:left="851"/>
        <w:rPr>
          <w:b/>
          <w:sz w:val="24"/>
          <w:szCs w:val="24"/>
        </w:rPr>
      </w:pPr>
      <w:r w:rsidRPr="00B90167">
        <w:rPr>
          <w:b/>
          <w:sz w:val="24"/>
          <w:szCs w:val="24"/>
        </w:rPr>
        <w:t>Miljøoplysninger</w:t>
      </w:r>
    </w:p>
    <w:p w14:paraId="0E213A1C" w14:textId="77777777" w:rsidR="004A01C3" w:rsidRPr="00B90167" w:rsidRDefault="004A01C3" w:rsidP="00A60B04">
      <w:pPr>
        <w:tabs>
          <w:tab w:val="left" w:pos="1304"/>
        </w:tabs>
        <w:ind w:left="851"/>
        <w:rPr>
          <w:sz w:val="24"/>
          <w:szCs w:val="24"/>
        </w:rPr>
      </w:pPr>
      <w:proofErr w:type="spellStart"/>
      <w:r w:rsidRPr="00B90167">
        <w:rPr>
          <w:sz w:val="24"/>
          <w:szCs w:val="24"/>
        </w:rPr>
        <w:t>Oxytetracyclin</w:t>
      </w:r>
      <w:proofErr w:type="spellEnd"/>
      <w:r w:rsidRPr="00B90167">
        <w:rPr>
          <w:sz w:val="24"/>
          <w:szCs w:val="24"/>
        </w:rPr>
        <w:t xml:space="preserve"> har en høj </w:t>
      </w:r>
      <w:proofErr w:type="spellStart"/>
      <w:r w:rsidRPr="00B90167">
        <w:rPr>
          <w:sz w:val="24"/>
          <w:szCs w:val="24"/>
        </w:rPr>
        <w:t>persistens</w:t>
      </w:r>
      <w:proofErr w:type="spellEnd"/>
      <w:r w:rsidRPr="00B90167">
        <w:rPr>
          <w:sz w:val="24"/>
          <w:szCs w:val="24"/>
        </w:rPr>
        <w:t xml:space="preserve"> i jord.</w:t>
      </w:r>
    </w:p>
    <w:p w14:paraId="48B45423" w14:textId="5FE12571" w:rsidR="008203A8" w:rsidRPr="00B90167" w:rsidRDefault="008203A8" w:rsidP="008203A8">
      <w:pPr>
        <w:tabs>
          <w:tab w:val="left" w:pos="851"/>
        </w:tabs>
        <w:ind w:left="851"/>
        <w:rPr>
          <w:sz w:val="24"/>
          <w:szCs w:val="24"/>
        </w:rPr>
      </w:pPr>
    </w:p>
    <w:p w14:paraId="5B664F05" w14:textId="77777777" w:rsidR="00A60B04" w:rsidRPr="00B90167" w:rsidRDefault="00A60B04" w:rsidP="008203A8">
      <w:pPr>
        <w:tabs>
          <w:tab w:val="left" w:pos="851"/>
        </w:tabs>
        <w:ind w:left="851"/>
        <w:rPr>
          <w:sz w:val="24"/>
          <w:szCs w:val="24"/>
        </w:rPr>
      </w:pPr>
    </w:p>
    <w:p w14:paraId="490CA58C" w14:textId="77777777" w:rsidR="008203A8" w:rsidRPr="00B90167" w:rsidRDefault="008203A8" w:rsidP="008203A8">
      <w:pPr>
        <w:ind w:left="851" w:hanging="851"/>
        <w:rPr>
          <w:b/>
          <w:sz w:val="24"/>
          <w:szCs w:val="24"/>
        </w:rPr>
      </w:pPr>
      <w:r w:rsidRPr="00B90167">
        <w:rPr>
          <w:b/>
          <w:sz w:val="24"/>
          <w:szCs w:val="24"/>
        </w:rPr>
        <w:t>5.</w:t>
      </w:r>
      <w:r w:rsidRPr="00B90167">
        <w:rPr>
          <w:b/>
          <w:sz w:val="24"/>
          <w:szCs w:val="24"/>
        </w:rPr>
        <w:tab/>
        <w:t>FARMACEUTISKE OPLYSNINGER</w:t>
      </w:r>
    </w:p>
    <w:p w14:paraId="0537B5BE" w14:textId="77777777" w:rsidR="008203A8" w:rsidRPr="00B90167" w:rsidRDefault="008203A8" w:rsidP="008203A8">
      <w:pPr>
        <w:tabs>
          <w:tab w:val="left" w:pos="851"/>
        </w:tabs>
        <w:ind w:left="851"/>
        <w:rPr>
          <w:sz w:val="24"/>
          <w:szCs w:val="24"/>
        </w:rPr>
      </w:pPr>
    </w:p>
    <w:p w14:paraId="4543F13F" w14:textId="77777777" w:rsidR="008203A8" w:rsidRPr="00B90167" w:rsidRDefault="008203A8" w:rsidP="008203A8">
      <w:pPr>
        <w:ind w:left="851" w:hanging="851"/>
        <w:rPr>
          <w:b/>
          <w:sz w:val="24"/>
          <w:szCs w:val="24"/>
        </w:rPr>
      </w:pPr>
      <w:r w:rsidRPr="00B90167">
        <w:rPr>
          <w:b/>
          <w:sz w:val="24"/>
          <w:szCs w:val="24"/>
        </w:rPr>
        <w:t>5.1</w:t>
      </w:r>
      <w:r w:rsidRPr="00B90167">
        <w:rPr>
          <w:b/>
          <w:sz w:val="24"/>
          <w:szCs w:val="24"/>
        </w:rPr>
        <w:tab/>
        <w:t>Væsentlige uforligeligheder</w:t>
      </w:r>
    </w:p>
    <w:p w14:paraId="33698EAF" w14:textId="77777777" w:rsidR="004A01C3" w:rsidRPr="00B90167" w:rsidRDefault="004A01C3" w:rsidP="00A60B04">
      <w:pPr>
        <w:ind w:left="851"/>
        <w:rPr>
          <w:sz w:val="24"/>
          <w:szCs w:val="24"/>
        </w:rPr>
      </w:pPr>
      <w:r w:rsidRPr="00B90167">
        <w:rPr>
          <w:sz w:val="24"/>
          <w:szCs w:val="24"/>
        </w:rPr>
        <w:t>Da der ikke foreligger undersøgelser vedrørende eventuelle uforligeligheder, bør dette veterinærlægemiddel ikke blandes med andre veterinærlægemidler.</w:t>
      </w:r>
    </w:p>
    <w:p w14:paraId="1AC234E9" w14:textId="77777777" w:rsidR="008203A8" w:rsidRPr="00B90167" w:rsidRDefault="008203A8" w:rsidP="008203A8">
      <w:pPr>
        <w:tabs>
          <w:tab w:val="left" w:pos="851"/>
        </w:tabs>
        <w:ind w:left="851"/>
        <w:rPr>
          <w:sz w:val="24"/>
          <w:szCs w:val="24"/>
        </w:rPr>
      </w:pPr>
    </w:p>
    <w:p w14:paraId="2774893E" w14:textId="77777777" w:rsidR="008203A8" w:rsidRPr="00B90167" w:rsidRDefault="008203A8" w:rsidP="008203A8">
      <w:pPr>
        <w:ind w:left="851" w:hanging="851"/>
        <w:rPr>
          <w:b/>
          <w:sz w:val="24"/>
          <w:szCs w:val="24"/>
        </w:rPr>
      </w:pPr>
      <w:r w:rsidRPr="00B90167">
        <w:rPr>
          <w:b/>
          <w:sz w:val="24"/>
          <w:szCs w:val="24"/>
        </w:rPr>
        <w:t>5.2</w:t>
      </w:r>
      <w:r w:rsidRPr="00B90167">
        <w:rPr>
          <w:b/>
          <w:sz w:val="24"/>
          <w:szCs w:val="24"/>
        </w:rPr>
        <w:tab/>
        <w:t>Opbevaringstid</w:t>
      </w:r>
    </w:p>
    <w:p w14:paraId="64690FCB" w14:textId="77777777" w:rsidR="004A01C3" w:rsidRPr="00B90167" w:rsidRDefault="004A01C3" w:rsidP="00A60B04">
      <w:pPr>
        <w:ind w:left="851"/>
        <w:rPr>
          <w:sz w:val="24"/>
          <w:szCs w:val="24"/>
        </w:rPr>
      </w:pPr>
      <w:r w:rsidRPr="00B90167">
        <w:rPr>
          <w:sz w:val="24"/>
          <w:szCs w:val="24"/>
        </w:rPr>
        <w:t>Opbevaringstid for veterinærlægemidlet i salgspakning: 18 måneder</w:t>
      </w:r>
    </w:p>
    <w:p w14:paraId="2D8FD4AF" w14:textId="77777777" w:rsidR="004A01C3" w:rsidRPr="00B90167" w:rsidRDefault="004A01C3" w:rsidP="00A60B04">
      <w:pPr>
        <w:ind w:left="851"/>
        <w:rPr>
          <w:sz w:val="24"/>
          <w:szCs w:val="24"/>
        </w:rPr>
      </w:pPr>
      <w:bookmarkStart w:id="18" w:name="_Hlk176292546"/>
      <w:r w:rsidRPr="00B90167">
        <w:rPr>
          <w:sz w:val="24"/>
          <w:szCs w:val="24"/>
        </w:rPr>
        <w:t>Opbevaringstid efter første åbning af den indre emballage: 28 dage</w:t>
      </w:r>
      <w:bookmarkEnd w:id="18"/>
    </w:p>
    <w:p w14:paraId="70A1E5D3" w14:textId="77777777" w:rsidR="008203A8" w:rsidRPr="00B90167" w:rsidRDefault="008203A8" w:rsidP="008203A8">
      <w:pPr>
        <w:tabs>
          <w:tab w:val="left" w:pos="851"/>
        </w:tabs>
        <w:ind w:left="851"/>
        <w:rPr>
          <w:sz w:val="24"/>
          <w:szCs w:val="24"/>
        </w:rPr>
      </w:pPr>
    </w:p>
    <w:p w14:paraId="0DFAC179" w14:textId="77777777" w:rsidR="008203A8" w:rsidRPr="00B90167" w:rsidRDefault="008203A8" w:rsidP="008203A8">
      <w:pPr>
        <w:ind w:left="851" w:hanging="851"/>
        <w:rPr>
          <w:b/>
          <w:sz w:val="24"/>
          <w:szCs w:val="24"/>
        </w:rPr>
      </w:pPr>
      <w:r w:rsidRPr="00B90167">
        <w:rPr>
          <w:b/>
          <w:sz w:val="24"/>
          <w:szCs w:val="24"/>
        </w:rPr>
        <w:t>5.3</w:t>
      </w:r>
      <w:r w:rsidRPr="00B90167">
        <w:rPr>
          <w:b/>
          <w:sz w:val="24"/>
          <w:szCs w:val="24"/>
        </w:rPr>
        <w:tab/>
        <w:t>Særlige forholdsregler vedrørende opbevaring</w:t>
      </w:r>
    </w:p>
    <w:p w14:paraId="10BA4BAA" w14:textId="77777777" w:rsidR="004A01C3" w:rsidRPr="00B90167" w:rsidRDefault="004A01C3" w:rsidP="00A60B04">
      <w:pPr>
        <w:numPr>
          <w:ilvl w:val="12"/>
          <w:numId w:val="0"/>
        </w:numPr>
        <w:ind w:left="851"/>
        <w:rPr>
          <w:sz w:val="24"/>
          <w:szCs w:val="24"/>
        </w:rPr>
      </w:pPr>
      <w:bookmarkStart w:id="19" w:name="_Hlk176292458"/>
      <w:r w:rsidRPr="00B90167">
        <w:rPr>
          <w:sz w:val="24"/>
          <w:szCs w:val="24"/>
        </w:rPr>
        <w:t>Må ikke opbevares over 25 °C.</w:t>
      </w:r>
    </w:p>
    <w:p w14:paraId="55F576B9" w14:textId="77777777" w:rsidR="004A01C3" w:rsidRPr="00B90167" w:rsidRDefault="004A01C3" w:rsidP="00A60B04">
      <w:pPr>
        <w:numPr>
          <w:ilvl w:val="12"/>
          <w:numId w:val="0"/>
        </w:numPr>
        <w:ind w:left="851"/>
        <w:rPr>
          <w:sz w:val="24"/>
          <w:szCs w:val="24"/>
        </w:rPr>
      </w:pPr>
      <w:r w:rsidRPr="00B90167">
        <w:rPr>
          <w:sz w:val="24"/>
          <w:szCs w:val="24"/>
        </w:rPr>
        <w:t>Opbevar hætteglasset i den ydre æske for at beskytte mod lys.</w:t>
      </w:r>
      <w:bookmarkEnd w:id="19"/>
    </w:p>
    <w:p w14:paraId="21CEE3B0" w14:textId="77777777" w:rsidR="008203A8" w:rsidRPr="00B90167" w:rsidRDefault="008203A8" w:rsidP="008203A8">
      <w:pPr>
        <w:tabs>
          <w:tab w:val="left" w:pos="851"/>
        </w:tabs>
        <w:ind w:left="851"/>
        <w:rPr>
          <w:sz w:val="24"/>
          <w:szCs w:val="24"/>
        </w:rPr>
      </w:pPr>
    </w:p>
    <w:p w14:paraId="1901A5D7" w14:textId="77777777" w:rsidR="008203A8" w:rsidRPr="00B90167" w:rsidRDefault="008203A8" w:rsidP="008203A8">
      <w:pPr>
        <w:ind w:left="851" w:hanging="851"/>
        <w:rPr>
          <w:b/>
          <w:sz w:val="24"/>
          <w:szCs w:val="24"/>
        </w:rPr>
      </w:pPr>
      <w:r w:rsidRPr="00B90167">
        <w:rPr>
          <w:b/>
          <w:sz w:val="24"/>
          <w:szCs w:val="24"/>
        </w:rPr>
        <w:t>5.4</w:t>
      </w:r>
      <w:r w:rsidRPr="00B90167">
        <w:rPr>
          <w:b/>
          <w:sz w:val="24"/>
          <w:szCs w:val="24"/>
        </w:rPr>
        <w:tab/>
        <w:t>Den indre emballages art og indhold</w:t>
      </w:r>
    </w:p>
    <w:p w14:paraId="50009E6F" w14:textId="77777777" w:rsidR="004A01C3" w:rsidRPr="00B90167" w:rsidRDefault="004A01C3" w:rsidP="00A60B04">
      <w:pPr>
        <w:ind w:left="851"/>
        <w:rPr>
          <w:sz w:val="24"/>
          <w:szCs w:val="24"/>
        </w:rPr>
      </w:pPr>
      <w:r w:rsidRPr="00B90167">
        <w:rPr>
          <w:sz w:val="24"/>
          <w:szCs w:val="24"/>
        </w:rPr>
        <w:t xml:space="preserve">Ravfarvet hætteglas af glas type I lukket med en </w:t>
      </w:r>
      <w:proofErr w:type="spellStart"/>
      <w:r w:rsidRPr="00B90167">
        <w:rPr>
          <w:sz w:val="24"/>
          <w:szCs w:val="24"/>
        </w:rPr>
        <w:t>bromobutyl</w:t>
      </w:r>
      <w:proofErr w:type="spellEnd"/>
      <w:r w:rsidRPr="00B90167">
        <w:rPr>
          <w:sz w:val="24"/>
          <w:szCs w:val="24"/>
        </w:rPr>
        <w:t>-gummiprop (</w:t>
      </w:r>
      <w:proofErr w:type="spellStart"/>
      <w:r w:rsidRPr="00B90167">
        <w:rPr>
          <w:sz w:val="24"/>
          <w:szCs w:val="24"/>
        </w:rPr>
        <w:t>Ph.Eur</w:t>
      </w:r>
      <w:proofErr w:type="spellEnd"/>
      <w:r w:rsidRPr="00B90167">
        <w:rPr>
          <w:sz w:val="24"/>
          <w:szCs w:val="24"/>
        </w:rPr>
        <w:t xml:space="preserve">. type I) og et aluminiumslåg. </w:t>
      </w:r>
    </w:p>
    <w:p w14:paraId="42CAF259" w14:textId="77777777" w:rsidR="004A01C3" w:rsidRPr="00B90167" w:rsidRDefault="004A01C3" w:rsidP="00A60B04">
      <w:pPr>
        <w:ind w:left="851"/>
        <w:rPr>
          <w:sz w:val="24"/>
          <w:szCs w:val="24"/>
          <w:u w:val="single"/>
        </w:rPr>
      </w:pPr>
    </w:p>
    <w:p w14:paraId="7EC01AFE" w14:textId="77777777" w:rsidR="004A01C3" w:rsidRPr="00B90167" w:rsidRDefault="004A01C3" w:rsidP="00A60B04">
      <w:pPr>
        <w:ind w:left="851"/>
        <w:rPr>
          <w:sz w:val="24"/>
          <w:szCs w:val="24"/>
          <w:u w:val="single"/>
        </w:rPr>
      </w:pPr>
      <w:r w:rsidRPr="00B90167">
        <w:rPr>
          <w:sz w:val="24"/>
          <w:szCs w:val="24"/>
          <w:u w:val="single"/>
        </w:rPr>
        <w:t>Pakningsstørrelser</w:t>
      </w:r>
    </w:p>
    <w:p w14:paraId="2AD87A3C" w14:textId="77777777" w:rsidR="004A01C3" w:rsidRPr="00B90167" w:rsidRDefault="004A01C3" w:rsidP="00A60B04">
      <w:pPr>
        <w:ind w:left="851"/>
        <w:rPr>
          <w:sz w:val="24"/>
          <w:szCs w:val="24"/>
        </w:rPr>
      </w:pPr>
      <w:r w:rsidRPr="00B90167">
        <w:rPr>
          <w:sz w:val="24"/>
          <w:szCs w:val="24"/>
        </w:rPr>
        <w:t>Æske med 1 hætteglas á 50 ml</w:t>
      </w:r>
    </w:p>
    <w:p w14:paraId="4DD6224B" w14:textId="77777777" w:rsidR="004A01C3" w:rsidRPr="00B90167" w:rsidRDefault="004A01C3" w:rsidP="00A60B04">
      <w:pPr>
        <w:ind w:left="851"/>
        <w:rPr>
          <w:sz w:val="24"/>
          <w:szCs w:val="24"/>
        </w:rPr>
      </w:pPr>
      <w:r w:rsidRPr="00B90167">
        <w:rPr>
          <w:sz w:val="24"/>
          <w:szCs w:val="24"/>
        </w:rPr>
        <w:t>Æske med 1 hætteglas á 100 ml</w:t>
      </w:r>
    </w:p>
    <w:p w14:paraId="2AEE7090" w14:textId="77777777" w:rsidR="004A01C3" w:rsidRPr="00B90167" w:rsidRDefault="004A01C3" w:rsidP="00A60B04">
      <w:pPr>
        <w:ind w:left="851"/>
        <w:rPr>
          <w:sz w:val="24"/>
          <w:szCs w:val="24"/>
          <w:highlight w:val="yellow"/>
        </w:rPr>
      </w:pPr>
      <w:r w:rsidRPr="00B90167">
        <w:rPr>
          <w:sz w:val="24"/>
          <w:szCs w:val="24"/>
        </w:rPr>
        <w:t>Æske med 1 hætteglas á 250 ml</w:t>
      </w:r>
    </w:p>
    <w:p w14:paraId="18610B92" w14:textId="77777777" w:rsidR="004A01C3" w:rsidRPr="00B90167" w:rsidRDefault="004A01C3" w:rsidP="00A60B04">
      <w:pPr>
        <w:ind w:left="851"/>
        <w:rPr>
          <w:sz w:val="24"/>
          <w:szCs w:val="24"/>
        </w:rPr>
      </w:pPr>
      <w:r w:rsidRPr="00B90167">
        <w:rPr>
          <w:sz w:val="24"/>
          <w:szCs w:val="24"/>
        </w:rPr>
        <w:t>Æske med 12 hætteglas á 50 ml</w:t>
      </w:r>
    </w:p>
    <w:p w14:paraId="5E05AFE9" w14:textId="77777777" w:rsidR="004A01C3" w:rsidRPr="00B90167" w:rsidRDefault="004A01C3" w:rsidP="00A60B04">
      <w:pPr>
        <w:ind w:left="851"/>
        <w:rPr>
          <w:sz w:val="24"/>
          <w:szCs w:val="24"/>
        </w:rPr>
      </w:pPr>
      <w:r w:rsidRPr="00B90167">
        <w:rPr>
          <w:sz w:val="24"/>
          <w:szCs w:val="24"/>
        </w:rPr>
        <w:t>Æske med 10 hætteglas á 100 ml</w:t>
      </w:r>
    </w:p>
    <w:p w14:paraId="1B3A6F9D" w14:textId="77777777" w:rsidR="004A01C3" w:rsidRPr="00B90167" w:rsidRDefault="004A01C3" w:rsidP="00A60B04">
      <w:pPr>
        <w:ind w:left="851"/>
        <w:rPr>
          <w:sz w:val="24"/>
          <w:szCs w:val="24"/>
        </w:rPr>
      </w:pPr>
      <w:r w:rsidRPr="00B90167">
        <w:rPr>
          <w:sz w:val="24"/>
          <w:szCs w:val="24"/>
        </w:rPr>
        <w:t>Æske med 10 hætteglas á 250 ml</w:t>
      </w:r>
    </w:p>
    <w:p w14:paraId="2BD89814" w14:textId="77777777" w:rsidR="004A01C3" w:rsidRPr="00B90167" w:rsidRDefault="004A01C3" w:rsidP="00A60B04">
      <w:pPr>
        <w:ind w:left="851"/>
        <w:rPr>
          <w:sz w:val="24"/>
          <w:szCs w:val="24"/>
          <w:highlight w:val="yellow"/>
        </w:rPr>
      </w:pPr>
    </w:p>
    <w:p w14:paraId="2F4EFA07" w14:textId="05317136" w:rsidR="004A01C3" w:rsidRDefault="004A01C3" w:rsidP="00A60B04">
      <w:pPr>
        <w:ind w:left="851"/>
        <w:rPr>
          <w:sz w:val="24"/>
          <w:szCs w:val="24"/>
        </w:rPr>
      </w:pPr>
      <w:r w:rsidRPr="00B90167">
        <w:rPr>
          <w:sz w:val="24"/>
          <w:szCs w:val="24"/>
        </w:rPr>
        <w:t>Ikke alle pakningsstørrelser er nødvendigvis markedsført.</w:t>
      </w:r>
    </w:p>
    <w:p w14:paraId="54D0D445" w14:textId="77777777" w:rsidR="002C08F9" w:rsidRPr="00B90167" w:rsidRDefault="002C08F9" w:rsidP="00A60B04">
      <w:pPr>
        <w:ind w:left="851"/>
        <w:rPr>
          <w:sz w:val="24"/>
          <w:szCs w:val="24"/>
        </w:rPr>
      </w:pPr>
    </w:p>
    <w:p w14:paraId="4BD069F5" w14:textId="77777777" w:rsidR="008203A8" w:rsidRPr="00B90167" w:rsidRDefault="008203A8" w:rsidP="008203A8">
      <w:pPr>
        <w:tabs>
          <w:tab w:val="left" w:pos="851"/>
        </w:tabs>
        <w:ind w:left="851" w:hanging="851"/>
        <w:rPr>
          <w:sz w:val="24"/>
          <w:szCs w:val="24"/>
        </w:rPr>
      </w:pPr>
      <w:r w:rsidRPr="00B90167">
        <w:rPr>
          <w:b/>
          <w:sz w:val="24"/>
          <w:szCs w:val="24"/>
        </w:rPr>
        <w:lastRenderedPageBreak/>
        <w:t>5.5</w:t>
      </w:r>
      <w:r w:rsidRPr="00B90167">
        <w:rPr>
          <w:b/>
          <w:sz w:val="24"/>
          <w:szCs w:val="24"/>
        </w:rPr>
        <w:tab/>
        <w:t>Særlige forholdsregler vedrørende bortskaffelse af ubrugte veterinærlægemidler eller affaldsmaterialer fra brugen heraf</w:t>
      </w:r>
    </w:p>
    <w:p w14:paraId="2F798BCE" w14:textId="77777777" w:rsidR="004A01C3" w:rsidRPr="00B90167" w:rsidRDefault="004A01C3" w:rsidP="00A60B04">
      <w:pPr>
        <w:ind w:left="851"/>
        <w:rPr>
          <w:sz w:val="24"/>
          <w:szCs w:val="24"/>
        </w:rPr>
      </w:pPr>
      <w:r w:rsidRPr="00B90167">
        <w:rPr>
          <w:sz w:val="24"/>
          <w:szCs w:val="24"/>
        </w:rPr>
        <w:t>Lægemidler må ikke bortskaffes sammen med spildevand eller husholdningsaffald.</w:t>
      </w:r>
    </w:p>
    <w:p w14:paraId="64F51CEC" w14:textId="77777777" w:rsidR="004A01C3" w:rsidRPr="00B90167" w:rsidRDefault="004A01C3" w:rsidP="00A60B04">
      <w:pPr>
        <w:tabs>
          <w:tab w:val="left" w:pos="1304"/>
        </w:tabs>
        <w:ind w:left="851"/>
        <w:rPr>
          <w:sz w:val="24"/>
          <w:szCs w:val="24"/>
        </w:rPr>
      </w:pPr>
    </w:p>
    <w:p w14:paraId="2A6387B1" w14:textId="30D50968" w:rsidR="004A01C3" w:rsidRPr="00B90167" w:rsidRDefault="004A01C3" w:rsidP="00A60B04">
      <w:pPr>
        <w:tabs>
          <w:tab w:val="left" w:pos="1304"/>
        </w:tabs>
        <w:ind w:left="851" w:right="-143"/>
        <w:rPr>
          <w:sz w:val="24"/>
          <w:szCs w:val="24"/>
        </w:rPr>
      </w:pPr>
      <w:r w:rsidRPr="00B90167">
        <w:rPr>
          <w:sz w:val="24"/>
          <w:szCs w:val="24"/>
        </w:rPr>
        <w:t>Benyt returordninger ved bortskaffelse af ubrugte veterinærlægemidler eller affalds</w:t>
      </w:r>
      <w:r w:rsidR="00E51E11">
        <w:rPr>
          <w:sz w:val="24"/>
          <w:szCs w:val="24"/>
        </w:rPr>
        <w:softHyphen/>
      </w:r>
      <w:r w:rsidRPr="00B90167">
        <w:rPr>
          <w:sz w:val="24"/>
          <w:szCs w:val="24"/>
        </w:rPr>
        <w:t>materialer herfra i henhold til lokale retningslinjer og nationale indsamlingsordninger, der er relevante for det pågældende veterinærlægemiddel.</w:t>
      </w:r>
    </w:p>
    <w:p w14:paraId="3978B555" w14:textId="77777777" w:rsidR="008203A8" w:rsidRPr="00B90167" w:rsidRDefault="008203A8" w:rsidP="008203A8">
      <w:pPr>
        <w:tabs>
          <w:tab w:val="left" w:pos="851"/>
        </w:tabs>
        <w:ind w:left="851"/>
        <w:rPr>
          <w:sz w:val="24"/>
          <w:szCs w:val="24"/>
        </w:rPr>
      </w:pPr>
    </w:p>
    <w:p w14:paraId="66D14F53" w14:textId="77777777" w:rsidR="008203A8" w:rsidRPr="00B90167" w:rsidRDefault="008203A8" w:rsidP="008203A8">
      <w:pPr>
        <w:tabs>
          <w:tab w:val="left" w:pos="851"/>
        </w:tabs>
        <w:ind w:left="851" w:hanging="851"/>
        <w:rPr>
          <w:b/>
          <w:sz w:val="24"/>
          <w:szCs w:val="24"/>
        </w:rPr>
      </w:pPr>
      <w:r w:rsidRPr="00B90167">
        <w:rPr>
          <w:b/>
          <w:sz w:val="24"/>
          <w:szCs w:val="24"/>
        </w:rPr>
        <w:t>6.</w:t>
      </w:r>
      <w:r w:rsidRPr="00B90167">
        <w:rPr>
          <w:b/>
          <w:sz w:val="24"/>
          <w:szCs w:val="24"/>
        </w:rPr>
        <w:tab/>
        <w:t>NAVN PÅ INDEHAVEREN AF MARKEDSFØRINGSTILLADELSEN</w:t>
      </w:r>
    </w:p>
    <w:p w14:paraId="3FE066A1" w14:textId="77777777" w:rsidR="004A01C3" w:rsidRPr="00B90167" w:rsidRDefault="004A01C3" w:rsidP="00A60B04">
      <w:pPr>
        <w:ind w:left="851"/>
        <w:rPr>
          <w:sz w:val="24"/>
          <w:szCs w:val="24"/>
        </w:rPr>
      </w:pPr>
      <w:proofErr w:type="spellStart"/>
      <w:r w:rsidRPr="00B90167">
        <w:rPr>
          <w:sz w:val="24"/>
          <w:szCs w:val="24"/>
        </w:rPr>
        <w:t>Labiana</w:t>
      </w:r>
      <w:proofErr w:type="spellEnd"/>
      <w:r w:rsidRPr="00B90167">
        <w:rPr>
          <w:sz w:val="24"/>
          <w:szCs w:val="24"/>
        </w:rPr>
        <w:t xml:space="preserve"> Life Sciences, S.A. </w:t>
      </w:r>
    </w:p>
    <w:p w14:paraId="09FCEDAC" w14:textId="77777777" w:rsidR="00A60B04" w:rsidRPr="00B90167" w:rsidRDefault="004A01C3" w:rsidP="00A60B04">
      <w:pPr>
        <w:ind w:left="851"/>
        <w:rPr>
          <w:sz w:val="24"/>
          <w:szCs w:val="24"/>
        </w:rPr>
      </w:pPr>
      <w:r w:rsidRPr="00B90167">
        <w:rPr>
          <w:sz w:val="24"/>
          <w:szCs w:val="24"/>
        </w:rPr>
        <w:t>Venus 26</w:t>
      </w:r>
    </w:p>
    <w:p w14:paraId="4ECC4CBF" w14:textId="77777777" w:rsidR="00A60B04" w:rsidRPr="00B90167" w:rsidRDefault="004A01C3" w:rsidP="00A60B04">
      <w:pPr>
        <w:ind w:left="851"/>
        <w:rPr>
          <w:sz w:val="24"/>
          <w:szCs w:val="24"/>
        </w:rPr>
      </w:pPr>
      <w:r w:rsidRPr="00B90167">
        <w:rPr>
          <w:sz w:val="24"/>
          <w:szCs w:val="24"/>
        </w:rPr>
        <w:t xml:space="preserve">08228 </w:t>
      </w:r>
      <w:proofErr w:type="spellStart"/>
      <w:r w:rsidRPr="00B90167">
        <w:rPr>
          <w:sz w:val="24"/>
          <w:szCs w:val="24"/>
        </w:rPr>
        <w:t>Terrassa</w:t>
      </w:r>
      <w:proofErr w:type="spellEnd"/>
      <w:r w:rsidRPr="00B90167">
        <w:rPr>
          <w:sz w:val="24"/>
          <w:szCs w:val="24"/>
        </w:rPr>
        <w:t xml:space="preserve"> (Barcelona)</w:t>
      </w:r>
    </w:p>
    <w:p w14:paraId="1ECE0FF9" w14:textId="17631293" w:rsidR="004A01C3" w:rsidRPr="00B90167" w:rsidRDefault="004A01C3" w:rsidP="00A60B04">
      <w:pPr>
        <w:ind w:left="851"/>
        <w:rPr>
          <w:sz w:val="24"/>
          <w:szCs w:val="24"/>
        </w:rPr>
      </w:pPr>
      <w:r w:rsidRPr="00B90167">
        <w:rPr>
          <w:sz w:val="24"/>
          <w:szCs w:val="24"/>
        </w:rPr>
        <w:t xml:space="preserve">Spanien </w:t>
      </w:r>
    </w:p>
    <w:p w14:paraId="696EF096" w14:textId="77777777" w:rsidR="008203A8" w:rsidRPr="00B90167" w:rsidRDefault="008203A8" w:rsidP="00A60B04">
      <w:pPr>
        <w:tabs>
          <w:tab w:val="left" w:pos="851"/>
        </w:tabs>
        <w:ind w:left="851"/>
        <w:rPr>
          <w:sz w:val="24"/>
          <w:szCs w:val="24"/>
        </w:rPr>
      </w:pPr>
    </w:p>
    <w:p w14:paraId="60109B7B" w14:textId="77777777" w:rsidR="008203A8" w:rsidRPr="00B90167" w:rsidRDefault="008203A8" w:rsidP="00A60B04">
      <w:pPr>
        <w:tabs>
          <w:tab w:val="left" w:pos="851"/>
        </w:tabs>
        <w:ind w:left="851"/>
        <w:rPr>
          <w:b/>
          <w:sz w:val="24"/>
          <w:szCs w:val="24"/>
        </w:rPr>
      </w:pPr>
      <w:r w:rsidRPr="00B90167">
        <w:rPr>
          <w:b/>
          <w:sz w:val="24"/>
          <w:szCs w:val="24"/>
        </w:rPr>
        <w:t>Repræsentant</w:t>
      </w:r>
    </w:p>
    <w:p w14:paraId="36A64400" w14:textId="77777777" w:rsidR="004A01C3" w:rsidRPr="00B90167" w:rsidRDefault="004A01C3" w:rsidP="00A60B04">
      <w:pPr>
        <w:ind w:left="851"/>
        <w:rPr>
          <w:sz w:val="24"/>
          <w:szCs w:val="24"/>
        </w:rPr>
      </w:pPr>
      <w:proofErr w:type="spellStart"/>
      <w:r w:rsidRPr="00B90167">
        <w:rPr>
          <w:sz w:val="24"/>
          <w:szCs w:val="24"/>
        </w:rPr>
        <w:t>Biovet</w:t>
      </w:r>
      <w:proofErr w:type="spellEnd"/>
      <w:r w:rsidRPr="00B90167">
        <w:rPr>
          <w:sz w:val="24"/>
          <w:szCs w:val="24"/>
        </w:rPr>
        <w:t xml:space="preserve"> ApS</w:t>
      </w:r>
    </w:p>
    <w:p w14:paraId="238B7F4E" w14:textId="77777777" w:rsidR="004A01C3" w:rsidRPr="00B90167" w:rsidRDefault="004A01C3" w:rsidP="00A60B04">
      <w:pPr>
        <w:ind w:left="851"/>
        <w:rPr>
          <w:sz w:val="24"/>
          <w:szCs w:val="24"/>
        </w:rPr>
      </w:pPr>
      <w:r w:rsidRPr="00B90167">
        <w:rPr>
          <w:sz w:val="24"/>
          <w:szCs w:val="24"/>
        </w:rPr>
        <w:t>Kongevejen 66</w:t>
      </w:r>
    </w:p>
    <w:p w14:paraId="399F9BDE" w14:textId="77777777" w:rsidR="004A01C3" w:rsidRPr="00B90167" w:rsidRDefault="004A01C3" w:rsidP="00A60B04">
      <w:pPr>
        <w:ind w:left="851"/>
        <w:rPr>
          <w:sz w:val="24"/>
          <w:szCs w:val="24"/>
        </w:rPr>
      </w:pPr>
      <w:r w:rsidRPr="00B90167">
        <w:rPr>
          <w:sz w:val="24"/>
          <w:szCs w:val="24"/>
        </w:rPr>
        <w:t>3480 Fredensborg</w:t>
      </w:r>
    </w:p>
    <w:p w14:paraId="73E804D3" w14:textId="77777777" w:rsidR="008203A8" w:rsidRPr="00B90167" w:rsidRDefault="008203A8" w:rsidP="008203A8">
      <w:pPr>
        <w:tabs>
          <w:tab w:val="left" w:pos="851"/>
        </w:tabs>
        <w:ind w:left="851"/>
        <w:rPr>
          <w:sz w:val="24"/>
          <w:szCs w:val="24"/>
        </w:rPr>
      </w:pPr>
    </w:p>
    <w:p w14:paraId="270E0811" w14:textId="77777777" w:rsidR="008203A8" w:rsidRPr="00B90167" w:rsidRDefault="008203A8" w:rsidP="008203A8">
      <w:pPr>
        <w:ind w:left="851" w:hanging="851"/>
        <w:rPr>
          <w:b/>
          <w:sz w:val="24"/>
          <w:szCs w:val="24"/>
        </w:rPr>
      </w:pPr>
      <w:r w:rsidRPr="00B90167">
        <w:rPr>
          <w:b/>
          <w:sz w:val="24"/>
          <w:szCs w:val="24"/>
        </w:rPr>
        <w:t>7.</w:t>
      </w:r>
      <w:r w:rsidRPr="00B90167">
        <w:rPr>
          <w:b/>
          <w:sz w:val="24"/>
          <w:szCs w:val="24"/>
        </w:rPr>
        <w:tab/>
        <w:t>MARKEDSFØRINGSTILLADELSESNUMMER (-NUMRE)</w:t>
      </w:r>
    </w:p>
    <w:p w14:paraId="60583FED" w14:textId="4DC71DF6" w:rsidR="008203A8" w:rsidRPr="00B90167" w:rsidRDefault="004A01C3" w:rsidP="008203A8">
      <w:pPr>
        <w:tabs>
          <w:tab w:val="left" w:pos="851"/>
        </w:tabs>
        <w:ind w:left="851"/>
        <w:rPr>
          <w:sz w:val="24"/>
          <w:szCs w:val="24"/>
        </w:rPr>
      </w:pPr>
      <w:r w:rsidRPr="00B90167">
        <w:rPr>
          <w:sz w:val="24"/>
          <w:szCs w:val="24"/>
        </w:rPr>
        <w:t>71696</w:t>
      </w:r>
    </w:p>
    <w:p w14:paraId="34995970" w14:textId="77777777" w:rsidR="008203A8" w:rsidRPr="00B90167" w:rsidRDefault="008203A8" w:rsidP="008203A8">
      <w:pPr>
        <w:tabs>
          <w:tab w:val="left" w:pos="851"/>
        </w:tabs>
        <w:ind w:left="851"/>
        <w:rPr>
          <w:sz w:val="24"/>
          <w:szCs w:val="24"/>
        </w:rPr>
      </w:pPr>
    </w:p>
    <w:p w14:paraId="7A08FE91" w14:textId="77777777" w:rsidR="008203A8" w:rsidRPr="00B90167" w:rsidRDefault="008203A8" w:rsidP="008203A8">
      <w:pPr>
        <w:tabs>
          <w:tab w:val="left" w:pos="851"/>
        </w:tabs>
        <w:ind w:left="851" w:hanging="851"/>
        <w:rPr>
          <w:b/>
          <w:sz w:val="24"/>
          <w:szCs w:val="24"/>
        </w:rPr>
      </w:pPr>
      <w:r w:rsidRPr="00B90167">
        <w:rPr>
          <w:b/>
          <w:sz w:val="24"/>
          <w:szCs w:val="24"/>
        </w:rPr>
        <w:t>8.</w:t>
      </w:r>
      <w:r w:rsidRPr="00B90167">
        <w:rPr>
          <w:b/>
          <w:sz w:val="24"/>
          <w:szCs w:val="24"/>
        </w:rPr>
        <w:tab/>
        <w:t>DATO FOR FØRSTE TILLADELSE</w:t>
      </w:r>
    </w:p>
    <w:p w14:paraId="461AFB8F" w14:textId="3F281916" w:rsidR="008203A8" w:rsidRPr="00B90167" w:rsidRDefault="004D400C" w:rsidP="008203A8">
      <w:pPr>
        <w:tabs>
          <w:tab w:val="left" w:pos="851"/>
        </w:tabs>
        <w:ind w:left="851"/>
        <w:rPr>
          <w:sz w:val="24"/>
          <w:szCs w:val="24"/>
        </w:rPr>
      </w:pPr>
      <w:r>
        <w:rPr>
          <w:sz w:val="24"/>
          <w:szCs w:val="24"/>
        </w:rPr>
        <w:t>11. oktober 2024</w:t>
      </w:r>
    </w:p>
    <w:p w14:paraId="14317298" w14:textId="77777777" w:rsidR="008203A8" w:rsidRPr="00B90167" w:rsidRDefault="008203A8" w:rsidP="008203A8">
      <w:pPr>
        <w:tabs>
          <w:tab w:val="left" w:pos="851"/>
        </w:tabs>
        <w:ind w:left="851"/>
        <w:rPr>
          <w:sz w:val="24"/>
          <w:szCs w:val="24"/>
        </w:rPr>
      </w:pPr>
    </w:p>
    <w:p w14:paraId="4805FC4C" w14:textId="77777777" w:rsidR="008203A8" w:rsidRPr="00B90167" w:rsidRDefault="008203A8" w:rsidP="008203A8">
      <w:pPr>
        <w:tabs>
          <w:tab w:val="left" w:pos="851"/>
        </w:tabs>
        <w:ind w:left="851" w:hanging="851"/>
        <w:rPr>
          <w:b/>
          <w:sz w:val="24"/>
          <w:szCs w:val="24"/>
        </w:rPr>
      </w:pPr>
      <w:r w:rsidRPr="00B90167">
        <w:rPr>
          <w:b/>
          <w:sz w:val="24"/>
          <w:szCs w:val="24"/>
        </w:rPr>
        <w:t>9.</w:t>
      </w:r>
      <w:r w:rsidRPr="00B90167">
        <w:rPr>
          <w:b/>
          <w:sz w:val="24"/>
          <w:szCs w:val="24"/>
        </w:rPr>
        <w:tab/>
        <w:t>DATO FOR SENESTE ÆNDRING AF PRODUKTRESUMÉET</w:t>
      </w:r>
    </w:p>
    <w:p w14:paraId="28ACC99A" w14:textId="3DF24191" w:rsidR="008203A8" w:rsidRPr="00B90167" w:rsidRDefault="004A01C3" w:rsidP="008203A8">
      <w:pPr>
        <w:tabs>
          <w:tab w:val="left" w:pos="851"/>
        </w:tabs>
        <w:ind w:left="851"/>
        <w:rPr>
          <w:sz w:val="24"/>
          <w:szCs w:val="24"/>
        </w:rPr>
      </w:pPr>
      <w:r w:rsidRPr="00B90167">
        <w:rPr>
          <w:sz w:val="24"/>
          <w:szCs w:val="24"/>
        </w:rPr>
        <w:t>-</w:t>
      </w:r>
    </w:p>
    <w:p w14:paraId="07BED232" w14:textId="77777777" w:rsidR="008203A8" w:rsidRPr="00B90167" w:rsidRDefault="008203A8" w:rsidP="008203A8">
      <w:pPr>
        <w:tabs>
          <w:tab w:val="left" w:pos="851"/>
        </w:tabs>
        <w:ind w:left="851"/>
        <w:rPr>
          <w:sz w:val="24"/>
          <w:szCs w:val="24"/>
        </w:rPr>
      </w:pPr>
    </w:p>
    <w:p w14:paraId="3E9272F3" w14:textId="77777777" w:rsidR="008203A8" w:rsidRPr="00B90167" w:rsidRDefault="008203A8" w:rsidP="008203A8">
      <w:pPr>
        <w:tabs>
          <w:tab w:val="left" w:pos="851"/>
        </w:tabs>
        <w:ind w:left="851" w:hanging="851"/>
        <w:rPr>
          <w:b/>
          <w:sz w:val="24"/>
          <w:szCs w:val="24"/>
        </w:rPr>
      </w:pPr>
      <w:r w:rsidRPr="00B90167">
        <w:rPr>
          <w:b/>
          <w:sz w:val="24"/>
          <w:szCs w:val="24"/>
        </w:rPr>
        <w:t>10.</w:t>
      </w:r>
      <w:r w:rsidRPr="00B90167">
        <w:rPr>
          <w:b/>
          <w:sz w:val="24"/>
          <w:szCs w:val="24"/>
        </w:rPr>
        <w:tab/>
        <w:t>KLASSIFICERING AF VETERINÆRLÆGEMIDLER</w:t>
      </w:r>
    </w:p>
    <w:p w14:paraId="1793B953" w14:textId="76EC667B" w:rsidR="0003527F" w:rsidRPr="00B90167" w:rsidRDefault="004A01C3" w:rsidP="00B90167">
      <w:pPr>
        <w:pStyle w:val="Sidehoved"/>
        <w:tabs>
          <w:tab w:val="clear" w:pos="4819"/>
          <w:tab w:val="left" w:pos="851"/>
        </w:tabs>
        <w:ind w:left="851"/>
        <w:rPr>
          <w:szCs w:val="24"/>
        </w:rPr>
      </w:pPr>
      <w:r w:rsidRPr="00B90167">
        <w:rPr>
          <w:szCs w:val="24"/>
        </w:rPr>
        <w:t>BP</w:t>
      </w:r>
    </w:p>
    <w:sectPr w:rsidR="0003527F" w:rsidRPr="00B90167"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A7473" w14:textId="77777777" w:rsidR="00103B7B" w:rsidRDefault="00103B7B">
      <w:r>
        <w:separator/>
      </w:r>
    </w:p>
  </w:endnote>
  <w:endnote w:type="continuationSeparator" w:id="0">
    <w:p w14:paraId="54035F86" w14:textId="77777777" w:rsidR="00103B7B" w:rsidRDefault="0010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BB1F7" w14:textId="77777777" w:rsidR="004A62CC" w:rsidRDefault="004A62CC">
    <w:pPr>
      <w:pStyle w:val="Sidefod"/>
      <w:pBdr>
        <w:bottom w:val="single" w:sz="6" w:space="1" w:color="auto"/>
      </w:pBdr>
      <w:tabs>
        <w:tab w:val="clear" w:pos="4819"/>
        <w:tab w:val="left" w:pos="8647"/>
      </w:tabs>
      <w:rPr>
        <w:i/>
        <w:snapToGrid w:val="0"/>
        <w:sz w:val="18"/>
      </w:rPr>
    </w:pPr>
  </w:p>
  <w:p w14:paraId="6D771B0F" w14:textId="77777777" w:rsidR="004A62CC" w:rsidRDefault="004A62CC">
    <w:pPr>
      <w:pStyle w:val="Sidefod"/>
      <w:tabs>
        <w:tab w:val="clear" w:pos="4819"/>
        <w:tab w:val="left" w:pos="8647"/>
      </w:tabs>
      <w:rPr>
        <w:i/>
        <w:snapToGrid w:val="0"/>
        <w:sz w:val="18"/>
      </w:rPr>
    </w:pPr>
  </w:p>
  <w:p w14:paraId="0D55EF7C" w14:textId="35581978"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9432A">
      <w:rPr>
        <w:i/>
        <w:noProof/>
        <w:snapToGrid w:val="0"/>
        <w:sz w:val="18"/>
      </w:rPr>
      <w:t>Labimycin LA, injektionsvæske, opløsning 300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9CCBD" w14:textId="77777777" w:rsidR="004A62CC" w:rsidRDefault="004A62CC">
    <w:pPr>
      <w:pStyle w:val="Sidefod"/>
      <w:pBdr>
        <w:bottom w:val="single" w:sz="6" w:space="1" w:color="auto"/>
      </w:pBdr>
      <w:tabs>
        <w:tab w:val="clear" w:pos="4819"/>
        <w:tab w:val="left" w:pos="8647"/>
      </w:tabs>
      <w:rPr>
        <w:i/>
        <w:snapToGrid w:val="0"/>
        <w:sz w:val="18"/>
      </w:rPr>
    </w:pPr>
  </w:p>
  <w:p w14:paraId="25C047E7" w14:textId="77777777" w:rsidR="004A62CC" w:rsidRDefault="004A62CC">
    <w:pPr>
      <w:pStyle w:val="Sidefod"/>
      <w:tabs>
        <w:tab w:val="clear" w:pos="4819"/>
        <w:tab w:val="left" w:pos="8647"/>
      </w:tabs>
      <w:rPr>
        <w:i/>
        <w:snapToGrid w:val="0"/>
        <w:sz w:val="18"/>
      </w:rPr>
    </w:pPr>
  </w:p>
  <w:p w14:paraId="5C932934" w14:textId="1CB1F472"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9432A">
      <w:rPr>
        <w:i/>
        <w:noProof/>
        <w:snapToGrid w:val="0"/>
        <w:sz w:val="18"/>
      </w:rPr>
      <w:t>Labimycin LA, injektionsvæske, opløsning 300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27F4E" w14:textId="77777777" w:rsidR="00103B7B" w:rsidRDefault="00103B7B">
      <w:r>
        <w:separator/>
      </w:r>
    </w:p>
  </w:footnote>
  <w:footnote w:type="continuationSeparator" w:id="0">
    <w:p w14:paraId="0440F3E3" w14:textId="77777777" w:rsidR="00103B7B" w:rsidRDefault="00103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FFDB"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72659"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A393C"/>
    <w:multiLevelType w:val="hybridMultilevel"/>
    <w:tmpl w:val="C084286A"/>
    <w:lvl w:ilvl="0" w:tplc="C6FA10DA">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effect w:val="none"/>
        <w:bdr w:val="none" w:sz="0" w:space="0" w:color="auto" w:frame="1"/>
        <w:vertAlign w:val="baseline"/>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B7B"/>
    <w:rsid w:val="000241E8"/>
    <w:rsid w:val="0003527F"/>
    <w:rsid w:val="0004390D"/>
    <w:rsid w:val="0005355A"/>
    <w:rsid w:val="00065C7D"/>
    <w:rsid w:val="00082D4F"/>
    <w:rsid w:val="00092AFF"/>
    <w:rsid w:val="000B102C"/>
    <w:rsid w:val="000C6CD4"/>
    <w:rsid w:val="00103B7B"/>
    <w:rsid w:val="00131D7A"/>
    <w:rsid w:val="001577E4"/>
    <w:rsid w:val="001623D2"/>
    <w:rsid w:val="00162A88"/>
    <w:rsid w:val="00173F52"/>
    <w:rsid w:val="0018534D"/>
    <w:rsid w:val="001858CA"/>
    <w:rsid w:val="001869DB"/>
    <w:rsid w:val="001903E6"/>
    <w:rsid w:val="001C4AEF"/>
    <w:rsid w:val="001D3CC5"/>
    <w:rsid w:val="00202A14"/>
    <w:rsid w:val="00207C0E"/>
    <w:rsid w:val="002C08F9"/>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01C3"/>
    <w:rsid w:val="004A62CC"/>
    <w:rsid w:val="004C733C"/>
    <w:rsid w:val="004D400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9432A"/>
    <w:rsid w:val="009D66C6"/>
    <w:rsid w:val="009E300C"/>
    <w:rsid w:val="009E5184"/>
    <w:rsid w:val="009F1F5E"/>
    <w:rsid w:val="00A31E52"/>
    <w:rsid w:val="00A60B04"/>
    <w:rsid w:val="00A74A8A"/>
    <w:rsid w:val="00A762BA"/>
    <w:rsid w:val="00A85606"/>
    <w:rsid w:val="00A86C63"/>
    <w:rsid w:val="00A957A6"/>
    <w:rsid w:val="00A96525"/>
    <w:rsid w:val="00AA0D25"/>
    <w:rsid w:val="00AC012D"/>
    <w:rsid w:val="00AD4D77"/>
    <w:rsid w:val="00AE29E5"/>
    <w:rsid w:val="00AE5757"/>
    <w:rsid w:val="00B25EB8"/>
    <w:rsid w:val="00B764E3"/>
    <w:rsid w:val="00B85456"/>
    <w:rsid w:val="00B87267"/>
    <w:rsid w:val="00B901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22C26"/>
    <w:rsid w:val="00E321D6"/>
    <w:rsid w:val="00E323FB"/>
    <w:rsid w:val="00E51E11"/>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AFC55"/>
  <w15:chartTrackingRefBased/>
  <w15:docId w15:val="{46A27ED8-D4AE-4547-B3FC-81873CE8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2033">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43796810">
      <w:bodyDiv w:val="1"/>
      <w:marLeft w:val="0"/>
      <w:marRight w:val="0"/>
      <w:marTop w:val="0"/>
      <w:marBottom w:val="0"/>
      <w:divBdr>
        <w:top w:val="none" w:sz="0" w:space="0" w:color="auto"/>
        <w:left w:val="none" w:sz="0" w:space="0" w:color="auto"/>
        <w:bottom w:val="none" w:sz="0" w:space="0" w:color="auto"/>
        <w:right w:val="none" w:sz="0" w:space="0" w:color="auto"/>
      </w:divBdr>
    </w:div>
    <w:div w:id="72901752">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78218951">
      <w:bodyDiv w:val="1"/>
      <w:marLeft w:val="0"/>
      <w:marRight w:val="0"/>
      <w:marTop w:val="0"/>
      <w:marBottom w:val="0"/>
      <w:divBdr>
        <w:top w:val="none" w:sz="0" w:space="0" w:color="auto"/>
        <w:left w:val="none" w:sz="0" w:space="0" w:color="auto"/>
        <w:bottom w:val="none" w:sz="0" w:space="0" w:color="auto"/>
        <w:right w:val="none" w:sz="0" w:space="0" w:color="auto"/>
      </w:divBdr>
    </w:div>
    <w:div w:id="330723763">
      <w:bodyDiv w:val="1"/>
      <w:marLeft w:val="0"/>
      <w:marRight w:val="0"/>
      <w:marTop w:val="0"/>
      <w:marBottom w:val="0"/>
      <w:divBdr>
        <w:top w:val="none" w:sz="0" w:space="0" w:color="auto"/>
        <w:left w:val="none" w:sz="0" w:space="0" w:color="auto"/>
        <w:bottom w:val="none" w:sz="0" w:space="0" w:color="auto"/>
        <w:right w:val="none" w:sz="0" w:space="0" w:color="auto"/>
      </w:divBdr>
    </w:div>
    <w:div w:id="423188105">
      <w:bodyDiv w:val="1"/>
      <w:marLeft w:val="0"/>
      <w:marRight w:val="0"/>
      <w:marTop w:val="0"/>
      <w:marBottom w:val="0"/>
      <w:divBdr>
        <w:top w:val="none" w:sz="0" w:space="0" w:color="auto"/>
        <w:left w:val="none" w:sz="0" w:space="0" w:color="auto"/>
        <w:bottom w:val="none" w:sz="0" w:space="0" w:color="auto"/>
        <w:right w:val="none" w:sz="0" w:space="0" w:color="auto"/>
      </w:divBdr>
    </w:div>
    <w:div w:id="452290312">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62727827">
      <w:bodyDiv w:val="1"/>
      <w:marLeft w:val="0"/>
      <w:marRight w:val="0"/>
      <w:marTop w:val="0"/>
      <w:marBottom w:val="0"/>
      <w:divBdr>
        <w:top w:val="none" w:sz="0" w:space="0" w:color="auto"/>
        <w:left w:val="none" w:sz="0" w:space="0" w:color="auto"/>
        <w:bottom w:val="none" w:sz="0" w:space="0" w:color="auto"/>
        <w:right w:val="none" w:sz="0" w:space="0" w:color="auto"/>
      </w:divBdr>
    </w:div>
    <w:div w:id="793135335">
      <w:bodyDiv w:val="1"/>
      <w:marLeft w:val="0"/>
      <w:marRight w:val="0"/>
      <w:marTop w:val="0"/>
      <w:marBottom w:val="0"/>
      <w:divBdr>
        <w:top w:val="none" w:sz="0" w:space="0" w:color="auto"/>
        <w:left w:val="none" w:sz="0" w:space="0" w:color="auto"/>
        <w:bottom w:val="none" w:sz="0" w:space="0" w:color="auto"/>
        <w:right w:val="none" w:sz="0" w:space="0" w:color="auto"/>
      </w:divBdr>
    </w:div>
    <w:div w:id="796459958">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19145206">
      <w:bodyDiv w:val="1"/>
      <w:marLeft w:val="0"/>
      <w:marRight w:val="0"/>
      <w:marTop w:val="0"/>
      <w:marBottom w:val="0"/>
      <w:divBdr>
        <w:top w:val="none" w:sz="0" w:space="0" w:color="auto"/>
        <w:left w:val="none" w:sz="0" w:space="0" w:color="auto"/>
        <w:bottom w:val="none" w:sz="0" w:space="0" w:color="auto"/>
        <w:right w:val="none" w:sz="0" w:space="0" w:color="auto"/>
      </w:divBdr>
    </w:div>
    <w:div w:id="965742453">
      <w:bodyDiv w:val="1"/>
      <w:marLeft w:val="0"/>
      <w:marRight w:val="0"/>
      <w:marTop w:val="0"/>
      <w:marBottom w:val="0"/>
      <w:divBdr>
        <w:top w:val="none" w:sz="0" w:space="0" w:color="auto"/>
        <w:left w:val="none" w:sz="0" w:space="0" w:color="auto"/>
        <w:bottom w:val="none" w:sz="0" w:space="0" w:color="auto"/>
        <w:right w:val="none" w:sz="0" w:space="0" w:color="auto"/>
      </w:divBdr>
    </w:div>
    <w:div w:id="1068847973">
      <w:bodyDiv w:val="1"/>
      <w:marLeft w:val="0"/>
      <w:marRight w:val="0"/>
      <w:marTop w:val="0"/>
      <w:marBottom w:val="0"/>
      <w:divBdr>
        <w:top w:val="none" w:sz="0" w:space="0" w:color="auto"/>
        <w:left w:val="none" w:sz="0" w:space="0" w:color="auto"/>
        <w:bottom w:val="none" w:sz="0" w:space="0" w:color="auto"/>
        <w:right w:val="none" w:sz="0" w:space="0" w:color="auto"/>
      </w:divBdr>
    </w:div>
    <w:div w:id="1071729360">
      <w:bodyDiv w:val="1"/>
      <w:marLeft w:val="0"/>
      <w:marRight w:val="0"/>
      <w:marTop w:val="0"/>
      <w:marBottom w:val="0"/>
      <w:divBdr>
        <w:top w:val="none" w:sz="0" w:space="0" w:color="auto"/>
        <w:left w:val="none" w:sz="0" w:space="0" w:color="auto"/>
        <w:bottom w:val="none" w:sz="0" w:space="0" w:color="auto"/>
        <w:right w:val="none" w:sz="0" w:space="0" w:color="auto"/>
      </w:divBdr>
    </w:div>
    <w:div w:id="1074817891">
      <w:bodyDiv w:val="1"/>
      <w:marLeft w:val="0"/>
      <w:marRight w:val="0"/>
      <w:marTop w:val="0"/>
      <w:marBottom w:val="0"/>
      <w:divBdr>
        <w:top w:val="none" w:sz="0" w:space="0" w:color="auto"/>
        <w:left w:val="none" w:sz="0" w:space="0" w:color="auto"/>
        <w:bottom w:val="none" w:sz="0" w:space="0" w:color="auto"/>
        <w:right w:val="none" w:sz="0" w:space="0" w:color="auto"/>
      </w:divBdr>
    </w:div>
    <w:div w:id="1076317557">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40401857">
      <w:bodyDiv w:val="1"/>
      <w:marLeft w:val="0"/>
      <w:marRight w:val="0"/>
      <w:marTop w:val="0"/>
      <w:marBottom w:val="0"/>
      <w:divBdr>
        <w:top w:val="none" w:sz="0" w:space="0" w:color="auto"/>
        <w:left w:val="none" w:sz="0" w:space="0" w:color="auto"/>
        <w:bottom w:val="none" w:sz="0" w:space="0" w:color="auto"/>
        <w:right w:val="none" w:sz="0" w:space="0" w:color="auto"/>
      </w:divBdr>
    </w:div>
    <w:div w:id="134358511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393583472">
      <w:bodyDiv w:val="1"/>
      <w:marLeft w:val="0"/>
      <w:marRight w:val="0"/>
      <w:marTop w:val="0"/>
      <w:marBottom w:val="0"/>
      <w:divBdr>
        <w:top w:val="none" w:sz="0" w:space="0" w:color="auto"/>
        <w:left w:val="none" w:sz="0" w:space="0" w:color="auto"/>
        <w:bottom w:val="none" w:sz="0" w:space="0" w:color="auto"/>
        <w:right w:val="none" w:sz="0" w:space="0" w:color="auto"/>
      </w:divBdr>
    </w:div>
    <w:div w:id="1420952354">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650013374">
      <w:bodyDiv w:val="1"/>
      <w:marLeft w:val="0"/>
      <w:marRight w:val="0"/>
      <w:marTop w:val="0"/>
      <w:marBottom w:val="0"/>
      <w:divBdr>
        <w:top w:val="none" w:sz="0" w:space="0" w:color="auto"/>
        <w:left w:val="none" w:sz="0" w:space="0" w:color="auto"/>
        <w:bottom w:val="none" w:sz="0" w:space="0" w:color="auto"/>
        <w:right w:val="none" w:sz="0" w:space="0" w:color="auto"/>
      </w:divBdr>
    </w:div>
    <w:div w:id="1837453088">
      <w:bodyDiv w:val="1"/>
      <w:marLeft w:val="0"/>
      <w:marRight w:val="0"/>
      <w:marTop w:val="0"/>
      <w:marBottom w:val="0"/>
      <w:divBdr>
        <w:top w:val="none" w:sz="0" w:space="0" w:color="auto"/>
        <w:left w:val="none" w:sz="0" w:space="0" w:color="auto"/>
        <w:bottom w:val="none" w:sz="0" w:space="0" w:color="auto"/>
        <w:right w:val="none" w:sz="0" w:space="0" w:color="auto"/>
      </w:divBdr>
    </w:div>
    <w:div w:id="1940019336">
      <w:bodyDiv w:val="1"/>
      <w:marLeft w:val="0"/>
      <w:marRight w:val="0"/>
      <w:marTop w:val="0"/>
      <w:marBottom w:val="0"/>
      <w:divBdr>
        <w:top w:val="none" w:sz="0" w:space="0" w:color="auto"/>
        <w:left w:val="none" w:sz="0" w:space="0" w:color="auto"/>
        <w:bottom w:val="none" w:sz="0" w:space="0" w:color="auto"/>
        <w:right w:val="none" w:sz="0" w:space="0" w:color="auto"/>
      </w:divBdr>
    </w:div>
    <w:div w:id="2076194622">
      <w:bodyDiv w:val="1"/>
      <w:marLeft w:val="0"/>
      <w:marRight w:val="0"/>
      <w:marTop w:val="0"/>
      <w:marBottom w:val="0"/>
      <w:divBdr>
        <w:top w:val="none" w:sz="0" w:space="0" w:color="auto"/>
        <w:left w:val="none" w:sz="0" w:space="0" w:color="auto"/>
        <w:bottom w:val="none" w:sz="0" w:space="0" w:color="auto"/>
        <w:right w:val="none" w:sz="0" w:space="0" w:color="auto"/>
      </w:divBdr>
    </w:div>
    <w:div w:id="212134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41</TotalTime>
  <Pages>6</Pages>
  <Words>1274</Words>
  <Characters>8576</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2024044091, MT</dc:description>
  <cp:lastModifiedBy>Gitte Jørgensen</cp:lastModifiedBy>
  <cp:revision>10</cp:revision>
  <cp:lastPrinted>2022-05-18T14:03:00Z</cp:lastPrinted>
  <dcterms:created xsi:type="dcterms:W3CDTF">2024-10-07T06:21:00Z</dcterms:created>
  <dcterms:modified xsi:type="dcterms:W3CDTF">2024-10-11T06:33:00Z</dcterms:modified>
</cp:coreProperties>
</file>